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9407C" w14:textId="77777777" w:rsidR="00063E15" w:rsidRPr="00C01CB4" w:rsidRDefault="00063E15" w:rsidP="008314D1">
      <w:pPr>
        <w:pStyle w:val="Title"/>
        <w:pBdr>
          <w:bottom w:val="double" w:sz="6" w:space="0" w:color="auto"/>
        </w:pBdr>
      </w:pPr>
      <w:bookmarkStart w:id="0" w:name="_GoBack"/>
      <w:bookmarkEnd w:id="0"/>
      <w:r w:rsidRPr="00C01CB4">
        <w:t>М И Н И С Т Е Р С Т В О   Н А   Ф И Н А Н С И Т Е</w:t>
      </w:r>
    </w:p>
    <w:p w14:paraId="4B8B7BDC" w14:textId="77777777" w:rsidR="005F7245" w:rsidRPr="00C01CB4" w:rsidRDefault="005F7245" w:rsidP="00063E15">
      <w:pPr>
        <w:rPr>
          <w:sz w:val="16"/>
          <w:szCs w:val="16"/>
        </w:rPr>
      </w:pPr>
    </w:p>
    <w:p w14:paraId="411B8435" w14:textId="77777777" w:rsidR="0019151C" w:rsidRPr="00C01CB4" w:rsidRDefault="0019151C" w:rsidP="0019151C"/>
    <w:p w14:paraId="57ABC490" w14:textId="77777777" w:rsidR="00E10331" w:rsidRPr="00C01CB4" w:rsidRDefault="00E10331" w:rsidP="0019151C"/>
    <w:p w14:paraId="73A0A3F2" w14:textId="77777777" w:rsidR="00E9260C" w:rsidRPr="00C01CB4" w:rsidRDefault="00E9260C" w:rsidP="009B536C">
      <w:pPr>
        <w:pStyle w:val="Heading1"/>
        <w:rPr>
          <w:sz w:val="24"/>
        </w:rPr>
      </w:pPr>
      <w:r w:rsidRPr="00C01CB4">
        <w:rPr>
          <w:sz w:val="24"/>
        </w:rPr>
        <w:t>ИНФОРМАЦИЯ</w:t>
      </w:r>
    </w:p>
    <w:p w14:paraId="74BE80BC" w14:textId="77777777" w:rsidR="00E9260C" w:rsidRPr="00C01CB4" w:rsidRDefault="00E9260C" w:rsidP="009B536C">
      <w:pPr>
        <w:jc w:val="center"/>
        <w:rPr>
          <w:b/>
          <w:bCs/>
        </w:rPr>
      </w:pPr>
      <w:r w:rsidRPr="00C01CB4">
        <w:rPr>
          <w:b/>
          <w:bCs/>
        </w:rPr>
        <w:t xml:space="preserve">ЗА </w:t>
      </w:r>
      <w:r w:rsidR="004E7BF8" w:rsidRPr="00C01CB4">
        <w:rPr>
          <w:b/>
          <w:bCs/>
        </w:rPr>
        <w:t xml:space="preserve">КАСОВОТО </w:t>
      </w:r>
      <w:r w:rsidRPr="00C01CB4">
        <w:rPr>
          <w:b/>
          <w:bCs/>
        </w:rPr>
        <w:t xml:space="preserve">ИЗПЪЛНЕНИЕ НА </w:t>
      </w:r>
      <w:r w:rsidR="004E7BF8" w:rsidRPr="00C01CB4">
        <w:rPr>
          <w:b/>
          <w:bCs/>
        </w:rPr>
        <w:t>ДЪРЖАВНИЯ</w:t>
      </w:r>
      <w:r w:rsidRPr="00C01CB4">
        <w:rPr>
          <w:b/>
          <w:bCs/>
        </w:rPr>
        <w:t xml:space="preserve"> БЮДЖЕТ</w:t>
      </w:r>
      <w:r w:rsidR="004E7BF8" w:rsidRPr="00C01CB4">
        <w:rPr>
          <w:b/>
          <w:bCs/>
        </w:rPr>
        <w:t xml:space="preserve"> И НА ОСНОВНИТЕ ПОКАЗАТЕЛИ НА КОНСОЛИДИРАНАТА ФИСКАЛНА ПРОГРАМА </w:t>
      </w:r>
    </w:p>
    <w:p w14:paraId="4B5D9605" w14:textId="0B4AC66D" w:rsidR="003F47AB" w:rsidRPr="00C01CB4" w:rsidRDefault="003F47AB" w:rsidP="003F47AB">
      <w:pPr>
        <w:jc w:val="center"/>
        <w:rPr>
          <w:b/>
          <w:bCs/>
        </w:rPr>
      </w:pPr>
      <w:r w:rsidRPr="00C01CB4">
        <w:rPr>
          <w:b/>
          <w:bCs/>
        </w:rPr>
        <w:t xml:space="preserve">ЗА </w:t>
      </w:r>
      <w:r w:rsidR="00C01CB4" w:rsidRPr="00C01CB4">
        <w:rPr>
          <w:b/>
          <w:bCs/>
        </w:rPr>
        <w:t xml:space="preserve">ДЕВЕТМЕСЕЧИЕТО </w:t>
      </w:r>
      <w:r w:rsidRPr="00C01CB4">
        <w:rPr>
          <w:b/>
          <w:bCs/>
        </w:rPr>
        <w:t>НА 20</w:t>
      </w:r>
      <w:r w:rsidR="006D5D56" w:rsidRPr="00C01CB4">
        <w:rPr>
          <w:b/>
          <w:bCs/>
        </w:rPr>
        <w:t>21</w:t>
      </w:r>
      <w:r w:rsidRPr="00C01CB4">
        <w:rPr>
          <w:b/>
          <w:bCs/>
        </w:rPr>
        <w:t xml:space="preserve"> ГОДИНА</w:t>
      </w:r>
    </w:p>
    <w:p w14:paraId="6051230B" w14:textId="77777777" w:rsidR="00430A35" w:rsidRPr="00C85F7F" w:rsidRDefault="00430A35" w:rsidP="003A06C5">
      <w:pPr>
        <w:rPr>
          <w:b/>
          <w:bCs/>
          <w:color w:val="548DD4" w:themeColor="text2" w:themeTint="99"/>
        </w:rPr>
      </w:pPr>
    </w:p>
    <w:p w14:paraId="23BA460C" w14:textId="0545FAF6" w:rsidR="00E10331" w:rsidRPr="00C85F7F" w:rsidRDefault="00E10331" w:rsidP="003A06C5">
      <w:pPr>
        <w:rPr>
          <w:b/>
          <w:bCs/>
          <w:color w:val="548DD4" w:themeColor="text2" w:themeTint="99"/>
        </w:rPr>
      </w:pPr>
    </w:p>
    <w:p w14:paraId="68B973A0" w14:textId="7DCAFE15" w:rsidR="00C971D8" w:rsidRPr="00C85F7F" w:rsidRDefault="00C971D8" w:rsidP="003A06C5">
      <w:pPr>
        <w:rPr>
          <w:b/>
          <w:bCs/>
          <w:color w:val="548DD4" w:themeColor="text2" w:themeTint="99"/>
        </w:rPr>
      </w:pPr>
    </w:p>
    <w:p w14:paraId="6F826F46" w14:textId="77777777" w:rsidR="00C971D8" w:rsidRPr="00C85F7F" w:rsidRDefault="00C971D8" w:rsidP="003A06C5">
      <w:pPr>
        <w:rPr>
          <w:b/>
          <w:bCs/>
          <w:color w:val="548DD4" w:themeColor="text2" w:themeTint="99"/>
        </w:rPr>
      </w:pPr>
    </w:p>
    <w:p w14:paraId="5B8D16F1" w14:textId="77777777" w:rsidR="005750C2" w:rsidRPr="00A62647" w:rsidRDefault="005750C2" w:rsidP="00E70359">
      <w:pPr>
        <w:spacing w:after="120"/>
        <w:jc w:val="both"/>
        <w:rPr>
          <w:lang w:eastAsia="bg-BG"/>
        </w:rPr>
      </w:pPr>
      <w:r w:rsidRPr="00A62647">
        <w:rPr>
          <w:b/>
          <w:bCs/>
          <w:u w:val="single"/>
          <w:lang w:eastAsia="bg-BG"/>
        </w:rPr>
        <w:t>Развитие на икономическата среда</w:t>
      </w:r>
    </w:p>
    <w:p w14:paraId="094001D9" w14:textId="18AD6155" w:rsidR="00A62647" w:rsidRPr="00B97EBF" w:rsidRDefault="00A62647" w:rsidP="00A62647">
      <w:pPr>
        <w:spacing w:before="120"/>
        <w:jc w:val="both"/>
        <w:rPr>
          <w:lang w:eastAsia="bg-BG"/>
        </w:rPr>
      </w:pPr>
      <w:r w:rsidRPr="00B97EBF">
        <w:rPr>
          <w:lang w:eastAsia="bg-BG"/>
        </w:rPr>
        <w:t>През първото полугодие на 202</w:t>
      </w:r>
      <w:r w:rsidRPr="00B97EBF">
        <w:rPr>
          <w:lang w:val="en-US" w:eastAsia="bg-BG"/>
        </w:rPr>
        <w:t>1</w:t>
      </w:r>
      <w:r>
        <w:rPr>
          <w:lang w:eastAsia="bg-BG"/>
        </w:rPr>
        <w:t> </w:t>
      </w:r>
      <w:r w:rsidRPr="00B97EBF">
        <w:rPr>
          <w:lang w:eastAsia="bg-BG"/>
        </w:rPr>
        <w:t>г. брутният вътрешен продукт на страната нарасна с 3,4 %. Растежът бе движен от увеличение на частното и публичното потребление. Разходите на до</w:t>
      </w:r>
      <w:r w:rsidR="00A730A0">
        <w:rPr>
          <w:lang w:eastAsia="bg-BG"/>
        </w:rPr>
        <w:t xml:space="preserve">макинствата нараснаха със 7,4 %, </w:t>
      </w:r>
      <w:r w:rsidRPr="00B97EBF">
        <w:rPr>
          <w:lang w:eastAsia="bg-BG"/>
        </w:rPr>
        <w:t>като принос за тази динамика имаше растежът на реалния разполагаем доход на домакинствата</w:t>
      </w:r>
      <w:r w:rsidR="000059CB">
        <w:rPr>
          <w:lang w:eastAsia="bg-BG"/>
        </w:rPr>
        <w:t>,</w:t>
      </w:r>
      <w:r w:rsidRPr="00B97EBF">
        <w:rPr>
          <w:lang w:eastAsia="bg-BG"/>
        </w:rPr>
        <w:t xml:space="preserve"> движен от повишение на компенсациите на наетите и разходите за пенсии. Инвестициите в основен капитал спаднаха с 5,3 %</w:t>
      </w:r>
      <w:r w:rsidR="000059CB">
        <w:rPr>
          <w:lang w:eastAsia="bg-BG"/>
        </w:rPr>
        <w:t>,</w:t>
      </w:r>
      <w:r w:rsidRPr="00B97EBF">
        <w:rPr>
          <w:lang w:eastAsia="bg-BG"/>
        </w:rPr>
        <w:t xml:space="preserve"> като намаление бе регистрирано както при частните, така и при публичните инвестиции. Износът на стоки и услуги отбеляза растеж от 9</w:t>
      </w:r>
      <w:r w:rsidR="00616AC0">
        <w:rPr>
          <w:lang w:val="en-US" w:eastAsia="bg-BG"/>
        </w:rPr>
        <w:t xml:space="preserve"> </w:t>
      </w:r>
      <w:r w:rsidRPr="00B97EBF">
        <w:rPr>
          <w:lang w:eastAsia="bg-BG"/>
        </w:rPr>
        <w:t>%, но той бе надминат от растежа на вноса, който достигна 12,7</w:t>
      </w:r>
      <w:r w:rsidR="00616AC0">
        <w:rPr>
          <w:lang w:val="en-US" w:eastAsia="bg-BG"/>
        </w:rPr>
        <w:t> </w:t>
      </w:r>
      <w:r w:rsidRPr="00B97EBF">
        <w:rPr>
          <w:lang w:eastAsia="bg-BG"/>
        </w:rPr>
        <w:t>% и в резултат нетния</w:t>
      </w:r>
      <w:r>
        <w:rPr>
          <w:lang w:eastAsia="bg-BG"/>
        </w:rPr>
        <w:t>т</w:t>
      </w:r>
      <w:r w:rsidRPr="00B97EBF">
        <w:rPr>
          <w:lang w:eastAsia="bg-BG"/>
        </w:rPr>
        <w:t xml:space="preserve"> износ имаше отрицателен принос за растежа на БВП за полугодието.</w:t>
      </w:r>
    </w:p>
    <w:p w14:paraId="77939215" w14:textId="77777777" w:rsidR="00A62647" w:rsidRPr="00B97EBF" w:rsidRDefault="00A62647" w:rsidP="00A76A5D">
      <w:pPr>
        <w:spacing w:before="120"/>
        <w:jc w:val="both"/>
        <w:rPr>
          <w:lang w:eastAsia="bg-BG"/>
        </w:rPr>
      </w:pPr>
      <w:r w:rsidRPr="00B97EBF">
        <w:rPr>
          <w:lang w:eastAsia="bg-BG"/>
        </w:rPr>
        <w:t>Краткосрочните индикатори за трето тримесечие сочат леко забавяне на растежа на икономиката. За периода юли-август промишленото производство, строителната продукция и оборот</w:t>
      </w:r>
      <w:r>
        <w:rPr>
          <w:lang w:eastAsia="bg-BG"/>
        </w:rPr>
        <w:t>ът</w:t>
      </w:r>
      <w:r w:rsidRPr="00B97EBF">
        <w:rPr>
          <w:lang w:eastAsia="bg-BG"/>
        </w:rPr>
        <w:t xml:space="preserve"> в търговията на дребно нараснаха съответно с 9</w:t>
      </w:r>
      <w:r>
        <w:rPr>
          <w:lang w:eastAsia="bg-BG"/>
        </w:rPr>
        <w:t>,6</w:t>
      </w:r>
      <w:r w:rsidRPr="00B97EBF">
        <w:rPr>
          <w:lang w:eastAsia="bg-BG"/>
        </w:rPr>
        <w:t xml:space="preserve">, </w:t>
      </w:r>
      <w:r w:rsidRPr="00B97EBF">
        <w:rPr>
          <w:lang w:val="en-US" w:eastAsia="bg-BG"/>
        </w:rPr>
        <w:t>1</w:t>
      </w:r>
      <w:r w:rsidRPr="00B97EBF">
        <w:rPr>
          <w:lang w:eastAsia="bg-BG"/>
        </w:rPr>
        <w:t>,</w:t>
      </w:r>
      <w:r w:rsidRPr="00B97EBF">
        <w:rPr>
          <w:lang w:val="en-US" w:eastAsia="bg-BG"/>
        </w:rPr>
        <w:t xml:space="preserve">4 </w:t>
      </w:r>
      <w:r w:rsidRPr="00B97EBF">
        <w:rPr>
          <w:lang w:eastAsia="bg-BG"/>
        </w:rPr>
        <w:t>и 16 %,</w:t>
      </w:r>
      <w:r w:rsidRPr="00B97EBF">
        <w:rPr>
          <w:lang w:val="en-US" w:eastAsia="bg-BG"/>
        </w:rPr>
        <w:t xml:space="preserve"> </w:t>
      </w:r>
      <w:r w:rsidRPr="00B97EBF">
        <w:rPr>
          <w:lang w:eastAsia="bg-BG"/>
        </w:rPr>
        <w:t>което представлява забавяне спрямо растежите отчетени през второ тримесечие. През август и септември индикаторите за бизнес климата и доверието на потребителите отчетоха понижения.</w:t>
      </w:r>
    </w:p>
    <w:p w14:paraId="73582EEE" w14:textId="7C60000B" w:rsidR="00A62647" w:rsidRPr="00AA2E49" w:rsidRDefault="00A62647" w:rsidP="00A62647">
      <w:pPr>
        <w:autoSpaceDE w:val="0"/>
        <w:autoSpaceDN w:val="0"/>
        <w:jc w:val="both"/>
        <w:rPr>
          <w:lang w:eastAsia="bg-BG"/>
        </w:rPr>
      </w:pPr>
      <w:r w:rsidRPr="00AA2E49">
        <w:rPr>
          <w:lang w:eastAsia="bg-BG"/>
        </w:rPr>
        <w:t>През първото полугодие на 2021</w:t>
      </w:r>
      <w:r>
        <w:rPr>
          <w:lang w:val="en-GB" w:eastAsia="bg-BG"/>
        </w:rPr>
        <w:t> </w:t>
      </w:r>
      <w:r w:rsidRPr="00AA2E49">
        <w:rPr>
          <w:lang w:eastAsia="bg-BG"/>
        </w:rPr>
        <w:t>г. броят на заетите в икономиката намаля с 1,2</w:t>
      </w:r>
      <w:r w:rsidR="000D0519">
        <w:rPr>
          <w:lang w:eastAsia="bg-BG"/>
        </w:rPr>
        <w:t xml:space="preserve"> </w:t>
      </w:r>
      <w:r w:rsidRPr="00AA2E49">
        <w:rPr>
          <w:lang w:eastAsia="bg-BG"/>
        </w:rPr>
        <w:t xml:space="preserve">%, </w:t>
      </w:r>
      <w:r>
        <w:rPr>
          <w:lang w:eastAsia="bg-BG"/>
        </w:rPr>
        <w:t>движен</w:t>
      </w:r>
      <w:r w:rsidRPr="00AA2E49">
        <w:rPr>
          <w:lang w:eastAsia="bg-BG"/>
        </w:rPr>
        <w:t xml:space="preserve"> до голяма степен </w:t>
      </w:r>
      <w:r>
        <w:rPr>
          <w:lang w:eastAsia="bg-BG"/>
        </w:rPr>
        <w:t xml:space="preserve">от </w:t>
      </w:r>
      <w:r w:rsidRPr="00AA2E49">
        <w:rPr>
          <w:lang w:eastAsia="bg-BG"/>
        </w:rPr>
        <w:t xml:space="preserve">спада на заетостта в аграрния сектор. Последният компенсира отчетения възходящ тренд на показателя в голяма част от икономическите дейности. Възстановяването на дейността в някои икономически дейности се отразява и върху заетостта, особено в сектори като </w:t>
      </w:r>
      <w:r w:rsidRPr="00F03A0A">
        <w:rPr>
          <w:i/>
          <w:lang w:eastAsia="bg-BG"/>
        </w:rPr>
        <w:t>строителството</w:t>
      </w:r>
      <w:r w:rsidRPr="00AA2E49">
        <w:rPr>
          <w:lang w:eastAsia="bg-BG"/>
        </w:rPr>
        <w:t xml:space="preserve">, </w:t>
      </w:r>
      <w:r w:rsidRPr="00F03A0A">
        <w:rPr>
          <w:i/>
          <w:lang w:eastAsia="bg-BG"/>
        </w:rPr>
        <w:t>информационни технологии</w:t>
      </w:r>
      <w:r w:rsidRPr="00AA2E49">
        <w:rPr>
          <w:lang w:eastAsia="bg-BG"/>
        </w:rPr>
        <w:t xml:space="preserve">, </w:t>
      </w:r>
      <w:r w:rsidRPr="00F03A0A">
        <w:rPr>
          <w:i/>
          <w:lang w:eastAsia="bg-BG"/>
        </w:rPr>
        <w:t>търговия</w:t>
      </w:r>
      <w:r w:rsidRPr="00AA2E49">
        <w:rPr>
          <w:lang w:eastAsia="bg-BG"/>
        </w:rPr>
        <w:t xml:space="preserve">, а в </w:t>
      </w:r>
      <w:r w:rsidRPr="00F03A0A">
        <w:rPr>
          <w:i/>
          <w:lang w:eastAsia="bg-BG"/>
        </w:rPr>
        <w:t>индустрията</w:t>
      </w:r>
      <w:r w:rsidRPr="00AA2E49">
        <w:rPr>
          <w:lang w:eastAsia="bg-BG"/>
        </w:rPr>
        <w:t xml:space="preserve"> годишният спад на заетите постоянно се забавя, като през второто тримесеч</w:t>
      </w:r>
      <w:r>
        <w:rPr>
          <w:lang w:eastAsia="bg-BG"/>
        </w:rPr>
        <w:t>ие на 2021</w:t>
      </w:r>
      <w:r>
        <w:rPr>
          <w:lang w:val="en-GB" w:eastAsia="bg-BG"/>
        </w:rPr>
        <w:t> </w:t>
      </w:r>
      <w:r w:rsidRPr="00AA2E49">
        <w:rPr>
          <w:lang w:eastAsia="bg-BG"/>
        </w:rPr>
        <w:t>г. заетите лица в сектора са почти на същото ниво както и една година по-рано.</w:t>
      </w:r>
    </w:p>
    <w:p w14:paraId="190D51AE" w14:textId="05972BEC" w:rsidR="00A62647" w:rsidRPr="00AA2E49" w:rsidRDefault="00A62647" w:rsidP="00A76A5D">
      <w:pPr>
        <w:autoSpaceDE w:val="0"/>
        <w:autoSpaceDN w:val="0"/>
        <w:spacing w:before="120"/>
        <w:jc w:val="both"/>
        <w:rPr>
          <w:lang w:eastAsia="bg-BG"/>
        </w:rPr>
      </w:pPr>
      <w:r>
        <w:rPr>
          <w:lang w:eastAsia="bg-BG"/>
        </w:rPr>
        <w:t>Динамиката на б</w:t>
      </w:r>
      <w:r w:rsidRPr="00AA2E49">
        <w:rPr>
          <w:lang w:eastAsia="bg-BG"/>
        </w:rPr>
        <w:t xml:space="preserve">езработните лица в икономиката </w:t>
      </w:r>
      <w:r>
        <w:rPr>
          <w:lang w:eastAsia="bg-BG"/>
        </w:rPr>
        <w:t>е низходяща</w:t>
      </w:r>
      <w:r w:rsidRPr="00AA2E49">
        <w:rPr>
          <w:lang w:eastAsia="bg-BG"/>
        </w:rPr>
        <w:t xml:space="preserve">. Това е особено силно изразено </w:t>
      </w:r>
      <w:r>
        <w:rPr>
          <w:lang w:eastAsia="bg-BG"/>
        </w:rPr>
        <w:t>при</w:t>
      </w:r>
      <w:r w:rsidRPr="00AA2E49">
        <w:rPr>
          <w:lang w:eastAsia="bg-BG"/>
        </w:rPr>
        <w:t xml:space="preserve"> регистрираните безработни, </w:t>
      </w:r>
      <w:r>
        <w:rPr>
          <w:lang w:eastAsia="bg-BG"/>
        </w:rPr>
        <w:t xml:space="preserve">чийто брой намалява </w:t>
      </w:r>
      <w:r w:rsidRPr="00AA2E49">
        <w:rPr>
          <w:lang w:eastAsia="bg-BG"/>
        </w:rPr>
        <w:t xml:space="preserve">почти от самото начало на годината </w:t>
      </w:r>
      <w:r>
        <w:rPr>
          <w:lang w:eastAsia="bg-BG"/>
        </w:rPr>
        <w:t>и</w:t>
      </w:r>
      <w:r w:rsidRPr="00AA2E49">
        <w:rPr>
          <w:lang w:eastAsia="bg-BG"/>
        </w:rPr>
        <w:t xml:space="preserve"> </w:t>
      </w:r>
      <w:r>
        <w:rPr>
          <w:lang w:eastAsia="bg-BG"/>
        </w:rPr>
        <w:t>в</w:t>
      </w:r>
      <w:r w:rsidRPr="00AA2E49">
        <w:rPr>
          <w:lang w:eastAsia="bg-BG"/>
        </w:rPr>
        <w:t xml:space="preserve"> края на септември </w:t>
      </w:r>
      <w:r>
        <w:rPr>
          <w:lang w:eastAsia="bg-BG"/>
        </w:rPr>
        <w:t>възлезе на 154,</w:t>
      </w:r>
      <w:r w:rsidRPr="00AA2E49">
        <w:rPr>
          <w:lang w:eastAsia="bg-BG"/>
        </w:rPr>
        <w:t>9</w:t>
      </w:r>
      <w:r>
        <w:rPr>
          <w:lang w:eastAsia="bg-BG"/>
        </w:rPr>
        <w:t> </w:t>
      </w:r>
      <w:r w:rsidRPr="00AA2E49">
        <w:rPr>
          <w:lang w:eastAsia="bg-BG"/>
        </w:rPr>
        <w:t>хил.</w:t>
      </w:r>
      <w:r w:rsidR="008B718F">
        <w:rPr>
          <w:lang w:eastAsia="bg-BG"/>
        </w:rPr>
        <w:t xml:space="preserve"> </w:t>
      </w:r>
      <w:r w:rsidRPr="00AA2E49">
        <w:rPr>
          <w:lang w:eastAsia="bg-BG"/>
        </w:rPr>
        <w:t xml:space="preserve">д., което е </w:t>
      </w:r>
      <w:r>
        <w:rPr>
          <w:lang w:eastAsia="bg-BG"/>
        </w:rPr>
        <w:t>с повече от</w:t>
      </w:r>
      <w:r w:rsidRPr="00AA2E49">
        <w:rPr>
          <w:lang w:eastAsia="bg-BG"/>
        </w:rPr>
        <w:t xml:space="preserve"> 10</w:t>
      </w:r>
      <w:r w:rsidR="00BB5551">
        <w:rPr>
          <w:lang w:eastAsia="bg-BG"/>
        </w:rPr>
        <w:t xml:space="preserve"> </w:t>
      </w:r>
      <w:r w:rsidRPr="00AA2E49">
        <w:rPr>
          <w:lang w:eastAsia="bg-BG"/>
        </w:rPr>
        <w:t xml:space="preserve">% по-ниско спрямо нивата </w:t>
      </w:r>
      <w:r>
        <w:rPr>
          <w:lang w:eastAsia="bg-BG"/>
        </w:rPr>
        <w:t>от</w:t>
      </w:r>
      <w:r w:rsidRPr="00AA2E49">
        <w:rPr>
          <w:lang w:eastAsia="bg-BG"/>
        </w:rPr>
        <w:t xml:space="preserve"> септември 2019</w:t>
      </w:r>
      <w:r>
        <w:rPr>
          <w:lang w:eastAsia="bg-BG"/>
        </w:rPr>
        <w:t> </w:t>
      </w:r>
      <w:r w:rsidRPr="00AA2E49">
        <w:rPr>
          <w:lang w:eastAsia="bg-BG"/>
        </w:rPr>
        <w:t>г., т.</w:t>
      </w:r>
      <w:r w:rsidR="00BB5551">
        <w:rPr>
          <w:lang w:eastAsia="bg-BG"/>
        </w:rPr>
        <w:t xml:space="preserve"> </w:t>
      </w:r>
      <w:r w:rsidRPr="00AA2E49">
        <w:rPr>
          <w:lang w:eastAsia="bg-BG"/>
        </w:rPr>
        <w:t>е. преди КОВИ</w:t>
      </w:r>
      <w:r>
        <w:rPr>
          <w:lang w:eastAsia="bg-BG"/>
        </w:rPr>
        <w:t>Д кризата. Това е и най-ниската стойност на показателя от средата на 1992 г</w:t>
      </w:r>
      <w:r w:rsidRPr="00AA2E49">
        <w:rPr>
          <w:lang w:eastAsia="bg-BG"/>
        </w:rPr>
        <w:t xml:space="preserve">. Един от основните фактори за поддържане на безработицата на ниски равнища </w:t>
      </w:r>
      <w:r>
        <w:rPr>
          <w:lang w:eastAsia="bg-BG"/>
        </w:rPr>
        <w:t>са</w:t>
      </w:r>
      <w:r w:rsidRPr="00AA2E49">
        <w:rPr>
          <w:lang w:eastAsia="bg-BG"/>
        </w:rPr>
        <w:t xml:space="preserve"> краткосрочните мерки за </w:t>
      </w:r>
      <w:r>
        <w:rPr>
          <w:lang w:eastAsia="bg-BG"/>
        </w:rPr>
        <w:t>подкрепа</w:t>
      </w:r>
      <w:r w:rsidRPr="00AA2E49">
        <w:rPr>
          <w:lang w:eastAsia="bg-BG"/>
        </w:rPr>
        <w:t xml:space="preserve"> на заетостта, чието действие бе продължено до края на календарната 2021</w:t>
      </w:r>
      <w:r>
        <w:rPr>
          <w:lang w:eastAsia="bg-BG"/>
        </w:rPr>
        <w:t> </w:t>
      </w:r>
      <w:r w:rsidRPr="00AA2E49">
        <w:rPr>
          <w:lang w:eastAsia="bg-BG"/>
        </w:rPr>
        <w:t>г.</w:t>
      </w:r>
    </w:p>
    <w:p w14:paraId="2F03455F" w14:textId="62B4C904" w:rsidR="00A62647" w:rsidRPr="00B97EBF" w:rsidRDefault="00A62647" w:rsidP="00CA27EB">
      <w:pPr>
        <w:autoSpaceDE w:val="0"/>
        <w:autoSpaceDN w:val="0"/>
        <w:spacing w:before="120"/>
        <w:jc w:val="both"/>
        <w:rPr>
          <w:lang w:eastAsia="bg-BG"/>
        </w:rPr>
      </w:pPr>
      <w:r w:rsidRPr="00B97EBF">
        <w:rPr>
          <w:lang w:eastAsia="bg-BG"/>
        </w:rPr>
        <w:t>От началото на годината годишният темп на инфлация в България следва тенденция на ускорение</w:t>
      </w:r>
      <w:r>
        <w:rPr>
          <w:lang w:eastAsia="bg-BG"/>
        </w:rPr>
        <w:t>, достигайки</w:t>
      </w:r>
      <w:r w:rsidRPr="00B97EBF">
        <w:rPr>
          <w:lang w:eastAsia="bg-BG"/>
        </w:rPr>
        <w:t xml:space="preserve"> 4</w:t>
      </w:r>
      <w:r w:rsidR="00D4344F">
        <w:rPr>
          <w:lang w:eastAsia="bg-BG"/>
        </w:rPr>
        <w:t xml:space="preserve"> </w:t>
      </w:r>
      <w:r w:rsidRPr="00B97EBF">
        <w:rPr>
          <w:lang w:eastAsia="bg-BG"/>
        </w:rPr>
        <w:t>% през септември (според ХИПЦ), след като през декември 2020</w:t>
      </w:r>
      <w:r>
        <w:rPr>
          <w:lang w:eastAsia="bg-BG"/>
        </w:rPr>
        <w:t> </w:t>
      </w:r>
      <w:r w:rsidRPr="00B97EBF">
        <w:rPr>
          <w:lang w:eastAsia="bg-BG"/>
        </w:rPr>
        <w:t>г. отчете стойност от 0</w:t>
      </w:r>
      <w:r w:rsidR="00D4344F">
        <w:rPr>
          <w:lang w:eastAsia="bg-BG"/>
        </w:rPr>
        <w:t xml:space="preserve"> </w:t>
      </w:r>
      <w:r w:rsidRPr="00B97EBF">
        <w:rPr>
          <w:lang w:eastAsia="bg-BG"/>
        </w:rPr>
        <w:t>%. Основният фактор за формиране на инфлацията е ускореното поскъпване на суровините на световните пазари, и най-вече енергията и храните. По ли</w:t>
      </w:r>
      <w:r w:rsidR="002A77C1">
        <w:rPr>
          <w:lang w:eastAsia="bg-BG"/>
        </w:rPr>
        <w:t>ния на производствените разходи</w:t>
      </w:r>
      <w:r w:rsidRPr="00B97EBF">
        <w:rPr>
          <w:lang w:eastAsia="bg-BG"/>
        </w:rPr>
        <w:t xml:space="preserve"> това сравнително бързо се прехвърли върху крайните цени на потребител на транспортни горива и хранителни продукти, но също така имаше и косвен ефект за поскъпване на транспортните услуги, общественото хранене и др. От друга страна, след едн</w:t>
      </w:r>
      <w:r w:rsidR="008B5553">
        <w:rPr>
          <w:lang w:eastAsia="bg-BG"/>
        </w:rPr>
        <w:t>ократното понижение през август</w:t>
      </w:r>
      <w:r w:rsidRPr="00B97EBF">
        <w:rPr>
          <w:lang w:eastAsia="bg-BG"/>
        </w:rPr>
        <w:t xml:space="preserve"> инфлацията при услугите отново се ускори през септември, като с това се свързва и същественото ускорение на базисната инфлация до </w:t>
      </w:r>
      <w:r>
        <w:rPr>
          <w:lang w:eastAsia="bg-BG"/>
        </w:rPr>
        <w:t>2</w:t>
      </w:r>
      <w:r w:rsidR="009551C6">
        <w:rPr>
          <w:lang w:eastAsia="bg-BG"/>
        </w:rPr>
        <w:t>,</w:t>
      </w:r>
      <w:r>
        <w:rPr>
          <w:lang w:eastAsia="bg-BG"/>
        </w:rPr>
        <w:t>2</w:t>
      </w:r>
      <w:r w:rsidR="009551C6">
        <w:rPr>
          <w:lang w:eastAsia="bg-BG"/>
        </w:rPr>
        <w:t xml:space="preserve"> </w:t>
      </w:r>
      <w:r w:rsidRPr="00B97EBF">
        <w:rPr>
          <w:lang w:eastAsia="bg-BG"/>
        </w:rPr>
        <w:t>% на годишна база.</w:t>
      </w:r>
    </w:p>
    <w:p w14:paraId="2B891A17" w14:textId="6C8EC105" w:rsidR="00A62647" w:rsidRPr="00B97EBF" w:rsidRDefault="00A62647" w:rsidP="00CA27EB">
      <w:pPr>
        <w:autoSpaceDE w:val="0"/>
        <w:autoSpaceDN w:val="0"/>
        <w:spacing w:before="120"/>
        <w:jc w:val="both"/>
        <w:rPr>
          <w:lang w:eastAsia="bg-BG"/>
        </w:rPr>
      </w:pPr>
      <w:r w:rsidRPr="00B97EBF">
        <w:rPr>
          <w:lang w:eastAsia="bg-BG"/>
        </w:rPr>
        <w:t>През последните месеци нарастват рисковете за реализиране на по-висока от очакваната инфлация в страната до края на 2021</w:t>
      </w:r>
      <w:r>
        <w:rPr>
          <w:lang w:eastAsia="bg-BG"/>
        </w:rPr>
        <w:t> </w:t>
      </w:r>
      <w:r w:rsidRPr="00B97EBF">
        <w:rPr>
          <w:lang w:eastAsia="bg-BG"/>
        </w:rPr>
        <w:t>г., а и през 2022</w:t>
      </w:r>
      <w:r>
        <w:rPr>
          <w:lang w:eastAsia="bg-BG"/>
        </w:rPr>
        <w:t> </w:t>
      </w:r>
      <w:r w:rsidRPr="00B97EBF">
        <w:rPr>
          <w:lang w:eastAsia="bg-BG"/>
        </w:rPr>
        <w:t xml:space="preserve">г., като </w:t>
      </w:r>
      <w:r w:rsidR="00B40B39" w:rsidRPr="00B40B39">
        <w:rPr>
          <w:lang w:eastAsia="bg-BG"/>
        </w:rPr>
        <w:t xml:space="preserve">тези рискове се </w:t>
      </w:r>
      <w:r w:rsidRPr="00B97EBF">
        <w:rPr>
          <w:lang w:eastAsia="bg-BG"/>
        </w:rPr>
        <w:t>свързват с продължаващо</w:t>
      </w:r>
      <w:r w:rsidR="00B40B39">
        <w:rPr>
          <w:lang w:eastAsia="bg-BG"/>
        </w:rPr>
        <w:t>то</w:t>
      </w:r>
      <w:r w:rsidRPr="00B97EBF">
        <w:rPr>
          <w:lang w:eastAsia="bg-BG"/>
        </w:rPr>
        <w:t xml:space="preserve"> поскъпване на основните суровини. Риск се идентифицира и по линия на </w:t>
      </w:r>
      <w:r w:rsidRPr="00B97EBF">
        <w:rPr>
          <w:lang w:eastAsia="bg-BG"/>
        </w:rPr>
        <w:lastRenderedPageBreak/>
        <w:t xml:space="preserve">наблюдаваното в целия ЕС поскъпване на природен газ и електроенергия, което има не само </w:t>
      </w:r>
      <w:r>
        <w:rPr>
          <w:lang w:eastAsia="bg-BG"/>
        </w:rPr>
        <w:t>пряк</w:t>
      </w:r>
      <w:r w:rsidRPr="00B97EBF">
        <w:rPr>
          <w:lang w:eastAsia="bg-BG"/>
        </w:rPr>
        <w:t xml:space="preserve"> ефект за повишение на съответните крайни цени на потребител, но също така влияе и косвено по линия на по-високите производствени разходи на предприятията.</w:t>
      </w:r>
    </w:p>
    <w:p w14:paraId="45BAB042" w14:textId="75AE5389" w:rsidR="00A62647" w:rsidRPr="00456267" w:rsidRDefault="00A62647" w:rsidP="00327236">
      <w:pPr>
        <w:autoSpaceDE w:val="0"/>
        <w:autoSpaceDN w:val="0"/>
        <w:spacing w:before="120"/>
        <w:jc w:val="both"/>
      </w:pPr>
      <w:r>
        <w:t>В</w:t>
      </w:r>
      <w:r w:rsidRPr="001318E0">
        <w:t xml:space="preserve"> периода януари-</w:t>
      </w:r>
      <w:r>
        <w:t>август</w:t>
      </w:r>
      <w:r w:rsidRPr="001318E0">
        <w:t xml:space="preserve"> салдото на текущата сметка бе </w:t>
      </w:r>
      <w:r>
        <w:t>положителн</w:t>
      </w:r>
      <w:r w:rsidRPr="001318E0">
        <w:t>о в размер на 0,</w:t>
      </w:r>
      <w:r>
        <w:t>4</w:t>
      </w:r>
      <w:r w:rsidR="009551C6">
        <w:t xml:space="preserve"> </w:t>
      </w:r>
      <w:r w:rsidRPr="001318E0">
        <w:t xml:space="preserve">% от прогнозния БВП, спрямо реализиран за същия период на 2020 г. излишък от </w:t>
      </w:r>
      <w:r>
        <w:t>1,3</w:t>
      </w:r>
      <w:r w:rsidR="008E6253">
        <w:t xml:space="preserve"> </w:t>
      </w:r>
      <w:r w:rsidRPr="001318E0">
        <w:t>%. Основен принос за влошаването имаше търговията със стоки.</w:t>
      </w:r>
      <w:r>
        <w:t xml:space="preserve"> </w:t>
      </w:r>
      <w:r w:rsidRPr="001318E0">
        <w:t>Силното вътрешно търсене, съчетано с нарастването на цените на международните пазари, се отрази в номинален растеж на вноса от 2</w:t>
      </w:r>
      <w:r>
        <w:t>7</w:t>
      </w:r>
      <w:r w:rsidRPr="001318E0">
        <w:t>,</w:t>
      </w:r>
      <w:r>
        <w:t>5</w:t>
      </w:r>
      <w:r w:rsidR="009551C6">
        <w:t xml:space="preserve"> </w:t>
      </w:r>
      <w:r w:rsidRPr="001318E0">
        <w:t xml:space="preserve">% спрямо </w:t>
      </w:r>
      <w:r>
        <w:t xml:space="preserve">деветмесечието на </w:t>
      </w:r>
      <w:r w:rsidRPr="001318E0">
        <w:t xml:space="preserve">предходната година, докато </w:t>
      </w:r>
      <w:r>
        <w:t>нарастването</w:t>
      </w:r>
      <w:r w:rsidRPr="001318E0">
        <w:t xml:space="preserve"> на износа бе с по-бавен темп – 2</w:t>
      </w:r>
      <w:r>
        <w:t>3,7</w:t>
      </w:r>
      <w:r w:rsidR="009551C6">
        <w:t xml:space="preserve"> </w:t>
      </w:r>
      <w:r w:rsidRPr="001318E0">
        <w:t xml:space="preserve">%. Търговският дефицит възлезе на </w:t>
      </w:r>
      <w:r>
        <w:t>2,6</w:t>
      </w:r>
      <w:r w:rsidR="009551C6">
        <w:t xml:space="preserve"> </w:t>
      </w:r>
      <w:r w:rsidRPr="001318E0">
        <w:t xml:space="preserve">% от прогнозния БВП, при </w:t>
      </w:r>
      <w:r>
        <w:t>1,4</w:t>
      </w:r>
      <w:r w:rsidR="009551C6">
        <w:t xml:space="preserve"> </w:t>
      </w:r>
      <w:r w:rsidRPr="001318E0">
        <w:t xml:space="preserve">% година по-рано. </w:t>
      </w:r>
      <w:r>
        <w:t>С</w:t>
      </w:r>
      <w:r w:rsidRPr="001318E0">
        <w:t xml:space="preserve"> облекчаване на ограниченията пред </w:t>
      </w:r>
      <w:r w:rsidR="00FF2247">
        <w:t>международните пътувания</w:t>
      </w:r>
      <w:r w:rsidRPr="00456267">
        <w:t xml:space="preserve"> нараснаха и приходите от пътувания на чужденци в страната. Средно за летните месеци юни-август постъпленията се удвоиха спрямо предходната година, но нивото им все още остава под реализираното през 2019 г.</w:t>
      </w:r>
    </w:p>
    <w:p w14:paraId="2608ADE4" w14:textId="33F6970D" w:rsidR="00A62647" w:rsidRPr="00456267" w:rsidRDefault="00A62647" w:rsidP="00327236">
      <w:pPr>
        <w:spacing w:before="120"/>
        <w:jc w:val="both"/>
        <w:rPr>
          <w:lang w:eastAsia="bg-BG"/>
        </w:rPr>
      </w:pPr>
      <w:r w:rsidRPr="00456267">
        <w:rPr>
          <w:lang w:eastAsia="bg-BG"/>
        </w:rPr>
        <w:t>Кредитът за частния сектор се развиваше възходящо през девет</w:t>
      </w:r>
      <w:r>
        <w:rPr>
          <w:lang w:eastAsia="bg-BG"/>
        </w:rPr>
        <w:t>те</w:t>
      </w:r>
      <w:r w:rsidRPr="00456267">
        <w:rPr>
          <w:lang w:eastAsia="bg-BG"/>
        </w:rPr>
        <w:t xml:space="preserve"> месеца на годината и в края на септември годишният му темп на растеж достигна 7</w:t>
      </w:r>
      <w:r w:rsidR="00F2270B">
        <w:rPr>
          <w:lang w:eastAsia="bg-BG"/>
        </w:rPr>
        <w:t>,</w:t>
      </w:r>
      <w:r w:rsidRPr="00456267">
        <w:rPr>
          <w:lang w:eastAsia="bg-BG"/>
        </w:rPr>
        <w:t>6</w:t>
      </w:r>
      <w:r w:rsidR="00F2270B">
        <w:rPr>
          <w:lang w:eastAsia="bg-BG"/>
        </w:rPr>
        <w:t xml:space="preserve"> </w:t>
      </w:r>
      <w:r w:rsidRPr="00456267">
        <w:rPr>
          <w:lang w:eastAsia="bg-BG"/>
        </w:rPr>
        <w:t>% при 4</w:t>
      </w:r>
      <w:r w:rsidR="00F2270B">
        <w:rPr>
          <w:lang w:eastAsia="bg-BG"/>
        </w:rPr>
        <w:t>,</w:t>
      </w:r>
      <w:r w:rsidRPr="00456267">
        <w:rPr>
          <w:lang w:eastAsia="bg-BG"/>
        </w:rPr>
        <w:t>4</w:t>
      </w:r>
      <w:r w:rsidR="00F2270B">
        <w:rPr>
          <w:lang w:eastAsia="bg-BG"/>
        </w:rPr>
        <w:t xml:space="preserve"> </w:t>
      </w:r>
      <w:r w:rsidRPr="00456267">
        <w:rPr>
          <w:lang w:eastAsia="bg-BG"/>
        </w:rPr>
        <w:t>% в края на 2020</w:t>
      </w:r>
      <w:r>
        <w:rPr>
          <w:lang w:eastAsia="bg-BG"/>
        </w:rPr>
        <w:t> </w:t>
      </w:r>
      <w:r w:rsidRPr="00456267">
        <w:rPr>
          <w:lang w:eastAsia="bg-BG"/>
        </w:rPr>
        <w:t>г. Принос за ускоряването имаха основно кредитите за домакинства, чи</w:t>
      </w:r>
      <w:r>
        <w:rPr>
          <w:lang w:eastAsia="bg-BG"/>
        </w:rPr>
        <w:t>й</w:t>
      </w:r>
      <w:r w:rsidRPr="00456267">
        <w:rPr>
          <w:lang w:eastAsia="bg-BG"/>
        </w:rPr>
        <w:t xml:space="preserve">то ръст се </w:t>
      </w:r>
      <w:r>
        <w:rPr>
          <w:lang w:eastAsia="bg-BG"/>
        </w:rPr>
        <w:t>повиши</w:t>
      </w:r>
      <w:r w:rsidRPr="00456267">
        <w:rPr>
          <w:lang w:eastAsia="bg-BG"/>
        </w:rPr>
        <w:t xml:space="preserve"> от 6</w:t>
      </w:r>
      <w:r w:rsidR="00F2270B">
        <w:rPr>
          <w:lang w:eastAsia="bg-BG"/>
        </w:rPr>
        <w:t>,</w:t>
      </w:r>
      <w:r w:rsidRPr="00456267">
        <w:rPr>
          <w:lang w:eastAsia="bg-BG"/>
        </w:rPr>
        <w:t>6</w:t>
      </w:r>
      <w:r w:rsidR="00A52726">
        <w:rPr>
          <w:lang w:eastAsia="bg-BG"/>
        </w:rPr>
        <w:t xml:space="preserve"> </w:t>
      </w:r>
      <w:r w:rsidRPr="00456267">
        <w:rPr>
          <w:lang w:eastAsia="bg-BG"/>
        </w:rPr>
        <w:t>% до 11</w:t>
      </w:r>
      <w:r w:rsidR="00F2270B">
        <w:rPr>
          <w:lang w:eastAsia="bg-BG"/>
        </w:rPr>
        <w:t>,</w:t>
      </w:r>
      <w:r w:rsidRPr="00456267">
        <w:rPr>
          <w:lang w:eastAsia="bg-BG"/>
        </w:rPr>
        <w:t>8</w:t>
      </w:r>
      <w:r w:rsidR="00A52726">
        <w:rPr>
          <w:lang w:eastAsia="bg-BG"/>
        </w:rPr>
        <w:t xml:space="preserve"> </w:t>
      </w:r>
      <w:r w:rsidRPr="00456267">
        <w:rPr>
          <w:lang w:eastAsia="bg-BG"/>
        </w:rPr>
        <w:t>%. Рекордно ниските лихвени проценти допринесоха за по-високото търсене на потребителски (9</w:t>
      </w:r>
      <w:r w:rsidR="00F2270B">
        <w:rPr>
          <w:lang w:eastAsia="bg-BG"/>
        </w:rPr>
        <w:t>,</w:t>
      </w:r>
      <w:r w:rsidRPr="00456267">
        <w:rPr>
          <w:lang w:eastAsia="bg-BG"/>
        </w:rPr>
        <w:t>9</w:t>
      </w:r>
      <w:r w:rsidR="00A52726">
        <w:rPr>
          <w:lang w:eastAsia="bg-BG"/>
        </w:rPr>
        <w:t xml:space="preserve"> </w:t>
      </w:r>
      <w:r w:rsidRPr="00456267">
        <w:rPr>
          <w:lang w:eastAsia="bg-BG"/>
        </w:rPr>
        <w:t>% в края на септември) и на жилищни кредити (16</w:t>
      </w:r>
      <w:r w:rsidR="00F2270B">
        <w:rPr>
          <w:lang w:eastAsia="bg-BG"/>
        </w:rPr>
        <w:t>,</w:t>
      </w:r>
      <w:r w:rsidRPr="00456267">
        <w:rPr>
          <w:lang w:eastAsia="bg-BG"/>
        </w:rPr>
        <w:t>2</w:t>
      </w:r>
      <w:r w:rsidR="00227614">
        <w:rPr>
          <w:lang w:eastAsia="bg-BG"/>
        </w:rPr>
        <w:t xml:space="preserve"> </w:t>
      </w:r>
      <w:r w:rsidRPr="00456267">
        <w:rPr>
          <w:lang w:eastAsia="bg-BG"/>
        </w:rPr>
        <w:t>%), като за последните влияние оказа и ускореното нарастване на цените на жилищата. По-силното търсене на кредит от домакинствата съответства и на значителното нарастване на частното потребление за периода. Кредитите за нефинансови предприятия се увеличиха с по-нисък темп (4</w:t>
      </w:r>
      <w:r w:rsidR="00F2270B">
        <w:rPr>
          <w:lang w:eastAsia="bg-BG"/>
        </w:rPr>
        <w:t>,</w:t>
      </w:r>
      <w:r w:rsidRPr="00456267">
        <w:rPr>
          <w:lang w:eastAsia="bg-BG"/>
        </w:rPr>
        <w:t>1</w:t>
      </w:r>
      <w:r w:rsidR="00227614">
        <w:rPr>
          <w:lang w:eastAsia="bg-BG"/>
        </w:rPr>
        <w:t xml:space="preserve"> </w:t>
      </w:r>
      <w:r w:rsidRPr="00456267">
        <w:rPr>
          <w:lang w:eastAsia="bg-BG"/>
        </w:rPr>
        <w:t>% в края на септември при 3</w:t>
      </w:r>
      <w:r w:rsidR="00227614">
        <w:rPr>
          <w:lang w:eastAsia="bg-BG"/>
        </w:rPr>
        <w:t xml:space="preserve"> </w:t>
      </w:r>
      <w:r w:rsidRPr="00456267">
        <w:rPr>
          <w:lang w:eastAsia="bg-BG"/>
        </w:rPr>
        <w:t>% в края на 2020</w:t>
      </w:r>
      <w:r>
        <w:rPr>
          <w:lang w:eastAsia="bg-BG"/>
        </w:rPr>
        <w:t> </w:t>
      </w:r>
      <w:r w:rsidRPr="00456267">
        <w:rPr>
          <w:lang w:eastAsia="bg-BG"/>
        </w:rPr>
        <w:t>г.), като нарастването им остана потиснато поради бавното възстановяване на частните инвестиции.</w:t>
      </w:r>
    </w:p>
    <w:p w14:paraId="1CBCA5B3" w14:textId="77AF1A70" w:rsidR="00CA6464" w:rsidRPr="00900A38" w:rsidRDefault="00CA6464" w:rsidP="00A62647">
      <w:pPr>
        <w:spacing w:before="240"/>
        <w:jc w:val="both"/>
        <w:rPr>
          <w:b/>
          <w:color w:val="000000" w:themeColor="text1"/>
          <w:u w:val="single"/>
        </w:rPr>
      </w:pPr>
      <w:r>
        <w:rPr>
          <w:b/>
          <w:color w:val="000000" w:themeColor="text1"/>
          <w:u w:val="single"/>
        </w:rPr>
        <w:t xml:space="preserve">Основни </w:t>
      </w:r>
      <w:r w:rsidRPr="00B83D77">
        <w:rPr>
          <w:b/>
          <w:color w:val="000000" w:themeColor="text1"/>
          <w:u w:val="single"/>
        </w:rPr>
        <w:t>акценти на база на наблюдението</w:t>
      </w:r>
      <w:r>
        <w:rPr>
          <w:b/>
          <w:color w:val="000000" w:themeColor="text1"/>
          <w:u w:val="single"/>
        </w:rPr>
        <w:t xml:space="preserve"> на текущото изпълнение на КФП към</w:t>
      </w:r>
      <w:r w:rsidRPr="00900A38">
        <w:rPr>
          <w:b/>
          <w:color w:val="000000" w:themeColor="text1"/>
          <w:u w:val="single"/>
        </w:rPr>
        <w:t xml:space="preserve"> деветмесечието на 2021 г.</w:t>
      </w:r>
    </w:p>
    <w:p w14:paraId="0C2D97CD" w14:textId="77777777" w:rsidR="00CA6464" w:rsidRPr="00900A38" w:rsidRDefault="00CA6464" w:rsidP="00CA6464">
      <w:pPr>
        <w:jc w:val="both"/>
        <w:rPr>
          <w:b/>
          <w:color w:val="000000" w:themeColor="text1"/>
          <w:sz w:val="8"/>
        </w:rPr>
      </w:pPr>
    </w:p>
    <w:p w14:paraId="4C2549CC" w14:textId="77777777" w:rsidR="00CA6464" w:rsidRPr="0096547F" w:rsidRDefault="00CA6464" w:rsidP="00A55789">
      <w:pPr>
        <w:spacing w:before="120" w:after="120"/>
        <w:jc w:val="both"/>
        <w:rPr>
          <w:b/>
          <w:i/>
          <w:color w:val="000000" w:themeColor="text1"/>
        </w:rPr>
      </w:pPr>
      <w:r w:rsidRPr="0096547F">
        <w:rPr>
          <w:b/>
          <w:i/>
          <w:color w:val="000000" w:themeColor="text1"/>
        </w:rPr>
        <w:t>Фискални развития</w:t>
      </w:r>
    </w:p>
    <w:p w14:paraId="4D8CE509" w14:textId="398B3FC9" w:rsidR="00CA6464" w:rsidRPr="00283CC7" w:rsidRDefault="00CA6464" w:rsidP="00CA6464">
      <w:pPr>
        <w:spacing w:after="120"/>
        <w:jc w:val="both"/>
        <w:rPr>
          <w:color w:val="000000" w:themeColor="text1"/>
        </w:rPr>
      </w:pPr>
      <w:r w:rsidRPr="00283CC7">
        <w:rPr>
          <w:color w:val="000000" w:themeColor="text1"/>
        </w:rPr>
        <w:t xml:space="preserve">Изминалите месеци на 2021 г. преминаха под знака на няколко последователни вълни на пандемията от </w:t>
      </w:r>
      <w:r w:rsidRPr="00283CC7">
        <w:rPr>
          <w:color w:val="000000" w:themeColor="text1"/>
          <w:lang w:val="en-US"/>
        </w:rPr>
        <w:t>COVID-19</w:t>
      </w:r>
      <w:r w:rsidRPr="00283CC7">
        <w:rPr>
          <w:color w:val="000000" w:themeColor="text1"/>
        </w:rPr>
        <w:t xml:space="preserve"> в България и политическа криза, довела до невъзможност за сформиране на управленско мнозинство в два поредни мандата на Народното събрание. От друга ст</w:t>
      </w:r>
      <w:r w:rsidR="001A6F14">
        <w:rPr>
          <w:color w:val="000000" w:themeColor="text1"/>
        </w:rPr>
        <w:t>р</w:t>
      </w:r>
      <w:r w:rsidRPr="00283CC7">
        <w:rPr>
          <w:color w:val="000000" w:themeColor="text1"/>
        </w:rPr>
        <w:t>ана</w:t>
      </w:r>
      <w:r w:rsidR="001A6F14">
        <w:rPr>
          <w:color w:val="000000" w:themeColor="text1"/>
        </w:rPr>
        <w:t>,</w:t>
      </w:r>
      <w:r w:rsidRPr="00283CC7">
        <w:rPr>
          <w:color w:val="000000" w:themeColor="text1"/>
        </w:rPr>
        <w:t xml:space="preserve"> през второто и третото тримесечие се наблюдаваше по-интензивно от прогнозираното икономическо възстановява</w:t>
      </w:r>
      <w:r w:rsidR="00742E9E">
        <w:rPr>
          <w:color w:val="000000" w:themeColor="text1"/>
        </w:rPr>
        <w:t>н</w:t>
      </w:r>
      <w:r w:rsidRPr="00283CC7">
        <w:rPr>
          <w:color w:val="000000" w:themeColor="text1"/>
        </w:rPr>
        <w:t>е, движено както от вътрешното търсене, така и от възстановяването при повечето търговски партньори. Интензивното икономическо възстановяване и рязкото пока</w:t>
      </w:r>
      <w:r w:rsidR="00742E9E">
        <w:rPr>
          <w:color w:val="000000" w:themeColor="text1"/>
        </w:rPr>
        <w:t>ч</w:t>
      </w:r>
      <w:r w:rsidRPr="00283CC7">
        <w:rPr>
          <w:color w:val="000000" w:themeColor="text1"/>
        </w:rPr>
        <w:t xml:space="preserve">ване на търсенето на суровини и енергийни носители в глобален мащаб доведоха до безпрецедентен ръст на цените при много от енергоносителите и суровините, което от своя страна засили инфлационния натиск върху потребителските цени. Тази тенденция се прояви силно през третото тримесечие и се очаква да продължи през последното тримесечие на 2021 г.  </w:t>
      </w:r>
    </w:p>
    <w:p w14:paraId="313B6083" w14:textId="46202C87" w:rsidR="00CA6464" w:rsidRPr="00856D41" w:rsidRDefault="00CA6464" w:rsidP="00CA6464">
      <w:pPr>
        <w:spacing w:after="120"/>
        <w:jc w:val="both"/>
        <w:rPr>
          <w:color w:val="000000" w:themeColor="text1"/>
        </w:rPr>
      </w:pPr>
      <w:r w:rsidRPr="00856D41">
        <w:rPr>
          <w:color w:val="000000" w:themeColor="text1"/>
        </w:rPr>
        <w:t>От фискална гледна точка тези фактори оказаха разнопосочно влияние – икономическото възстановяване, съответно п</w:t>
      </w:r>
      <w:r>
        <w:rPr>
          <w:color w:val="000000" w:themeColor="text1"/>
        </w:rPr>
        <w:t>одобрението</w:t>
      </w:r>
      <w:r w:rsidRPr="00856D41">
        <w:rPr>
          <w:color w:val="000000" w:themeColor="text1"/>
        </w:rPr>
        <w:t xml:space="preserve"> на пазара на труда, както и ръста в цените на суровините и енергоносителите оказват положително влияние върху приходите, основно по линия на косвените данъци и постъпленията от осигурителни вноски, докато необходимостта от продължаване на мерките за намаляване на негативните ефекти от пандемията върху бизнеса, социална подкрепа </w:t>
      </w:r>
      <w:r>
        <w:rPr>
          <w:color w:val="000000" w:themeColor="text1"/>
        </w:rPr>
        <w:t xml:space="preserve">на уязвимите групи от населението </w:t>
      </w:r>
      <w:r w:rsidRPr="00856D41">
        <w:rPr>
          <w:color w:val="000000" w:themeColor="text1"/>
        </w:rPr>
        <w:t xml:space="preserve">и допълнителни ресурси за заетите на първа линия в борбата с пандемията оказа сериозен натиск върху разходите. Допусканията при изготвянето на ЗДБРБ за 2021 г. бяха за ограничена и с кратък хоризонт необходимост от прилагане на действащите от предходната година социално-икономически мерки за преодоляване на негативните последствия от пандемията. </w:t>
      </w:r>
      <w:r w:rsidR="004F6568" w:rsidRPr="004F6568">
        <w:rPr>
          <w:color w:val="000000" w:themeColor="text1"/>
        </w:rPr>
        <w:t xml:space="preserve">Изчерпването на основната част от заложените ресурси в програмата още до полугодието и ограничените възможности за обезпечаване на необходимите средства чрез преструктуриране и оптимизиране на разходите очертаха риск при евентуална нова вълна на пандемията през </w:t>
      </w:r>
      <w:r w:rsidR="004F6568" w:rsidRPr="004F6568">
        <w:rPr>
          <w:color w:val="000000" w:themeColor="text1"/>
        </w:rPr>
        <w:lastRenderedPageBreak/>
        <w:t>есента на 2021 г. бюджетът да е в обективна невъзможност да осигури необходимите средства за реализирането както на нови, така и на съществуващите към момента антикризисни мерки</w:t>
      </w:r>
      <w:r w:rsidRPr="00856D41">
        <w:rPr>
          <w:color w:val="000000" w:themeColor="text1"/>
        </w:rPr>
        <w:t>.</w:t>
      </w:r>
    </w:p>
    <w:p w14:paraId="4DF25E0D" w14:textId="0B01798B" w:rsidR="00CA6464" w:rsidRPr="000829A6" w:rsidRDefault="00CA6464" w:rsidP="00CA6464">
      <w:pPr>
        <w:spacing w:after="120"/>
        <w:jc w:val="both"/>
        <w:rPr>
          <w:color w:val="000000" w:themeColor="text1"/>
        </w:rPr>
      </w:pPr>
      <w:r w:rsidRPr="000829A6">
        <w:rPr>
          <w:color w:val="000000" w:themeColor="text1"/>
        </w:rPr>
        <w:t xml:space="preserve">Първите три месеца на годината се характеризираха с продължение на започналото плавно възстановяване при основните данъци и осигурителни вноски </w:t>
      </w:r>
      <w:r>
        <w:rPr>
          <w:color w:val="000000" w:themeColor="text1"/>
        </w:rPr>
        <w:t>в края на</w:t>
      </w:r>
      <w:r w:rsidRPr="000829A6">
        <w:rPr>
          <w:color w:val="000000" w:themeColor="text1"/>
        </w:rPr>
        <w:t xml:space="preserve"> 2020 г. Въпреки новата вълна на пандемията през </w:t>
      </w:r>
      <w:r>
        <w:rPr>
          <w:color w:val="000000" w:themeColor="text1"/>
        </w:rPr>
        <w:t>пролетта,</w:t>
      </w:r>
      <w:r w:rsidRPr="000829A6">
        <w:rPr>
          <w:color w:val="000000" w:themeColor="text1"/>
        </w:rPr>
        <w:t xml:space="preserve"> приходите не бяха силно засегнати и не бе отчетен значителен ръст в броя на безработните, което индикира, че бизнесът успешно се адаптира към променената среда, поради което не последва и ново осезаемо забавяне на икономиката. През второто и третото тримесечие на 2021 г. възстановяването се ускори, като приходите достигнаха двуцифрени растежи спрямо същия период на предходната година, когато негативните ефекти от наложените противоепидемични ограничения бяха силно изразени. Положителното развитие на параметрите по изпълнението на приходите позволи формираният дефицит по КФП към края на първото тримесечие да бъде компенсиран, като салдото по КФП към края на полугодието бе близко до балансирано, а през третото тримесечие приходите превишиха разходите и към края на септември текущо се отчита излишък в размер на 1,1 млрд. лв. (0,</w:t>
      </w:r>
      <w:r>
        <w:rPr>
          <w:color w:val="000000" w:themeColor="text1"/>
          <w:lang w:val="en-US"/>
        </w:rPr>
        <w:t>8</w:t>
      </w:r>
      <w:r w:rsidR="006051A0">
        <w:rPr>
          <w:color w:val="000000" w:themeColor="text1"/>
        </w:rPr>
        <w:t xml:space="preserve"> </w:t>
      </w:r>
      <w:r w:rsidRPr="000829A6">
        <w:rPr>
          <w:color w:val="000000" w:themeColor="text1"/>
        </w:rPr>
        <w:t>% от прогнозния БВП).</w:t>
      </w:r>
    </w:p>
    <w:p w14:paraId="660EF81B" w14:textId="77777777" w:rsidR="00CA6464" w:rsidRDefault="00CA6464" w:rsidP="00CA6464">
      <w:pPr>
        <w:autoSpaceDE w:val="0"/>
        <w:autoSpaceDN w:val="0"/>
        <w:adjustRightInd w:val="0"/>
        <w:spacing w:before="120" w:after="120"/>
        <w:jc w:val="both"/>
        <w:rPr>
          <w:color w:val="000000" w:themeColor="text1"/>
        </w:rPr>
      </w:pPr>
      <w:r w:rsidRPr="00313D58">
        <w:rPr>
          <w:color w:val="000000" w:themeColor="text1"/>
        </w:rPr>
        <w:t xml:space="preserve">От страна на разходите още към полугодието на 2021 г. бе налице сериозен натиск за обезпечаване на финансиране за действащите социално-икономически мерки за борба с пандемията и продължаването на тяхното действие до края на годината. Планираните с първоначалните разчети към ЗДБРБ за 2021 г. в края на миналата година средства за реализиране на такива мерки бяха недостатъчни, като заложените средства за някои от тях бяха изразходвани още към края на първото тримесечие. Това наложи, от една страна, да се търсят възможности за пренасочване на разходи от други политики за финансово обезпечаване на приоритетни разходи, свързани с мерките за борба с </w:t>
      </w:r>
      <w:r w:rsidRPr="00313D58">
        <w:rPr>
          <w:color w:val="000000" w:themeColor="text1"/>
          <w:lang w:val="en-US"/>
        </w:rPr>
        <w:t>COVID</w:t>
      </w:r>
      <w:r w:rsidRPr="00313D58">
        <w:rPr>
          <w:color w:val="000000" w:themeColor="text1"/>
        </w:rPr>
        <w:t xml:space="preserve">-19 и намаляване на негативните ефекти от пандемията, и от друга – наложи активирането на ограничителя по чл. 106 от ЗДБРБ за 2021 г., с което всички бюджети, включени в обхвата на ограничителя бяха допълнително свити. </w:t>
      </w:r>
    </w:p>
    <w:p w14:paraId="6751066A" w14:textId="3563B469" w:rsidR="00CA6464" w:rsidRDefault="003B353C" w:rsidP="00CA6464">
      <w:pPr>
        <w:autoSpaceDE w:val="0"/>
        <w:autoSpaceDN w:val="0"/>
        <w:adjustRightInd w:val="0"/>
        <w:spacing w:before="120" w:after="120"/>
        <w:jc w:val="both"/>
        <w:rPr>
          <w:bCs/>
          <w:color w:val="000000" w:themeColor="text1"/>
        </w:rPr>
      </w:pPr>
      <w:r w:rsidRPr="003B353C">
        <w:rPr>
          <w:color w:val="000000" w:themeColor="text1"/>
        </w:rPr>
        <w:t xml:space="preserve">Този натиск наложи служебното правителство да изготви и внесе за разглеждане в Народното събрание </w:t>
      </w:r>
      <w:r w:rsidR="00FB351A" w:rsidRPr="00FB351A">
        <w:rPr>
          <w:color w:val="000000" w:themeColor="text1"/>
        </w:rPr>
        <w:t xml:space="preserve">в началото на месец септември </w:t>
      </w:r>
      <w:r w:rsidRPr="003B353C">
        <w:rPr>
          <w:color w:val="000000" w:themeColor="text1"/>
        </w:rPr>
        <w:t xml:space="preserve">2021 г. законопроект за изменение и допълнение на ЗДБРБ за 2021 г., като в него наред с допълнителните средства за адресиране на рисковете, свързани с очакваната нова вълна на пандемията през есента, бяха предложени и мерки в пенсионната система и мерки за социална защита, с които да се подпомогнат уязвимите групи от населението. </w:t>
      </w:r>
      <w:r w:rsidR="00CA6464" w:rsidRPr="0000443B">
        <w:rPr>
          <w:bCs/>
          <w:color w:val="000000" w:themeColor="text1"/>
        </w:rPr>
        <w:t>С внесения за обсъждане в Народното събрание законопроект бе търсен баланс между необходимостта от осигуряване на допълнителни средства за приоритетни и неотложни политики до края на годината, при вече изчерпани източници за тяхното обезпечаване в рамките на разчетите по ЗДБРБ за 2021 г., и възможностите на приходната част на бюджета да осигури тяхното финансиране. Предложението за промяна на бюджетната рамка отразяв</w:t>
      </w:r>
      <w:r w:rsidR="00174708">
        <w:rPr>
          <w:bCs/>
          <w:color w:val="000000" w:themeColor="text1"/>
        </w:rPr>
        <w:t>аше</w:t>
      </w:r>
      <w:r w:rsidR="00CA6464" w:rsidRPr="0000443B">
        <w:rPr>
          <w:bCs/>
          <w:color w:val="000000" w:themeColor="text1"/>
        </w:rPr>
        <w:t xml:space="preserve"> актуализираните по-благоприятни от първоначално заложените разчети по приходите и цели обезпечаване на необходимия финансов ресурс за адресиране на рисковете от нова вълна на пандемията през есента, обезпечаване на средства за нормалното функциониране на някои бюджетни системи, в т.ч. Министерството на здравеопазването, Министерството на труда и социалната политика, Министерството на вътрешните работи и други, както и допълнителни ресурси във връзка с предложените промени по бюджета на ДОО и бюджета на НЗОК. </w:t>
      </w:r>
      <w:r w:rsidR="00CA6464">
        <w:rPr>
          <w:bCs/>
          <w:color w:val="000000" w:themeColor="text1"/>
        </w:rPr>
        <w:t>В хода на процедурата по гласуване на законопроекта между първо и второ четене в Народното събрание бяха внесени редица предложения от народни представители за промени и допълнения на текстове, нови мерки и съответно промяна в разчетите по държавния бюджет и бюджетите на НЗОК и ДОО за 2021 г., като една от важните промени бе отлагането на влизането в действие на промените в КСО по отношение на променената формула за изчисляване на пенсиите за края на месец декември и изплащането на добавки към пенсиите на всички пенсионери за месеците октомври, ноември и декември в размер на 120 лева. Одобрената актуализирана рамка по ЗИД на ЗДБРБ за 2021</w:t>
      </w:r>
      <w:r w:rsidR="00CA6464">
        <w:rPr>
          <w:bCs/>
          <w:color w:val="000000" w:themeColor="text1"/>
          <w:lang w:val="en-US"/>
        </w:rPr>
        <w:t> </w:t>
      </w:r>
      <w:r w:rsidR="00CA6464">
        <w:rPr>
          <w:bCs/>
          <w:color w:val="000000" w:themeColor="text1"/>
        </w:rPr>
        <w:t>г. бе публикувана на 16 септември 2021 г. в Държавен вестник (ДВ, бр. 77/16.09.2021 г.), като заложената фискална цел по отношение на дефицита по КФП за годината в актуализираните разчети отчита минимално подобрение до 4,6 млрд. лв. (3,6 % от БВП).</w:t>
      </w:r>
    </w:p>
    <w:p w14:paraId="37B8A5BC" w14:textId="1E8A3A49" w:rsidR="00D40BD2" w:rsidRDefault="00D40BD2" w:rsidP="00CA6464">
      <w:pPr>
        <w:autoSpaceDE w:val="0"/>
        <w:autoSpaceDN w:val="0"/>
        <w:adjustRightInd w:val="0"/>
        <w:spacing w:before="120" w:after="120"/>
        <w:jc w:val="both"/>
        <w:rPr>
          <w:bCs/>
          <w:color w:val="000000" w:themeColor="text1"/>
        </w:rPr>
      </w:pPr>
    </w:p>
    <w:p w14:paraId="37EAC37C" w14:textId="77777777" w:rsidR="00D40BD2" w:rsidRPr="001C68B7" w:rsidRDefault="00D40BD2" w:rsidP="00CA6464">
      <w:pPr>
        <w:autoSpaceDE w:val="0"/>
        <w:autoSpaceDN w:val="0"/>
        <w:adjustRightInd w:val="0"/>
        <w:spacing w:before="120" w:after="120"/>
        <w:jc w:val="both"/>
        <w:rPr>
          <w:bCs/>
          <w:color w:val="000000" w:themeColor="text1"/>
        </w:rPr>
      </w:pPr>
    </w:p>
    <w:p w14:paraId="2A6FEBD9" w14:textId="77777777" w:rsidR="00CA6464" w:rsidRPr="0096547F" w:rsidRDefault="00CA6464" w:rsidP="001438EA">
      <w:pPr>
        <w:spacing w:before="120" w:after="120"/>
        <w:jc w:val="both"/>
        <w:rPr>
          <w:b/>
          <w:i/>
          <w:color w:val="000000" w:themeColor="text1"/>
        </w:rPr>
      </w:pPr>
      <w:r w:rsidRPr="0096547F">
        <w:rPr>
          <w:b/>
          <w:i/>
          <w:color w:val="000000" w:themeColor="text1"/>
        </w:rPr>
        <w:t>Основни параметри по КФП към деветмесечието на 2021 г.</w:t>
      </w:r>
    </w:p>
    <w:p w14:paraId="22B7A76B" w14:textId="77777777" w:rsidR="00CA6464" w:rsidRDefault="00CA6464" w:rsidP="00CA6464">
      <w:pPr>
        <w:spacing w:after="120"/>
        <w:jc w:val="both"/>
        <w:rPr>
          <w:color w:val="000000" w:themeColor="text1"/>
        </w:rPr>
      </w:pPr>
      <w:r w:rsidRPr="003C12C3">
        <w:rPr>
          <w:color w:val="000000" w:themeColor="text1"/>
        </w:rPr>
        <w:t>Параметрите по изпълнението на актуализираната годишна програма по приходите към деветмесечието на 2021</w:t>
      </w:r>
      <w:r w:rsidRPr="003C12C3">
        <w:rPr>
          <w:color w:val="000000" w:themeColor="text1"/>
          <w:lang w:val="en-US"/>
        </w:rPr>
        <w:t> </w:t>
      </w:r>
      <w:r w:rsidRPr="003C12C3">
        <w:rPr>
          <w:color w:val="000000" w:themeColor="text1"/>
        </w:rPr>
        <w:t xml:space="preserve">г. очертават изпълнение на заложените годишни цели при основните данъци, като напрежение се очертава единствено по отношение на изпълнението на заложените параметри </w:t>
      </w:r>
      <w:r>
        <w:rPr>
          <w:color w:val="000000" w:themeColor="text1"/>
        </w:rPr>
        <w:t>за приходите от</w:t>
      </w:r>
      <w:r w:rsidRPr="003C12C3">
        <w:rPr>
          <w:color w:val="000000" w:themeColor="text1"/>
        </w:rPr>
        <w:t xml:space="preserve"> осигурителни вноски за ДОО. С направените в Народното събрание </w:t>
      </w:r>
      <w:r>
        <w:rPr>
          <w:color w:val="000000" w:themeColor="text1"/>
        </w:rPr>
        <w:t xml:space="preserve">по предложение на народни представители </w:t>
      </w:r>
      <w:r w:rsidRPr="003C12C3">
        <w:rPr>
          <w:color w:val="000000" w:themeColor="text1"/>
        </w:rPr>
        <w:t>промени по бюджета на ДОО бяха заложени изключително амбициозни разчети по приходите, които според прогнозите към момента няма да бъдат изпълнени в пълен размер. Независимо от това се очаква доброто изпълнение при данъчните приходи да компенсира в голяма степен изоставането при осигурителните вноски, с което разчетите по приходите по националния бюджет в годишен план да бъдат изпълнени.</w:t>
      </w:r>
      <w:r>
        <w:rPr>
          <w:color w:val="000000" w:themeColor="text1"/>
        </w:rPr>
        <w:t xml:space="preserve"> </w:t>
      </w:r>
    </w:p>
    <w:p w14:paraId="2EC39B65" w14:textId="275E1D6B" w:rsidR="00CA6464" w:rsidRPr="00D74260" w:rsidRDefault="00CA6464" w:rsidP="00CA6464">
      <w:pPr>
        <w:spacing w:after="120"/>
        <w:jc w:val="both"/>
        <w:rPr>
          <w:color w:val="000000" w:themeColor="text1"/>
        </w:rPr>
      </w:pPr>
      <w:r w:rsidRPr="00D74260">
        <w:rPr>
          <w:color w:val="000000" w:themeColor="text1"/>
        </w:rPr>
        <w:t>Изпълнението на приходите, помощите и даренията по КФП към деветмесечието представлява 74,8 на сто от годишния разчет. Изпълнението на данъчните и осигурителните приходи за периода спрямо разчетите за го</w:t>
      </w:r>
      <w:r w:rsidR="004267F4">
        <w:rPr>
          <w:color w:val="000000" w:themeColor="text1"/>
        </w:rPr>
        <w:t>дината представлява 75,1 на сто</w:t>
      </w:r>
      <w:r w:rsidRPr="00D74260">
        <w:rPr>
          <w:color w:val="000000" w:themeColor="text1"/>
        </w:rPr>
        <w:t xml:space="preserve">, като за сравнение изпълнението на годишния разчет за данъчните и осигурителните приходи за деветмесечието на 2020 г. бе 74,5 на сто. </w:t>
      </w:r>
      <w:r>
        <w:rPr>
          <w:color w:val="000000" w:themeColor="text1"/>
        </w:rPr>
        <w:t xml:space="preserve">Съпоставено с деветмесечието на предходната година приходите нарастват номинално с 5,4 млрд. лв. (16,6 на сто). </w:t>
      </w:r>
      <w:r w:rsidRPr="00D74260">
        <w:rPr>
          <w:color w:val="000000" w:themeColor="text1"/>
        </w:rPr>
        <w:t xml:space="preserve">Причините за това са, от една страна, подобрението при голяма част от макроикономическите индикатори спрямо прогнозите от есента на 2020 г., което се потвърждава и от актуализираната макроикономическа прогноза на Министерството на финансите, и от друга - усилията на приходните администрации за повишаване на събираемостта на приходите и борба с данъчните престъпления, контрабандата, недекларираните доходи и други. </w:t>
      </w:r>
      <w:r>
        <w:rPr>
          <w:color w:val="000000" w:themeColor="text1"/>
        </w:rPr>
        <w:t>Положителен ефект върху приходите оказват</w:t>
      </w:r>
      <w:r w:rsidRPr="00D74260">
        <w:rPr>
          <w:color w:val="000000" w:themeColor="text1"/>
        </w:rPr>
        <w:t xml:space="preserve"> вътрешното потребление, вноса, цените на енергоносителите, ръста на компенсациите на наетите</w:t>
      </w:r>
      <w:r>
        <w:rPr>
          <w:color w:val="000000" w:themeColor="text1"/>
        </w:rPr>
        <w:t>, финансовите резултати на фирмите</w:t>
      </w:r>
      <w:r w:rsidRPr="00D74260">
        <w:rPr>
          <w:color w:val="000000" w:themeColor="text1"/>
        </w:rPr>
        <w:t xml:space="preserve"> и други ключови индикатори. Тук е важно да се отбележат и усилията на приходните администрации за повишаване събираемостта на приходите. Независимо от извънредните обстоятелства, продължават да се прилагат активните мерки за засилен 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 акцизни стоки, борбата с контрабандния внос, както и противодействието на опитите за данъчни нарушения и измами. Системното прилагане на тези мерки вече оказва дисциплиниращ ефект и натиск върху сивата икономика.</w:t>
      </w:r>
    </w:p>
    <w:p w14:paraId="3E3D36A8" w14:textId="77777777" w:rsidR="00484529" w:rsidRPr="00484529" w:rsidRDefault="00484529" w:rsidP="00484529">
      <w:pPr>
        <w:spacing w:after="120"/>
        <w:jc w:val="both"/>
        <w:rPr>
          <w:color w:val="000000" w:themeColor="text1"/>
        </w:rPr>
      </w:pPr>
      <w:r w:rsidRPr="00484529">
        <w:rPr>
          <w:color w:val="000000" w:themeColor="text1"/>
        </w:rPr>
        <w:t>Разходите по КФП (вкл. вноската на Република България в бюджета на ЕС) към септември 2021 г. представляват 66,6 % от актуализираните годишни разчети. Значителният ръст на разходите към септември 2021 г. спрямо същия период на предходната година е свързан, от една страна, с по-ниската база през 2020 г., когато през същия период има отчетени значително по-малки по размер разходи за борба с пандемията от COVID-19, докато за деветмесечието на 2021 г. тези разходи са съществени, и от друга страна – на политиката по доходите, политиките в социалната сфера и по-високите разходи за администрацията, заложени в ЗДБРБ за 2021 година.</w:t>
      </w:r>
    </w:p>
    <w:p w14:paraId="1998E10C" w14:textId="1FC3BD19" w:rsidR="00726240" w:rsidRDefault="00726240" w:rsidP="00484529">
      <w:pPr>
        <w:spacing w:after="120"/>
        <w:jc w:val="both"/>
        <w:rPr>
          <w:color w:val="000000" w:themeColor="text1"/>
        </w:rPr>
      </w:pPr>
      <w:r w:rsidRPr="008B2BE9">
        <w:rPr>
          <w:color w:val="000000" w:themeColor="text1"/>
        </w:rPr>
        <w:t>Очаква се през последното тримесечие на годината разходите да нараснат значително, като освен традиционно по-високите капиталови разходи и тези, свързани със зимния период, ще бъде финансирана и основната част от допълнителните разходи за борба с пандемията, социалната подкрепа, защита от миграционен натиск по границите, подпомагане на бизнеса и други приоритетни мерки за реализиране до края на годината, които бяха одобрени от Народното събрание в средата на месец септември с приетия Закон за изменение и допълнение на ЗДБРБ за 2021 г.</w:t>
      </w:r>
    </w:p>
    <w:p w14:paraId="30C22A9C" w14:textId="1F624FB7" w:rsidR="00484529" w:rsidRDefault="00484529" w:rsidP="00484529">
      <w:pPr>
        <w:spacing w:after="120"/>
        <w:jc w:val="both"/>
        <w:rPr>
          <w:color w:val="000000" w:themeColor="text1"/>
        </w:rPr>
      </w:pPr>
      <w:r w:rsidRPr="00484529">
        <w:rPr>
          <w:color w:val="000000" w:themeColor="text1"/>
        </w:rPr>
        <w:t xml:space="preserve">Съпоставени със същия период на предходната година, разходите и вноската в общия бюджет на ЕС нарастват номинално с 5,2 млрд. лв. (16,5 на сто), което се дължи основно на по-високия размер на разходите по националния бюджет, като ръст се отчита и при разходите по </w:t>
      </w:r>
      <w:r w:rsidRPr="00484529">
        <w:rPr>
          <w:color w:val="000000" w:themeColor="text1"/>
        </w:rPr>
        <w:lastRenderedPageBreak/>
        <w:t>сметките за средства от Европейския съюз. Разгледани по икономически елементи най-голям принос за нарастването на разходите по КФП имат социалните разходи (вкл. разходите за пенсии), които нарастват с 1,8 млрд. лв., следвани от разходите за субсидии (ръст от малко над 1,2 млрд. лв.), здравноосигурителните плащания (ръст от малко над 0,5 млрд. лв.). За нарастването на разходите в тези икономически елементи най-значителен принос имат мерките за борба с пандемията. Освен в тези направления ръст на разходите се отчита и при разходите за персонал (ръст от близо 1,</w:t>
      </w:r>
      <w:r w:rsidR="002A7DAC">
        <w:rPr>
          <w:color w:val="000000" w:themeColor="text1"/>
          <w:lang w:val="en-US"/>
        </w:rPr>
        <w:t>4</w:t>
      </w:r>
      <w:r w:rsidRPr="00484529">
        <w:rPr>
          <w:color w:val="000000" w:themeColor="text1"/>
        </w:rPr>
        <w:t xml:space="preserve"> млрд. лв.), основно поради увеличението на възнагражденията в бюджетния сектор и в сферата на образованието от началото на 2021 г., както и при разходите за издръжка, основно поради по-високи разходи за текущ ремонт и поддръжка на републиканската пътна мрежа и други.</w:t>
      </w:r>
    </w:p>
    <w:p w14:paraId="09053E08" w14:textId="3A446FFD" w:rsidR="00CA6464" w:rsidRPr="006605D0" w:rsidRDefault="00CA6464" w:rsidP="00484529">
      <w:pPr>
        <w:spacing w:after="120"/>
        <w:jc w:val="both"/>
        <w:rPr>
          <w:color w:val="000000" w:themeColor="text1"/>
        </w:rPr>
      </w:pPr>
      <w:r w:rsidRPr="006605D0">
        <w:rPr>
          <w:color w:val="000000" w:themeColor="text1"/>
        </w:rPr>
        <w:t xml:space="preserve">Продължаващото възстановяване при основните данъци в голяма степен компенсира негативните ефекти от натиска от страна на разходите към деветмесечието, което позволи да бъде формирано текущо превишение на приходите над разходите в размер на 1,1 млрд. лв., </w:t>
      </w:r>
      <w:r w:rsidR="00B620CE" w:rsidRPr="00B620CE">
        <w:rPr>
          <w:bCs/>
          <w:color w:val="000000" w:themeColor="text1"/>
        </w:rPr>
        <w:t xml:space="preserve">формирано </w:t>
      </w:r>
      <w:r w:rsidRPr="006605D0">
        <w:rPr>
          <w:bCs/>
          <w:color w:val="000000" w:themeColor="text1"/>
        </w:rPr>
        <w:t xml:space="preserve">от </w:t>
      </w:r>
      <w:r w:rsidRPr="006605D0">
        <w:rPr>
          <w:color w:val="000000" w:themeColor="text1"/>
        </w:rPr>
        <w:t>превишение на приходите над разходите по националния бюджет в размер на 1,</w:t>
      </w:r>
      <w:r w:rsidR="00DD3C87">
        <w:rPr>
          <w:color w:val="000000" w:themeColor="text1"/>
          <w:lang w:val="en-US"/>
        </w:rPr>
        <w:t>2</w:t>
      </w:r>
      <w:r w:rsidRPr="006605D0">
        <w:rPr>
          <w:color w:val="000000" w:themeColor="text1"/>
        </w:rPr>
        <w:t> млрд. лв. и дефицит по европейските средства в размер на 0,2 млрд. лева.</w:t>
      </w:r>
    </w:p>
    <w:p w14:paraId="64DE3E99" w14:textId="77777777" w:rsidR="009C6F72" w:rsidRPr="00E06588" w:rsidRDefault="009C6F72" w:rsidP="008F4019">
      <w:pPr>
        <w:pStyle w:val="Heading3"/>
        <w:spacing w:after="0"/>
        <w:jc w:val="both"/>
        <w:rPr>
          <w:rFonts w:ascii="Times New Roman" w:hAnsi="Times New Roman"/>
          <w:sz w:val="24"/>
          <w:u w:val="single"/>
        </w:rPr>
      </w:pPr>
      <w:bookmarkStart w:id="1" w:name="_Toc76656071"/>
      <w:r w:rsidRPr="00E06588">
        <w:rPr>
          <w:rFonts w:ascii="Times New Roman" w:hAnsi="Times New Roman"/>
          <w:sz w:val="24"/>
          <w:u w:val="single"/>
        </w:rPr>
        <w:t>Информация за ефектите в приходите и разходите от</w:t>
      </w:r>
      <w:bookmarkEnd w:id="1"/>
      <w:r w:rsidRPr="00E06588">
        <w:rPr>
          <w:rFonts w:ascii="Times New Roman" w:hAnsi="Times New Roman"/>
          <w:sz w:val="24"/>
          <w:u w:val="single"/>
        </w:rPr>
        <w:t xml:space="preserve"> мерките за борба с COVID-19 и преодоляване на социално-икономическите последствия от пандемията</w:t>
      </w:r>
    </w:p>
    <w:p w14:paraId="3D145178" w14:textId="77777777" w:rsidR="009C6F72" w:rsidRPr="00C85F7F" w:rsidRDefault="009C6F72" w:rsidP="009C6F72">
      <w:pPr>
        <w:rPr>
          <w:color w:val="548DD4" w:themeColor="text2" w:themeTint="99"/>
        </w:rPr>
      </w:pPr>
    </w:p>
    <w:p w14:paraId="4F8632EC" w14:textId="77777777" w:rsidR="009C6F72" w:rsidRPr="00E97D00" w:rsidRDefault="009C6F72" w:rsidP="009C6F72">
      <w:pPr>
        <w:spacing w:after="120"/>
        <w:ind w:right="-43"/>
        <w:jc w:val="both"/>
        <w:rPr>
          <w:b/>
          <w:i/>
        </w:rPr>
      </w:pPr>
      <w:r w:rsidRPr="00E97D00">
        <w:rPr>
          <w:b/>
          <w:i/>
        </w:rPr>
        <w:t xml:space="preserve">Мерки в частта на приходите           </w:t>
      </w:r>
    </w:p>
    <w:p w14:paraId="0BCA1C78" w14:textId="4675118F" w:rsidR="0028509E" w:rsidRPr="00C85F7F" w:rsidRDefault="0028509E" w:rsidP="0028509E">
      <w:pPr>
        <w:spacing w:after="120"/>
        <w:ind w:right="-43"/>
        <w:jc w:val="both"/>
        <w:rPr>
          <w:color w:val="548DD4" w:themeColor="text2" w:themeTint="99"/>
        </w:rPr>
      </w:pPr>
      <w:r w:rsidRPr="00E97D00">
        <w:t xml:space="preserve">В условията на продължаващата извънредна епидемична обстановка във връзка с разпространението на COVID-19 през 2020 г., бяха приети допълнителни мерки, с действие през 2021 г., свързани с </w:t>
      </w:r>
      <w:r w:rsidRPr="00E97D00">
        <w:rPr>
          <w:b/>
        </w:rPr>
        <w:t>намаляване на ставката за ДДС на определени стоки и услуги</w:t>
      </w:r>
      <w:r w:rsidRPr="00E97D00">
        <w:t xml:space="preserve"> от 20  % на 9 % (за периода до 31.12.2021 г.), </w:t>
      </w:r>
      <w:r w:rsidRPr="00E97D00">
        <w:rPr>
          <w:b/>
        </w:rPr>
        <w:t>прилагане на освобождаване от облагане с мита и ДДС върху вноса на стоки от медицински характер</w:t>
      </w:r>
      <w:r w:rsidRPr="00E97D00">
        <w:t xml:space="preserve"> (за периода до 31.12.2021 г.) и </w:t>
      </w:r>
      <w:r w:rsidRPr="00E97D00">
        <w:rPr>
          <w:b/>
        </w:rPr>
        <w:t>увеличаване на размера на данъчните облекчения за деца за придобитите през 2021 г. доходи</w:t>
      </w:r>
      <w:r w:rsidRPr="00E97D00">
        <w:t xml:space="preserve">. </w:t>
      </w:r>
      <w:r w:rsidRPr="00CE59E6">
        <w:t xml:space="preserve">С промени в ЗДДС (обн. ДВ, бр. 107 от 18.12.2020 г.) се прие </w:t>
      </w:r>
      <w:r w:rsidRPr="00CE59E6">
        <w:rPr>
          <w:b/>
        </w:rPr>
        <w:t>облагане с нулева ставка на доставките/вътреобщностните придобивания на ваксини срещу COVID-19 и услугите, пряко свързани с тези ваксини, както и на медицински изделия за инвитро диагностика на COVID-19 и услугите, пряко свързани с тези изделия,</w:t>
      </w:r>
      <w:r w:rsidRPr="00CE59E6">
        <w:t xml:space="preserve"> с място на изпълнение на територията на страната. Облекченията са с временен характер и ще се </w:t>
      </w:r>
      <w:r w:rsidRPr="007C2BAA">
        <w:t xml:space="preserve">прилагат до 31.12.2022 година. По данни на приходните агенции ефектът от действието на мерките е </w:t>
      </w:r>
      <w:r w:rsidRPr="007C2BAA">
        <w:rPr>
          <w:b/>
        </w:rPr>
        <w:t>144,9</w:t>
      </w:r>
      <w:r w:rsidRPr="007C2BAA">
        <w:t xml:space="preserve"> </w:t>
      </w:r>
      <w:r w:rsidRPr="007C2BAA">
        <w:rPr>
          <w:b/>
        </w:rPr>
        <w:t>млн. лв</w:t>
      </w:r>
      <w:r w:rsidRPr="007C2BAA">
        <w:t>. по-малко данъчни приходи за първите шест месеца на 2021 година.</w:t>
      </w:r>
    </w:p>
    <w:p w14:paraId="26DCB4D2" w14:textId="77777777" w:rsidR="001D4260" w:rsidRPr="008E0419" w:rsidRDefault="001D4260" w:rsidP="001D4260">
      <w:pPr>
        <w:spacing w:before="240" w:after="120"/>
        <w:ind w:right="-45"/>
        <w:jc w:val="both"/>
        <w:rPr>
          <w:b/>
          <w:i/>
        </w:rPr>
      </w:pPr>
      <w:r w:rsidRPr="008E0419">
        <w:rPr>
          <w:b/>
          <w:i/>
        </w:rPr>
        <w:t>Мерки в частта на разходите</w:t>
      </w:r>
    </w:p>
    <w:p w14:paraId="7C11A544" w14:textId="77777777" w:rsidR="001D4260" w:rsidRPr="00C85F7F" w:rsidRDefault="001D4260" w:rsidP="001D4260">
      <w:pPr>
        <w:jc w:val="both"/>
        <w:rPr>
          <w:color w:val="548DD4" w:themeColor="text2" w:themeTint="99"/>
        </w:rPr>
      </w:pPr>
      <w:r w:rsidRPr="00985FB6">
        <w:t xml:space="preserve">Основен фокус на разходните политики за деветмесечието на 2021 г. бяха </w:t>
      </w:r>
      <w:r w:rsidRPr="00985FB6">
        <w:rPr>
          <w:b/>
        </w:rPr>
        <w:t xml:space="preserve">мерките за ограничаване на разпространението на COVID-19, подкрепа на здравната система и заетите на първа линия в борбата с пандемията, както и социално-икономическите мерки за намаляване на негативните последствия за най-засегнатите групи от </w:t>
      </w:r>
      <w:r w:rsidRPr="00AA5002">
        <w:rPr>
          <w:b/>
        </w:rPr>
        <w:t>населението и сектори на икономиката.</w:t>
      </w:r>
      <w:r w:rsidRPr="00AA5002">
        <w:t xml:space="preserve"> По данни от първостепенните разпоредители с бюджет разходите във връзка с мерките за  предотвратяване на разпространението на COVID-19 и лечението му, в т. ч. мерки за подкрепа на бизнеса, мерки за подкрепа на домакинствата, мерки на органите на държавно управление, натоварени с дейности по овладяването на пандемията и последствията от COVID-19, за деветмесечието на 2021 г. са в размер на близо </w:t>
      </w:r>
      <w:r w:rsidRPr="00AA5002">
        <w:rPr>
          <w:b/>
        </w:rPr>
        <w:t>3,8 млрд. лева.</w:t>
      </w:r>
    </w:p>
    <w:p w14:paraId="6EEED875" w14:textId="5F597D76" w:rsidR="001D4260" w:rsidRPr="00340983" w:rsidRDefault="001D4260" w:rsidP="009D0A3B">
      <w:pPr>
        <w:spacing w:before="120"/>
        <w:jc w:val="both"/>
      </w:pPr>
      <w:r w:rsidRPr="00EF5935">
        <w:t xml:space="preserve">За </w:t>
      </w:r>
      <w:r w:rsidRPr="00EF5935">
        <w:rPr>
          <w:b/>
        </w:rPr>
        <w:t>мерки в подкрепа на домакинствата</w:t>
      </w:r>
      <w:r w:rsidRPr="00EF5935">
        <w:t xml:space="preserve"> са изразходвани 1,8 млрд. лв. (1,</w:t>
      </w:r>
      <w:r>
        <w:t>66</w:t>
      </w:r>
      <w:r w:rsidRPr="00EF5935">
        <w:t xml:space="preserve"> млрд. лв. от държавния бюджет и 0,</w:t>
      </w:r>
      <w:r>
        <w:t xml:space="preserve">19 </w:t>
      </w:r>
      <w:r w:rsidRPr="00EF5935">
        <w:t xml:space="preserve">млрд. лв. от сметките за средства от ЕС). </w:t>
      </w:r>
      <w:r w:rsidRPr="00BD757A">
        <w:t xml:space="preserve">От тях </w:t>
      </w:r>
      <w:r w:rsidR="009D0A3B">
        <w:t xml:space="preserve">с </w:t>
      </w:r>
      <w:r w:rsidRPr="00BD757A">
        <w:t xml:space="preserve">най-голям дял </w:t>
      </w:r>
      <w:r w:rsidR="009D0A3B">
        <w:t>са</w:t>
      </w:r>
      <w:r w:rsidRPr="00BD757A">
        <w:t xml:space="preserve"> разходите по мерките, одобрени от правителството като част от социално-икономическия пакет в отговор на епидемичната криза за подкрепа на пенсионерите, които са част от уязвимите от разпространението на COVID-19 групи</w:t>
      </w:r>
      <w:r w:rsidRPr="00BD757A" w:rsidDel="001D46CB">
        <w:t xml:space="preserve"> </w:t>
      </w:r>
      <w:r w:rsidRPr="00BD757A">
        <w:t>за еднократно изплащане на допълнителни суми към пенсиите на всички пенсионери в размер на 50 лв. и увеличаването на минималния размер на пенсията за осигурителен стаж и възраст по чл. 68, ал. 1 от Кодекса на социално осигуряване от 250,00 лв. до 300,00 лв., считано от 1</w:t>
      </w:r>
      <w:r w:rsidR="00890FF7">
        <w:t> </w:t>
      </w:r>
      <w:r w:rsidRPr="00BD757A">
        <w:t xml:space="preserve">януари 2021 г. </w:t>
      </w:r>
      <w:r w:rsidRPr="00370E5F">
        <w:rPr>
          <w:color w:val="000000" w:themeColor="text1"/>
        </w:rPr>
        <w:t xml:space="preserve">В изпълнение </w:t>
      </w:r>
      <w:r w:rsidRPr="00370E5F">
        <w:rPr>
          <w:color w:val="000000" w:themeColor="text1"/>
        </w:rPr>
        <w:lastRenderedPageBreak/>
        <w:t xml:space="preserve">на параграф 6, ал. 1 от преходните и заключителни разпоредби на </w:t>
      </w:r>
      <w:r>
        <w:rPr>
          <w:color w:val="000000" w:themeColor="text1"/>
        </w:rPr>
        <w:t>ЗБДОО</w:t>
      </w:r>
      <w:r w:rsidRPr="00370E5F">
        <w:rPr>
          <w:color w:val="000000" w:themeColor="text1"/>
        </w:rPr>
        <w:t xml:space="preserve"> за 2021 г., ПМС №</w:t>
      </w:r>
      <w:r w:rsidR="00751163">
        <w:rPr>
          <w:color w:val="000000" w:themeColor="text1"/>
          <w:lang w:val="en-US"/>
        </w:rPr>
        <w:t> </w:t>
      </w:r>
      <w:r w:rsidRPr="00370E5F">
        <w:rPr>
          <w:color w:val="000000" w:themeColor="text1"/>
        </w:rPr>
        <w:t>84 от 11 март 2021 г.</w:t>
      </w:r>
      <w:r w:rsidRPr="00FC69BD">
        <w:rPr>
          <w:color w:val="000000" w:themeColor="text1"/>
        </w:rPr>
        <w:t>,</w:t>
      </w:r>
      <w:r w:rsidRPr="00370E5F">
        <w:rPr>
          <w:color w:val="000000" w:themeColor="text1"/>
        </w:rPr>
        <w:t xml:space="preserve"> ПМС № 168 от 22 април 2021</w:t>
      </w:r>
      <w:r>
        <w:rPr>
          <w:color w:val="000000" w:themeColor="text1"/>
        </w:rPr>
        <w:t> </w:t>
      </w:r>
      <w:r w:rsidRPr="00370E5F">
        <w:rPr>
          <w:color w:val="000000" w:themeColor="text1"/>
        </w:rPr>
        <w:t xml:space="preserve"> г., ПМС № 192 от 27 май 2021 г., ПМС № 204 от 23 юни 2021 г. и ПМС № 242 от 22 юли 2021 г., за периода януари - септември са изплатени еднократни допълнителни суми </w:t>
      </w:r>
      <w:r w:rsidRPr="00FC69BD">
        <w:rPr>
          <w:color w:val="000000" w:themeColor="text1"/>
        </w:rPr>
        <w:t>(</w:t>
      </w:r>
      <w:r w:rsidRPr="00370E5F">
        <w:rPr>
          <w:color w:val="000000" w:themeColor="text1"/>
        </w:rPr>
        <w:t>ЕДС</w:t>
      </w:r>
      <w:r w:rsidRPr="00FC69BD">
        <w:rPr>
          <w:color w:val="000000" w:themeColor="text1"/>
        </w:rPr>
        <w:t>)</w:t>
      </w:r>
      <w:r w:rsidRPr="00370E5F">
        <w:rPr>
          <w:color w:val="000000" w:themeColor="text1"/>
        </w:rPr>
        <w:t xml:space="preserve"> в размер на 50 лв. към пенсиите на всички пенсионери, без оглед на размера на получаваната пенсия. Изплатени са общо 943</w:t>
      </w:r>
      <w:r>
        <w:rPr>
          <w:color w:val="000000" w:themeColor="text1"/>
        </w:rPr>
        <w:t xml:space="preserve">,2 млн. </w:t>
      </w:r>
      <w:r w:rsidRPr="00370E5F">
        <w:rPr>
          <w:color w:val="000000" w:themeColor="text1"/>
        </w:rPr>
        <w:t xml:space="preserve">лв. За този период са изплатени </w:t>
      </w:r>
      <w:r>
        <w:rPr>
          <w:color w:val="000000" w:themeColor="text1"/>
        </w:rPr>
        <w:t xml:space="preserve">и </w:t>
      </w:r>
      <w:r w:rsidRPr="00370E5F">
        <w:rPr>
          <w:color w:val="000000" w:themeColor="text1"/>
        </w:rPr>
        <w:t>5</w:t>
      </w:r>
      <w:r>
        <w:rPr>
          <w:color w:val="000000" w:themeColor="text1"/>
        </w:rPr>
        <w:t>,</w:t>
      </w:r>
      <w:r w:rsidRPr="00370E5F">
        <w:rPr>
          <w:color w:val="000000" w:themeColor="text1"/>
        </w:rPr>
        <w:t xml:space="preserve">4 </w:t>
      </w:r>
      <w:r>
        <w:rPr>
          <w:color w:val="000000" w:themeColor="text1"/>
        </w:rPr>
        <w:t xml:space="preserve">млн. </w:t>
      </w:r>
      <w:r w:rsidRPr="00370E5F">
        <w:rPr>
          <w:color w:val="000000" w:themeColor="text1"/>
        </w:rPr>
        <w:t>лв. ЕДС в размер на 50 лв. към пенсиите по ПМС от 2020 г., с което общо изплатените ЕДС към пенсиите са в размер на 948</w:t>
      </w:r>
      <w:r>
        <w:rPr>
          <w:color w:val="000000" w:themeColor="text1"/>
        </w:rPr>
        <w:t>,6 млн.</w:t>
      </w:r>
      <w:r w:rsidRPr="00370E5F">
        <w:rPr>
          <w:color w:val="000000" w:themeColor="text1"/>
        </w:rPr>
        <w:t xml:space="preserve"> лв.</w:t>
      </w:r>
      <w:r>
        <w:rPr>
          <w:color w:val="000000" w:themeColor="text1"/>
        </w:rPr>
        <w:t xml:space="preserve"> </w:t>
      </w:r>
      <w:r>
        <w:t>И</w:t>
      </w:r>
      <w:r w:rsidRPr="00A63F31">
        <w:t xml:space="preserve">зплатените средства във връзка с чл. 10 от </w:t>
      </w:r>
      <w:r>
        <w:t>ЗБДОО</w:t>
      </w:r>
      <w:r w:rsidRPr="00A63F31">
        <w:t xml:space="preserve"> за 2021 г. относно увеличението на минималния размер на пенсията за осигурителен стаж и възраст по чл. 68, ал. 1 от </w:t>
      </w:r>
      <w:r>
        <w:t>КСО от 250,0 лв. до 300,</w:t>
      </w:r>
      <w:r w:rsidRPr="00A63F31">
        <w:t xml:space="preserve">0 лв., считано от 1 </w:t>
      </w:r>
      <w:r w:rsidRPr="00340983">
        <w:t>януари 2021 г., към 30 септември 2021 г. възлизат на 370,8</w:t>
      </w:r>
      <w:r w:rsidR="00867DDB">
        <w:rPr>
          <w:lang w:val="en-US"/>
        </w:rPr>
        <w:t> </w:t>
      </w:r>
      <w:r w:rsidRPr="00340983">
        <w:t>млн. лв.</w:t>
      </w:r>
    </w:p>
    <w:p w14:paraId="5BF2F47E" w14:textId="40D1E8AF" w:rsidR="001D4260" w:rsidRDefault="001D4260" w:rsidP="009D0A3B">
      <w:pPr>
        <w:spacing w:before="120" w:after="120"/>
        <w:jc w:val="both"/>
      </w:pPr>
      <w:r w:rsidRPr="00340983">
        <w:t>По мярката „Увеличаване на разходите за краткосрочни обезщетения и помощи“ от 1 януари до 30 септември 2021 г. са изплатени 216,8 млн. лв. от държавното обществено осигуряване във връзка със смекчаване на преките социални последствия от разпространението на COVID-19 върху доходите на домакинствата. Сумата представлява допълнителния разход за изплатени парични обезщетения за безработица, възникнал поради по-големия брой регистрирани безработни лица, както за изплащане на парични обезщетения за временна неработоспособност на лица, заразили се с COVID-19 и на лица, карантинирани поради близък контакт със заразен с COVID-19.</w:t>
      </w:r>
    </w:p>
    <w:p w14:paraId="4FD85BDD" w14:textId="43D98A22" w:rsidR="002D5E5D" w:rsidRPr="002D5E5D" w:rsidRDefault="002D5E5D" w:rsidP="001D4260">
      <w:pPr>
        <w:jc w:val="both"/>
      </w:pPr>
      <w:r w:rsidRPr="003E041C">
        <w:rPr>
          <w:color w:val="000000" w:themeColor="text1"/>
        </w:rPr>
        <w:t>За реализиране на програми за заетост и мерки за обучение за подкрепа на безработните лица и работодателите са предоставени 1</w:t>
      </w:r>
      <w:r>
        <w:rPr>
          <w:color w:val="000000" w:themeColor="text1"/>
        </w:rPr>
        <w:t>85</w:t>
      </w:r>
      <w:r w:rsidRPr="003E041C">
        <w:rPr>
          <w:color w:val="000000" w:themeColor="text1"/>
        </w:rPr>
        <w:t>,</w:t>
      </w:r>
      <w:r w:rsidR="0050687F">
        <w:rPr>
          <w:color w:val="000000" w:themeColor="text1"/>
        </w:rPr>
        <w:t>7</w:t>
      </w:r>
      <w:r w:rsidRPr="003E041C">
        <w:rPr>
          <w:color w:val="000000" w:themeColor="text1"/>
        </w:rPr>
        <w:t xml:space="preserve"> млн. лв.</w:t>
      </w:r>
      <w:r>
        <w:rPr>
          <w:color w:val="000000" w:themeColor="text1"/>
        </w:rPr>
        <w:t xml:space="preserve"> от сметки за средства от ЕС-</w:t>
      </w:r>
      <w:r w:rsidRPr="002D5E5D">
        <w:t>СЕС-КСФ (ОП РЧР 2014-2020), по следните проекти на Агенцията по заетостта:</w:t>
      </w:r>
      <w:r>
        <w:t xml:space="preserve"> </w:t>
      </w:r>
      <w:r w:rsidRPr="002D5E5D">
        <w:t>Проект „Краткосрочна подкрепа за заетост в отговор на пандемията от COVID-19” ; Проект „Заетост за теб“, ОП РЧР 2014-2020 ; По проект „Запази ме“ ; Проект „Родители в заетост“, ОП РЧР 2014-2020.</w:t>
      </w:r>
    </w:p>
    <w:p w14:paraId="3E5372A7" w14:textId="6AF0AEEF" w:rsidR="002D5E5D" w:rsidRDefault="002D5E5D" w:rsidP="009D0A3B">
      <w:pPr>
        <w:spacing w:before="120" w:after="120"/>
        <w:jc w:val="both"/>
      </w:pPr>
      <w:r>
        <w:rPr>
          <w:bCs/>
        </w:rPr>
        <w:t>За п</w:t>
      </w:r>
      <w:r w:rsidRPr="004E4E19">
        <w:rPr>
          <w:bCs/>
        </w:rPr>
        <w:t>одкрепа на семейства с деца до 14-г. възраст, при които родителите не могат да извършват дистанционна работа от вкъщи и нямат възможност да ползват платен отпуск</w:t>
      </w:r>
      <w:r>
        <w:rPr>
          <w:bCs/>
        </w:rPr>
        <w:t xml:space="preserve"> </w:t>
      </w:r>
      <w:r w:rsidRPr="007126C6">
        <w:t>от Агенцията за социално подпомагане</w:t>
      </w:r>
      <w:r>
        <w:t xml:space="preserve"> са и</w:t>
      </w:r>
      <w:r w:rsidRPr="007126C6">
        <w:t>зплатени месечни целеви помощи</w:t>
      </w:r>
      <w:r>
        <w:t xml:space="preserve"> в общо в размер на 57</w:t>
      </w:r>
      <w:r w:rsidR="0050687F">
        <w:t>,1</w:t>
      </w:r>
      <w:r>
        <w:t xml:space="preserve"> млн. лв.</w:t>
      </w:r>
      <w:r w:rsidRPr="004E4E19">
        <w:t xml:space="preserve"> </w:t>
      </w:r>
      <w:r w:rsidRPr="007126C6">
        <w:t xml:space="preserve"> Помощта е регламентирана с ПМС №218 от 17.08.2020 г. и ПМС №322 от 23.11.2020 г. за допълнение на Правилника за прилагане на Закона за социално подпомагане.</w:t>
      </w:r>
    </w:p>
    <w:p w14:paraId="49B79A01" w14:textId="4B6A9CBE" w:rsidR="002D5E5D" w:rsidRDefault="002D5E5D" w:rsidP="009D0A3B">
      <w:pPr>
        <w:spacing w:before="120" w:after="120"/>
        <w:jc w:val="both"/>
      </w:pPr>
      <w:r w:rsidRPr="002D5E5D">
        <w:t>За еднократна финансова подкрепа за хранителни продукти в размер на 120 лв. на пенсионери, на които пенсията или сборът от пенсиите заедно с добавките и компенсациите към тях е от 300,01 лв. до 369 лв. включително</w:t>
      </w:r>
      <w:r w:rsidR="00BD62D4">
        <w:t>,</w:t>
      </w:r>
      <w:r w:rsidRPr="002D5E5D">
        <w:t xml:space="preserve"> изплатената сума е в размер на 45,2 млн. лв.. </w:t>
      </w:r>
      <w:r w:rsidR="00BD62D4">
        <w:t>и е предоставен</w:t>
      </w:r>
      <w:r w:rsidR="006D2CA3">
        <w:t>а</w:t>
      </w:r>
      <w:r w:rsidR="00BD62D4">
        <w:t xml:space="preserve"> на</w:t>
      </w:r>
      <w:r w:rsidRPr="002D5E5D">
        <w:t xml:space="preserve"> 376 905 пенсионера</w:t>
      </w:r>
      <w:r w:rsidRPr="00206EF7">
        <w:t>.</w:t>
      </w:r>
    </w:p>
    <w:p w14:paraId="749F0005" w14:textId="3D576339" w:rsidR="00AC4972" w:rsidRPr="00AC4972" w:rsidRDefault="00AC4972" w:rsidP="00EE009B">
      <w:pPr>
        <w:spacing w:before="120"/>
        <w:jc w:val="both"/>
        <w:rPr>
          <w:bCs/>
        </w:rPr>
      </w:pPr>
      <w:r w:rsidRPr="00AC4972">
        <w:rPr>
          <w:color w:val="000000" w:themeColor="text1"/>
        </w:rPr>
        <w:t xml:space="preserve">Към 30.09.2021 г. за </w:t>
      </w:r>
      <w:r w:rsidRPr="00AC4972">
        <w:rPr>
          <w:b/>
          <w:color w:val="000000" w:themeColor="text1"/>
        </w:rPr>
        <w:t>мерки в подкрепа на бизнеса</w:t>
      </w:r>
      <w:r w:rsidRPr="00AC4972">
        <w:rPr>
          <w:color w:val="000000" w:themeColor="text1"/>
        </w:rPr>
        <w:t xml:space="preserve"> са предоставени 739,</w:t>
      </w:r>
      <w:r w:rsidR="0050687F">
        <w:rPr>
          <w:color w:val="000000" w:themeColor="text1"/>
        </w:rPr>
        <w:t>3</w:t>
      </w:r>
      <w:r w:rsidRPr="00AC4972">
        <w:rPr>
          <w:color w:val="000000" w:themeColor="text1"/>
        </w:rPr>
        <w:t xml:space="preserve"> млн. лв.</w:t>
      </w:r>
      <w:r w:rsidR="00EE009B">
        <w:rPr>
          <w:color w:val="000000" w:themeColor="text1"/>
        </w:rPr>
        <w:t xml:space="preserve"> </w:t>
      </w:r>
      <w:r w:rsidRPr="00AC4972">
        <w:rPr>
          <w:color w:val="000000" w:themeColor="text1"/>
        </w:rPr>
        <w:t>(581,</w:t>
      </w:r>
      <w:r w:rsidR="0050687F">
        <w:rPr>
          <w:color w:val="000000" w:themeColor="text1"/>
        </w:rPr>
        <w:t>6</w:t>
      </w:r>
      <w:r w:rsidRPr="00AC4972">
        <w:rPr>
          <w:color w:val="000000" w:themeColor="text1"/>
        </w:rPr>
        <w:t xml:space="preserve"> млн. лв. от държавния бюджет и 1</w:t>
      </w:r>
      <w:r w:rsidR="0050687F">
        <w:rPr>
          <w:color w:val="000000" w:themeColor="text1"/>
        </w:rPr>
        <w:t>5</w:t>
      </w:r>
      <w:r w:rsidRPr="00AC4972">
        <w:rPr>
          <w:color w:val="000000" w:themeColor="text1"/>
        </w:rPr>
        <w:t>7,7 млн. от сметките за средства от ЕС</w:t>
      </w:r>
      <w:r w:rsidRPr="0050687F">
        <w:rPr>
          <w:color w:val="000000" w:themeColor="text1"/>
        </w:rPr>
        <w:t xml:space="preserve">). </w:t>
      </w:r>
      <w:r w:rsidRPr="00EE009B">
        <w:rPr>
          <w:color w:val="000000" w:themeColor="text1"/>
        </w:rPr>
        <w:t>П</w:t>
      </w:r>
      <w:r w:rsidRPr="00EE009B">
        <w:t xml:space="preserve">о </w:t>
      </w:r>
      <w:r w:rsidR="0050687F" w:rsidRPr="00EE009B">
        <w:t xml:space="preserve">мярка „Запазване на работните места в страната“, т.нар. </w:t>
      </w:r>
      <w:r w:rsidRPr="00EE009B">
        <w:t>мярка „60/40“</w:t>
      </w:r>
      <w:r w:rsidR="00EE009B">
        <w:t>,</w:t>
      </w:r>
      <w:r w:rsidRPr="00EE009B">
        <w:t xml:space="preserve"> </w:t>
      </w:r>
      <w:r w:rsidR="0050687F" w:rsidRPr="00EE009B">
        <w:t>чрез бюдж</w:t>
      </w:r>
      <w:r w:rsidR="0050687F">
        <w:t xml:space="preserve">ета на държавното обществено осигуряване са изплатени 526,1 </w:t>
      </w:r>
      <w:r w:rsidR="00EE009B">
        <w:t>млн. лв. на р</w:t>
      </w:r>
      <w:r w:rsidRPr="00AC4972">
        <w:t xml:space="preserve">аботодатели за запазване </w:t>
      </w:r>
      <w:r w:rsidR="00EE009B">
        <w:t xml:space="preserve">на заетостта </w:t>
      </w:r>
      <w:r w:rsidR="00EE009B" w:rsidRPr="00EE009B">
        <w:t>на работници и служители в засегнатите от Covid-19 икономически дейности</w:t>
      </w:r>
      <w:r w:rsidR="00EE009B">
        <w:t>.</w:t>
      </w:r>
      <w:r w:rsidR="00EE009B" w:rsidRPr="00EE009B">
        <w:t xml:space="preserve"> </w:t>
      </w:r>
      <w:bookmarkStart w:id="2" w:name="_Hlk40092230"/>
      <w:bookmarkEnd w:id="2"/>
    </w:p>
    <w:p w14:paraId="728E3821" w14:textId="21C2DA6E" w:rsidR="00AC4972" w:rsidRDefault="00AC4972" w:rsidP="00AC4972">
      <w:pPr>
        <w:spacing w:before="120"/>
        <w:jc w:val="both"/>
      </w:pPr>
      <w:r w:rsidRPr="00AC4972">
        <w:t>За финансова подкрепа за български творци и артисти пряко засегнати от преустановяването на  масови мероприятия на територията на страната, включително културно-развлекателни са предоставени 54,9 млн. лв.</w:t>
      </w:r>
    </w:p>
    <w:p w14:paraId="4B427D03" w14:textId="6A829BCE" w:rsidR="00AC4972" w:rsidRDefault="00EE009B" w:rsidP="00AC4972">
      <w:pPr>
        <w:spacing w:before="120"/>
        <w:jc w:val="both"/>
      </w:pPr>
      <w:r>
        <w:t>По</w:t>
      </w:r>
      <w:r w:rsidR="00AC4972" w:rsidRPr="00AC4972">
        <w:t xml:space="preserve"> процедурата "Подкрепа чрез оборотен капитал за МСП</w:t>
      </w:r>
      <w:r w:rsidR="00C9329E">
        <w:t xml:space="preserve"> </w:t>
      </w:r>
      <w:r w:rsidR="00C9329E">
        <w:rPr>
          <w:lang w:val="en-US"/>
        </w:rPr>
        <w:t>(</w:t>
      </w:r>
      <w:r w:rsidR="00C9329E">
        <w:t>малки и средни предприятия</w:t>
      </w:r>
      <w:r w:rsidR="00C9329E">
        <w:rPr>
          <w:lang w:val="en-US"/>
        </w:rPr>
        <w:t>)</w:t>
      </w:r>
      <w:r w:rsidR="00AC4972" w:rsidRPr="00AC4972">
        <w:t xml:space="preserve">, засегнати от временните противоепидемични мерки чрез прилагане на схема за подпомагане от Национална агенция за приходите (НАП)" по оперативна програма „Иновации и конкурентоспособност“ 2014-2020 (ОПИК) </w:t>
      </w:r>
      <w:r>
        <w:t>н</w:t>
      </w:r>
      <w:r w:rsidR="00AC4972" w:rsidRPr="00AC4972">
        <w:t xml:space="preserve">а бизнеса </w:t>
      </w:r>
      <w:r>
        <w:t>са предоставени средства в размер на</w:t>
      </w:r>
      <w:r w:rsidR="00AC4972" w:rsidRPr="00AC4972">
        <w:t xml:space="preserve"> 131,7 млн. лв.</w:t>
      </w:r>
    </w:p>
    <w:p w14:paraId="0DE7B611" w14:textId="082378B4" w:rsidR="00AC4972" w:rsidRDefault="00AC4972" w:rsidP="00AC4972">
      <w:pPr>
        <w:spacing w:before="120"/>
        <w:jc w:val="both"/>
      </w:pPr>
      <w:r w:rsidRPr="00AC4972">
        <w:t>По процедура</w:t>
      </w:r>
      <w:r>
        <w:t>та</w:t>
      </w:r>
      <w:r w:rsidRPr="00AC4972">
        <w:t xml:space="preserve"> за директно предоставяне на безвъзмездна финансова помощ "Подкрепа за МСП, извършващи автобусни превози, за преодоляване на икономическите последствия от пандемията COVID-19"</w:t>
      </w:r>
      <w:r>
        <w:t xml:space="preserve">  размерът на помощта е 15,1</w:t>
      </w:r>
      <w:r w:rsidRPr="00AC4972">
        <w:t xml:space="preserve"> млн. лв.</w:t>
      </w:r>
    </w:p>
    <w:p w14:paraId="5CDA2445" w14:textId="77777777" w:rsidR="00A162ED" w:rsidRPr="00A162ED" w:rsidRDefault="00A162ED" w:rsidP="00A162ED">
      <w:pPr>
        <w:spacing w:before="120"/>
        <w:jc w:val="both"/>
      </w:pPr>
      <w:r w:rsidRPr="00A162ED">
        <w:lastRenderedPageBreak/>
        <w:t xml:space="preserve">За </w:t>
      </w:r>
      <w:r w:rsidRPr="00A162ED">
        <w:rPr>
          <w:b/>
        </w:rPr>
        <w:t>мерки за органите на държавното управление, натоварени с дейности по овладяване на пандемията и последствията от COVID-19</w:t>
      </w:r>
      <w:r w:rsidRPr="00A162ED">
        <w:t xml:space="preserve"> са предоставени  общо 1 182,4 млн. лв., от които от държавния бюджет 1 026,6 млн. лв.  и 155,8 млн. лв. от сметки за средства от ЕС. </w:t>
      </w:r>
    </w:p>
    <w:p w14:paraId="37AE479B" w14:textId="2D9EA7EC" w:rsidR="00A162ED" w:rsidRPr="004F3A76" w:rsidRDefault="00A162ED" w:rsidP="004F3A76">
      <w:pPr>
        <w:spacing w:before="120"/>
        <w:jc w:val="both"/>
      </w:pPr>
      <w:r w:rsidRPr="004F3A76">
        <w:t>С</w:t>
      </w:r>
      <w:r w:rsidRPr="00032E91">
        <w:t xml:space="preserve"> най-голям дял са разходите за подкрепа на персонала на първа линия, пряко ангажиран с дейности по предотвратяване разпространението на COVID-19- 539,7 млн. лв.</w:t>
      </w:r>
      <w:r>
        <w:t>,</w:t>
      </w:r>
      <w:r w:rsidRPr="004F3A76">
        <w:t xml:space="preserve"> от които 469,2</w:t>
      </w:r>
      <w:r w:rsidR="001E3C3A">
        <w:t> </w:t>
      </w:r>
      <w:r w:rsidRPr="004F3A76">
        <w:t xml:space="preserve">млн. лв. от държавния бюджет и 70,6 млн. лв. от сметките за средства от ЕС. </w:t>
      </w:r>
    </w:p>
    <w:p w14:paraId="33FDC54C" w14:textId="399ACD07" w:rsidR="00A162ED" w:rsidRPr="00032E91" w:rsidRDefault="00A162ED" w:rsidP="004F3A76">
      <w:pPr>
        <w:spacing w:before="120"/>
        <w:jc w:val="both"/>
      </w:pPr>
      <w:r w:rsidRPr="004F3A76">
        <w:t>С</w:t>
      </w:r>
      <w:r w:rsidRPr="00032E91">
        <w:t xml:space="preserve">редствата, осигурени от НЗОК </w:t>
      </w:r>
      <w:r w:rsidR="00EE009B">
        <w:t xml:space="preserve">за финансиране на </w:t>
      </w:r>
      <w:r w:rsidRPr="00032E91">
        <w:t xml:space="preserve">изпълнителите на медицинска помощ, на дентална помощ и на медико-диагностични дейности за работа при неблагоприятни условия във връзка с обявената епидемична обстановка и лечението на COVID-19 са </w:t>
      </w:r>
      <w:r w:rsidR="00EE009B">
        <w:t xml:space="preserve">в размер на </w:t>
      </w:r>
      <w:r w:rsidRPr="00032E91">
        <w:t>417,2</w:t>
      </w:r>
      <w:r w:rsidR="007F1076">
        <w:t> </w:t>
      </w:r>
      <w:r w:rsidRPr="00032E91">
        <w:t xml:space="preserve">млн. лв. </w:t>
      </w:r>
    </w:p>
    <w:p w14:paraId="2986D318" w14:textId="56B58001" w:rsidR="00A162ED" w:rsidRDefault="00A162ED" w:rsidP="004F3A76">
      <w:pPr>
        <w:spacing w:before="120"/>
        <w:jc w:val="both"/>
      </w:pPr>
      <w:r w:rsidRPr="00032E91">
        <w:t>За подкрепа на медицинския персонал, който работи в условията на огромно напрежение при извънредна епидемична обстановка чрез изплащане на постоянна месечна добавка към възнагражденията на лекарите (600 лв.), на специалисти от професионално направление „Здравни грижи“ (360 лв.) и на санитари (120 лв.) от държавния бюджет са осигурени 143,5</w:t>
      </w:r>
      <w:r w:rsidR="00B537EC">
        <w:t> </w:t>
      </w:r>
      <w:r w:rsidRPr="00032E91">
        <w:t xml:space="preserve"> млн. лв.</w:t>
      </w:r>
    </w:p>
    <w:p w14:paraId="6572EE90" w14:textId="12B84422" w:rsidR="00A162ED" w:rsidRDefault="00A162ED" w:rsidP="00A162ED">
      <w:pPr>
        <w:spacing w:before="120"/>
        <w:jc w:val="both"/>
      </w:pPr>
      <w:r>
        <w:t>Разходите за о</w:t>
      </w:r>
      <w:r w:rsidRPr="008833EF">
        <w:t>сигуряване на възможности за провеждането на дистанционно обучение в системата на образованието</w:t>
      </w:r>
      <w:r>
        <w:t xml:space="preserve"> са в размер на 70,</w:t>
      </w:r>
      <w:r w:rsidR="00EE009B">
        <w:t>8</w:t>
      </w:r>
      <w:r>
        <w:t xml:space="preserve"> млн. лв., от които </w:t>
      </w:r>
      <w:r w:rsidRPr="00417DCA">
        <w:t>за сметка на средства от Европейския съюз</w:t>
      </w:r>
      <w:r>
        <w:t>, в размер на 70,5 млн.</w:t>
      </w:r>
      <w:r w:rsidRPr="00417DCA">
        <w:t xml:space="preserve"> лв</w:t>
      </w:r>
      <w:r>
        <w:t>.,</w:t>
      </w:r>
      <w:r w:rsidRPr="001D7FD9">
        <w:t xml:space="preserve"> </w:t>
      </w:r>
      <w:r>
        <w:t>са</w:t>
      </w:r>
      <w:r w:rsidRPr="001D7FD9">
        <w:t xml:space="preserve"> закупени </w:t>
      </w:r>
      <w:r>
        <w:t xml:space="preserve">от Министерството на образованието и науката </w:t>
      </w:r>
      <w:r w:rsidRPr="001D7FD9">
        <w:t xml:space="preserve">лаптопи и таблети </w:t>
      </w:r>
      <w:r w:rsidRPr="006726CC">
        <w:t>по проект „Равен достъп до училищно о</w:t>
      </w:r>
      <w:r>
        <w:t>бразование в условията на кризи“</w:t>
      </w:r>
      <w:r w:rsidRPr="006726CC">
        <w:t xml:space="preserve"> на ОП НОИР</w:t>
      </w:r>
      <w:r w:rsidR="004F3A76">
        <w:t>. Със</w:t>
      </w:r>
      <w:r>
        <w:t xml:space="preserve"> закупената техника е </w:t>
      </w:r>
      <w:r w:rsidR="00EE009B">
        <w:t>о</w:t>
      </w:r>
      <w:r>
        <w:t>сигур</w:t>
      </w:r>
      <w:r w:rsidR="00EE009B">
        <w:t>ена</w:t>
      </w:r>
      <w:r>
        <w:t xml:space="preserve"> </w:t>
      </w:r>
      <w:r w:rsidRPr="001D7FD9">
        <w:t>възможност за провеждане на дистанционно обучение в системата на образованието в условията на пандемията от COVID-19.</w:t>
      </w:r>
    </w:p>
    <w:p w14:paraId="1222B65E" w14:textId="3C4F5013" w:rsidR="004F3A76" w:rsidRDefault="004F3A76" w:rsidP="00A162ED">
      <w:pPr>
        <w:spacing w:before="120"/>
        <w:jc w:val="both"/>
      </w:pPr>
      <w:r>
        <w:t>За о</w:t>
      </w:r>
      <w:r w:rsidRPr="004F3A76">
        <w:t>сигуряване на лични предпазни средства (маски, ръкавици, калцуни, предпазно облекло, защитни очила) за нуждите на държавната администрация и лечебните заведения, както и дезинфектанти, дезинфекция на работните помещения, термометри за измерване от разстояние, консумативи, реактиви, медикаменти, PCR тестове, бързи тестове и др.</w:t>
      </w:r>
      <w:r>
        <w:t xml:space="preserve"> са изразходвани 37,9 млн. лв.</w:t>
      </w:r>
    </w:p>
    <w:p w14:paraId="49BFCB0F" w14:textId="1848F659" w:rsidR="00066A21" w:rsidRDefault="00066A21">
      <w:r>
        <w:br w:type="page"/>
      </w:r>
    </w:p>
    <w:p w14:paraId="2FBEE6A5" w14:textId="04AC292D" w:rsidR="009C6F72" w:rsidRPr="00C85F7F" w:rsidRDefault="009C6F72" w:rsidP="009C6F72">
      <w:pPr>
        <w:jc w:val="both"/>
        <w:rPr>
          <w:color w:val="548DD4" w:themeColor="text2" w:themeTint="99"/>
        </w:rPr>
      </w:pPr>
    </w:p>
    <w:p w14:paraId="2DFE8542" w14:textId="77777777" w:rsidR="00C6093E" w:rsidRPr="000C0C8F" w:rsidRDefault="00C6093E" w:rsidP="00C6093E">
      <w:pPr>
        <w:pStyle w:val="ListParagraph"/>
        <w:tabs>
          <w:tab w:val="left" w:pos="426"/>
          <w:tab w:val="left" w:pos="851"/>
        </w:tabs>
        <w:spacing w:line="240" w:lineRule="auto"/>
        <w:ind w:left="0"/>
        <w:rPr>
          <w:rFonts w:ascii="Times New Roman" w:hAnsi="Times New Roman"/>
          <w:b/>
          <w:i/>
        </w:rPr>
      </w:pPr>
      <w:r w:rsidRPr="000C0C8F">
        <w:rPr>
          <w:rFonts w:ascii="Times New Roman" w:hAnsi="Times New Roman"/>
          <w:b/>
          <w:i/>
        </w:rPr>
        <w:t xml:space="preserve">Информация за разходите, свързани с мерките за борба с COVID-19 и преодоляване на социално-икономическите последствия от пандемията за деветмесечието на 2021 г. </w:t>
      </w:r>
    </w:p>
    <w:tbl>
      <w:tblPr>
        <w:tblW w:w="10773" w:type="dxa"/>
        <w:tblInd w:w="-497" w:type="dxa"/>
        <w:tblCellMar>
          <w:left w:w="70" w:type="dxa"/>
          <w:right w:w="70" w:type="dxa"/>
        </w:tblCellMar>
        <w:tblLook w:val="04A0" w:firstRow="1" w:lastRow="0" w:firstColumn="1" w:lastColumn="0" w:noHBand="0" w:noVBand="1"/>
      </w:tblPr>
      <w:tblGrid>
        <w:gridCol w:w="9072"/>
        <w:gridCol w:w="851"/>
        <w:gridCol w:w="850"/>
      </w:tblGrid>
      <w:tr w:rsidR="000F682A" w14:paraId="0D0ECFFF" w14:textId="77777777" w:rsidTr="00BD48A1">
        <w:trPr>
          <w:trHeight w:val="552"/>
        </w:trPr>
        <w:tc>
          <w:tcPr>
            <w:tcW w:w="9072" w:type="dxa"/>
            <w:vMerge w:val="restart"/>
            <w:tcBorders>
              <w:top w:val="double" w:sz="6" w:space="0" w:color="auto"/>
              <w:left w:val="double" w:sz="6" w:space="0" w:color="auto"/>
              <w:bottom w:val="double" w:sz="6" w:space="0" w:color="000000"/>
              <w:right w:val="double" w:sz="6" w:space="0" w:color="auto"/>
            </w:tcBorders>
            <w:shd w:val="clear" w:color="000000" w:fill="943634"/>
            <w:vAlign w:val="center"/>
            <w:hideMark/>
          </w:tcPr>
          <w:p w14:paraId="338270C4" w14:textId="77777777" w:rsidR="000F682A" w:rsidRDefault="000F682A" w:rsidP="00BD48A1">
            <w:pPr>
              <w:jc w:val="center"/>
              <w:rPr>
                <w:b/>
                <w:bCs/>
                <w:color w:val="FFFFFF"/>
              </w:rPr>
            </w:pPr>
            <w:r>
              <w:rPr>
                <w:b/>
                <w:bCs/>
                <w:color w:val="FFFFFF" w:themeColor="background1"/>
              </w:rPr>
              <w:t>МЕРКИ</w:t>
            </w:r>
          </w:p>
        </w:tc>
        <w:tc>
          <w:tcPr>
            <w:tcW w:w="1701" w:type="dxa"/>
            <w:gridSpan w:val="2"/>
            <w:tcBorders>
              <w:top w:val="double" w:sz="6" w:space="0" w:color="auto"/>
              <w:left w:val="nil"/>
              <w:bottom w:val="double" w:sz="6" w:space="0" w:color="auto"/>
              <w:right w:val="double" w:sz="6" w:space="0" w:color="000000"/>
            </w:tcBorders>
            <w:shd w:val="clear" w:color="000000" w:fill="943634"/>
            <w:noWrap/>
            <w:vAlign w:val="center"/>
            <w:hideMark/>
          </w:tcPr>
          <w:p w14:paraId="2E2CF063" w14:textId="77777777" w:rsidR="000F682A" w:rsidRDefault="000F682A" w:rsidP="00BD48A1">
            <w:pPr>
              <w:ind w:firstLine="352"/>
              <w:jc w:val="center"/>
              <w:rPr>
                <w:b/>
                <w:bCs/>
                <w:color w:val="FFFFFF"/>
              </w:rPr>
            </w:pPr>
            <w:r>
              <w:rPr>
                <w:b/>
                <w:bCs/>
                <w:color w:val="FFFFFF" w:themeColor="background1"/>
              </w:rPr>
              <w:t>Към 30.09.2021</w:t>
            </w:r>
          </w:p>
        </w:tc>
      </w:tr>
      <w:tr w:rsidR="000F682A" w14:paraId="7FB36504" w14:textId="77777777" w:rsidTr="00BD48A1">
        <w:trPr>
          <w:trHeight w:val="600"/>
        </w:trPr>
        <w:tc>
          <w:tcPr>
            <w:tcW w:w="9072" w:type="dxa"/>
            <w:vMerge/>
            <w:tcBorders>
              <w:top w:val="double" w:sz="6" w:space="0" w:color="auto"/>
              <w:left w:val="double" w:sz="6" w:space="0" w:color="auto"/>
              <w:bottom w:val="double" w:sz="6" w:space="0" w:color="000000"/>
              <w:right w:val="double" w:sz="6" w:space="0" w:color="auto"/>
            </w:tcBorders>
            <w:vAlign w:val="center"/>
            <w:hideMark/>
          </w:tcPr>
          <w:p w14:paraId="0C4E2ECD" w14:textId="77777777" w:rsidR="000F682A" w:rsidRDefault="000F682A" w:rsidP="00BD48A1">
            <w:pPr>
              <w:rPr>
                <w:b/>
                <w:bCs/>
                <w:color w:val="FFFFFF"/>
              </w:rPr>
            </w:pPr>
          </w:p>
        </w:tc>
        <w:tc>
          <w:tcPr>
            <w:tcW w:w="851" w:type="dxa"/>
            <w:tcBorders>
              <w:top w:val="nil"/>
              <w:left w:val="nil"/>
              <w:bottom w:val="double" w:sz="6" w:space="0" w:color="auto"/>
              <w:right w:val="double" w:sz="6" w:space="0" w:color="auto"/>
            </w:tcBorders>
            <w:shd w:val="clear" w:color="000000" w:fill="943634"/>
            <w:noWrap/>
            <w:vAlign w:val="center"/>
            <w:hideMark/>
          </w:tcPr>
          <w:p w14:paraId="2E6614B0" w14:textId="77777777" w:rsidR="000F682A" w:rsidRDefault="000F682A" w:rsidP="00BD48A1">
            <w:pPr>
              <w:jc w:val="center"/>
              <w:rPr>
                <w:b/>
                <w:bCs/>
                <w:color w:val="FFFFFF"/>
              </w:rPr>
            </w:pPr>
            <w:r>
              <w:rPr>
                <w:b/>
                <w:bCs/>
                <w:color w:val="FFFFFF" w:themeColor="background1"/>
              </w:rPr>
              <w:t>млн. лв.</w:t>
            </w:r>
          </w:p>
        </w:tc>
        <w:tc>
          <w:tcPr>
            <w:tcW w:w="850" w:type="dxa"/>
            <w:tcBorders>
              <w:top w:val="nil"/>
              <w:left w:val="nil"/>
              <w:bottom w:val="double" w:sz="6" w:space="0" w:color="auto"/>
              <w:right w:val="double" w:sz="6" w:space="0" w:color="auto"/>
            </w:tcBorders>
            <w:shd w:val="clear" w:color="000000" w:fill="943634"/>
            <w:noWrap/>
            <w:vAlign w:val="center"/>
            <w:hideMark/>
          </w:tcPr>
          <w:p w14:paraId="1D346FD8" w14:textId="77777777" w:rsidR="000F682A" w:rsidRDefault="000F682A" w:rsidP="00BD48A1">
            <w:pPr>
              <w:jc w:val="center"/>
              <w:rPr>
                <w:b/>
                <w:bCs/>
                <w:color w:val="FFFFFF"/>
              </w:rPr>
            </w:pPr>
            <w:r>
              <w:rPr>
                <w:b/>
                <w:bCs/>
                <w:color w:val="FFFFFF" w:themeColor="background1"/>
              </w:rPr>
              <w:t xml:space="preserve">% от БВП </w:t>
            </w:r>
          </w:p>
        </w:tc>
      </w:tr>
      <w:tr w:rsidR="000F682A" w14:paraId="4B8E5787" w14:textId="77777777" w:rsidTr="00BD48A1">
        <w:trPr>
          <w:trHeight w:val="876"/>
        </w:trPr>
        <w:tc>
          <w:tcPr>
            <w:tcW w:w="9072" w:type="dxa"/>
            <w:tcBorders>
              <w:top w:val="nil"/>
              <w:left w:val="single" w:sz="4" w:space="0" w:color="auto"/>
              <w:bottom w:val="single" w:sz="4" w:space="0" w:color="auto"/>
              <w:right w:val="nil"/>
            </w:tcBorders>
            <w:shd w:val="clear" w:color="000000" w:fill="E2EFDA"/>
            <w:vAlign w:val="bottom"/>
            <w:hideMark/>
          </w:tcPr>
          <w:p w14:paraId="20374975" w14:textId="77777777" w:rsidR="000F682A" w:rsidRPr="005258A1" w:rsidRDefault="000F682A" w:rsidP="00BD48A1">
            <w:pPr>
              <w:rPr>
                <w:b/>
                <w:bCs/>
                <w:i/>
                <w:iCs/>
                <w:sz w:val="23"/>
                <w:szCs w:val="23"/>
              </w:rPr>
            </w:pPr>
            <w:r w:rsidRPr="005258A1">
              <w:rPr>
                <w:b/>
                <w:bCs/>
                <w:i/>
                <w:iCs/>
                <w:sz w:val="23"/>
                <w:szCs w:val="23"/>
              </w:rPr>
              <w:t>Всичко разходи, свързани с мерките за борба с COVID-19 и преодоляване на социално-икономическите последствия от пандемията към 30.09. 2021 г. (А.+Б.+В.)</w:t>
            </w:r>
          </w:p>
        </w:tc>
        <w:tc>
          <w:tcPr>
            <w:tcW w:w="851" w:type="dxa"/>
            <w:tcBorders>
              <w:top w:val="nil"/>
              <w:left w:val="single" w:sz="4" w:space="0" w:color="auto"/>
              <w:bottom w:val="single" w:sz="4" w:space="0" w:color="auto"/>
              <w:right w:val="single" w:sz="4" w:space="0" w:color="auto"/>
            </w:tcBorders>
            <w:shd w:val="clear" w:color="000000" w:fill="E2EFDA"/>
            <w:noWrap/>
            <w:vAlign w:val="bottom"/>
            <w:hideMark/>
          </w:tcPr>
          <w:p w14:paraId="0409E2DA" w14:textId="77777777" w:rsidR="000F682A" w:rsidRPr="005258A1" w:rsidRDefault="000F682A" w:rsidP="00BD48A1">
            <w:pPr>
              <w:jc w:val="right"/>
              <w:rPr>
                <w:b/>
                <w:bCs/>
                <w:color w:val="000000"/>
                <w:sz w:val="23"/>
                <w:szCs w:val="23"/>
              </w:rPr>
            </w:pPr>
            <w:r w:rsidRPr="005258A1">
              <w:rPr>
                <w:b/>
                <w:bCs/>
                <w:color w:val="000000"/>
                <w:sz w:val="23"/>
                <w:szCs w:val="23"/>
              </w:rPr>
              <w:t>3 764,5</w:t>
            </w:r>
          </w:p>
        </w:tc>
        <w:tc>
          <w:tcPr>
            <w:tcW w:w="850" w:type="dxa"/>
            <w:tcBorders>
              <w:top w:val="nil"/>
              <w:left w:val="nil"/>
              <w:bottom w:val="single" w:sz="4" w:space="0" w:color="auto"/>
              <w:right w:val="single" w:sz="8" w:space="0" w:color="auto"/>
            </w:tcBorders>
            <w:shd w:val="clear" w:color="000000" w:fill="E2EFDA"/>
            <w:noWrap/>
            <w:vAlign w:val="bottom"/>
            <w:hideMark/>
          </w:tcPr>
          <w:p w14:paraId="0A507467" w14:textId="77777777" w:rsidR="000F682A" w:rsidRPr="005258A1" w:rsidRDefault="000F682A" w:rsidP="00BD48A1">
            <w:pPr>
              <w:jc w:val="right"/>
              <w:rPr>
                <w:b/>
                <w:bCs/>
                <w:sz w:val="23"/>
                <w:szCs w:val="23"/>
              </w:rPr>
            </w:pPr>
            <w:r w:rsidRPr="005258A1">
              <w:rPr>
                <w:b/>
                <w:bCs/>
                <w:sz w:val="23"/>
                <w:szCs w:val="23"/>
              </w:rPr>
              <w:t>2,9</w:t>
            </w:r>
          </w:p>
        </w:tc>
      </w:tr>
      <w:tr w:rsidR="000F682A" w14:paraId="149D1693" w14:textId="77777777" w:rsidTr="00BD48A1">
        <w:trPr>
          <w:trHeight w:val="312"/>
        </w:trPr>
        <w:tc>
          <w:tcPr>
            <w:tcW w:w="9072" w:type="dxa"/>
            <w:tcBorders>
              <w:top w:val="nil"/>
              <w:left w:val="single" w:sz="8" w:space="0" w:color="auto"/>
              <w:bottom w:val="single" w:sz="4" w:space="0" w:color="auto"/>
              <w:right w:val="nil"/>
            </w:tcBorders>
            <w:shd w:val="clear" w:color="000000" w:fill="FCE4D6"/>
            <w:vAlign w:val="center"/>
            <w:hideMark/>
          </w:tcPr>
          <w:p w14:paraId="2EC0B427" w14:textId="77777777" w:rsidR="000F682A" w:rsidRPr="005258A1" w:rsidRDefault="000F682A" w:rsidP="00BD48A1">
            <w:pPr>
              <w:rPr>
                <w:b/>
                <w:bCs/>
                <w:i/>
                <w:iCs/>
                <w:sz w:val="23"/>
                <w:szCs w:val="23"/>
              </w:rPr>
            </w:pPr>
            <w:r w:rsidRPr="005258A1">
              <w:rPr>
                <w:b/>
                <w:bCs/>
                <w:i/>
                <w:iCs/>
                <w:sz w:val="23"/>
                <w:szCs w:val="23"/>
              </w:rPr>
              <w:t xml:space="preserve">     A. Мерки за подкрепа на домакинствата</w:t>
            </w:r>
          </w:p>
        </w:tc>
        <w:tc>
          <w:tcPr>
            <w:tcW w:w="851" w:type="dxa"/>
            <w:tcBorders>
              <w:top w:val="nil"/>
              <w:left w:val="single" w:sz="4" w:space="0" w:color="auto"/>
              <w:bottom w:val="single" w:sz="4" w:space="0" w:color="auto"/>
              <w:right w:val="single" w:sz="4" w:space="0" w:color="auto"/>
            </w:tcBorders>
            <w:shd w:val="clear" w:color="000000" w:fill="FCE4D6"/>
            <w:noWrap/>
            <w:vAlign w:val="bottom"/>
            <w:hideMark/>
          </w:tcPr>
          <w:p w14:paraId="31CC1B67" w14:textId="77777777" w:rsidR="000F682A" w:rsidRPr="005258A1" w:rsidRDefault="000F682A" w:rsidP="00BD48A1">
            <w:pPr>
              <w:jc w:val="right"/>
              <w:rPr>
                <w:b/>
                <w:bCs/>
                <w:color w:val="000000"/>
                <w:sz w:val="23"/>
                <w:szCs w:val="23"/>
              </w:rPr>
            </w:pPr>
            <w:r w:rsidRPr="005258A1">
              <w:rPr>
                <w:b/>
                <w:bCs/>
                <w:color w:val="000000"/>
                <w:sz w:val="23"/>
                <w:szCs w:val="23"/>
              </w:rPr>
              <w:t>1 842,8</w:t>
            </w:r>
          </w:p>
        </w:tc>
        <w:tc>
          <w:tcPr>
            <w:tcW w:w="850" w:type="dxa"/>
            <w:tcBorders>
              <w:top w:val="nil"/>
              <w:left w:val="nil"/>
              <w:bottom w:val="single" w:sz="4" w:space="0" w:color="auto"/>
              <w:right w:val="single" w:sz="4" w:space="0" w:color="auto"/>
            </w:tcBorders>
            <w:shd w:val="clear" w:color="000000" w:fill="FCE4D6"/>
            <w:noWrap/>
            <w:vAlign w:val="bottom"/>
            <w:hideMark/>
          </w:tcPr>
          <w:p w14:paraId="7E441315" w14:textId="77777777" w:rsidR="000F682A" w:rsidRPr="005258A1" w:rsidRDefault="000F682A" w:rsidP="00BD48A1">
            <w:pPr>
              <w:jc w:val="right"/>
              <w:rPr>
                <w:b/>
                <w:bCs/>
                <w:color w:val="000000"/>
                <w:sz w:val="23"/>
                <w:szCs w:val="23"/>
              </w:rPr>
            </w:pPr>
            <w:r w:rsidRPr="005258A1">
              <w:rPr>
                <w:b/>
                <w:bCs/>
                <w:color w:val="000000"/>
                <w:sz w:val="23"/>
                <w:szCs w:val="23"/>
              </w:rPr>
              <w:t>1,4</w:t>
            </w:r>
          </w:p>
        </w:tc>
      </w:tr>
      <w:tr w:rsidR="000F682A" w14:paraId="02CF29C5" w14:textId="77777777" w:rsidTr="00BD48A1">
        <w:trPr>
          <w:trHeight w:val="59"/>
        </w:trPr>
        <w:tc>
          <w:tcPr>
            <w:tcW w:w="907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977C850" w14:textId="77777777" w:rsidR="000F682A" w:rsidRPr="00592730" w:rsidRDefault="000F682A" w:rsidP="00BD48A1">
            <w:pPr>
              <w:ind w:firstLineChars="100" w:firstLine="180"/>
              <w:rPr>
                <w:sz w:val="18"/>
                <w:szCs w:val="18"/>
              </w:rPr>
            </w:pPr>
            <w:r w:rsidRPr="00592730">
              <w:rPr>
                <w:sz w:val="18"/>
                <w:szCs w:val="18"/>
              </w:rPr>
              <w:t>от тях:</w:t>
            </w:r>
          </w:p>
        </w:tc>
        <w:tc>
          <w:tcPr>
            <w:tcW w:w="851" w:type="dxa"/>
            <w:tcBorders>
              <w:top w:val="nil"/>
              <w:left w:val="nil"/>
              <w:bottom w:val="single" w:sz="4" w:space="0" w:color="auto"/>
              <w:right w:val="single" w:sz="4" w:space="0" w:color="auto"/>
            </w:tcBorders>
            <w:shd w:val="clear" w:color="auto" w:fill="auto"/>
            <w:noWrap/>
            <w:vAlign w:val="bottom"/>
            <w:hideMark/>
          </w:tcPr>
          <w:p w14:paraId="334C86C5" w14:textId="77777777" w:rsidR="000F682A" w:rsidRPr="00592730" w:rsidRDefault="000F682A" w:rsidP="00BD48A1">
            <w:pPr>
              <w:rPr>
                <w:b/>
                <w:bCs/>
                <w:color w:val="000000"/>
                <w:sz w:val="18"/>
                <w:szCs w:val="18"/>
              </w:rPr>
            </w:pPr>
            <w:r w:rsidRPr="00592730">
              <w:rPr>
                <w:b/>
                <w:b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19DB0803" w14:textId="77777777" w:rsidR="000F682A" w:rsidRPr="00592730" w:rsidRDefault="000F682A" w:rsidP="00BD48A1">
            <w:pPr>
              <w:rPr>
                <w:bCs/>
                <w:color w:val="000000"/>
                <w:sz w:val="18"/>
                <w:szCs w:val="18"/>
              </w:rPr>
            </w:pPr>
            <w:r w:rsidRPr="00592730">
              <w:rPr>
                <w:b/>
                <w:bCs/>
                <w:color w:val="000000"/>
                <w:sz w:val="18"/>
                <w:szCs w:val="18"/>
              </w:rPr>
              <w:t> </w:t>
            </w:r>
          </w:p>
        </w:tc>
      </w:tr>
      <w:tr w:rsidR="000F682A" w14:paraId="565F6578" w14:textId="77777777" w:rsidTr="00BD48A1">
        <w:trPr>
          <w:trHeight w:val="316"/>
        </w:trPr>
        <w:tc>
          <w:tcPr>
            <w:tcW w:w="9072" w:type="dxa"/>
            <w:tcBorders>
              <w:top w:val="single" w:sz="4" w:space="0" w:color="auto"/>
              <w:left w:val="single" w:sz="4" w:space="0" w:color="auto"/>
              <w:bottom w:val="single" w:sz="4" w:space="0" w:color="auto"/>
              <w:right w:val="nil"/>
            </w:tcBorders>
            <w:shd w:val="clear" w:color="auto" w:fill="auto"/>
            <w:vAlign w:val="bottom"/>
            <w:hideMark/>
          </w:tcPr>
          <w:p w14:paraId="60821367" w14:textId="77777777" w:rsidR="000F682A" w:rsidRPr="00592730" w:rsidRDefault="000F682A" w:rsidP="00BD48A1">
            <w:pPr>
              <w:rPr>
                <w:sz w:val="22"/>
                <w:szCs w:val="22"/>
              </w:rPr>
            </w:pPr>
            <w:r w:rsidRPr="00592730">
              <w:rPr>
                <w:sz w:val="22"/>
                <w:szCs w:val="22"/>
              </w:rPr>
              <w:t>Еднократно изплащане на допълнителни суми към пенсиите в размер на 50 лева за периода януари-септември 2021 г.</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2F3008" w14:textId="77777777" w:rsidR="000F682A" w:rsidRPr="00592730" w:rsidRDefault="000F682A" w:rsidP="00BD48A1">
            <w:pPr>
              <w:jc w:val="right"/>
              <w:rPr>
                <w:sz w:val="22"/>
                <w:szCs w:val="22"/>
              </w:rPr>
            </w:pPr>
            <w:r w:rsidRPr="00592730">
              <w:rPr>
                <w:sz w:val="22"/>
                <w:szCs w:val="22"/>
              </w:rPr>
              <w:t>948,6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2529D0B" w14:textId="77777777" w:rsidR="000F682A" w:rsidRPr="00592730" w:rsidRDefault="000F682A" w:rsidP="00BD48A1">
            <w:pPr>
              <w:jc w:val="right"/>
              <w:rPr>
                <w:bCs/>
                <w:sz w:val="22"/>
                <w:szCs w:val="22"/>
              </w:rPr>
            </w:pPr>
            <w:r w:rsidRPr="00592730">
              <w:rPr>
                <w:bCs/>
                <w:sz w:val="22"/>
                <w:szCs w:val="22"/>
              </w:rPr>
              <w:t>0,7</w:t>
            </w:r>
          </w:p>
        </w:tc>
      </w:tr>
      <w:tr w:rsidR="000F682A" w14:paraId="7194093D" w14:textId="77777777" w:rsidTr="00BD48A1">
        <w:trPr>
          <w:trHeight w:val="59"/>
        </w:trPr>
        <w:tc>
          <w:tcPr>
            <w:tcW w:w="9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C48875" w14:textId="77777777" w:rsidR="000F682A" w:rsidRPr="00592730" w:rsidRDefault="000F682A" w:rsidP="00BD48A1">
            <w:pPr>
              <w:rPr>
                <w:sz w:val="22"/>
                <w:szCs w:val="22"/>
              </w:rPr>
            </w:pPr>
            <w:r w:rsidRPr="00592730">
              <w:rPr>
                <w:sz w:val="22"/>
                <w:szCs w:val="22"/>
              </w:rPr>
              <w:t>Увеличение на размера на минималната пенсия от 250 лв. и на 300 лв., от 1 януари 2021 г.</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2B3BE82" w14:textId="77777777" w:rsidR="000F682A" w:rsidRPr="00592730" w:rsidRDefault="000F682A" w:rsidP="00BD48A1">
            <w:pPr>
              <w:jc w:val="right"/>
              <w:rPr>
                <w:color w:val="000000"/>
                <w:sz w:val="22"/>
                <w:szCs w:val="22"/>
              </w:rPr>
            </w:pPr>
            <w:r w:rsidRPr="00592730">
              <w:rPr>
                <w:color w:val="000000"/>
                <w:sz w:val="22"/>
                <w:szCs w:val="22"/>
              </w:rPr>
              <w:t>370,8</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4A03812" w14:textId="77777777" w:rsidR="000F682A" w:rsidRPr="00592730" w:rsidRDefault="000F682A" w:rsidP="00BD48A1">
            <w:pPr>
              <w:jc w:val="right"/>
              <w:rPr>
                <w:bCs/>
                <w:color w:val="000000"/>
                <w:sz w:val="22"/>
                <w:szCs w:val="22"/>
              </w:rPr>
            </w:pPr>
            <w:r w:rsidRPr="00592730">
              <w:rPr>
                <w:bCs/>
                <w:color w:val="000000"/>
                <w:sz w:val="22"/>
                <w:szCs w:val="22"/>
              </w:rPr>
              <w:t>0,3</w:t>
            </w:r>
          </w:p>
        </w:tc>
      </w:tr>
      <w:tr w:rsidR="000F682A" w14:paraId="493F865E" w14:textId="77777777" w:rsidTr="00BD48A1">
        <w:trPr>
          <w:trHeight w:val="312"/>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57336F48" w14:textId="77777777" w:rsidR="000F682A" w:rsidRPr="00592730" w:rsidRDefault="000F682A" w:rsidP="00BD48A1">
            <w:pPr>
              <w:rPr>
                <w:sz w:val="22"/>
                <w:szCs w:val="22"/>
              </w:rPr>
            </w:pPr>
            <w:r w:rsidRPr="00592730">
              <w:rPr>
                <w:sz w:val="22"/>
                <w:szCs w:val="22"/>
              </w:rPr>
              <w:t>Увеличаване на разходите за краткосрочни обезщетения и помощи</w:t>
            </w:r>
          </w:p>
        </w:tc>
        <w:tc>
          <w:tcPr>
            <w:tcW w:w="851" w:type="dxa"/>
            <w:tcBorders>
              <w:top w:val="nil"/>
              <w:left w:val="nil"/>
              <w:bottom w:val="single" w:sz="4" w:space="0" w:color="auto"/>
              <w:right w:val="single" w:sz="4" w:space="0" w:color="auto"/>
            </w:tcBorders>
            <w:shd w:val="clear" w:color="auto" w:fill="auto"/>
            <w:noWrap/>
            <w:vAlign w:val="bottom"/>
            <w:hideMark/>
          </w:tcPr>
          <w:p w14:paraId="6B40FC63" w14:textId="77777777" w:rsidR="000F682A" w:rsidRPr="00592730" w:rsidRDefault="000F682A" w:rsidP="00BD48A1">
            <w:pPr>
              <w:jc w:val="right"/>
              <w:rPr>
                <w:color w:val="000000"/>
                <w:sz w:val="22"/>
                <w:szCs w:val="22"/>
              </w:rPr>
            </w:pPr>
            <w:r w:rsidRPr="00592730">
              <w:rPr>
                <w:color w:val="000000"/>
                <w:sz w:val="22"/>
                <w:szCs w:val="22"/>
              </w:rPr>
              <w:t>216,8</w:t>
            </w:r>
          </w:p>
        </w:tc>
        <w:tc>
          <w:tcPr>
            <w:tcW w:w="850" w:type="dxa"/>
            <w:tcBorders>
              <w:top w:val="nil"/>
              <w:left w:val="nil"/>
              <w:bottom w:val="single" w:sz="4" w:space="0" w:color="auto"/>
              <w:right w:val="single" w:sz="4" w:space="0" w:color="auto"/>
            </w:tcBorders>
            <w:shd w:val="clear" w:color="auto" w:fill="auto"/>
            <w:noWrap/>
            <w:vAlign w:val="bottom"/>
            <w:hideMark/>
          </w:tcPr>
          <w:p w14:paraId="371F5CFF" w14:textId="77777777" w:rsidR="000F682A" w:rsidRPr="00592730" w:rsidRDefault="000F682A" w:rsidP="00BD48A1">
            <w:pPr>
              <w:jc w:val="right"/>
              <w:rPr>
                <w:bCs/>
                <w:color w:val="000000"/>
                <w:sz w:val="22"/>
                <w:szCs w:val="22"/>
              </w:rPr>
            </w:pPr>
            <w:r w:rsidRPr="00592730">
              <w:rPr>
                <w:bCs/>
                <w:color w:val="000000"/>
                <w:sz w:val="22"/>
                <w:szCs w:val="22"/>
              </w:rPr>
              <w:t>0,2</w:t>
            </w:r>
          </w:p>
        </w:tc>
      </w:tr>
      <w:tr w:rsidR="000F682A" w14:paraId="1F6D1102" w14:textId="77777777" w:rsidTr="00BD48A1">
        <w:trPr>
          <w:trHeight w:val="92"/>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251294EC" w14:textId="77777777" w:rsidR="000F682A" w:rsidRPr="00592730" w:rsidRDefault="000F682A" w:rsidP="00BD48A1">
            <w:pPr>
              <w:rPr>
                <w:sz w:val="22"/>
                <w:szCs w:val="22"/>
              </w:rPr>
            </w:pPr>
            <w:r w:rsidRPr="00592730">
              <w:rPr>
                <w:sz w:val="22"/>
                <w:szCs w:val="22"/>
              </w:rPr>
              <w:t>Реализиране на програми за заетост и мерки за обучение за подкрепа на безработните лица и работодателите</w:t>
            </w:r>
          </w:p>
        </w:tc>
        <w:tc>
          <w:tcPr>
            <w:tcW w:w="851" w:type="dxa"/>
            <w:tcBorders>
              <w:top w:val="nil"/>
              <w:left w:val="nil"/>
              <w:bottom w:val="single" w:sz="4" w:space="0" w:color="auto"/>
              <w:right w:val="single" w:sz="4" w:space="0" w:color="auto"/>
            </w:tcBorders>
            <w:shd w:val="clear" w:color="auto" w:fill="auto"/>
            <w:noWrap/>
            <w:vAlign w:val="bottom"/>
            <w:hideMark/>
          </w:tcPr>
          <w:p w14:paraId="54E7F43B" w14:textId="77777777" w:rsidR="000F682A" w:rsidRPr="00592730" w:rsidRDefault="000F682A" w:rsidP="00BD48A1">
            <w:pPr>
              <w:jc w:val="right"/>
              <w:rPr>
                <w:color w:val="000000"/>
                <w:sz w:val="22"/>
                <w:szCs w:val="22"/>
              </w:rPr>
            </w:pPr>
            <w:r w:rsidRPr="00592730">
              <w:rPr>
                <w:color w:val="000000"/>
                <w:sz w:val="22"/>
                <w:szCs w:val="22"/>
              </w:rPr>
              <w:t>185,7</w:t>
            </w:r>
          </w:p>
        </w:tc>
        <w:tc>
          <w:tcPr>
            <w:tcW w:w="850" w:type="dxa"/>
            <w:tcBorders>
              <w:top w:val="nil"/>
              <w:left w:val="nil"/>
              <w:bottom w:val="single" w:sz="4" w:space="0" w:color="auto"/>
              <w:right w:val="single" w:sz="4" w:space="0" w:color="auto"/>
            </w:tcBorders>
            <w:shd w:val="clear" w:color="auto" w:fill="auto"/>
            <w:noWrap/>
            <w:vAlign w:val="bottom"/>
            <w:hideMark/>
          </w:tcPr>
          <w:p w14:paraId="619154BF" w14:textId="77777777" w:rsidR="000F682A" w:rsidRPr="00592730" w:rsidRDefault="000F682A" w:rsidP="00BD48A1">
            <w:pPr>
              <w:jc w:val="right"/>
              <w:rPr>
                <w:bCs/>
                <w:color w:val="000000"/>
                <w:sz w:val="22"/>
                <w:szCs w:val="22"/>
              </w:rPr>
            </w:pPr>
            <w:r w:rsidRPr="00592730">
              <w:rPr>
                <w:bCs/>
                <w:color w:val="000000"/>
                <w:sz w:val="22"/>
                <w:szCs w:val="22"/>
              </w:rPr>
              <w:t>0,1</w:t>
            </w:r>
          </w:p>
        </w:tc>
      </w:tr>
      <w:tr w:rsidR="000F682A" w14:paraId="2C4F7A77" w14:textId="77777777" w:rsidTr="00BD48A1">
        <w:trPr>
          <w:trHeight w:val="171"/>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3632499A" w14:textId="77777777" w:rsidR="000F682A" w:rsidRPr="00592730" w:rsidRDefault="000F682A" w:rsidP="00BD48A1">
            <w:pPr>
              <w:rPr>
                <w:sz w:val="22"/>
                <w:szCs w:val="22"/>
              </w:rPr>
            </w:pPr>
            <w:r w:rsidRPr="00592730">
              <w:rPr>
                <w:sz w:val="22"/>
                <w:szCs w:val="22"/>
              </w:rPr>
              <w:t>Подкрепа на семейства с деца до 14-г. възраст, при които родителите не могат да извършват дистанционна работа от вкъщи и нямат възможност да ползват платен отпуск</w:t>
            </w:r>
          </w:p>
        </w:tc>
        <w:tc>
          <w:tcPr>
            <w:tcW w:w="851" w:type="dxa"/>
            <w:tcBorders>
              <w:top w:val="nil"/>
              <w:left w:val="nil"/>
              <w:bottom w:val="single" w:sz="4" w:space="0" w:color="auto"/>
              <w:right w:val="single" w:sz="4" w:space="0" w:color="auto"/>
            </w:tcBorders>
            <w:shd w:val="clear" w:color="auto" w:fill="auto"/>
            <w:noWrap/>
            <w:vAlign w:val="bottom"/>
            <w:hideMark/>
          </w:tcPr>
          <w:p w14:paraId="423E648C" w14:textId="77777777" w:rsidR="000F682A" w:rsidRPr="00592730" w:rsidRDefault="000F682A" w:rsidP="00BD48A1">
            <w:pPr>
              <w:jc w:val="right"/>
              <w:rPr>
                <w:color w:val="000000"/>
                <w:sz w:val="22"/>
                <w:szCs w:val="22"/>
              </w:rPr>
            </w:pPr>
            <w:r w:rsidRPr="00592730">
              <w:rPr>
                <w:color w:val="000000"/>
                <w:sz w:val="22"/>
                <w:szCs w:val="22"/>
              </w:rPr>
              <w:t>57,1</w:t>
            </w:r>
          </w:p>
        </w:tc>
        <w:tc>
          <w:tcPr>
            <w:tcW w:w="850" w:type="dxa"/>
            <w:tcBorders>
              <w:top w:val="nil"/>
              <w:left w:val="nil"/>
              <w:bottom w:val="single" w:sz="4" w:space="0" w:color="auto"/>
              <w:right w:val="single" w:sz="4" w:space="0" w:color="auto"/>
            </w:tcBorders>
            <w:shd w:val="clear" w:color="auto" w:fill="auto"/>
            <w:noWrap/>
            <w:vAlign w:val="bottom"/>
            <w:hideMark/>
          </w:tcPr>
          <w:p w14:paraId="6EA43343" w14:textId="77777777" w:rsidR="000F682A" w:rsidRPr="00592730" w:rsidRDefault="000F682A" w:rsidP="00BD48A1">
            <w:pPr>
              <w:jc w:val="right"/>
              <w:rPr>
                <w:bCs/>
                <w:color w:val="000000"/>
                <w:sz w:val="22"/>
                <w:szCs w:val="22"/>
              </w:rPr>
            </w:pPr>
            <w:r w:rsidRPr="00592730">
              <w:rPr>
                <w:bCs/>
                <w:color w:val="000000"/>
                <w:sz w:val="22"/>
                <w:szCs w:val="22"/>
              </w:rPr>
              <w:t>0,0</w:t>
            </w:r>
          </w:p>
        </w:tc>
      </w:tr>
      <w:tr w:rsidR="000F682A" w14:paraId="59824E71" w14:textId="77777777" w:rsidTr="00BD48A1">
        <w:trPr>
          <w:trHeight w:val="303"/>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0019FB14" w14:textId="77777777" w:rsidR="000F682A" w:rsidRPr="00592730" w:rsidRDefault="000F682A" w:rsidP="00BD48A1">
            <w:pPr>
              <w:rPr>
                <w:sz w:val="22"/>
                <w:szCs w:val="22"/>
              </w:rPr>
            </w:pPr>
            <w:r w:rsidRPr="00592730">
              <w:rPr>
                <w:sz w:val="22"/>
                <w:szCs w:val="22"/>
              </w:rPr>
              <w:t>Еднократна финансова подкрепа за хранителни продукти в размер на 120 лв. на пенсионери, на които пенсията или сборът от пенсиите заедно с добавките и компенсациите към тях е от 300,01 лв. до 369 лв. включително</w:t>
            </w:r>
          </w:p>
        </w:tc>
        <w:tc>
          <w:tcPr>
            <w:tcW w:w="851" w:type="dxa"/>
            <w:tcBorders>
              <w:top w:val="nil"/>
              <w:left w:val="nil"/>
              <w:bottom w:val="single" w:sz="4" w:space="0" w:color="auto"/>
              <w:right w:val="single" w:sz="4" w:space="0" w:color="auto"/>
            </w:tcBorders>
            <w:shd w:val="clear" w:color="auto" w:fill="auto"/>
            <w:noWrap/>
            <w:vAlign w:val="bottom"/>
            <w:hideMark/>
          </w:tcPr>
          <w:p w14:paraId="7FC1EB8E" w14:textId="77777777" w:rsidR="000F682A" w:rsidRPr="00592730" w:rsidRDefault="000F682A" w:rsidP="00BD48A1">
            <w:pPr>
              <w:jc w:val="right"/>
              <w:rPr>
                <w:color w:val="000000"/>
                <w:sz w:val="22"/>
                <w:szCs w:val="22"/>
              </w:rPr>
            </w:pPr>
            <w:r w:rsidRPr="00592730">
              <w:rPr>
                <w:color w:val="000000"/>
                <w:sz w:val="22"/>
                <w:szCs w:val="22"/>
              </w:rPr>
              <w:t>45,2</w:t>
            </w:r>
          </w:p>
        </w:tc>
        <w:tc>
          <w:tcPr>
            <w:tcW w:w="850" w:type="dxa"/>
            <w:tcBorders>
              <w:top w:val="nil"/>
              <w:left w:val="nil"/>
              <w:bottom w:val="single" w:sz="4" w:space="0" w:color="auto"/>
              <w:right w:val="single" w:sz="4" w:space="0" w:color="auto"/>
            </w:tcBorders>
            <w:shd w:val="clear" w:color="auto" w:fill="auto"/>
            <w:noWrap/>
            <w:vAlign w:val="bottom"/>
            <w:hideMark/>
          </w:tcPr>
          <w:p w14:paraId="4D7696C1" w14:textId="77777777" w:rsidR="000F682A" w:rsidRPr="00592730" w:rsidRDefault="000F682A" w:rsidP="00BD48A1">
            <w:pPr>
              <w:jc w:val="right"/>
              <w:rPr>
                <w:bCs/>
                <w:color w:val="000000"/>
                <w:sz w:val="22"/>
                <w:szCs w:val="22"/>
              </w:rPr>
            </w:pPr>
            <w:r w:rsidRPr="00592730">
              <w:rPr>
                <w:bCs/>
                <w:color w:val="000000"/>
                <w:sz w:val="22"/>
                <w:szCs w:val="22"/>
              </w:rPr>
              <w:t>0,0</w:t>
            </w:r>
          </w:p>
        </w:tc>
      </w:tr>
      <w:tr w:rsidR="000F682A" w14:paraId="157D9C6F" w14:textId="77777777" w:rsidTr="00BD48A1">
        <w:trPr>
          <w:trHeight w:val="312"/>
        </w:trPr>
        <w:tc>
          <w:tcPr>
            <w:tcW w:w="907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77082734" w14:textId="77777777" w:rsidR="000F682A" w:rsidRPr="00A01CB5" w:rsidRDefault="000F682A" w:rsidP="00BD48A1">
            <w:pPr>
              <w:rPr>
                <w:b/>
                <w:bCs/>
                <w:i/>
                <w:iCs/>
                <w:sz w:val="23"/>
                <w:szCs w:val="23"/>
              </w:rPr>
            </w:pPr>
            <w:r w:rsidRPr="00A01CB5">
              <w:rPr>
                <w:b/>
                <w:bCs/>
                <w:i/>
                <w:iCs/>
                <w:sz w:val="23"/>
                <w:szCs w:val="23"/>
              </w:rPr>
              <w:t xml:space="preserve">     Б. Мерки за подкрепа на бизнеса</w:t>
            </w:r>
          </w:p>
        </w:tc>
        <w:tc>
          <w:tcPr>
            <w:tcW w:w="851"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0ED4F426" w14:textId="77777777" w:rsidR="000F682A" w:rsidRPr="005258A1" w:rsidRDefault="000F682A" w:rsidP="00BD48A1">
            <w:pPr>
              <w:jc w:val="right"/>
              <w:rPr>
                <w:b/>
                <w:bCs/>
                <w:color w:val="000000"/>
                <w:sz w:val="23"/>
                <w:szCs w:val="23"/>
              </w:rPr>
            </w:pPr>
            <w:r w:rsidRPr="005258A1">
              <w:rPr>
                <w:b/>
                <w:bCs/>
                <w:color w:val="000000"/>
                <w:sz w:val="23"/>
                <w:szCs w:val="23"/>
              </w:rPr>
              <w:t>739,3</w:t>
            </w:r>
          </w:p>
        </w:tc>
        <w:tc>
          <w:tcPr>
            <w:tcW w:w="85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1AA70BD5" w14:textId="77777777" w:rsidR="000F682A" w:rsidRPr="005258A1" w:rsidRDefault="000F682A" w:rsidP="00BD48A1">
            <w:pPr>
              <w:jc w:val="right"/>
              <w:rPr>
                <w:b/>
                <w:bCs/>
                <w:color w:val="000000"/>
                <w:sz w:val="23"/>
                <w:szCs w:val="23"/>
              </w:rPr>
            </w:pPr>
            <w:r w:rsidRPr="005258A1">
              <w:rPr>
                <w:b/>
                <w:bCs/>
                <w:color w:val="000000"/>
                <w:sz w:val="23"/>
                <w:szCs w:val="23"/>
              </w:rPr>
              <w:t>0,6</w:t>
            </w:r>
          </w:p>
        </w:tc>
      </w:tr>
      <w:tr w:rsidR="000F682A" w14:paraId="69554F7A" w14:textId="77777777" w:rsidTr="00BD48A1">
        <w:trPr>
          <w:trHeight w:val="59"/>
        </w:trPr>
        <w:tc>
          <w:tcPr>
            <w:tcW w:w="9072"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EE70EB1" w14:textId="77777777" w:rsidR="000F682A" w:rsidRPr="00592730" w:rsidRDefault="000F682A" w:rsidP="00BD48A1">
            <w:pPr>
              <w:ind w:firstLineChars="100" w:firstLine="180"/>
              <w:rPr>
                <w:sz w:val="18"/>
                <w:szCs w:val="18"/>
              </w:rPr>
            </w:pPr>
            <w:r w:rsidRPr="00592730">
              <w:rPr>
                <w:sz w:val="18"/>
                <w:szCs w:val="18"/>
              </w:rPr>
              <w:t>от тях:</w:t>
            </w:r>
          </w:p>
        </w:tc>
        <w:tc>
          <w:tcPr>
            <w:tcW w:w="851" w:type="dxa"/>
            <w:tcBorders>
              <w:top w:val="nil"/>
              <w:left w:val="nil"/>
              <w:bottom w:val="single" w:sz="4" w:space="0" w:color="auto"/>
              <w:right w:val="single" w:sz="4" w:space="0" w:color="auto"/>
            </w:tcBorders>
            <w:shd w:val="clear" w:color="auto" w:fill="auto"/>
            <w:noWrap/>
            <w:vAlign w:val="bottom"/>
            <w:hideMark/>
          </w:tcPr>
          <w:p w14:paraId="512B50E6" w14:textId="77777777" w:rsidR="000F682A" w:rsidRPr="00592730" w:rsidRDefault="000F682A" w:rsidP="00BD48A1">
            <w:pPr>
              <w:rPr>
                <w:b/>
                <w:bCs/>
                <w:color w:val="000000"/>
                <w:sz w:val="18"/>
                <w:szCs w:val="18"/>
              </w:rPr>
            </w:pPr>
            <w:r w:rsidRPr="00592730">
              <w:rPr>
                <w:b/>
                <w:bCs/>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5CB7507" w14:textId="77777777" w:rsidR="000F682A" w:rsidRPr="00592730" w:rsidRDefault="000F682A" w:rsidP="00BD48A1">
            <w:pPr>
              <w:rPr>
                <w:bCs/>
                <w:color w:val="000000"/>
                <w:sz w:val="18"/>
                <w:szCs w:val="18"/>
              </w:rPr>
            </w:pPr>
            <w:r w:rsidRPr="00592730">
              <w:rPr>
                <w:bCs/>
                <w:color w:val="000000"/>
                <w:sz w:val="18"/>
                <w:szCs w:val="18"/>
              </w:rPr>
              <w:t> </w:t>
            </w:r>
          </w:p>
        </w:tc>
      </w:tr>
      <w:tr w:rsidR="000F682A" w14:paraId="0679C500" w14:textId="77777777" w:rsidTr="00BD48A1">
        <w:trPr>
          <w:trHeight w:val="59"/>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08D6F588" w14:textId="77777777" w:rsidR="000F682A" w:rsidRPr="00592730" w:rsidRDefault="000F682A" w:rsidP="00BD48A1">
            <w:pPr>
              <w:rPr>
                <w:color w:val="000000"/>
                <w:sz w:val="22"/>
                <w:szCs w:val="22"/>
              </w:rPr>
            </w:pPr>
            <w:r w:rsidRPr="00592730">
              <w:rPr>
                <w:color w:val="000000"/>
                <w:sz w:val="22"/>
                <w:szCs w:val="22"/>
              </w:rPr>
              <w:t>Запазване на работните места в страната т. нар. мярка „60/40“</w:t>
            </w:r>
          </w:p>
        </w:tc>
        <w:tc>
          <w:tcPr>
            <w:tcW w:w="851" w:type="dxa"/>
            <w:tcBorders>
              <w:top w:val="nil"/>
              <w:left w:val="nil"/>
              <w:bottom w:val="single" w:sz="4" w:space="0" w:color="auto"/>
              <w:right w:val="single" w:sz="4" w:space="0" w:color="auto"/>
            </w:tcBorders>
            <w:shd w:val="clear" w:color="auto" w:fill="auto"/>
            <w:noWrap/>
            <w:vAlign w:val="bottom"/>
            <w:hideMark/>
          </w:tcPr>
          <w:p w14:paraId="39961FB3" w14:textId="77777777" w:rsidR="000F682A" w:rsidRPr="00592730" w:rsidRDefault="000F682A" w:rsidP="00BD48A1">
            <w:pPr>
              <w:jc w:val="right"/>
              <w:rPr>
                <w:color w:val="000000"/>
                <w:sz w:val="22"/>
                <w:szCs w:val="22"/>
              </w:rPr>
            </w:pPr>
            <w:r w:rsidRPr="00592730">
              <w:rPr>
                <w:color w:val="000000"/>
                <w:sz w:val="22"/>
                <w:szCs w:val="22"/>
              </w:rPr>
              <w:t>526,1</w:t>
            </w:r>
          </w:p>
        </w:tc>
        <w:tc>
          <w:tcPr>
            <w:tcW w:w="850" w:type="dxa"/>
            <w:tcBorders>
              <w:top w:val="nil"/>
              <w:left w:val="nil"/>
              <w:bottom w:val="single" w:sz="4" w:space="0" w:color="auto"/>
              <w:right w:val="single" w:sz="4" w:space="0" w:color="auto"/>
            </w:tcBorders>
            <w:shd w:val="clear" w:color="auto" w:fill="auto"/>
            <w:noWrap/>
            <w:vAlign w:val="bottom"/>
            <w:hideMark/>
          </w:tcPr>
          <w:p w14:paraId="4F4ADFD5" w14:textId="77777777" w:rsidR="000F682A" w:rsidRPr="00592730" w:rsidRDefault="000F682A" w:rsidP="00BD48A1">
            <w:pPr>
              <w:jc w:val="right"/>
              <w:rPr>
                <w:bCs/>
                <w:color w:val="000000"/>
                <w:sz w:val="22"/>
                <w:szCs w:val="22"/>
              </w:rPr>
            </w:pPr>
            <w:r w:rsidRPr="00592730">
              <w:rPr>
                <w:bCs/>
                <w:color w:val="000000"/>
                <w:sz w:val="22"/>
                <w:szCs w:val="22"/>
              </w:rPr>
              <w:t>0,4</w:t>
            </w:r>
          </w:p>
        </w:tc>
      </w:tr>
      <w:tr w:rsidR="000F682A" w14:paraId="2F4B1F8D" w14:textId="77777777" w:rsidTr="00BD48A1">
        <w:trPr>
          <w:trHeight w:val="855"/>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08874395" w14:textId="77777777" w:rsidR="000F682A" w:rsidRPr="00592730" w:rsidRDefault="000F682A" w:rsidP="00BD48A1">
            <w:pPr>
              <w:rPr>
                <w:sz w:val="22"/>
                <w:szCs w:val="22"/>
              </w:rPr>
            </w:pPr>
            <w:r w:rsidRPr="00592730">
              <w:rPr>
                <w:sz w:val="22"/>
                <w:szCs w:val="22"/>
              </w:rPr>
              <w:t>Процедура BG16RFOP002-2.094 "Подкрепа чрез оборотен капитал за МСП, засегнати от временните противоепидемични мерки чрез прилагане на схема за подпомагане от Национална агенция за приходите (НАП)" по оперативна програма „Иновации и конкурентоспособност“ 2014-2020 (ОПИК)</w:t>
            </w:r>
          </w:p>
        </w:tc>
        <w:tc>
          <w:tcPr>
            <w:tcW w:w="851" w:type="dxa"/>
            <w:tcBorders>
              <w:top w:val="nil"/>
              <w:left w:val="nil"/>
              <w:bottom w:val="single" w:sz="4" w:space="0" w:color="auto"/>
              <w:right w:val="single" w:sz="4" w:space="0" w:color="auto"/>
            </w:tcBorders>
            <w:shd w:val="clear" w:color="auto" w:fill="auto"/>
            <w:noWrap/>
            <w:vAlign w:val="bottom"/>
            <w:hideMark/>
          </w:tcPr>
          <w:p w14:paraId="48384F8B" w14:textId="77777777" w:rsidR="000F682A" w:rsidRPr="00592730" w:rsidRDefault="000F682A" w:rsidP="00BD48A1">
            <w:pPr>
              <w:jc w:val="right"/>
              <w:rPr>
                <w:sz w:val="22"/>
                <w:szCs w:val="22"/>
              </w:rPr>
            </w:pPr>
            <w:r w:rsidRPr="00592730">
              <w:rPr>
                <w:sz w:val="22"/>
                <w:szCs w:val="22"/>
              </w:rPr>
              <w:t>131,7</w:t>
            </w:r>
          </w:p>
        </w:tc>
        <w:tc>
          <w:tcPr>
            <w:tcW w:w="850" w:type="dxa"/>
            <w:tcBorders>
              <w:top w:val="nil"/>
              <w:left w:val="nil"/>
              <w:bottom w:val="single" w:sz="4" w:space="0" w:color="auto"/>
              <w:right w:val="single" w:sz="4" w:space="0" w:color="auto"/>
            </w:tcBorders>
            <w:shd w:val="clear" w:color="auto" w:fill="auto"/>
            <w:noWrap/>
            <w:vAlign w:val="bottom"/>
            <w:hideMark/>
          </w:tcPr>
          <w:p w14:paraId="33506BFA" w14:textId="77777777" w:rsidR="000F682A" w:rsidRPr="00592730" w:rsidRDefault="000F682A" w:rsidP="00BD48A1">
            <w:pPr>
              <w:jc w:val="right"/>
              <w:rPr>
                <w:bCs/>
                <w:sz w:val="22"/>
                <w:szCs w:val="22"/>
              </w:rPr>
            </w:pPr>
            <w:r w:rsidRPr="00592730">
              <w:rPr>
                <w:bCs/>
                <w:sz w:val="22"/>
                <w:szCs w:val="22"/>
              </w:rPr>
              <w:t>0,1</w:t>
            </w:r>
          </w:p>
        </w:tc>
      </w:tr>
      <w:tr w:rsidR="000F682A" w14:paraId="0D741615" w14:textId="77777777" w:rsidTr="00BD48A1">
        <w:trPr>
          <w:trHeight w:val="545"/>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700633DE" w14:textId="77777777" w:rsidR="000F682A" w:rsidRPr="00592730" w:rsidRDefault="000F682A" w:rsidP="00BD48A1">
            <w:pPr>
              <w:rPr>
                <w:color w:val="000000"/>
                <w:sz w:val="22"/>
                <w:szCs w:val="22"/>
              </w:rPr>
            </w:pPr>
            <w:r w:rsidRPr="00592730">
              <w:rPr>
                <w:color w:val="000000"/>
                <w:sz w:val="22"/>
                <w:szCs w:val="22"/>
              </w:rPr>
              <w:t>Финансова подкрепа за български творци и артисти пряко засегнати от преустановяването на  масови мероприятия на територията на страната, включително културно-развлекателни</w:t>
            </w:r>
          </w:p>
        </w:tc>
        <w:tc>
          <w:tcPr>
            <w:tcW w:w="851" w:type="dxa"/>
            <w:tcBorders>
              <w:top w:val="nil"/>
              <w:left w:val="nil"/>
              <w:bottom w:val="single" w:sz="4" w:space="0" w:color="auto"/>
              <w:right w:val="single" w:sz="4" w:space="0" w:color="auto"/>
            </w:tcBorders>
            <w:shd w:val="clear" w:color="auto" w:fill="auto"/>
            <w:noWrap/>
            <w:vAlign w:val="bottom"/>
            <w:hideMark/>
          </w:tcPr>
          <w:p w14:paraId="3900CF13" w14:textId="77777777" w:rsidR="000F682A" w:rsidRPr="00592730" w:rsidRDefault="000F682A" w:rsidP="00BD48A1">
            <w:pPr>
              <w:jc w:val="right"/>
              <w:rPr>
                <w:color w:val="000000"/>
                <w:sz w:val="22"/>
                <w:szCs w:val="22"/>
              </w:rPr>
            </w:pPr>
            <w:r w:rsidRPr="00592730">
              <w:rPr>
                <w:color w:val="000000"/>
                <w:sz w:val="22"/>
                <w:szCs w:val="22"/>
              </w:rPr>
              <w:t>54,9</w:t>
            </w:r>
          </w:p>
        </w:tc>
        <w:tc>
          <w:tcPr>
            <w:tcW w:w="850" w:type="dxa"/>
            <w:tcBorders>
              <w:top w:val="nil"/>
              <w:left w:val="nil"/>
              <w:bottom w:val="single" w:sz="4" w:space="0" w:color="auto"/>
              <w:right w:val="single" w:sz="4" w:space="0" w:color="auto"/>
            </w:tcBorders>
            <w:shd w:val="clear" w:color="auto" w:fill="auto"/>
            <w:noWrap/>
            <w:vAlign w:val="bottom"/>
            <w:hideMark/>
          </w:tcPr>
          <w:p w14:paraId="6F14D674" w14:textId="77777777" w:rsidR="000F682A" w:rsidRPr="00592730" w:rsidRDefault="000F682A" w:rsidP="00BD48A1">
            <w:pPr>
              <w:jc w:val="right"/>
              <w:rPr>
                <w:bCs/>
                <w:color w:val="000000"/>
                <w:sz w:val="22"/>
                <w:szCs w:val="22"/>
              </w:rPr>
            </w:pPr>
            <w:r w:rsidRPr="00592730">
              <w:rPr>
                <w:bCs/>
                <w:color w:val="000000"/>
                <w:sz w:val="22"/>
                <w:szCs w:val="22"/>
              </w:rPr>
              <w:t>0,0</w:t>
            </w:r>
          </w:p>
        </w:tc>
      </w:tr>
      <w:tr w:rsidR="000F682A" w14:paraId="46AB7D78" w14:textId="77777777" w:rsidTr="00BD48A1">
        <w:trPr>
          <w:trHeight w:val="171"/>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397FD382" w14:textId="77777777" w:rsidR="000F682A" w:rsidRPr="00592730" w:rsidRDefault="000F682A" w:rsidP="00BD48A1">
            <w:pPr>
              <w:rPr>
                <w:sz w:val="22"/>
                <w:szCs w:val="22"/>
              </w:rPr>
            </w:pPr>
            <w:r w:rsidRPr="00592730">
              <w:rPr>
                <w:sz w:val="22"/>
                <w:szCs w:val="22"/>
              </w:rPr>
              <w:t>Процедура за директно предоставяне на безвъзмездна финансова помощ BG16RFOP002-2.079 "Подкрепа за МСП, извършващи автобусни превози, за преодоляване на икономическите последствия от пандемията COVID-19"</w:t>
            </w:r>
          </w:p>
        </w:tc>
        <w:tc>
          <w:tcPr>
            <w:tcW w:w="851" w:type="dxa"/>
            <w:tcBorders>
              <w:top w:val="nil"/>
              <w:left w:val="nil"/>
              <w:bottom w:val="single" w:sz="4" w:space="0" w:color="auto"/>
              <w:right w:val="single" w:sz="4" w:space="0" w:color="auto"/>
            </w:tcBorders>
            <w:shd w:val="clear" w:color="auto" w:fill="auto"/>
            <w:noWrap/>
            <w:vAlign w:val="bottom"/>
            <w:hideMark/>
          </w:tcPr>
          <w:p w14:paraId="77E1FEAF" w14:textId="77777777" w:rsidR="000F682A" w:rsidRPr="00592730" w:rsidRDefault="000F682A" w:rsidP="00BD48A1">
            <w:pPr>
              <w:jc w:val="right"/>
              <w:rPr>
                <w:sz w:val="22"/>
                <w:szCs w:val="22"/>
              </w:rPr>
            </w:pPr>
            <w:r w:rsidRPr="00592730">
              <w:rPr>
                <w:sz w:val="22"/>
                <w:szCs w:val="22"/>
              </w:rPr>
              <w:t>15,1</w:t>
            </w:r>
          </w:p>
        </w:tc>
        <w:tc>
          <w:tcPr>
            <w:tcW w:w="850" w:type="dxa"/>
            <w:tcBorders>
              <w:top w:val="nil"/>
              <w:left w:val="nil"/>
              <w:bottom w:val="single" w:sz="4" w:space="0" w:color="auto"/>
              <w:right w:val="single" w:sz="4" w:space="0" w:color="auto"/>
            </w:tcBorders>
            <w:shd w:val="clear" w:color="auto" w:fill="auto"/>
            <w:noWrap/>
            <w:vAlign w:val="bottom"/>
            <w:hideMark/>
          </w:tcPr>
          <w:p w14:paraId="33F48553" w14:textId="77777777" w:rsidR="000F682A" w:rsidRPr="00592730" w:rsidRDefault="000F682A" w:rsidP="00BD48A1">
            <w:pPr>
              <w:jc w:val="right"/>
              <w:rPr>
                <w:bCs/>
                <w:sz w:val="22"/>
                <w:szCs w:val="22"/>
              </w:rPr>
            </w:pPr>
            <w:r w:rsidRPr="00592730">
              <w:rPr>
                <w:bCs/>
                <w:sz w:val="22"/>
                <w:szCs w:val="22"/>
              </w:rPr>
              <w:t>0,0</w:t>
            </w:r>
          </w:p>
        </w:tc>
      </w:tr>
      <w:tr w:rsidR="000F682A" w14:paraId="58FE92AE" w14:textId="77777777" w:rsidTr="00BD48A1">
        <w:trPr>
          <w:trHeight w:val="359"/>
        </w:trPr>
        <w:tc>
          <w:tcPr>
            <w:tcW w:w="907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BF946E6" w14:textId="77777777" w:rsidR="000F682A" w:rsidRPr="00A01CB5" w:rsidRDefault="000F682A" w:rsidP="00BD48A1">
            <w:pPr>
              <w:rPr>
                <w:b/>
                <w:bCs/>
                <w:i/>
                <w:iCs/>
                <w:sz w:val="23"/>
                <w:szCs w:val="23"/>
              </w:rPr>
            </w:pPr>
            <w:r w:rsidRPr="00A01CB5">
              <w:rPr>
                <w:b/>
                <w:bCs/>
                <w:i/>
                <w:iCs/>
                <w:sz w:val="23"/>
                <w:szCs w:val="23"/>
              </w:rPr>
              <w:t xml:space="preserve">     В. Мерки за органите на държавното управление, натоварени с дейности по овладяване на пандемията и последствията от COVID-19</w:t>
            </w:r>
          </w:p>
        </w:tc>
        <w:tc>
          <w:tcPr>
            <w:tcW w:w="851"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521CB61" w14:textId="77777777" w:rsidR="000F682A" w:rsidRPr="005258A1" w:rsidRDefault="000F682A" w:rsidP="00BD48A1">
            <w:pPr>
              <w:jc w:val="right"/>
              <w:rPr>
                <w:b/>
                <w:bCs/>
                <w:color w:val="000000"/>
                <w:sz w:val="23"/>
                <w:szCs w:val="23"/>
              </w:rPr>
            </w:pPr>
            <w:r w:rsidRPr="005258A1">
              <w:rPr>
                <w:b/>
                <w:bCs/>
                <w:color w:val="000000"/>
                <w:sz w:val="23"/>
                <w:szCs w:val="23"/>
              </w:rPr>
              <w:t>1 182,4</w:t>
            </w:r>
          </w:p>
        </w:tc>
        <w:tc>
          <w:tcPr>
            <w:tcW w:w="850"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C8442AB" w14:textId="77777777" w:rsidR="000F682A" w:rsidRPr="005258A1" w:rsidRDefault="000F682A" w:rsidP="00BD48A1">
            <w:pPr>
              <w:jc w:val="right"/>
              <w:rPr>
                <w:b/>
                <w:bCs/>
                <w:color w:val="000000"/>
                <w:sz w:val="23"/>
                <w:szCs w:val="23"/>
              </w:rPr>
            </w:pPr>
            <w:r w:rsidRPr="005258A1">
              <w:rPr>
                <w:b/>
                <w:bCs/>
                <w:color w:val="000000"/>
                <w:sz w:val="23"/>
                <w:szCs w:val="23"/>
              </w:rPr>
              <w:t>0,9</w:t>
            </w:r>
          </w:p>
        </w:tc>
      </w:tr>
      <w:tr w:rsidR="000F682A" w14:paraId="5011E1D3" w14:textId="77777777" w:rsidTr="00BD48A1">
        <w:trPr>
          <w:trHeight w:val="59"/>
        </w:trPr>
        <w:tc>
          <w:tcPr>
            <w:tcW w:w="90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E0104" w14:textId="77777777" w:rsidR="000F682A" w:rsidRPr="00592730" w:rsidRDefault="000F682A" w:rsidP="00BD48A1">
            <w:pPr>
              <w:ind w:firstLineChars="100" w:firstLine="180"/>
              <w:rPr>
                <w:sz w:val="18"/>
                <w:szCs w:val="18"/>
              </w:rPr>
            </w:pPr>
            <w:r w:rsidRPr="00592730">
              <w:rPr>
                <w:sz w:val="18"/>
                <w:szCs w:val="18"/>
              </w:rPr>
              <w:t>от тях:</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089CE33" w14:textId="77777777" w:rsidR="000F682A" w:rsidRPr="00592730" w:rsidRDefault="000F682A" w:rsidP="00BD48A1">
            <w:pPr>
              <w:rPr>
                <w:b/>
                <w:bCs/>
                <w:color w:val="000000"/>
                <w:sz w:val="18"/>
                <w:szCs w:val="18"/>
              </w:rPr>
            </w:pPr>
            <w:r w:rsidRPr="00592730">
              <w:rPr>
                <w:b/>
                <w:bCs/>
                <w:color w:val="000000"/>
                <w:sz w:val="18"/>
                <w:szCs w:val="18"/>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B8228A" w14:textId="77777777" w:rsidR="000F682A" w:rsidRPr="00592730" w:rsidRDefault="000F682A" w:rsidP="00BD48A1">
            <w:pPr>
              <w:rPr>
                <w:bCs/>
                <w:color w:val="000000"/>
                <w:sz w:val="18"/>
                <w:szCs w:val="18"/>
              </w:rPr>
            </w:pPr>
            <w:r w:rsidRPr="00592730">
              <w:rPr>
                <w:bCs/>
                <w:color w:val="000000"/>
                <w:sz w:val="18"/>
                <w:szCs w:val="18"/>
              </w:rPr>
              <w:t> </w:t>
            </w:r>
          </w:p>
        </w:tc>
      </w:tr>
      <w:tr w:rsidR="000F682A" w14:paraId="2FD33A46" w14:textId="77777777" w:rsidTr="00BD48A1">
        <w:trPr>
          <w:trHeight w:val="158"/>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59112ADA" w14:textId="77777777" w:rsidR="000F682A" w:rsidRPr="00592730" w:rsidRDefault="000F682A" w:rsidP="00BD48A1">
            <w:pPr>
              <w:rPr>
                <w:color w:val="000000"/>
                <w:sz w:val="22"/>
                <w:szCs w:val="22"/>
              </w:rPr>
            </w:pPr>
            <w:r w:rsidRPr="00592730">
              <w:rPr>
                <w:color w:val="000000"/>
                <w:sz w:val="22"/>
                <w:szCs w:val="22"/>
              </w:rPr>
              <w:t>Подкрепа на персонала на първа линия, пряко ангажиран с дейности по предотвратяване разпространението на COVID-19</w:t>
            </w:r>
          </w:p>
        </w:tc>
        <w:tc>
          <w:tcPr>
            <w:tcW w:w="851" w:type="dxa"/>
            <w:tcBorders>
              <w:top w:val="nil"/>
              <w:left w:val="nil"/>
              <w:bottom w:val="single" w:sz="4" w:space="0" w:color="auto"/>
              <w:right w:val="single" w:sz="4" w:space="0" w:color="auto"/>
            </w:tcBorders>
            <w:shd w:val="clear" w:color="auto" w:fill="auto"/>
            <w:noWrap/>
            <w:vAlign w:val="bottom"/>
            <w:hideMark/>
          </w:tcPr>
          <w:p w14:paraId="02A5C6D0" w14:textId="77777777" w:rsidR="000F682A" w:rsidRPr="00592730" w:rsidRDefault="000F682A" w:rsidP="00BD48A1">
            <w:pPr>
              <w:jc w:val="right"/>
              <w:rPr>
                <w:color w:val="000000"/>
                <w:sz w:val="22"/>
                <w:szCs w:val="22"/>
              </w:rPr>
            </w:pPr>
            <w:r w:rsidRPr="00592730">
              <w:rPr>
                <w:color w:val="000000"/>
                <w:sz w:val="22"/>
                <w:szCs w:val="22"/>
              </w:rPr>
              <w:t>539,7</w:t>
            </w:r>
          </w:p>
        </w:tc>
        <w:tc>
          <w:tcPr>
            <w:tcW w:w="850" w:type="dxa"/>
            <w:tcBorders>
              <w:top w:val="nil"/>
              <w:left w:val="nil"/>
              <w:bottom w:val="single" w:sz="4" w:space="0" w:color="auto"/>
              <w:right w:val="single" w:sz="4" w:space="0" w:color="auto"/>
            </w:tcBorders>
            <w:shd w:val="clear" w:color="auto" w:fill="auto"/>
            <w:noWrap/>
            <w:vAlign w:val="bottom"/>
            <w:hideMark/>
          </w:tcPr>
          <w:p w14:paraId="2CC8D655" w14:textId="77777777" w:rsidR="000F682A" w:rsidRPr="00592730" w:rsidRDefault="000F682A" w:rsidP="00BD48A1">
            <w:pPr>
              <w:jc w:val="right"/>
              <w:rPr>
                <w:bCs/>
                <w:color w:val="000000"/>
                <w:sz w:val="22"/>
                <w:szCs w:val="22"/>
              </w:rPr>
            </w:pPr>
            <w:r w:rsidRPr="00592730">
              <w:rPr>
                <w:bCs/>
                <w:color w:val="000000"/>
                <w:sz w:val="22"/>
                <w:szCs w:val="22"/>
              </w:rPr>
              <w:t>0,4</w:t>
            </w:r>
          </w:p>
        </w:tc>
      </w:tr>
      <w:tr w:rsidR="000F682A" w14:paraId="36ADB5E9" w14:textId="77777777" w:rsidTr="00BD48A1">
        <w:trPr>
          <w:trHeight w:val="703"/>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556F4D2B" w14:textId="77777777" w:rsidR="000F682A" w:rsidRPr="00592730" w:rsidRDefault="000F682A" w:rsidP="00BD48A1">
            <w:pPr>
              <w:rPr>
                <w:color w:val="000000"/>
                <w:sz w:val="22"/>
                <w:szCs w:val="22"/>
              </w:rPr>
            </w:pPr>
            <w:r w:rsidRPr="00592730">
              <w:rPr>
                <w:color w:val="000000"/>
                <w:sz w:val="22"/>
                <w:szCs w:val="22"/>
              </w:rPr>
              <w:t>Осигуряване на финансиране от НЗОК на изпълнителите на медицинска помощ, на дентална помощ и на медико-диагностични дейности за работа при неблагоприятни условия във връзка с обявената епидемична обстановка и лечението на COVID-19</w:t>
            </w:r>
          </w:p>
        </w:tc>
        <w:tc>
          <w:tcPr>
            <w:tcW w:w="851" w:type="dxa"/>
            <w:tcBorders>
              <w:top w:val="nil"/>
              <w:left w:val="nil"/>
              <w:bottom w:val="single" w:sz="4" w:space="0" w:color="auto"/>
              <w:right w:val="single" w:sz="4" w:space="0" w:color="auto"/>
            </w:tcBorders>
            <w:shd w:val="clear" w:color="auto" w:fill="auto"/>
            <w:noWrap/>
            <w:vAlign w:val="bottom"/>
            <w:hideMark/>
          </w:tcPr>
          <w:p w14:paraId="29F05E3D" w14:textId="77777777" w:rsidR="000F682A" w:rsidRPr="00592730" w:rsidRDefault="000F682A" w:rsidP="00BD48A1">
            <w:pPr>
              <w:jc w:val="right"/>
              <w:rPr>
                <w:color w:val="000000"/>
                <w:sz w:val="22"/>
                <w:szCs w:val="22"/>
              </w:rPr>
            </w:pPr>
            <w:r w:rsidRPr="00592730">
              <w:rPr>
                <w:color w:val="000000"/>
                <w:sz w:val="22"/>
                <w:szCs w:val="22"/>
              </w:rPr>
              <w:t>417,2</w:t>
            </w:r>
          </w:p>
        </w:tc>
        <w:tc>
          <w:tcPr>
            <w:tcW w:w="850" w:type="dxa"/>
            <w:tcBorders>
              <w:top w:val="nil"/>
              <w:left w:val="nil"/>
              <w:bottom w:val="single" w:sz="4" w:space="0" w:color="auto"/>
              <w:right w:val="single" w:sz="4" w:space="0" w:color="auto"/>
            </w:tcBorders>
            <w:shd w:val="clear" w:color="auto" w:fill="auto"/>
            <w:noWrap/>
            <w:vAlign w:val="bottom"/>
            <w:hideMark/>
          </w:tcPr>
          <w:p w14:paraId="055C080E" w14:textId="77777777" w:rsidR="000F682A" w:rsidRPr="00592730" w:rsidRDefault="000F682A" w:rsidP="00BD48A1">
            <w:pPr>
              <w:jc w:val="right"/>
              <w:rPr>
                <w:bCs/>
                <w:color w:val="000000"/>
                <w:sz w:val="22"/>
                <w:szCs w:val="22"/>
              </w:rPr>
            </w:pPr>
            <w:r w:rsidRPr="00592730">
              <w:rPr>
                <w:bCs/>
                <w:color w:val="000000"/>
                <w:sz w:val="22"/>
                <w:szCs w:val="22"/>
              </w:rPr>
              <w:t>0,3</w:t>
            </w:r>
          </w:p>
        </w:tc>
      </w:tr>
      <w:tr w:rsidR="000F682A" w14:paraId="7919CCE6" w14:textId="77777777" w:rsidTr="00BD48A1">
        <w:trPr>
          <w:trHeight w:val="1040"/>
        </w:trPr>
        <w:tc>
          <w:tcPr>
            <w:tcW w:w="9072" w:type="dxa"/>
            <w:tcBorders>
              <w:top w:val="nil"/>
              <w:left w:val="single" w:sz="4" w:space="0" w:color="auto"/>
              <w:bottom w:val="single" w:sz="4" w:space="0" w:color="auto"/>
              <w:right w:val="single" w:sz="4" w:space="0" w:color="auto"/>
            </w:tcBorders>
            <w:shd w:val="clear" w:color="auto" w:fill="auto"/>
            <w:vAlign w:val="bottom"/>
            <w:hideMark/>
          </w:tcPr>
          <w:p w14:paraId="412887A8" w14:textId="77777777" w:rsidR="000F682A" w:rsidRPr="00592730" w:rsidRDefault="000F682A" w:rsidP="00BD48A1">
            <w:pPr>
              <w:rPr>
                <w:sz w:val="22"/>
                <w:szCs w:val="22"/>
              </w:rPr>
            </w:pPr>
            <w:r w:rsidRPr="00592730">
              <w:rPr>
                <w:sz w:val="22"/>
                <w:szCs w:val="22"/>
              </w:rPr>
              <w:t xml:space="preserve">Подкрепа на медицинския персонал, който работи в условията на огромно напрежение  при извънредна епидемична обстановка чрез изплащане на постоянна месечна добавка към възнагражденията на лекарите (600 лв.), на специалисти от професионално направление „Здравни грижи“ (360 лв.) и на санитари (120 лв.) </w:t>
            </w:r>
          </w:p>
        </w:tc>
        <w:tc>
          <w:tcPr>
            <w:tcW w:w="851" w:type="dxa"/>
            <w:tcBorders>
              <w:top w:val="nil"/>
              <w:left w:val="nil"/>
              <w:bottom w:val="single" w:sz="4" w:space="0" w:color="auto"/>
              <w:right w:val="single" w:sz="4" w:space="0" w:color="auto"/>
            </w:tcBorders>
            <w:shd w:val="clear" w:color="auto" w:fill="auto"/>
            <w:noWrap/>
            <w:vAlign w:val="bottom"/>
            <w:hideMark/>
          </w:tcPr>
          <w:p w14:paraId="4AE913F8" w14:textId="77777777" w:rsidR="000F682A" w:rsidRPr="00592730" w:rsidRDefault="000F682A" w:rsidP="00BD48A1">
            <w:pPr>
              <w:jc w:val="right"/>
              <w:rPr>
                <w:sz w:val="22"/>
                <w:szCs w:val="22"/>
              </w:rPr>
            </w:pPr>
            <w:r w:rsidRPr="00592730">
              <w:rPr>
                <w:sz w:val="22"/>
                <w:szCs w:val="22"/>
              </w:rPr>
              <w:t>143,5</w:t>
            </w:r>
          </w:p>
        </w:tc>
        <w:tc>
          <w:tcPr>
            <w:tcW w:w="850" w:type="dxa"/>
            <w:tcBorders>
              <w:top w:val="nil"/>
              <w:left w:val="nil"/>
              <w:bottom w:val="single" w:sz="4" w:space="0" w:color="auto"/>
              <w:right w:val="single" w:sz="4" w:space="0" w:color="auto"/>
            </w:tcBorders>
            <w:shd w:val="clear" w:color="auto" w:fill="auto"/>
            <w:noWrap/>
            <w:vAlign w:val="bottom"/>
            <w:hideMark/>
          </w:tcPr>
          <w:p w14:paraId="6AAFE60F" w14:textId="77777777" w:rsidR="000F682A" w:rsidRPr="00592730" w:rsidRDefault="000F682A" w:rsidP="00BD48A1">
            <w:pPr>
              <w:jc w:val="right"/>
              <w:rPr>
                <w:bCs/>
                <w:sz w:val="22"/>
                <w:szCs w:val="22"/>
              </w:rPr>
            </w:pPr>
            <w:r w:rsidRPr="00592730">
              <w:rPr>
                <w:bCs/>
                <w:sz w:val="22"/>
                <w:szCs w:val="22"/>
              </w:rPr>
              <w:t>0,1</w:t>
            </w:r>
          </w:p>
        </w:tc>
      </w:tr>
      <w:tr w:rsidR="000F682A" w14:paraId="4E3DDB38" w14:textId="77777777" w:rsidTr="00BD48A1">
        <w:trPr>
          <w:trHeight w:val="624"/>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6DD692A1" w14:textId="77777777" w:rsidR="000F682A" w:rsidRPr="00592730" w:rsidRDefault="000F682A" w:rsidP="00BD48A1">
            <w:pPr>
              <w:rPr>
                <w:color w:val="000000"/>
                <w:sz w:val="22"/>
                <w:szCs w:val="22"/>
              </w:rPr>
            </w:pPr>
            <w:r w:rsidRPr="00592730">
              <w:rPr>
                <w:color w:val="000000"/>
                <w:sz w:val="22"/>
                <w:szCs w:val="22"/>
              </w:rPr>
              <w:t>Осигуряване на възможности за провеждането на дистанционно обучение в системата на образованието</w:t>
            </w:r>
          </w:p>
        </w:tc>
        <w:tc>
          <w:tcPr>
            <w:tcW w:w="851" w:type="dxa"/>
            <w:tcBorders>
              <w:top w:val="nil"/>
              <w:left w:val="nil"/>
              <w:bottom w:val="single" w:sz="4" w:space="0" w:color="auto"/>
              <w:right w:val="single" w:sz="4" w:space="0" w:color="auto"/>
            </w:tcBorders>
            <w:shd w:val="clear" w:color="auto" w:fill="auto"/>
            <w:noWrap/>
            <w:vAlign w:val="bottom"/>
            <w:hideMark/>
          </w:tcPr>
          <w:p w14:paraId="5BC42D16" w14:textId="77777777" w:rsidR="000F682A" w:rsidRPr="00592730" w:rsidRDefault="000F682A" w:rsidP="00BD48A1">
            <w:pPr>
              <w:jc w:val="right"/>
              <w:rPr>
                <w:color w:val="000000"/>
                <w:sz w:val="22"/>
                <w:szCs w:val="22"/>
              </w:rPr>
            </w:pPr>
            <w:r w:rsidRPr="00592730">
              <w:rPr>
                <w:color w:val="000000"/>
                <w:sz w:val="22"/>
                <w:szCs w:val="22"/>
              </w:rPr>
              <w:t>70,8</w:t>
            </w:r>
          </w:p>
        </w:tc>
        <w:tc>
          <w:tcPr>
            <w:tcW w:w="850" w:type="dxa"/>
            <w:tcBorders>
              <w:top w:val="nil"/>
              <w:left w:val="nil"/>
              <w:bottom w:val="single" w:sz="4" w:space="0" w:color="auto"/>
              <w:right w:val="single" w:sz="4" w:space="0" w:color="auto"/>
            </w:tcBorders>
            <w:shd w:val="clear" w:color="auto" w:fill="auto"/>
            <w:noWrap/>
            <w:vAlign w:val="bottom"/>
            <w:hideMark/>
          </w:tcPr>
          <w:p w14:paraId="100295EA" w14:textId="77777777" w:rsidR="000F682A" w:rsidRPr="00592730" w:rsidRDefault="000F682A" w:rsidP="00BD48A1">
            <w:pPr>
              <w:jc w:val="right"/>
              <w:rPr>
                <w:bCs/>
                <w:color w:val="000000"/>
                <w:sz w:val="22"/>
                <w:szCs w:val="22"/>
              </w:rPr>
            </w:pPr>
            <w:r w:rsidRPr="00592730">
              <w:rPr>
                <w:bCs/>
                <w:color w:val="000000"/>
                <w:sz w:val="22"/>
                <w:szCs w:val="22"/>
              </w:rPr>
              <w:t>0,1</w:t>
            </w:r>
          </w:p>
        </w:tc>
      </w:tr>
      <w:tr w:rsidR="000F682A" w14:paraId="699E4B61" w14:textId="77777777" w:rsidTr="00BD48A1">
        <w:trPr>
          <w:trHeight w:val="455"/>
        </w:trPr>
        <w:tc>
          <w:tcPr>
            <w:tcW w:w="9072" w:type="dxa"/>
            <w:tcBorders>
              <w:top w:val="nil"/>
              <w:left w:val="single" w:sz="4" w:space="0" w:color="auto"/>
              <w:bottom w:val="single" w:sz="4" w:space="0" w:color="auto"/>
              <w:right w:val="single" w:sz="4" w:space="0" w:color="auto"/>
            </w:tcBorders>
            <w:shd w:val="clear" w:color="000000" w:fill="FFFFFF"/>
            <w:vAlign w:val="bottom"/>
            <w:hideMark/>
          </w:tcPr>
          <w:p w14:paraId="360FC970" w14:textId="77777777" w:rsidR="000F682A" w:rsidRPr="00592730" w:rsidRDefault="000F682A" w:rsidP="00BD48A1">
            <w:pPr>
              <w:rPr>
                <w:color w:val="000000"/>
                <w:sz w:val="22"/>
                <w:szCs w:val="22"/>
              </w:rPr>
            </w:pPr>
            <w:r w:rsidRPr="00592730">
              <w:rPr>
                <w:color w:val="000000"/>
                <w:sz w:val="22"/>
                <w:szCs w:val="22"/>
              </w:rPr>
              <w:t>Осигуряване на лични предпазни средства (маски, ръкавици, калцуни, предпазно облекло, защитни очила) за нуждите на държавната администрация и лечебните заведения, както и дезинфектанти, дезинфекция на работните помещения, термометри за измерване от разстояние, консумативи, реактиви, медикаменти, PCR тестове, бързи тестове и др.</w:t>
            </w:r>
          </w:p>
        </w:tc>
        <w:tc>
          <w:tcPr>
            <w:tcW w:w="851" w:type="dxa"/>
            <w:tcBorders>
              <w:top w:val="nil"/>
              <w:left w:val="nil"/>
              <w:bottom w:val="single" w:sz="4" w:space="0" w:color="auto"/>
              <w:right w:val="single" w:sz="4" w:space="0" w:color="auto"/>
            </w:tcBorders>
            <w:shd w:val="clear" w:color="auto" w:fill="auto"/>
            <w:noWrap/>
            <w:vAlign w:val="bottom"/>
            <w:hideMark/>
          </w:tcPr>
          <w:p w14:paraId="16AF9C37" w14:textId="77777777" w:rsidR="000F682A" w:rsidRPr="00592730" w:rsidRDefault="000F682A" w:rsidP="00BD48A1">
            <w:pPr>
              <w:jc w:val="right"/>
              <w:rPr>
                <w:color w:val="000000"/>
                <w:sz w:val="22"/>
                <w:szCs w:val="22"/>
              </w:rPr>
            </w:pPr>
            <w:r w:rsidRPr="00592730">
              <w:rPr>
                <w:color w:val="000000"/>
                <w:sz w:val="22"/>
                <w:szCs w:val="22"/>
              </w:rPr>
              <w:t>37,9</w:t>
            </w:r>
          </w:p>
        </w:tc>
        <w:tc>
          <w:tcPr>
            <w:tcW w:w="850" w:type="dxa"/>
            <w:tcBorders>
              <w:top w:val="nil"/>
              <w:left w:val="nil"/>
              <w:bottom w:val="single" w:sz="4" w:space="0" w:color="auto"/>
              <w:right w:val="single" w:sz="4" w:space="0" w:color="auto"/>
            </w:tcBorders>
            <w:shd w:val="clear" w:color="auto" w:fill="auto"/>
            <w:noWrap/>
            <w:vAlign w:val="bottom"/>
            <w:hideMark/>
          </w:tcPr>
          <w:p w14:paraId="6A08AB3E" w14:textId="77777777" w:rsidR="000F682A" w:rsidRPr="00592730" w:rsidRDefault="000F682A" w:rsidP="00BD48A1">
            <w:pPr>
              <w:jc w:val="right"/>
              <w:rPr>
                <w:bCs/>
                <w:color w:val="000000"/>
                <w:sz w:val="22"/>
                <w:szCs w:val="22"/>
              </w:rPr>
            </w:pPr>
            <w:r w:rsidRPr="00592730">
              <w:rPr>
                <w:bCs/>
                <w:color w:val="000000"/>
                <w:sz w:val="22"/>
                <w:szCs w:val="22"/>
              </w:rPr>
              <w:t>0,0</w:t>
            </w:r>
          </w:p>
        </w:tc>
      </w:tr>
    </w:tbl>
    <w:p w14:paraId="3CF181C8" w14:textId="77777777" w:rsidR="00774DE7" w:rsidRPr="00C85F7F" w:rsidRDefault="00774DE7">
      <w:pPr>
        <w:rPr>
          <w:color w:val="548DD4" w:themeColor="text2" w:themeTint="99"/>
          <w:highlight w:val="yellow"/>
        </w:rPr>
      </w:pPr>
      <w:r w:rsidRPr="00C85F7F">
        <w:rPr>
          <w:color w:val="548DD4" w:themeColor="text2" w:themeTint="99"/>
          <w:highlight w:val="yellow"/>
        </w:rPr>
        <w:br w:type="page"/>
      </w:r>
    </w:p>
    <w:p w14:paraId="180CAFCC" w14:textId="6A411495" w:rsidR="00E74802" w:rsidRPr="00D16081" w:rsidRDefault="00E75C94" w:rsidP="00CE1902">
      <w:pPr>
        <w:pStyle w:val="Heading1"/>
        <w:numPr>
          <w:ilvl w:val="0"/>
          <w:numId w:val="10"/>
        </w:numPr>
        <w:tabs>
          <w:tab w:val="clear" w:pos="5430"/>
          <w:tab w:val="num" w:pos="532"/>
        </w:tabs>
        <w:ind w:left="532" w:right="-108"/>
        <w:jc w:val="both"/>
        <w:rPr>
          <w:sz w:val="24"/>
        </w:rPr>
      </w:pPr>
      <w:r w:rsidRPr="00D16081">
        <w:rPr>
          <w:sz w:val="24"/>
        </w:rPr>
        <w:lastRenderedPageBreak/>
        <w:t>Основни показатели по консолидираната фискална програма</w:t>
      </w:r>
      <w:r w:rsidRPr="00D16081">
        <w:rPr>
          <w:rStyle w:val="FootnoteReference"/>
          <w:sz w:val="24"/>
        </w:rPr>
        <w:footnoteReference w:id="2"/>
      </w:r>
      <w:r w:rsidRPr="00D16081">
        <w:rPr>
          <w:sz w:val="24"/>
        </w:rPr>
        <w:t xml:space="preserve"> за </w:t>
      </w:r>
      <w:r w:rsidR="00D16081" w:rsidRPr="00D16081">
        <w:rPr>
          <w:sz w:val="24"/>
        </w:rPr>
        <w:t xml:space="preserve">деветмесечието </w:t>
      </w:r>
      <w:r w:rsidRPr="00D16081">
        <w:rPr>
          <w:sz w:val="24"/>
        </w:rPr>
        <w:t>на 2021 г</w:t>
      </w:r>
      <w:r w:rsidR="00E74802" w:rsidRPr="00D16081">
        <w:rPr>
          <w:sz w:val="24"/>
        </w:rPr>
        <w:t>.</w:t>
      </w:r>
    </w:p>
    <w:p w14:paraId="39C0EC4B" w14:textId="77777777" w:rsidR="00430A35" w:rsidRPr="00F81989" w:rsidRDefault="00430A35" w:rsidP="00430A35">
      <w:pPr>
        <w:rPr>
          <w:sz w:val="6"/>
          <w:szCs w:val="12"/>
        </w:rPr>
      </w:pPr>
    </w:p>
    <w:p w14:paraId="3935C227" w14:textId="7805BEED" w:rsidR="00661BE3" w:rsidRPr="00F81989" w:rsidRDefault="00661BE3" w:rsidP="00661BE3">
      <w:pPr>
        <w:jc w:val="both"/>
      </w:pPr>
      <w:r w:rsidRPr="00F81989">
        <w:t xml:space="preserve">Изпълнението на основните показатели по консолидираната фискална програма за </w:t>
      </w:r>
      <w:r w:rsidR="00F81989" w:rsidRPr="00F81989">
        <w:t xml:space="preserve">деветмесечието </w:t>
      </w:r>
      <w:r w:rsidRPr="00F81989">
        <w:t>на 2021 г. е представено в следната таблица:</w:t>
      </w:r>
    </w:p>
    <w:p w14:paraId="5E6621E4" w14:textId="77777777" w:rsidR="00661BE3" w:rsidRPr="00C85F7F" w:rsidRDefault="00661BE3" w:rsidP="00661BE3">
      <w:pPr>
        <w:jc w:val="both"/>
        <w:rPr>
          <w:color w:val="548DD4" w:themeColor="text2" w:themeTint="99"/>
          <w:sz w:val="4"/>
          <w:szCs w:val="4"/>
        </w:rPr>
      </w:pPr>
    </w:p>
    <w:p w14:paraId="0F2F0BDC" w14:textId="77777777" w:rsidR="00661BE3" w:rsidRPr="001F5E01" w:rsidRDefault="00661BE3" w:rsidP="00661BE3">
      <w:pPr>
        <w:spacing w:before="120"/>
        <w:rPr>
          <w:b/>
          <w:i/>
          <w:sz w:val="18"/>
          <w:szCs w:val="18"/>
        </w:rPr>
      </w:pPr>
      <w:r w:rsidRPr="001F5E01">
        <w:rPr>
          <w:b/>
          <w:i/>
          <w:sz w:val="22"/>
          <w:szCs w:val="22"/>
        </w:rPr>
        <w:t>Таблица</w:t>
      </w:r>
      <w:r w:rsidRPr="001F5E01">
        <w:rPr>
          <w:b/>
          <w:i/>
          <w:sz w:val="22"/>
          <w:szCs w:val="22"/>
          <w:vertAlign w:val="superscript"/>
        </w:rPr>
        <w:footnoteReference w:id="3"/>
      </w:r>
      <w:r w:rsidRPr="001F5E01">
        <w:rPr>
          <w:b/>
          <w:i/>
          <w:sz w:val="22"/>
          <w:szCs w:val="22"/>
        </w:rPr>
        <w:t xml:space="preserve"> №1</w:t>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22"/>
          <w:szCs w:val="22"/>
        </w:rPr>
        <w:tab/>
      </w:r>
      <w:r w:rsidRPr="001F5E01">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C85F7F" w:rsidRPr="00C85F7F" w14:paraId="74A79FA9" w14:textId="77777777" w:rsidTr="006B7656">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14:paraId="1AE6BD35" w14:textId="77777777" w:rsidR="00661BE3" w:rsidRPr="0057565D" w:rsidRDefault="00661BE3" w:rsidP="006B7656">
            <w:pPr>
              <w:jc w:val="center"/>
              <w:rPr>
                <w:b/>
                <w:bCs/>
                <w:sz w:val="18"/>
                <w:szCs w:val="18"/>
              </w:rPr>
            </w:pPr>
            <w:r w:rsidRPr="0057565D">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14:paraId="20F55C45" w14:textId="7430F4DD" w:rsidR="00661BE3" w:rsidRPr="00254701" w:rsidRDefault="00661BE3" w:rsidP="00C92E91">
            <w:pPr>
              <w:jc w:val="center"/>
              <w:rPr>
                <w:b/>
                <w:bCs/>
                <w:sz w:val="18"/>
                <w:szCs w:val="18"/>
              </w:rPr>
            </w:pPr>
            <w:r w:rsidRPr="00254701">
              <w:rPr>
                <w:b/>
                <w:bCs/>
                <w:sz w:val="18"/>
                <w:szCs w:val="18"/>
              </w:rPr>
              <w:t>Разчет 20</w:t>
            </w:r>
            <w:r w:rsidRPr="00254701">
              <w:rPr>
                <w:b/>
                <w:bCs/>
                <w:sz w:val="18"/>
                <w:szCs w:val="18"/>
                <w:lang w:val="en-US"/>
              </w:rPr>
              <w:t>2</w:t>
            </w:r>
            <w:r w:rsidRPr="00254701">
              <w:rPr>
                <w:b/>
                <w:bCs/>
                <w:sz w:val="18"/>
                <w:szCs w:val="18"/>
              </w:rPr>
              <w:t>1 г.</w:t>
            </w:r>
            <w:r w:rsidR="00D13ABE" w:rsidRPr="00254701">
              <w:rPr>
                <w:rStyle w:val="FootnoteReference"/>
                <w:b/>
                <w:bCs/>
                <w:sz w:val="18"/>
                <w:szCs w:val="18"/>
              </w:rPr>
              <w:footnoteReference w:id="4"/>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14:paraId="7FE17783" w14:textId="418FD1CC" w:rsidR="00661BE3" w:rsidRPr="00254701" w:rsidRDefault="00B56FBB" w:rsidP="00254701">
            <w:pPr>
              <w:jc w:val="center"/>
              <w:rPr>
                <w:b/>
                <w:bCs/>
                <w:sz w:val="18"/>
                <w:szCs w:val="18"/>
              </w:rPr>
            </w:pPr>
            <w:r w:rsidRPr="00254701">
              <w:rPr>
                <w:b/>
                <w:bCs/>
                <w:sz w:val="18"/>
                <w:szCs w:val="18"/>
              </w:rPr>
              <w:t>Отчет към 30.0</w:t>
            </w:r>
            <w:r w:rsidR="00254701" w:rsidRPr="00254701">
              <w:rPr>
                <w:b/>
                <w:bCs/>
                <w:sz w:val="18"/>
                <w:szCs w:val="18"/>
                <w:lang w:val="en-US"/>
              </w:rPr>
              <w:t>9</w:t>
            </w:r>
            <w:r w:rsidRPr="00254701">
              <w:rPr>
                <w:b/>
                <w:bCs/>
                <w:sz w:val="18"/>
                <w:szCs w:val="18"/>
              </w:rPr>
              <w:t>.20</w:t>
            </w:r>
            <w:r w:rsidRPr="00254701">
              <w:rPr>
                <w:b/>
                <w:bCs/>
                <w:sz w:val="18"/>
                <w:szCs w:val="18"/>
                <w:lang w:val="en-US"/>
              </w:rPr>
              <w:t>2</w:t>
            </w:r>
            <w:r w:rsidRPr="00254701">
              <w:rPr>
                <w:b/>
                <w:bCs/>
                <w:sz w:val="18"/>
                <w:szCs w:val="18"/>
              </w:rPr>
              <w:t>1 г.</w:t>
            </w:r>
          </w:p>
        </w:tc>
        <w:tc>
          <w:tcPr>
            <w:tcW w:w="1300" w:type="dxa"/>
            <w:tcBorders>
              <w:top w:val="single" w:sz="8" w:space="0" w:color="auto"/>
              <w:left w:val="nil"/>
              <w:bottom w:val="nil"/>
              <w:right w:val="single" w:sz="8" w:space="0" w:color="auto"/>
            </w:tcBorders>
            <w:shd w:val="clear" w:color="000000" w:fill="D9D9D9"/>
            <w:noWrap/>
            <w:vAlign w:val="bottom"/>
            <w:hideMark/>
          </w:tcPr>
          <w:p w14:paraId="07B2E27E" w14:textId="77777777" w:rsidR="00661BE3" w:rsidRPr="00254701" w:rsidRDefault="00661BE3" w:rsidP="006B7656">
            <w:pPr>
              <w:jc w:val="center"/>
              <w:rPr>
                <w:b/>
                <w:bCs/>
                <w:sz w:val="18"/>
                <w:szCs w:val="18"/>
              </w:rPr>
            </w:pPr>
            <w:r w:rsidRPr="00254701">
              <w:rPr>
                <w:b/>
                <w:bCs/>
                <w:sz w:val="18"/>
                <w:szCs w:val="18"/>
              </w:rPr>
              <w:t>Изпълнение</w:t>
            </w:r>
          </w:p>
        </w:tc>
      </w:tr>
      <w:tr w:rsidR="00C85F7F" w:rsidRPr="00C85F7F" w14:paraId="1ED65377" w14:textId="77777777" w:rsidTr="006B7656">
        <w:trPr>
          <w:trHeight w:val="255"/>
        </w:trPr>
        <w:tc>
          <w:tcPr>
            <w:tcW w:w="4263" w:type="dxa"/>
            <w:vMerge/>
            <w:tcBorders>
              <w:top w:val="single" w:sz="8" w:space="0" w:color="auto"/>
              <w:left w:val="single" w:sz="8" w:space="0" w:color="auto"/>
              <w:bottom w:val="single" w:sz="4" w:space="0" w:color="000000"/>
              <w:right w:val="nil"/>
            </w:tcBorders>
            <w:vAlign w:val="center"/>
            <w:hideMark/>
          </w:tcPr>
          <w:p w14:paraId="5DA516D2" w14:textId="77777777" w:rsidR="00661BE3" w:rsidRPr="0057565D" w:rsidRDefault="00661BE3" w:rsidP="006B765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14:paraId="21695D05" w14:textId="77777777" w:rsidR="00661BE3" w:rsidRPr="00254701" w:rsidRDefault="00661BE3" w:rsidP="006B7656">
            <w:pPr>
              <w:jc w:val="center"/>
              <w:rPr>
                <w:b/>
                <w:bCs/>
                <w:sz w:val="18"/>
                <w:szCs w:val="18"/>
              </w:rPr>
            </w:pPr>
            <w:r w:rsidRPr="00254701">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14:paraId="62223D6A" w14:textId="77777777" w:rsidR="00661BE3" w:rsidRPr="00254701" w:rsidRDefault="00661BE3" w:rsidP="006B7656">
            <w:pPr>
              <w:jc w:val="center"/>
              <w:rPr>
                <w:b/>
                <w:bCs/>
                <w:sz w:val="18"/>
                <w:szCs w:val="18"/>
              </w:rPr>
            </w:pPr>
            <w:r w:rsidRPr="00254701">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14:paraId="569AF8FA" w14:textId="77777777" w:rsidR="00661BE3" w:rsidRPr="00254701" w:rsidRDefault="00661BE3" w:rsidP="006B7656">
            <w:pPr>
              <w:jc w:val="center"/>
              <w:rPr>
                <w:b/>
                <w:bCs/>
                <w:sz w:val="18"/>
                <w:szCs w:val="18"/>
              </w:rPr>
            </w:pPr>
            <w:r w:rsidRPr="00254701">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14:paraId="124E7720" w14:textId="77777777" w:rsidR="00661BE3" w:rsidRPr="00254701" w:rsidRDefault="00661BE3" w:rsidP="006B7656">
            <w:pPr>
              <w:jc w:val="center"/>
              <w:rPr>
                <w:b/>
                <w:bCs/>
                <w:sz w:val="18"/>
                <w:szCs w:val="18"/>
              </w:rPr>
            </w:pPr>
            <w:r w:rsidRPr="00254701">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14:paraId="673CB41B" w14:textId="77777777" w:rsidR="00661BE3" w:rsidRPr="00254701" w:rsidRDefault="00661BE3" w:rsidP="006B7656">
            <w:pPr>
              <w:jc w:val="center"/>
              <w:rPr>
                <w:b/>
                <w:bCs/>
                <w:sz w:val="18"/>
                <w:szCs w:val="18"/>
              </w:rPr>
            </w:pPr>
            <w:r w:rsidRPr="00254701">
              <w:rPr>
                <w:b/>
                <w:bCs/>
                <w:sz w:val="18"/>
                <w:szCs w:val="18"/>
              </w:rPr>
              <w:t>спрямо разчет</w:t>
            </w:r>
          </w:p>
        </w:tc>
      </w:tr>
      <w:tr w:rsidR="00C85F7F" w:rsidRPr="00C85F7F" w14:paraId="5443FA73" w14:textId="77777777" w:rsidTr="006B7656">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1F4CC60A" w14:textId="77777777" w:rsidR="00661BE3" w:rsidRPr="0057565D" w:rsidRDefault="00661BE3" w:rsidP="006B7656">
            <w:pPr>
              <w:jc w:val="center"/>
              <w:rPr>
                <w:sz w:val="18"/>
                <w:szCs w:val="18"/>
              </w:rPr>
            </w:pPr>
            <w:r w:rsidRPr="0057565D">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14:paraId="5F561DE3" w14:textId="77777777" w:rsidR="00661BE3" w:rsidRPr="00254701" w:rsidRDefault="00661BE3" w:rsidP="006B7656">
            <w:pPr>
              <w:jc w:val="center"/>
              <w:rPr>
                <w:sz w:val="18"/>
                <w:szCs w:val="18"/>
              </w:rPr>
            </w:pPr>
            <w:r w:rsidRPr="00254701">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14:paraId="05C56669" w14:textId="77777777" w:rsidR="00661BE3" w:rsidRPr="00254701" w:rsidRDefault="00661BE3" w:rsidP="006B7656">
            <w:pPr>
              <w:jc w:val="center"/>
              <w:rPr>
                <w:sz w:val="18"/>
                <w:szCs w:val="18"/>
              </w:rPr>
            </w:pPr>
            <w:r w:rsidRPr="00254701">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14:paraId="00F66E90" w14:textId="77777777" w:rsidR="00661BE3" w:rsidRPr="00254701" w:rsidRDefault="00661BE3" w:rsidP="006B7656">
            <w:pPr>
              <w:jc w:val="center"/>
              <w:rPr>
                <w:sz w:val="18"/>
                <w:szCs w:val="18"/>
              </w:rPr>
            </w:pPr>
            <w:r w:rsidRPr="00254701">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14:paraId="08FC486F" w14:textId="77777777" w:rsidR="00661BE3" w:rsidRPr="00254701" w:rsidRDefault="00661BE3" w:rsidP="006B7656">
            <w:pPr>
              <w:jc w:val="center"/>
              <w:rPr>
                <w:sz w:val="18"/>
                <w:szCs w:val="18"/>
              </w:rPr>
            </w:pPr>
            <w:r w:rsidRPr="00254701">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14:paraId="51736DB1" w14:textId="77777777" w:rsidR="00661BE3" w:rsidRPr="00254701" w:rsidRDefault="00661BE3" w:rsidP="006B7656">
            <w:pPr>
              <w:jc w:val="center"/>
              <w:rPr>
                <w:sz w:val="18"/>
                <w:szCs w:val="18"/>
              </w:rPr>
            </w:pPr>
            <w:r w:rsidRPr="00254701">
              <w:rPr>
                <w:sz w:val="18"/>
                <w:szCs w:val="18"/>
              </w:rPr>
              <w:t>к.6=к.3:к.2</w:t>
            </w:r>
          </w:p>
        </w:tc>
      </w:tr>
      <w:tr w:rsidR="00A8265D" w:rsidRPr="00C85F7F" w14:paraId="32826B97"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4EEBF986" w14:textId="77777777" w:rsidR="00A8265D" w:rsidRPr="0057565D" w:rsidRDefault="00A8265D" w:rsidP="00A8265D">
            <w:pPr>
              <w:rPr>
                <w:b/>
                <w:bCs/>
                <w:sz w:val="18"/>
                <w:szCs w:val="18"/>
              </w:rPr>
            </w:pPr>
            <w:r w:rsidRPr="0057565D">
              <w:rPr>
                <w:b/>
                <w:bCs/>
                <w:sz w:val="18"/>
                <w:szCs w:val="18"/>
              </w:rPr>
              <w:t>ПРИХОДИ, ПОМОЩИ И ДАРЕНИЯ</w:t>
            </w:r>
          </w:p>
        </w:tc>
        <w:tc>
          <w:tcPr>
            <w:tcW w:w="992" w:type="dxa"/>
            <w:tcBorders>
              <w:top w:val="nil"/>
              <w:left w:val="nil"/>
              <w:bottom w:val="nil"/>
              <w:right w:val="nil"/>
            </w:tcBorders>
            <w:shd w:val="clear" w:color="auto" w:fill="auto"/>
            <w:noWrap/>
            <w:vAlign w:val="bottom"/>
            <w:hideMark/>
          </w:tcPr>
          <w:p w14:paraId="4DD06B29" w14:textId="661749CE" w:rsidR="00A8265D" w:rsidRPr="00C85F7F" w:rsidRDefault="00A8265D" w:rsidP="00A8265D">
            <w:pPr>
              <w:jc w:val="right"/>
              <w:rPr>
                <w:b/>
                <w:bCs/>
                <w:color w:val="548DD4" w:themeColor="text2" w:themeTint="99"/>
                <w:sz w:val="18"/>
                <w:szCs w:val="18"/>
              </w:rPr>
            </w:pPr>
            <w:r>
              <w:rPr>
                <w:b/>
                <w:bCs/>
                <w:sz w:val="18"/>
                <w:szCs w:val="18"/>
              </w:rPr>
              <w:t>50 568,2</w:t>
            </w:r>
          </w:p>
        </w:tc>
        <w:tc>
          <w:tcPr>
            <w:tcW w:w="1087" w:type="dxa"/>
            <w:tcBorders>
              <w:top w:val="nil"/>
              <w:left w:val="nil"/>
              <w:bottom w:val="nil"/>
              <w:right w:val="nil"/>
            </w:tcBorders>
            <w:shd w:val="clear" w:color="auto" w:fill="auto"/>
            <w:noWrap/>
            <w:vAlign w:val="bottom"/>
            <w:hideMark/>
          </w:tcPr>
          <w:p w14:paraId="4FABE9CC" w14:textId="48D078A6" w:rsidR="00A8265D" w:rsidRPr="00C85F7F" w:rsidRDefault="00A8265D" w:rsidP="00A8265D">
            <w:pPr>
              <w:jc w:val="right"/>
              <w:rPr>
                <w:b/>
                <w:bCs/>
                <w:color w:val="548DD4" w:themeColor="text2" w:themeTint="99"/>
                <w:sz w:val="18"/>
                <w:szCs w:val="18"/>
              </w:rPr>
            </w:pPr>
            <w:r>
              <w:rPr>
                <w:b/>
                <w:bCs/>
                <w:sz w:val="18"/>
                <w:szCs w:val="18"/>
              </w:rPr>
              <w:t>37 840,1</w:t>
            </w:r>
          </w:p>
        </w:tc>
        <w:tc>
          <w:tcPr>
            <w:tcW w:w="1252" w:type="dxa"/>
            <w:tcBorders>
              <w:top w:val="nil"/>
              <w:left w:val="nil"/>
              <w:bottom w:val="nil"/>
              <w:right w:val="nil"/>
            </w:tcBorders>
            <w:shd w:val="clear" w:color="auto" w:fill="auto"/>
            <w:noWrap/>
            <w:vAlign w:val="bottom"/>
            <w:hideMark/>
          </w:tcPr>
          <w:p w14:paraId="11351227" w14:textId="2B8F9F4C" w:rsidR="00A8265D" w:rsidRPr="00C85F7F" w:rsidRDefault="00A8265D" w:rsidP="00A8265D">
            <w:pPr>
              <w:jc w:val="right"/>
              <w:rPr>
                <w:b/>
                <w:bCs/>
                <w:color w:val="548DD4" w:themeColor="text2" w:themeTint="99"/>
                <w:sz w:val="18"/>
                <w:szCs w:val="18"/>
              </w:rPr>
            </w:pPr>
            <w:r>
              <w:rPr>
                <w:b/>
                <w:bCs/>
                <w:color w:val="000000"/>
                <w:sz w:val="18"/>
                <w:szCs w:val="18"/>
              </w:rPr>
              <w:t>35 752,1</w:t>
            </w:r>
          </w:p>
        </w:tc>
        <w:tc>
          <w:tcPr>
            <w:tcW w:w="1199" w:type="dxa"/>
            <w:tcBorders>
              <w:top w:val="nil"/>
              <w:left w:val="nil"/>
              <w:bottom w:val="nil"/>
              <w:right w:val="nil"/>
            </w:tcBorders>
            <w:shd w:val="clear" w:color="auto" w:fill="auto"/>
            <w:noWrap/>
            <w:vAlign w:val="bottom"/>
            <w:hideMark/>
          </w:tcPr>
          <w:p w14:paraId="3C0609E1" w14:textId="699133E8" w:rsidR="00A8265D" w:rsidRPr="00C85F7F" w:rsidRDefault="00A8265D" w:rsidP="00A8265D">
            <w:pPr>
              <w:jc w:val="right"/>
              <w:rPr>
                <w:b/>
                <w:bCs/>
                <w:color w:val="548DD4" w:themeColor="text2" w:themeTint="99"/>
                <w:sz w:val="18"/>
                <w:szCs w:val="18"/>
              </w:rPr>
            </w:pPr>
            <w:r>
              <w:rPr>
                <w:b/>
                <w:bCs/>
                <w:color w:val="000000"/>
                <w:sz w:val="18"/>
                <w:szCs w:val="18"/>
              </w:rPr>
              <w:t>2 088,0</w:t>
            </w:r>
          </w:p>
        </w:tc>
        <w:tc>
          <w:tcPr>
            <w:tcW w:w="1300" w:type="dxa"/>
            <w:tcBorders>
              <w:top w:val="nil"/>
              <w:left w:val="nil"/>
              <w:bottom w:val="nil"/>
              <w:right w:val="single" w:sz="8" w:space="0" w:color="auto"/>
            </w:tcBorders>
            <w:shd w:val="clear" w:color="auto" w:fill="auto"/>
            <w:noWrap/>
            <w:vAlign w:val="bottom"/>
            <w:hideMark/>
          </w:tcPr>
          <w:p w14:paraId="4EB5E0EB" w14:textId="30853BE8" w:rsidR="00A8265D" w:rsidRPr="00C85F7F" w:rsidRDefault="00A8265D" w:rsidP="00A8265D">
            <w:pPr>
              <w:jc w:val="right"/>
              <w:rPr>
                <w:b/>
                <w:bCs/>
                <w:color w:val="548DD4" w:themeColor="text2" w:themeTint="99"/>
                <w:sz w:val="18"/>
                <w:szCs w:val="18"/>
              </w:rPr>
            </w:pPr>
            <w:r>
              <w:rPr>
                <w:b/>
                <w:bCs/>
                <w:sz w:val="18"/>
                <w:szCs w:val="18"/>
              </w:rPr>
              <w:t>74,8%</w:t>
            </w:r>
          </w:p>
        </w:tc>
      </w:tr>
      <w:tr w:rsidR="00A8265D" w:rsidRPr="00C85F7F" w14:paraId="416C7409"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50665FFD" w14:textId="77777777" w:rsidR="00A8265D" w:rsidRPr="0057565D" w:rsidRDefault="00A8265D" w:rsidP="00A8265D">
            <w:pPr>
              <w:rPr>
                <w:sz w:val="18"/>
                <w:szCs w:val="18"/>
              </w:rPr>
            </w:pPr>
            <w:r w:rsidRPr="0057565D">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14:paraId="027D487A" w14:textId="06F96712" w:rsidR="00A8265D" w:rsidRPr="00C85F7F" w:rsidRDefault="00A8265D" w:rsidP="00A8265D">
            <w:pPr>
              <w:jc w:val="right"/>
              <w:rPr>
                <w:color w:val="548DD4" w:themeColor="text2" w:themeTint="99"/>
                <w:sz w:val="18"/>
                <w:szCs w:val="18"/>
              </w:rPr>
            </w:pPr>
            <w:r>
              <w:rPr>
                <w:sz w:val="18"/>
                <w:szCs w:val="18"/>
              </w:rPr>
              <w:t>39 425,6</w:t>
            </w:r>
          </w:p>
        </w:tc>
        <w:tc>
          <w:tcPr>
            <w:tcW w:w="1087" w:type="dxa"/>
            <w:tcBorders>
              <w:top w:val="nil"/>
              <w:left w:val="nil"/>
              <w:bottom w:val="nil"/>
              <w:right w:val="nil"/>
            </w:tcBorders>
            <w:shd w:val="clear" w:color="auto" w:fill="auto"/>
            <w:noWrap/>
            <w:vAlign w:val="bottom"/>
            <w:hideMark/>
          </w:tcPr>
          <w:p w14:paraId="1B522273" w14:textId="2BD7786E" w:rsidR="00A8265D" w:rsidRPr="00C85F7F" w:rsidRDefault="00A8265D" w:rsidP="00A8265D">
            <w:pPr>
              <w:jc w:val="right"/>
              <w:rPr>
                <w:color w:val="548DD4" w:themeColor="text2" w:themeTint="99"/>
                <w:sz w:val="18"/>
                <w:szCs w:val="18"/>
              </w:rPr>
            </w:pPr>
            <w:r>
              <w:rPr>
                <w:sz w:val="18"/>
                <w:szCs w:val="18"/>
              </w:rPr>
              <w:t>29 600,2</w:t>
            </w:r>
          </w:p>
        </w:tc>
        <w:tc>
          <w:tcPr>
            <w:tcW w:w="1252" w:type="dxa"/>
            <w:tcBorders>
              <w:top w:val="nil"/>
              <w:left w:val="nil"/>
              <w:bottom w:val="nil"/>
              <w:right w:val="nil"/>
            </w:tcBorders>
            <w:shd w:val="clear" w:color="auto" w:fill="auto"/>
            <w:noWrap/>
            <w:vAlign w:val="bottom"/>
            <w:hideMark/>
          </w:tcPr>
          <w:p w14:paraId="39005D1D" w14:textId="57B96D42" w:rsidR="00A8265D" w:rsidRPr="00C85F7F" w:rsidRDefault="00A8265D" w:rsidP="00A8265D">
            <w:pPr>
              <w:jc w:val="right"/>
              <w:rPr>
                <w:color w:val="548DD4" w:themeColor="text2" w:themeTint="99"/>
                <w:sz w:val="18"/>
                <w:szCs w:val="18"/>
              </w:rPr>
            </w:pPr>
            <w:r>
              <w:rPr>
                <w:color w:val="000000"/>
                <w:sz w:val="18"/>
                <w:szCs w:val="18"/>
              </w:rPr>
              <w:t>29 600,2</w:t>
            </w:r>
          </w:p>
        </w:tc>
        <w:tc>
          <w:tcPr>
            <w:tcW w:w="1199" w:type="dxa"/>
            <w:tcBorders>
              <w:top w:val="nil"/>
              <w:left w:val="nil"/>
              <w:bottom w:val="nil"/>
              <w:right w:val="nil"/>
            </w:tcBorders>
            <w:shd w:val="clear" w:color="auto" w:fill="auto"/>
            <w:noWrap/>
            <w:vAlign w:val="bottom"/>
            <w:hideMark/>
          </w:tcPr>
          <w:p w14:paraId="5E00E904" w14:textId="1ED77BF3" w:rsidR="00A8265D" w:rsidRPr="00C85F7F" w:rsidRDefault="00A8265D" w:rsidP="00A8265D">
            <w:pPr>
              <w:jc w:val="right"/>
              <w:rPr>
                <w:color w:val="548DD4" w:themeColor="text2" w:themeTint="99"/>
                <w:sz w:val="18"/>
                <w:szCs w:val="18"/>
              </w:rPr>
            </w:pPr>
          </w:p>
        </w:tc>
        <w:tc>
          <w:tcPr>
            <w:tcW w:w="1300" w:type="dxa"/>
            <w:tcBorders>
              <w:top w:val="nil"/>
              <w:left w:val="nil"/>
              <w:bottom w:val="nil"/>
              <w:right w:val="single" w:sz="8" w:space="0" w:color="auto"/>
            </w:tcBorders>
            <w:shd w:val="clear" w:color="auto" w:fill="auto"/>
            <w:noWrap/>
            <w:vAlign w:val="bottom"/>
            <w:hideMark/>
          </w:tcPr>
          <w:p w14:paraId="63F8233B" w14:textId="791EA548" w:rsidR="00A8265D" w:rsidRPr="00C85F7F" w:rsidRDefault="00A8265D" w:rsidP="00A8265D">
            <w:pPr>
              <w:jc w:val="right"/>
              <w:rPr>
                <w:color w:val="548DD4" w:themeColor="text2" w:themeTint="99"/>
                <w:sz w:val="18"/>
                <w:szCs w:val="18"/>
              </w:rPr>
            </w:pPr>
            <w:r>
              <w:rPr>
                <w:sz w:val="18"/>
                <w:szCs w:val="18"/>
              </w:rPr>
              <w:t>75,1%</w:t>
            </w:r>
          </w:p>
        </w:tc>
      </w:tr>
      <w:tr w:rsidR="00A8265D" w:rsidRPr="00C85F7F" w14:paraId="1AE3F0C3"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78AC62CB" w14:textId="77777777" w:rsidR="00A8265D" w:rsidRPr="0057565D" w:rsidRDefault="00A8265D" w:rsidP="00A8265D">
            <w:pPr>
              <w:rPr>
                <w:sz w:val="18"/>
                <w:szCs w:val="18"/>
              </w:rPr>
            </w:pPr>
            <w:r w:rsidRPr="0057565D">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14:paraId="08570AAC" w14:textId="4F760057" w:rsidR="00A8265D" w:rsidRPr="00C85F7F" w:rsidRDefault="00A8265D" w:rsidP="00A8265D">
            <w:pPr>
              <w:jc w:val="right"/>
              <w:rPr>
                <w:color w:val="548DD4" w:themeColor="text2" w:themeTint="99"/>
                <w:sz w:val="18"/>
                <w:szCs w:val="18"/>
              </w:rPr>
            </w:pPr>
            <w:r>
              <w:rPr>
                <w:sz w:val="18"/>
                <w:szCs w:val="18"/>
              </w:rPr>
              <w:t>6 755,8</w:t>
            </w:r>
          </w:p>
        </w:tc>
        <w:tc>
          <w:tcPr>
            <w:tcW w:w="1087" w:type="dxa"/>
            <w:tcBorders>
              <w:top w:val="nil"/>
              <w:left w:val="nil"/>
              <w:bottom w:val="nil"/>
              <w:right w:val="nil"/>
            </w:tcBorders>
            <w:shd w:val="clear" w:color="auto" w:fill="auto"/>
            <w:noWrap/>
            <w:vAlign w:val="bottom"/>
            <w:hideMark/>
          </w:tcPr>
          <w:p w14:paraId="0E4124F4" w14:textId="4CE5FDB3" w:rsidR="00A8265D" w:rsidRPr="00C85F7F" w:rsidRDefault="00A8265D" w:rsidP="00A8265D">
            <w:pPr>
              <w:jc w:val="right"/>
              <w:rPr>
                <w:color w:val="548DD4" w:themeColor="text2" w:themeTint="99"/>
                <w:sz w:val="18"/>
                <w:szCs w:val="18"/>
              </w:rPr>
            </w:pPr>
            <w:r>
              <w:rPr>
                <w:sz w:val="18"/>
                <w:szCs w:val="18"/>
              </w:rPr>
              <w:t>6 111,4</w:t>
            </w:r>
          </w:p>
        </w:tc>
        <w:tc>
          <w:tcPr>
            <w:tcW w:w="1252" w:type="dxa"/>
            <w:tcBorders>
              <w:top w:val="nil"/>
              <w:left w:val="nil"/>
              <w:bottom w:val="nil"/>
              <w:right w:val="nil"/>
            </w:tcBorders>
            <w:shd w:val="clear" w:color="auto" w:fill="auto"/>
            <w:noWrap/>
            <w:vAlign w:val="bottom"/>
            <w:hideMark/>
          </w:tcPr>
          <w:p w14:paraId="74336E84" w14:textId="49938D4E" w:rsidR="00A8265D" w:rsidRPr="00C85F7F" w:rsidRDefault="00A8265D" w:rsidP="00A8265D">
            <w:pPr>
              <w:jc w:val="right"/>
              <w:rPr>
                <w:color w:val="548DD4" w:themeColor="text2" w:themeTint="99"/>
                <w:sz w:val="18"/>
                <w:szCs w:val="18"/>
              </w:rPr>
            </w:pPr>
            <w:r>
              <w:rPr>
                <w:color w:val="000000"/>
                <w:sz w:val="18"/>
                <w:szCs w:val="18"/>
              </w:rPr>
              <w:t>6 122,1</w:t>
            </w:r>
          </w:p>
        </w:tc>
        <w:tc>
          <w:tcPr>
            <w:tcW w:w="1199" w:type="dxa"/>
            <w:tcBorders>
              <w:top w:val="nil"/>
              <w:left w:val="nil"/>
              <w:bottom w:val="nil"/>
              <w:right w:val="nil"/>
            </w:tcBorders>
            <w:shd w:val="clear" w:color="auto" w:fill="auto"/>
            <w:noWrap/>
            <w:vAlign w:val="bottom"/>
            <w:hideMark/>
          </w:tcPr>
          <w:p w14:paraId="7423C1E6" w14:textId="7FDC5676" w:rsidR="00A8265D" w:rsidRPr="00C85F7F" w:rsidRDefault="00A8265D" w:rsidP="00A8265D">
            <w:pPr>
              <w:jc w:val="right"/>
              <w:rPr>
                <w:color w:val="548DD4" w:themeColor="text2" w:themeTint="99"/>
                <w:sz w:val="18"/>
                <w:szCs w:val="18"/>
              </w:rPr>
            </w:pPr>
            <w:r>
              <w:rPr>
                <w:color w:val="000000"/>
                <w:sz w:val="18"/>
                <w:szCs w:val="18"/>
              </w:rPr>
              <w:t>-10,7</w:t>
            </w:r>
          </w:p>
        </w:tc>
        <w:tc>
          <w:tcPr>
            <w:tcW w:w="1300" w:type="dxa"/>
            <w:tcBorders>
              <w:top w:val="nil"/>
              <w:left w:val="nil"/>
              <w:bottom w:val="nil"/>
              <w:right w:val="single" w:sz="8" w:space="0" w:color="auto"/>
            </w:tcBorders>
            <w:shd w:val="clear" w:color="auto" w:fill="auto"/>
            <w:noWrap/>
            <w:vAlign w:val="bottom"/>
            <w:hideMark/>
          </w:tcPr>
          <w:p w14:paraId="1AD28FD0" w14:textId="3E0B4D82" w:rsidR="00A8265D" w:rsidRPr="00C85F7F" w:rsidRDefault="00A8265D" w:rsidP="00A8265D">
            <w:pPr>
              <w:jc w:val="right"/>
              <w:rPr>
                <w:color w:val="548DD4" w:themeColor="text2" w:themeTint="99"/>
                <w:sz w:val="18"/>
                <w:szCs w:val="18"/>
              </w:rPr>
            </w:pPr>
            <w:r>
              <w:rPr>
                <w:sz w:val="18"/>
                <w:szCs w:val="18"/>
              </w:rPr>
              <w:t>90,5%</w:t>
            </w:r>
          </w:p>
        </w:tc>
      </w:tr>
      <w:tr w:rsidR="00A8265D" w:rsidRPr="00C85F7F" w14:paraId="328C70B3"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35982648" w14:textId="77777777" w:rsidR="00A8265D" w:rsidRPr="0057565D" w:rsidRDefault="00A8265D" w:rsidP="00A8265D">
            <w:pPr>
              <w:rPr>
                <w:sz w:val="18"/>
                <w:szCs w:val="18"/>
              </w:rPr>
            </w:pPr>
            <w:r w:rsidRPr="0057565D">
              <w:rPr>
                <w:sz w:val="18"/>
                <w:szCs w:val="18"/>
              </w:rPr>
              <w:t xml:space="preserve">  Помощи и дарения</w:t>
            </w:r>
          </w:p>
        </w:tc>
        <w:tc>
          <w:tcPr>
            <w:tcW w:w="992" w:type="dxa"/>
            <w:tcBorders>
              <w:top w:val="nil"/>
              <w:left w:val="nil"/>
              <w:bottom w:val="nil"/>
              <w:right w:val="nil"/>
            </w:tcBorders>
            <w:shd w:val="clear" w:color="auto" w:fill="auto"/>
            <w:noWrap/>
            <w:vAlign w:val="bottom"/>
            <w:hideMark/>
          </w:tcPr>
          <w:p w14:paraId="29016FE6" w14:textId="44838F94" w:rsidR="00A8265D" w:rsidRPr="00C85F7F" w:rsidRDefault="00A8265D" w:rsidP="00A8265D">
            <w:pPr>
              <w:jc w:val="right"/>
              <w:rPr>
                <w:color w:val="548DD4" w:themeColor="text2" w:themeTint="99"/>
                <w:sz w:val="18"/>
                <w:szCs w:val="18"/>
              </w:rPr>
            </w:pPr>
            <w:r>
              <w:rPr>
                <w:sz w:val="18"/>
                <w:szCs w:val="18"/>
              </w:rPr>
              <w:t>4 386,8</w:t>
            </w:r>
          </w:p>
        </w:tc>
        <w:tc>
          <w:tcPr>
            <w:tcW w:w="1087" w:type="dxa"/>
            <w:tcBorders>
              <w:top w:val="nil"/>
              <w:left w:val="nil"/>
              <w:bottom w:val="nil"/>
              <w:right w:val="nil"/>
            </w:tcBorders>
            <w:shd w:val="clear" w:color="auto" w:fill="auto"/>
            <w:noWrap/>
            <w:vAlign w:val="bottom"/>
            <w:hideMark/>
          </w:tcPr>
          <w:p w14:paraId="372E98EE" w14:textId="495260A0" w:rsidR="00A8265D" w:rsidRPr="00C85F7F" w:rsidRDefault="00A8265D" w:rsidP="00A8265D">
            <w:pPr>
              <w:jc w:val="right"/>
              <w:rPr>
                <w:color w:val="548DD4" w:themeColor="text2" w:themeTint="99"/>
                <w:sz w:val="18"/>
                <w:szCs w:val="18"/>
              </w:rPr>
            </w:pPr>
            <w:r>
              <w:rPr>
                <w:sz w:val="18"/>
                <w:szCs w:val="18"/>
              </w:rPr>
              <w:t>2 128,4</w:t>
            </w:r>
          </w:p>
        </w:tc>
        <w:tc>
          <w:tcPr>
            <w:tcW w:w="1252" w:type="dxa"/>
            <w:tcBorders>
              <w:top w:val="nil"/>
              <w:left w:val="nil"/>
              <w:bottom w:val="nil"/>
              <w:right w:val="nil"/>
            </w:tcBorders>
            <w:shd w:val="clear" w:color="auto" w:fill="auto"/>
            <w:noWrap/>
            <w:vAlign w:val="bottom"/>
            <w:hideMark/>
          </w:tcPr>
          <w:p w14:paraId="11ADBC27" w14:textId="6F2A56A7" w:rsidR="00A8265D" w:rsidRPr="00C85F7F" w:rsidRDefault="00A8265D" w:rsidP="00A8265D">
            <w:pPr>
              <w:jc w:val="right"/>
              <w:rPr>
                <w:color w:val="548DD4" w:themeColor="text2" w:themeTint="99"/>
                <w:sz w:val="18"/>
                <w:szCs w:val="18"/>
              </w:rPr>
            </w:pPr>
            <w:r>
              <w:rPr>
                <w:color w:val="000000"/>
                <w:sz w:val="18"/>
                <w:szCs w:val="18"/>
              </w:rPr>
              <w:t>29,7</w:t>
            </w:r>
          </w:p>
        </w:tc>
        <w:tc>
          <w:tcPr>
            <w:tcW w:w="1199" w:type="dxa"/>
            <w:tcBorders>
              <w:top w:val="nil"/>
              <w:left w:val="nil"/>
              <w:bottom w:val="nil"/>
              <w:right w:val="nil"/>
            </w:tcBorders>
            <w:shd w:val="clear" w:color="auto" w:fill="auto"/>
            <w:noWrap/>
            <w:vAlign w:val="bottom"/>
            <w:hideMark/>
          </w:tcPr>
          <w:p w14:paraId="5117E7E7" w14:textId="4F72FE35" w:rsidR="00A8265D" w:rsidRPr="00C85F7F" w:rsidRDefault="00A8265D" w:rsidP="00A8265D">
            <w:pPr>
              <w:jc w:val="right"/>
              <w:rPr>
                <w:color w:val="548DD4" w:themeColor="text2" w:themeTint="99"/>
                <w:sz w:val="18"/>
                <w:szCs w:val="18"/>
              </w:rPr>
            </w:pPr>
            <w:r>
              <w:rPr>
                <w:color w:val="000000"/>
                <w:sz w:val="18"/>
                <w:szCs w:val="18"/>
              </w:rPr>
              <w:t>2 098,7</w:t>
            </w:r>
          </w:p>
        </w:tc>
        <w:tc>
          <w:tcPr>
            <w:tcW w:w="1300" w:type="dxa"/>
            <w:tcBorders>
              <w:top w:val="nil"/>
              <w:left w:val="nil"/>
              <w:bottom w:val="nil"/>
              <w:right w:val="single" w:sz="8" w:space="0" w:color="auto"/>
            </w:tcBorders>
            <w:shd w:val="clear" w:color="auto" w:fill="auto"/>
            <w:noWrap/>
            <w:vAlign w:val="bottom"/>
            <w:hideMark/>
          </w:tcPr>
          <w:p w14:paraId="1D286A8D" w14:textId="5286A0C2" w:rsidR="00A8265D" w:rsidRPr="00C85F7F" w:rsidRDefault="00A8265D" w:rsidP="00A8265D">
            <w:pPr>
              <w:jc w:val="right"/>
              <w:rPr>
                <w:color w:val="548DD4" w:themeColor="text2" w:themeTint="99"/>
                <w:sz w:val="18"/>
                <w:szCs w:val="18"/>
              </w:rPr>
            </w:pPr>
            <w:r>
              <w:rPr>
                <w:sz w:val="18"/>
                <w:szCs w:val="18"/>
              </w:rPr>
              <w:t>48,5%</w:t>
            </w:r>
          </w:p>
        </w:tc>
      </w:tr>
      <w:tr w:rsidR="0071560E" w:rsidRPr="00C85F7F" w14:paraId="10F3EB69" w14:textId="77777777" w:rsidTr="006B7656">
        <w:trPr>
          <w:trHeight w:val="480"/>
        </w:trPr>
        <w:tc>
          <w:tcPr>
            <w:tcW w:w="4263" w:type="dxa"/>
            <w:tcBorders>
              <w:top w:val="single" w:sz="4" w:space="0" w:color="auto"/>
              <w:left w:val="single" w:sz="8" w:space="0" w:color="auto"/>
              <w:bottom w:val="nil"/>
              <w:right w:val="nil"/>
            </w:tcBorders>
            <w:shd w:val="clear" w:color="auto" w:fill="auto"/>
            <w:vAlign w:val="bottom"/>
            <w:hideMark/>
          </w:tcPr>
          <w:p w14:paraId="50CC55D3" w14:textId="77777777" w:rsidR="0071560E" w:rsidRPr="0057565D" w:rsidRDefault="0071560E" w:rsidP="0071560E">
            <w:pPr>
              <w:rPr>
                <w:b/>
                <w:bCs/>
                <w:sz w:val="18"/>
                <w:szCs w:val="18"/>
              </w:rPr>
            </w:pPr>
            <w:r w:rsidRPr="0057565D">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14:paraId="4A054E7A" w14:textId="756E5C69" w:rsidR="0071560E" w:rsidRPr="00C85F7F" w:rsidRDefault="0071560E" w:rsidP="0071560E">
            <w:pPr>
              <w:jc w:val="right"/>
              <w:rPr>
                <w:b/>
                <w:bCs/>
                <w:color w:val="548DD4" w:themeColor="text2" w:themeTint="99"/>
                <w:sz w:val="18"/>
                <w:szCs w:val="18"/>
              </w:rPr>
            </w:pPr>
            <w:r>
              <w:rPr>
                <w:b/>
                <w:bCs/>
                <w:sz w:val="18"/>
                <w:szCs w:val="18"/>
              </w:rPr>
              <w:t>55 172,4</w:t>
            </w:r>
          </w:p>
        </w:tc>
        <w:tc>
          <w:tcPr>
            <w:tcW w:w="1087" w:type="dxa"/>
            <w:tcBorders>
              <w:top w:val="single" w:sz="4" w:space="0" w:color="auto"/>
              <w:left w:val="nil"/>
              <w:bottom w:val="nil"/>
              <w:right w:val="nil"/>
            </w:tcBorders>
            <w:shd w:val="clear" w:color="auto" w:fill="auto"/>
            <w:noWrap/>
            <w:vAlign w:val="bottom"/>
            <w:hideMark/>
          </w:tcPr>
          <w:p w14:paraId="48A07B75" w14:textId="0B57E0D2" w:rsidR="0071560E" w:rsidRPr="00C85F7F" w:rsidRDefault="0071560E" w:rsidP="0071560E">
            <w:pPr>
              <w:jc w:val="right"/>
              <w:rPr>
                <w:b/>
                <w:bCs/>
                <w:color w:val="548DD4" w:themeColor="text2" w:themeTint="99"/>
                <w:sz w:val="18"/>
                <w:szCs w:val="18"/>
              </w:rPr>
            </w:pPr>
            <w:r>
              <w:rPr>
                <w:b/>
                <w:bCs/>
                <w:sz w:val="18"/>
                <w:szCs w:val="18"/>
              </w:rPr>
              <w:t>36 772,3</w:t>
            </w:r>
          </w:p>
        </w:tc>
        <w:tc>
          <w:tcPr>
            <w:tcW w:w="1252" w:type="dxa"/>
            <w:tcBorders>
              <w:top w:val="single" w:sz="4" w:space="0" w:color="auto"/>
              <w:left w:val="nil"/>
              <w:bottom w:val="nil"/>
              <w:right w:val="nil"/>
            </w:tcBorders>
            <w:shd w:val="clear" w:color="auto" w:fill="auto"/>
            <w:noWrap/>
            <w:vAlign w:val="bottom"/>
            <w:hideMark/>
          </w:tcPr>
          <w:p w14:paraId="4FAD08E0" w14:textId="73CDEF27" w:rsidR="0071560E" w:rsidRPr="00C85F7F" w:rsidRDefault="0071560E" w:rsidP="0071560E">
            <w:pPr>
              <w:jc w:val="right"/>
              <w:rPr>
                <w:b/>
                <w:bCs/>
                <w:color w:val="548DD4" w:themeColor="text2" w:themeTint="99"/>
                <w:sz w:val="18"/>
                <w:szCs w:val="18"/>
              </w:rPr>
            </w:pPr>
            <w:r>
              <w:rPr>
                <w:b/>
                <w:bCs/>
                <w:color w:val="000000"/>
                <w:sz w:val="18"/>
                <w:szCs w:val="18"/>
              </w:rPr>
              <w:t>34 057,6</w:t>
            </w:r>
          </w:p>
        </w:tc>
        <w:tc>
          <w:tcPr>
            <w:tcW w:w="1199" w:type="dxa"/>
            <w:tcBorders>
              <w:top w:val="single" w:sz="4" w:space="0" w:color="auto"/>
              <w:left w:val="nil"/>
              <w:bottom w:val="nil"/>
              <w:right w:val="nil"/>
            </w:tcBorders>
            <w:shd w:val="clear" w:color="auto" w:fill="auto"/>
            <w:noWrap/>
            <w:vAlign w:val="bottom"/>
            <w:hideMark/>
          </w:tcPr>
          <w:p w14:paraId="3C3A5D41" w14:textId="031059E2" w:rsidR="0071560E" w:rsidRPr="00C85F7F" w:rsidRDefault="0071560E" w:rsidP="0071560E">
            <w:pPr>
              <w:jc w:val="right"/>
              <w:rPr>
                <w:b/>
                <w:bCs/>
                <w:color w:val="548DD4" w:themeColor="text2" w:themeTint="99"/>
                <w:sz w:val="18"/>
                <w:szCs w:val="18"/>
              </w:rPr>
            </w:pPr>
            <w:r>
              <w:rPr>
                <w:b/>
                <w:bCs/>
                <w:color w:val="000000"/>
                <w:sz w:val="18"/>
                <w:szCs w:val="18"/>
              </w:rPr>
              <w:t>2 714,7</w:t>
            </w:r>
          </w:p>
        </w:tc>
        <w:tc>
          <w:tcPr>
            <w:tcW w:w="1300" w:type="dxa"/>
            <w:tcBorders>
              <w:top w:val="single" w:sz="4" w:space="0" w:color="auto"/>
              <w:left w:val="nil"/>
              <w:bottom w:val="nil"/>
              <w:right w:val="single" w:sz="8" w:space="0" w:color="auto"/>
            </w:tcBorders>
            <w:shd w:val="clear" w:color="auto" w:fill="auto"/>
            <w:noWrap/>
            <w:vAlign w:val="bottom"/>
            <w:hideMark/>
          </w:tcPr>
          <w:p w14:paraId="26186553" w14:textId="43CE3C92" w:rsidR="0071560E" w:rsidRPr="00C85F7F" w:rsidRDefault="0071560E" w:rsidP="0071560E">
            <w:pPr>
              <w:jc w:val="right"/>
              <w:rPr>
                <w:b/>
                <w:bCs/>
                <w:color w:val="548DD4" w:themeColor="text2" w:themeTint="99"/>
                <w:sz w:val="18"/>
                <w:szCs w:val="18"/>
              </w:rPr>
            </w:pPr>
            <w:r>
              <w:rPr>
                <w:b/>
                <w:bCs/>
                <w:sz w:val="18"/>
                <w:szCs w:val="18"/>
              </w:rPr>
              <w:t>66,6%</w:t>
            </w:r>
          </w:p>
        </w:tc>
      </w:tr>
      <w:tr w:rsidR="0071560E" w:rsidRPr="00C85F7F" w14:paraId="3F4F5D8D"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789ACED8" w14:textId="77777777" w:rsidR="0071560E" w:rsidRPr="0057565D" w:rsidRDefault="0071560E" w:rsidP="0071560E">
            <w:pPr>
              <w:rPr>
                <w:sz w:val="18"/>
                <w:szCs w:val="18"/>
              </w:rPr>
            </w:pPr>
            <w:r w:rsidRPr="0057565D">
              <w:rPr>
                <w:sz w:val="18"/>
                <w:szCs w:val="18"/>
              </w:rPr>
              <w:t xml:space="preserve">  Нелихвени</w:t>
            </w:r>
          </w:p>
        </w:tc>
        <w:tc>
          <w:tcPr>
            <w:tcW w:w="992" w:type="dxa"/>
            <w:tcBorders>
              <w:top w:val="nil"/>
              <w:left w:val="nil"/>
              <w:bottom w:val="nil"/>
              <w:right w:val="nil"/>
            </w:tcBorders>
            <w:shd w:val="clear" w:color="auto" w:fill="auto"/>
            <w:noWrap/>
            <w:vAlign w:val="bottom"/>
            <w:hideMark/>
          </w:tcPr>
          <w:p w14:paraId="65FE1B0B" w14:textId="62872D10" w:rsidR="0071560E" w:rsidRPr="00C85F7F" w:rsidRDefault="0071560E" w:rsidP="0071560E">
            <w:pPr>
              <w:jc w:val="right"/>
              <w:rPr>
                <w:color w:val="548DD4" w:themeColor="text2" w:themeTint="99"/>
                <w:sz w:val="18"/>
                <w:szCs w:val="18"/>
              </w:rPr>
            </w:pPr>
            <w:r>
              <w:rPr>
                <w:sz w:val="18"/>
                <w:szCs w:val="18"/>
              </w:rPr>
              <w:t>50 999,8</w:t>
            </w:r>
          </w:p>
        </w:tc>
        <w:tc>
          <w:tcPr>
            <w:tcW w:w="1087" w:type="dxa"/>
            <w:tcBorders>
              <w:top w:val="nil"/>
              <w:left w:val="nil"/>
              <w:bottom w:val="nil"/>
              <w:right w:val="nil"/>
            </w:tcBorders>
            <w:shd w:val="clear" w:color="auto" w:fill="auto"/>
            <w:noWrap/>
            <w:vAlign w:val="bottom"/>
            <w:hideMark/>
          </w:tcPr>
          <w:p w14:paraId="60606875" w14:textId="70A9B637" w:rsidR="0071560E" w:rsidRPr="00C85F7F" w:rsidRDefault="0071560E" w:rsidP="0071560E">
            <w:pPr>
              <w:jc w:val="right"/>
              <w:rPr>
                <w:color w:val="548DD4" w:themeColor="text2" w:themeTint="99"/>
                <w:sz w:val="18"/>
                <w:szCs w:val="18"/>
              </w:rPr>
            </w:pPr>
            <w:r>
              <w:rPr>
                <w:sz w:val="18"/>
                <w:szCs w:val="18"/>
              </w:rPr>
              <w:t>35 124,2</w:t>
            </w:r>
          </w:p>
        </w:tc>
        <w:tc>
          <w:tcPr>
            <w:tcW w:w="1252" w:type="dxa"/>
            <w:tcBorders>
              <w:top w:val="nil"/>
              <w:left w:val="nil"/>
              <w:bottom w:val="nil"/>
              <w:right w:val="nil"/>
            </w:tcBorders>
            <w:shd w:val="clear" w:color="auto" w:fill="auto"/>
            <w:noWrap/>
            <w:vAlign w:val="bottom"/>
            <w:hideMark/>
          </w:tcPr>
          <w:p w14:paraId="6D944D2F" w14:textId="1F86F7E6" w:rsidR="0071560E" w:rsidRPr="00C85F7F" w:rsidRDefault="0071560E" w:rsidP="0071560E">
            <w:pPr>
              <w:jc w:val="right"/>
              <w:rPr>
                <w:color w:val="548DD4" w:themeColor="text2" w:themeTint="99"/>
                <w:sz w:val="18"/>
                <w:szCs w:val="18"/>
              </w:rPr>
            </w:pPr>
            <w:r>
              <w:rPr>
                <w:sz w:val="18"/>
                <w:szCs w:val="18"/>
              </w:rPr>
              <w:t>32 409,7</w:t>
            </w:r>
          </w:p>
        </w:tc>
        <w:tc>
          <w:tcPr>
            <w:tcW w:w="1199" w:type="dxa"/>
            <w:tcBorders>
              <w:top w:val="nil"/>
              <w:left w:val="nil"/>
              <w:bottom w:val="nil"/>
              <w:right w:val="nil"/>
            </w:tcBorders>
            <w:shd w:val="clear" w:color="auto" w:fill="auto"/>
            <w:noWrap/>
            <w:vAlign w:val="bottom"/>
            <w:hideMark/>
          </w:tcPr>
          <w:p w14:paraId="6D61E780" w14:textId="2B75209A" w:rsidR="0071560E" w:rsidRPr="00C85F7F" w:rsidRDefault="0071560E" w:rsidP="0071560E">
            <w:pPr>
              <w:jc w:val="right"/>
              <w:rPr>
                <w:color w:val="548DD4" w:themeColor="text2" w:themeTint="99"/>
                <w:sz w:val="18"/>
                <w:szCs w:val="18"/>
              </w:rPr>
            </w:pPr>
            <w:r>
              <w:rPr>
                <w:sz w:val="18"/>
                <w:szCs w:val="18"/>
              </w:rPr>
              <w:t>2 714,6</w:t>
            </w:r>
          </w:p>
        </w:tc>
        <w:tc>
          <w:tcPr>
            <w:tcW w:w="1300" w:type="dxa"/>
            <w:tcBorders>
              <w:top w:val="nil"/>
              <w:left w:val="nil"/>
              <w:bottom w:val="nil"/>
              <w:right w:val="single" w:sz="8" w:space="0" w:color="auto"/>
            </w:tcBorders>
            <w:shd w:val="clear" w:color="auto" w:fill="auto"/>
            <w:noWrap/>
            <w:vAlign w:val="bottom"/>
            <w:hideMark/>
          </w:tcPr>
          <w:p w14:paraId="5FFB1B33" w14:textId="444F85F1" w:rsidR="0071560E" w:rsidRPr="00C85F7F" w:rsidRDefault="0071560E" w:rsidP="0071560E">
            <w:pPr>
              <w:jc w:val="right"/>
              <w:rPr>
                <w:color w:val="548DD4" w:themeColor="text2" w:themeTint="99"/>
                <w:sz w:val="18"/>
                <w:szCs w:val="18"/>
              </w:rPr>
            </w:pPr>
            <w:r>
              <w:rPr>
                <w:sz w:val="18"/>
                <w:szCs w:val="18"/>
              </w:rPr>
              <w:t>68,9%</w:t>
            </w:r>
          </w:p>
        </w:tc>
      </w:tr>
      <w:tr w:rsidR="0071560E" w:rsidRPr="00C85F7F" w14:paraId="04D4B946"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62C4C4E2" w14:textId="77777777" w:rsidR="0071560E" w:rsidRPr="0057565D" w:rsidRDefault="0071560E" w:rsidP="0071560E">
            <w:pPr>
              <w:rPr>
                <w:sz w:val="18"/>
                <w:szCs w:val="18"/>
              </w:rPr>
            </w:pPr>
            <w:r w:rsidRPr="0057565D">
              <w:rPr>
                <w:sz w:val="18"/>
                <w:szCs w:val="18"/>
              </w:rPr>
              <w:t xml:space="preserve">    Текущи</w:t>
            </w:r>
          </w:p>
        </w:tc>
        <w:tc>
          <w:tcPr>
            <w:tcW w:w="992" w:type="dxa"/>
            <w:tcBorders>
              <w:top w:val="nil"/>
              <w:left w:val="nil"/>
              <w:bottom w:val="nil"/>
              <w:right w:val="nil"/>
            </w:tcBorders>
            <w:shd w:val="clear" w:color="auto" w:fill="auto"/>
            <w:noWrap/>
            <w:vAlign w:val="bottom"/>
            <w:hideMark/>
          </w:tcPr>
          <w:p w14:paraId="31C20A10" w14:textId="52751E68" w:rsidR="0071560E" w:rsidRPr="008B6AF8" w:rsidRDefault="0071560E" w:rsidP="0071560E">
            <w:pPr>
              <w:jc w:val="right"/>
              <w:rPr>
                <w:sz w:val="18"/>
                <w:szCs w:val="18"/>
              </w:rPr>
            </w:pPr>
            <w:r w:rsidRPr="008B6AF8">
              <w:rPr>
                <w:sz w:val="18"/>
                <w:szCs w:val="18"/>
              </w:rPr>
              <w:t>44 840,9</w:t>
            </w:r>
          </w:p>
        </w:tc>
        <w:tc>
          <w:tcPr>
            <w:tcW w:w="1087" w:type="dxa"/>
            <w:tcBorders>
              <w:top w:val="nil"/>
              <w:left w:val="nil"/>
              <w:bottom w:val="nil"/>
              <w:right w:val="nil"/>
            </w:tcBorders>
            <w:shd w:val="clear" w:color="auto" w:fill="auto"/>
            <w:noWrap/>
            <w:vAlign w:val="bottom"/>
            <w:hideMark/>
          </w:tcPr>
          <w:p w14:paraId="7C08DA3B" w14:textId="43E26860" w:rsidR="0071560E" w:rsidRPr="008B6AF8" w:rsidRDefault="0071560E" w:rsidP="0071560E">
            <w:pPr>
              <w:jc w:val="right"/>
              <w:rPr>
                <w:sz w:val="18"/>
                <w:szCs w:val="18"/>
              </w:rPr>
            </w:pPr>
            <w:r w:rsidRPr="008B6AF8">
              <w:rPr>
                <w:sz w:val="18"/>
                <w:szCs w:val="18"/>
              </w:rPr>
              <w:t>32 898,3</w:t>
            </w:r>
          </w:p>
        </w:tc>
        <w:tc>
          <w:tcPr>
            <w:tcW w:w="1252" w:type="dxa"/>
            <w:tcBorders>
              <w:top w:val="nil"/>
              <w:left w:val="nil"/>
              <w:bottom w:val="nil"/>
              <w:right w:val="nil"/>
            </w:tcBorders>
            <w:shd w:val="clear" w:color="auto" w:fill="auto"/>
            <w:noWrap/>
            <w:vAlign w:val="bottom"/>
            <w:hideMark/>
          </w:tcPr>
          <w:p w14:paraId="7AA90224" w14:textId="08364C8A" w:rsidR="0071560E" w:rsidRPr="008B6AF8" w:rsidRDefault="0071560E" w:rsidP="0071560E">
            <w:pPr>
              <w:jc w:val="right"/>
              <w:rPr>
                <w:sz w:val="18"/>
                <w:szCs w:val="18"/>
              </w:rPr>
            </w:pPr>
            <w:r w:rsidRPr="008B6AF8">
              <w:rPr>
                <w:sz w:val="18"/>
                <w:szCs w:val="18"/>
              </w:rPr>
              <w:t>31 570,4</w:t>
            </w:r>
          </w:p>
        </w:tc>
        <w:tc>
          <w:tcPr>
            <w:tcW w:w="1199" w:type="dxa"/>
            <w:tcBorders>
              <w:top w:val="nil"/>
              <w:left w:val="nil"/>
              <w:bottom w:val="nil"/>
              <w:right w:val="nil"/>
            </w:tcBorders>
            <w:shd w:val="clear" w:color="auto" w:fill="auto"/>
            <w:noWrap/>
            <w:vAlign w:val="bottom"/>
            <w:hideMark/>
          </w:tcPr>
          <w:p w14:paraId="40C410E5" w14:textId="26D861D0" w:rsidR="0071560E" w:rsidRPr="008B6AF8" w:rsidRDefault="0071560E" w:rsidP="0071560E">
            <w:pPr>
              <w:jc w:val="right"/>
              <w:rPr>
                <w:sz w:val="18"/>
                <w:szCs w:val="18"/>
              </w:rPr>
            </w:pPr>
            <w:r w:rsidRPr="008B6AF8">
              <w:rPr>
                <w:sz w:val="18"/>
                <w:szCs w:val="18"/>
              </w:rPr>
              <w:t>1 327,8</w:t>
            </w:r>
          </w:p>
        </w:tc>
        <w:tc>
          <w:tcPr>
            <w:tcW w:w="1300" w:type="dxa"/>
            <w:tcBorders>
              <w:top w:val="nil"/>
              <w:left w:val="nil"/>
              <w:bottom w:val="nil"/>
              <w:right w:val="single" w:sz="8" w:space="0" w:color="auto"/>
            </w:tcBorders>
            <w:shd w:val="clear" w:color="auto" w:fill="auto"/>
            <w:noWrap/>
            <w:vAlign w:val="bottom"/>
            <w:hideMark/>
          </w:tcPr>
          <w:p w14:paraId="3CC8F7BC" w14:textId="1DAA6583" w:rsidR="0071560E" w:rsidRPr="008B6AF8" w:rsidRDefault="0071560E" w:rsidP="0071560E">
            <w:pPr>
              <w:jc w:val="right"/>
              <w:rPr>
                <w:sz w:val="18"/>
                <w:szCs w:val="18"/>
              </w:rPr>
            </w:pPr>
            <w:r w:rsidRPr="008B6AF8">
              <w:rPr>
                <w:sz w:val="18"/>
                <w:szCs w:val="18"/>
              </w:rPr>
              <w:t>73,4%</w:t>
            </w:r>
          </w:p>
        </w:tc>
      </w:tr>
      <w:tr w:rsidR="002174C9" w:rsidRPr="00C85F7F" w14:paraId="4A12C539" w14:textId="77777777" w:rsidTr="00FD5E9E">
        <w:trPr>
          <w:trHeight w:val="255"/>
        </w:trPr>
        <w:tc>
          <w:tcPr>
            <w:tcW w:w="4263" w:type="dxa"/>
            <w:tcBorders>
              <w:top w:val="nil"/>
              <w:left w:val="single" w:sz="8" w:space="0" w:color="auto"/>
              <w:bottom w:val="nil"/>
              <w:right w:val="nil"/>
            </w:tcBorders>
            <w:shd w:val="clear" w:color="auto" w:fill="auto"/>
            <w:noWrap/>
            <w:vAlign w:val="bottom"/>
          </w:tcPr>
          <w:p w14:paraId="6FD45AF7" w14:textId="77777777" w:rsidR="002174C9" w:rsidRPr="0057565D" w:rsidRDefault="002174C9" w:rsidP="002174C9">
            <w:pPr>
              <w:rPr>
                <w:sz w:val="18"/>
                <w:szCs w:val="18"/>
              </w:rPr>
            </w:pPr>
            <w:r w:rsidRPr="0057565D">
              <w:rPr>
                <w:sz w:val="18"/>
                <w:szCs w:val="18"/>
              </w:rPr>
              <w:t xml:space="preserve">    Предоставени тек. и капит. трансфери за чужбина</w:t>
            </w:r>
          </w:p>
        </w:tc>
        <w:tc>
          <w:tcPr>
            <w:tcW w:w="992" w:type="dxa"/>
            <w:tcBorders>
              <w:top w:val="nil"/>
              <w:left w:val="nil"/>
              <w:bottom w:val="nil"/>
              <w:right w:val="nil"/>
            </w:tcBorders>
            <w:shd w:val="clear" w:color="auto" w:fill="auto"/>
            <w:noWrap/>
            <w:vAlign w:val="bottom"/>
          </w:tcPr>
          <w:p w14:paraId="40B299D6" w14:textId="271271F6" w:rsidR="002174C9" w:rsidRPr="008B6AF8" w:rsidRDefault="002174C9" w:rsidP="002174C9">
            <w:pPr>
              <w:jc w:val="right"/>
              <w:rPr>
                <w:sz w:val="18"/>
                <w:szCs w:val="18"/>
              </w:rPr>
            </w:pPr>
            <w:r w:rsidRPr="008B6AF8">
              <w:rPr>
                <w:sz w:val="18"/>
                <w:szCs w:val="18"/>
              </w:rPr>
              <w:t>18,0</w:t>
            </w:r>
          </w:p>
        </w:tc>
        <w:tc>
          <w:tcPr>
            <w:tcW w:w="1087" w:type="dxa"/>
            <w:tcBorders>
              <w:top w:val="nil"/>
              <w:left w:val="nil"/>
              <w:bottom w:val="nil"/>
              <w:right w:val="nil"/>
            </w:tcBorders>
            <w:shd w:val="clear" w:color="auto" w:fill="auto"/>
            <w:noWrap/>
            <w:vAlign w:val="bottom"/>
          </w:tcPr>
          <w:p w14:paraId="1EC473FF" w14:textId="74E2F1B1" w:rsidR="002174C9" w:rsidRPr="008B6AF8" w:rsidRDefault="002174C9" w:rsidP="002174C9">
            <w:pPr>
              <w:jc w:val="right"/>
              <w:rPr>
                <w:sz w:val="18"/>
                <w:szCs w:val="18"/>
              </w:rPr>
            </w:pPr>
            <w:r w:rsidRPr="008B6AF8">
              <w:rPr>
                <w:sz w:val="18"/>
                <w:szCs w:val="18"/>
              </w:rPr>
              <w:t>28,0</w:t>
            </w:r>
          </w:p>
        </w:tc>
        <w:tc>
          <w:tcPr>
            <w:tcW w:w="1252" w:type="dxa"/>
            <w:tcBorders>
              <w:top w:val="nil"/>
              <w:left w:val="nil"/>
              <w:bottom w:val="nil"/>
              <w:right w:val="nil"/>
            </w:tcBorders>
            <w:shd w:val="clear" w:color="auto" w:fill="auto"/>
            <w:noWrap/>
            <w:vAlign w:val="bottom"/>
          </w:tcPr>
          <w:p w14:paraId="71A2BB86" w14:textId="78C69ECF" w:rsidR="002174C9" w:rsidRPr="008B6AF8" w:rsidRDefault="002174C9" w:rsidP="002174C9">
            <w:pPr>
              <w:jc w:val="right"/>
              <w:rPr>
                <w:sz w:val="18"/>
                <w:szCs w:val="18"/>
              </w:rPr>
            </w:pPr>
            <w:r w:rsidRPr="008B6AF8">
              <w:rPr>
                <w:sz w:val="18"/>
                <w:szCs w:val="18"/>
              </w:rPr>
              <w:t>10,9</w:t>
            </w:r>
          </w:p>
        </w:tc>
        <w:tc>
          <w:tcPr>
            <w:tcW w:w="1199" w:type="dxa"/>
            <w:tcBorders>
              <w:top w:val="nil"/>
              <w:left w:val="nil"/>
              <w:bottom w:val="nil"/>
              <w:right w:val="nil"/>
            </w:tcBorders>
            <w:shd w:val="clear" w:color="auto" w:fill="auto"/>
            <w:noWrap/>
            <w:vAlign w:val="bottom"/>
          </w:tcPr>
          <w:p w14:paraId="0B01053C" w14:textId="5B6D405E" w:rsidR="002174C9" w:rsidRPr="008B6AF8" w:rsidRDefault="002174C9" w:rsidP="002174C9">
            <w:pPr>
              <w:jc w:val="right"/>
              <w:rPr>
                <w:sz w:val="18"/>
                <w:szCs w:val="18"/>
              </w:rPr>
            </w:pPr>
            <w:r w:rsidRPr="008B6AF8">
              <w:rPr>
                <w:sz w:val="18"/>
                <w:szCs w:val="18"/>
              </w:rPr>
              <w:t>17,2</w:t>
            </w:r>
          </w:p>
        </w:tc>
        <w:tc>
          <w:tcPr>
            <w:tcW w:w="1300" w:type="dxa"/>
            <w:tcBorders>
              <w:top w:val="nil"/>
              <w:left w:val="nil"/>
              <w:bottom w:val="nil"/>
              <w:right w:val="single" w:sz="4" w:space="0" w:color="auto"/>
            </w:tcBorders>
            <w:shd w:val="clear" w:color="auto" w:fill="auto"/>
            <w:noWrap/>
            <w:vAlign w:val="bottom"/>
          </w:tcPr>
          <w:p w14:paraId="41328485" w14:textId="27233010" w:rsidR="002174C9" w:rsidRPr="008B6AF8" w:rsidRDefault="002174C9" w:rsidP="002174C9">
            <w:pPr>
              <w:jc w:val="right"/>
              <w:rPr>
                <w:sz w:val="18"/>
                <w:szCs w:val="18"/>
              </w:rPr>
            </w:pPr>
            <w:r w:rsidRPr="008B6AF8">
              <w:rPr>
                <w:sz w:val="18"/>
                <w:szCs w:val="18"/>
              </w:rPr>
              <w:t>155,8%</w:t>
            </w:r>
          </w:p>
        </w:tc>
      </w:tr>
      <w:tr w:rsidR="00F4201B" w:rsidRPr="00C85F7F" w14:paraId="2BF2B089" w14:textId="77777777" w:rsidTr="00FD5E9E">
        <w:trPr>
          <w:trHeight w:val="255"/>
        </w:trPr>
        <w:tc>
          <w:tcPr>
            <w:tcW w:w="4263" w:type="dxa"/>
            <w:tcBorders>
              <w:top w:val="nil"/>
              <w:left w:val="single" w:sz="8" w:space="0" w:color="auto"/>
              <w:bottom w:val="nil"/>
              <w:right w:val="nil"/>
            </w:tcBorders>
            <w:shd w:val="clear" w:color="auto" w:fill="auto"/>
            <w:noWrap/>
            <w:vAlign w:val="bottom"/>
            <w:hideMark/>
          </w:tcPr>
          <w:p w14:paraId="4D24EC8E" w14:textId="77777777" w:rsidR="00F4201B" w:rsidRPr="0057565D" w:rsidRDefault="00F4201B" w:rsidP="00F4201B">
            <w:pPr>
              <w:rPr>
                <w:sz w:val="18"/>
                <w:szCs w:val="18"/>
              </w:rPr>
            </w:pPr>
            <w:r w:rsidRPr="0057565D">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14:paraId="1C93DD0E" w14:textId="0FFAA230" w:rsidR="00F4201B" w:rsidRPr="008B6AF8" w:rsidRDefault="00F4201B" w:rsidP="00F4201B">
            <w:pPr>
              <w:jc w:val="right"/>
              <w:rPr>
                <w:sz w:val="18"/>
                <w:szCs w:val="18"/>
              </w:rPr>
            </w:pPr>
            <w:r w:rsidRPr="008B6AF8">
              <w:rPr>
                <w:sz w:val="18"/>
                <w:szCs w:val="18"/>
              </w:rPr>
              <w:t>6 140,9</w:t>
            </w:r>
          </w:p>
        </w:tc>
        <w:tc>
          <w:tcPr>
            <w:tcW w:w="1087" w:type="dxa"/>
            <w:tcBorders>
              <w:top w:val="nil"/>
              <w:left w:val="nil"/>
              <w:bottom w:val="nil"/>
              <w:right w:val="nil"/>
            </w:tcBorders>
            <w:shd w:val="clear" w:color="auto" w:fill="auto"/>
            <w:noWrap/>
            <w:vAlign w:val="bottom"/>
            <w:hideMark/>
          </w:tcPr>
          <w:p w14:paraId="6F9410EA" w14:textId="5970FF7F" w:rsidR="00F4201B" w:rsidRPr="008B6AF8" w:rsidRDefault="00F4201B" w:rsidP="00F4201B">
            <w:pPr>
              <w:jc w:val="right"/>
              <w:rPr>
                <w:sz w:val="18"/>
                <w:szCs w:val="18"/>
              </w:rPr>
            </w:pPr>
            <w:r w:rsidRPr="008B6AF8">
              <w:rPr>
                <w:sz w:val="18"/>
                <w:szCs w:val="18"/>
              </w:rPr>
              <w:t>2 198,0</w:t>
            </w:r>
          </w:p>
        </w:tc>
        <w:tc>
          <w:tcPr>
            <w:tcW w:w="1252" w:type="dxa"/>
            <w:tcBorders>
              <w:top w:val="nil"/>
              <w:left w:val="nil"/>
              <w:bottom w:val="nil"/>
              <w:right w:val="nil"/>
            </w:tcBorders>
            <w:shd w:val="clear" w:color="auto" w:fill="auto"/>
            <w:noWrap/>
            <w:vAlign w:val="bottom"/>
            <w:hideMark/>
          </w:tcPr>
          <w:p w14:paraId="1E59CF01" w14:textId="1A3C0492" w:rsidR="00F4201B" w:rsidRPr="008B6AF8" w:rsidRDefault="00F4201B" w:rsidP="00F4201B">
            <w:pPr>
              <w:jc w:val="right"/>
              <w:rPr>
                <w:sz w:val="18"/>
                <w:szCs w:val="18"/>
              </w:rPr>
            </w:pPr>
            <w:r w:rsidRPr="008B6AF8">
              <w:rPr>
                <w:sz w:val="18"/>
                <w:szCs w:val="18"/>
              </w:rPr>
              <w:t>828,4</w:t>
            </w:r>
          </w:p>
        </w:tc>
        <w:tc>
          <w:tcPr>
            <w:tcW w:w="1199" w:type="dxa"/>
            <w:tcBorders>
              <w:top w:val="nil"/>
              <w:left w:val="nil"/>
              <w:bottom w:val="nil"/>
              <w:right w:val="nil"/>
            </w:tcBorders>
            <w:shd w:val="clear" w:color="auto" w:fill="auto"/>
            <w:noWrap/>
            <w:vAlign w:val="bottom"/>
            <w:hideMark/>
          </w:tcPr>
          <w:p w14:paraId="766725B6" w14:textId="7D6519FE" w:rsidR="00F4201B" w:rsidRPr="008B6AF8" w:rsidRDefault="00F4201B" w:rsidP="00F4201B">
            <w:pPr>
              <w:jc w:val="right"/>
              <w:rPr>
                <w:sz w:val="18"/>
                <w:szCs w:val="18"/>
              </w:rPr>
            </w:pPr>
            <w:r w:rsidRPr="008B6AF8">
              <w:rPr>
                <w:sz w:val="18"/>
                <w:szCs w:val="18"/>
              </w:rPr>
              <w:t>1 369,6</w:t>
            </w:r>
          </w:p>
        </w:tc>
        <w:tc>
          <w:tcPr>
            <w:tcW w:w="1300" w:type="dxa"/>
            <w:tcBorders>
              <w:top w:val="nil"/>
              <w:left w:val="nil"/>
              <w:bottom w:val="nil"/>
              <w:right w:val="single" w:sz="4" w:space="0" w:color="auto"/>
            </w:tcBorders>
            <w:shd w:val="clear" w:color="auto" w:fill="auto"/>
            <w:noWrap/>
            <w:vAlign w:val="bottom"/>
            <w:hideMark/>
          </w:tcPr>
          <w:p w14:paraId="6E1EBAD7" w14:textId="4DDF0224" w:rsidR="00F4201B" w:rsidRPr="008B6AF8" w:rsidRDefault="00F4201B" w:rsidP="00F4201B">
            <w:pPr>
              <w:jc w:val="right"/>
              <w:rPr>
                <w:sz w:val="18"/>
                <w:szCs w:val="18"/>
              </w:rPr>
            </w:pPr>
            <w:r w:rsidRPr="008B6AF8">
              <w:rPr>
                <w:sz w:val="18"/>
                <w:szCs w:val="18"/>
              </w:rPr>
              <w:t>35,8%</w:t>
            </w:r>
          </w:p>
        </w:tc>
      </w:tr>
      <w:tr w:rsidR="00F4201B" w:rsidRPr="00C85F7F" w14:paraId="4DCD897E" w14:textId="77777777" w:rsidTr="00FD5E9E">
        <w:trPr>
          <w:trHeight w:val="255"/>
        </w:trPr>
        <w:tc>
          <w:tcPr>
            <w:tcW w:w="4263" w:type="dxa"/>
            <w:tcBorders>
              <w:top w:val="nil"/>
              <w:left w:val="single" w:sz="8" w:space="0" w:color="auto"/>
              <w:bottom w:val="nil"/>
              <w:right w:val="nil"/>
            </w:tcBorders>
            <w:shd w:val="clear" w:color="auto" w:fill="auto"/>
            <w:noWrap/>
            <w:vAlign w:val="bottom"/>
            <w:hideMark/>
          </w:tcPr>
          <w:p w14:paraId="186B36F0" w14:textId="77777777" w:rsidR="00F4201B" w:rsidRPr="0057565D" w:rsidRDefault="00F4201B" w:rsidP="00F4201B">
            <w:pPr>
              <w:rPr>
                <w:sz w:val="18"/>
                <w:szCs w:val="18"/>
              </w:rPr>
            </w:pPr>
            <w:r w:rsidRPr="0057565D">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14:paraId="64274D62" w14:textId="6DD632AF" w:rsidR="00F4201B" w:rsidRPr="008B6AF8" w:rsidRDefault="00F4201B" w:rsidP="00F4201B">
            <w:pPr>
              <w:jc w:val="right"/>
              <w:rPr>
                <w:sz w:val="18"/>
                <w:szCs w:val="18"/>
              </w:rPr>
            </w:pPr>
            <w:r w:rsidRPr="008B6AF8">
              <w:rPr>
                <w:sz w:val="18"/>
                <w:szCs w:val="18"/>
              </w:rPr>
              <w:t>31,3</w:t>
            </w:r>
          </w:p>
        </w:tc>
        <w:tc>
          <w:tcPr>
            <w:tcW w:w="1087" w:type="dxa"/>
            <w:tcBorders>
              <w:top w:val="nil"/>
              <w:left w:val="nil"/>
              <w:bottom w:val="nil"/>
              <w:right w:val="nil"/>
            </w:tcBorders>
            <w:shd w:val="clear" w:color="auto" w:fill="auto"/>
            <w:noWrap/>
            <w:vAlign w:val="bottom"/>
            <w:hideMark/>
          </w:tcPr>
          <w:p w14:paraId="52D08B48" w14:textId="795956A4" w:rsidR="00F4201B" w:rsidRPr="008B6AF8" w:rsidRDefault="00F4201B" w:rsidP="00F4201B">
            <w:pPr>
              <w:jc w:val="right"/>
              <w:rPr>
                <w:sz w:val="18"/>
                <w:szCs w:val="18"/>
                <w:lang w:val="en-US"/>
              </w:rPr>
            </w:pPr>
            <w:r w:rsidRPr="008B6AF8">
              <w:rPr>
                <w:sz w:val="18"/>
                <w:szCs w:val="18"/>
              </w:rPr>
              <w:t>-0,8</w:t>
            </w:r>
          </w:p>
        </w:tc>
        <w:tc>
          <w:tcPr>
            <w:tcW w:w="1252" w:type="dxa"/>
            <w:tcBorders>
              <w:top w:val="nil"/>
              <w:left w:val="nil"/>
              <w:bottom w:val="nil"/>
              <w:right w:val="nil"/>
            </w:tcBorders>
            <w:shd w:val="clear" w:color="auto" w:fill="auto"/>
            <w:noWrap/>
            <w:vAlign w:val="bottom"/>
            <w:hideMark/>
          </w:tcPr>
          <w:p w14:paraId="257C2B77" w14:textId="6E7FB745" w:rsidR="00F4201B" w:rsidRPr="008B6AF8" w:rsidRDefault="00F4201B" w:rsidP="00F4201B">
            <w:pPr>
              <w:jc w:val="right"/>
              <w:rPr>
                <w:sz w:val="18"/>
                <w:szCs w:val="18"/>
              </w:rPr>
            </w:pPr>
            <w:r w:rsidRPr="008B6AF8">
              <w:rPr>
                <w:sz w:val="18"/>
                <w:szCs w:val="18"/>
              </w:rPr>
              <w:t>-0,8</w:t>
            </w:r>
          </w:p>
        </w:tc>
        <w:tc>
          <w:tcPr>
            <w:tcW w:w="1199" w:type="dxa"/>
            <w:tcBorders>
              <w:top w:val="nil"/>
              <w:left w:val="nil"/>
              <w:bottom w:val="nil"/>
              <w:right w:val="nil"/>
            </w:tcBorders>
            <w:shd w:val="clear" w:color="auto" w:fill="auto"/>
            <w:noWrap/>
            <w:vAlign w:val="bottom"/>
          </w:tcPr>
          <w:p w14:paraId="279C33B2" w14:textId="179D3A50" w:rsidR="00F4201B" w:rsidRPr="008B6AF8" w:rsidRDefault="00F4201B" w:rsidP="00F4201B">
            <w:pPr>
              <w:jc w:val="right"/>
              <w:rPr>
                <w:sz w:val="18"/>
                <w:szCs w:val="18"/>
              </w:rPr>
            </w:pPr>
          </w:p>
        </w:tc>
        <w:tc>
          <w:tcPr>
            <w:tcW w:w="1300" w:type="dxa"/>
            <w:tcBorders>
              <w:top w:val="nil"/>
              <w:left w:val="nil"/>
              <w:bottom w:val="nil"/>
              <w:right w:val="single" w:sz="4" w:space="0" w:color="auto"/>
            </w:tcBorders>
            <w:shd w:val="clear" w:color="auto" w:fill="auto"/>
            <w:noWrap/>
            <w:vAlign w:val="bottom"/>
          </w:tcPr>
          <w:p w14:paraId="2E7807BC" w14:textId="377B7DFE" w:rsidR="00F4201B" w:rsidRPr="008B6AF8" w:rsidRDefault="00F4201B" w:rsidP="00F4201B">
            <w:pPr>
              <w:jc w:val="right"/>
              <w:rPr>
                <w:sz w:val="18"/>
                <w:szCs w:val="18"/>
              </w:rPr>
            </w:pPr>
          </w:p>
        </w:tc>
      </w:tr>
      <w:tr w:rsidR="00D2439E" w:rsidRPr="00C85F7F" w14:paraId="6FD7FC1E"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61208A94" w14:textId="77777777" w:rsidR="00D2439E" w:rsidRPr="0057565D" w:rsidRDefault="00D2439E" w:rsidP="00D2439E">
            <w:pPr>
              <w:rPr>
                <w:sz w:val="18"/>
                <w:szCs w:val="18"/>
              </w:rPr>
            </w:pPr>
            <w:r w:rsidRPr="0057565D">
              <w:rPr>
                <w:sz w:val="18"/>
                <w:szCs w:val="18"/>
              </w:rPr>
              <w:t xml:space="preserve">  Лихвени</w:t>
            </w:r>
          </w:p>
        </w:tc>
        <w:tc>
          <w:tcPr>
            <w:tcW w:w="992" w:type="dxa"/>
            <w:tcBorders>
              <w:top w:val="nil"/>
              <w:left w:val="nil"/>
              <w:bottom w:val="nil"/>
              <w:right w:val="nil"/>
            </w:tcBorders>
            <w:shd w:val="clear" w:color="auto" w:fill="auto"/>
            <w:noWrap/>
            <w:vAlign w:val="bottom"/>
            <w:hideMark/>
          </w:tcPr>
          <w:p w14:paraId="38712782" w14:textId="75A4FD5F" w:rsidR="00D2439E" w:rsidRPr="008B6AF8" w:rsidRDefault="00D2439E" w:rsidP="00D2439E">
            <w:pPr>
              <w:jc w:val="right"/>
              <w:rPr>
                <w:sz w:val="18"/>
                <w:szCs w:val="18"/>
              </w:rPr>
            </w:pPr>
            <w:r w:rsidRPr="008B6AF8">
              <w:rPr>
                <w:sz w:val="18"/>
                <w:szCs w:val="18"/>
              </w:rPr>
              <w:t>657,2</w:t>
            </w:r>
          </w:p>
        </w:tc>
        <w:tc>
          <w:tcPr>
            <w:tcW w:w="1087" w:type="dxa"/>
            <w:tcBorders>
              <w:top w:val="nil"/>
              <w:left w:val="nil"/>
              <w:bottom w:val="nil"/>
              <w:right w:val="nil"/>
            </w:tcBorders>
            <w:shd w:val="clear" w:color="auto" w:fill="auto"/>
            <w:noWrap/>
            <w:vAlign w:val="bottom"/>
            <w:hideMark/>
          </w:tcPr>
          <w:p w14:paraId="68057499" w14:textId="6E79B889" w:rsidR="00D2439E" w:rsidRPr="008B6AF8" w:rsidRDefault="00D2439E" w:rsidP="00D2439E">
            <w:pPr>
              <w:jc w:val="right"/>
              <w:rPr>
                <w:sz w:val="18"/>
                <w:szCs w:val="18"/>
              </w:rPr>
            </w:pPr>
            <w:r w:rsidRPr="008B6AF8">
              <w:rPr>
                <w:sz w:val="18"/>
                <w:szCs w:val="18"/>
              </w:rPr>
              <w:t>554,0</w:t>
            </w:r>
          </w:p>
        </w:tc>
        <w:tc>
          <w:tcPr>
            <w:tcW w:w="1252" w:type="dxa"/>
            <w:tcBorders>
              <w:top w:val="nil"/>
              <w:left w:val="nil"/>
              <w:bottom w:val="nil"/>
              <w:right w:val="nil"/>
            </w:tcBorders>
            <w:shd w:val="clear" w:color="auto" w:fill="auto"/>
            <w:noWrap/>
            <w:vAlign w:val="bottom"/>
            <w:hideMark/>
          </w:tcPr>
          <w:p w14:paraId="345711A3" w14:textId="5246CB9D" w:rsidR="00D2439E" w:rsidRPr="008B6AF8" w:rsidRDefault="00D2439E" w:rsidP="00D2439E">
            <w:pPr>
              <w:jc w:val="right"/>
              <w:rPr>
                <w:sz w:val="18"/>
                <w:szCs w:val="18"/>
              </w:rPr>
            </w:pPr>
            <w:r w:rsidRPr="008B6AF8">
              <w:rPr>
                <w:sz w:val="18"/>
                <w:szCs w:val="18"/>
              </w:rPr>
              <w:t>554,0</w:t>
            </w:r>
          </w:p>
        </w:tc>
        <w:tc>
          <w:tcPr>
            <w:tcW w:w="1199" w:type="dxa"/>
            <w:tcBorders>
              <w:top w:val="nil"/>
              <w:left w:val="nil"/>
              <w:bottom w:val="nil"/>
              <w:right w:val="nil"/>
            </w:tcBorders>
            <w:shd w:val="clear" w:color="auto" w:fill="auto"/>
            <w:noWrap/>
            <w:vAlign w:val="bottom"/>
          </w:tcPr>
          <w:p w14:paraId="0B4C5DF4" w14:textId="635A5B02" w:rsidR="00D2439E" w:rsidRPr="008B6AF8" w:rsidRDefault="007C58C7" w:rsidP="00D2439E">
            <w:pPr>
              <w:jc w:val="right"/>
              <w:rPr>
                <w:sz w:val="18"/>
                <w:szCs w:val="18"/>
              </w:rPr>
            </w:pPr>
            <w:r w:rsidRPr="008B6AF8">
              <w:rPr>
                <w:sz w:val="18"/>
                <w:szCs w:val="18"/>
              </w:rPr>
              <w:t>0,097</w:t>
            </w:r>
          </w:p>
        </w:tc>
        <w:tc>
          <w:tcPr>
            <w:tcW w:w="1300" w:type="dxa"/>
            <w:tcBorders>
              <w:top w:val="nil"/>
              <w:left w:val="nil"/>
              <w:bottom w:val="nil"/>
              <w:right w:val="single" w:sz="8" w:space="0" w:color="auto"/>
            </w:tcBorders>
            <w:shd w:val="clear" w:color="auto" w:fill="auto"/>
            <w:noWrap/>
            <w:vAlign w:val="bottom"/>
            <w:hideMark/>
          </w:tcPr>
          <w:p w14:paraId="0BBD14EA" w14:textId="13A83F50" w:rsidR="00D2439E" w:rsidRPr="008B6AF8" w:rsidRDefault="00D2439E" w:rsidP="00D2439E">
            <w:pPr>
              <w:jc w:val="right"/>
              <w:rPr>
                <w:sz w:val="18"/>
                <w:szCs w:val="18"/>
              </w:rPr>
            </w:pPr>
            <w:r w:rsidRPr="008B6AF8">
              <w:rPr>
                <w:sz w:val="18"/>
                <w:szCs w:val="18"/>
              </w:rPr>
              <w:t>84,3%</w:t>
            </w:r>
          </w:p>
        </w:tc>
      </w:tr>
      <w:tr w:rsidR="00D2439E" w:rsidRPr="00C85F7F" w14:paraId="20DC3BF0" w14:textId="77777777" w:rsidTr="006B7656">
        <w:trPr>
          <w:trHeight w:val="255"/>
        </w:trPr>
        <w:tc>
          <w:tcPr>
            <w:tcW w:w="4263" w:type="dxa"/>
            <w:tcBorders>
              <w:top w:val="nil"/>
              <w:left w:val="single" w:sz="8" w:space="0" w:color="auto"/>
              <w:bottom w:val="nil"/>
              <w:right w:val="nil"/>
            </w:tcBorders>
            <w:shd w:val="clear" w:color="auto" w:fill="auto"/>
            <w:noWrap/>
            <w:vAlign w:val="bottom"/>
            <w:hideMark/>
          </w:tcPr>
          <w:p w14:paraId="4BF0040F" w14:textId="77777777" w:rsidR="00D2439E" w:rsidRPr="0057565D" w:rsidRDefault="00D2439E" w:rsidP="00D2439E">
            <w:pPr>
              <w:rPr>
                <w:sz w:val="18"/>
                <w:szCs w:val="18"/>
              </w:rPr>
            </w:pPr>
            <w:r w:rsidRPr="0057565D">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14:paraId="51D88259" w14:textId="4441B1F4" w:rsidR="00D2439E" w:rsidRPr="00C85F7F" w:rsidRDefault="00D2439E" w:rsidP="00D2439E">
            <w:pPr>
              <w:jc w:val="right"/>
              <w:rPr>
                <w:color w:val="548DD4" w:themeColor="text2" w:themeTint="99"/>
                <w:sz w:val="18"/>
                <w:szCs w:val="18"/>
              </w:rPr>
            </w:pPr>
            <w:r>
              <w:rPr>
                <w:sz w:val="18"/>
                <w:szCs w:val="18"/>
              </w:rPr>
              <w:t>1 949,4</w:t>
            </w:r>
          </w:p>
        </w:tc>
        <w:tc>
          <w:tcPr>
            <w:tcW w:w="1087" w:type="dxa"/>
            <w:tcBorders>
              <w:top w:val="nil"/>
              <w:left w:val="nil"/>
              <w:bottom w:val="nil"/>
              <w:right w:val="nil"/>
            </w:tcBorders>
            <w:shd w:val="clear" w:color="auto" w:fill="auto"/>
            <w:noWrap/>
            <w:vAlign w:val="bottom"/>
            <w:hideMark/>
          </w:tcPr>
          <w:p w14:paraId="7A0D746F" w14:textId="7AB33CF6" w:rsidR="00D2439E" w:rsidRPr="00C85F7F" w:rsidRDefault="00D2439E" w:rsidP="00D2439E">
            <w:pPr>
              <w:rPr>
                <w:color w:val="548DD4" w:themeColor="text2" w:themeTint="99"/>
                <w:sz w:val="18"/>
                <w:szCs w:val="18"/>
              </w:rPr>
            </w:pPr>
            <w:r>
              <w:rPr>
                <w:sz w:val="18"/>
                <w:szCs w:val="18"/>
              </w:rPr>
              <w:t> </w:t>
            </w:r>
          </w:p>
        </w:tc>
        <w:tc>
          <w:tcPr>
            <w:tcW w:w="1252" w:type="dxa"/>
            <w:tcBorders>
              <w:top w:val="nil"/>
              <w:left w:val="nil"/>
              <w:bottom w:val="nil"/>
              <w:right w:val="nil"/>
            </w:tcBorders>
            <w:shd w:val="clear" w:color="auto" w:fill="auto"/>
            <w:noWrap/>
            <w:vAlign w:val="bottom"/>
            <w:hideMark/>
          </w:tcPr>
          <w:p w14:paraId="7138B9F0" w14:textId="77777777" w:rsidR="00D2439E" w:rsidRPr="00C85F7F" w:rsidRDefault="00D2439E" w:rsidP="00D2439E">
            <w:pPr>
              <w:jc w:val="right"/>
              <w:rPr>
                <w:color w:val="548DD4" w:themeColor="text2" w:themeTint="99"/>
                <w:sz w:val="18"/>
                <w:szCs w:val="18"/>
              </w:rPr>
            </w:pPr>
          </w:p>
        </w:tc>
        <w:tc>
          <w:tcPr>
            <w:tcW w:w="1199" w:type="dxa"/>
            <w:tcBorders>
              <w:top w:val="nil"/>
              <w:left w:val="nil"/>
              <w:bottom w:val="nil"/>
              <w:right w:val="nil"/>
            </w:tcBorders>
            <w:shd w:val="clear" w:color="auto" w:fill="auto"/>
            <w:noWrap/>
            <w:vAlign w:val="bottom"/>
          </w:tcPr>
          <w:p w14:paraId="28421085" w14:textId="77777777" w:rsidR="00D2439E" w:rsidRPr="00C85F7F" w:rsidRDefault="00D2439E" w:rsidP="00D2439E">
            <w:pPr>
              <w:rPr>
                <w:color w:val="548DD4" w:themeColor="text2" w:themeTint="99"/>
                <w:sz w:val="20"/>
                <w:szCs w:val="20"/>
              </w:rPr>
            </w:pPr>
          </w:p>
        </w:tc>
        <w:tc>
          <w:tcPr>
            <w:tcW w:w="1300" w:type="dxa"/>
            <w:tcBorders>
              <w:top w:val="nil"/>
              <w:left w:val="nil"/>
              <w:bottom w:val="nil"/>
              <w:right w:val="single" w:sz="8" w:space="0" w:color="auto"/>
            </w:tcBorders>
            <w:shd w:val="clear" w:color="auto" w:fill="auto"/>
            <w:noWrap/>
            <w:vAlign w:val="bottom"/>
            <w:hideMark/>
          </w:tcPr>
          <w:p w14:paraId="09807A30" w14:textId="4F9B88A7" w:rsidR="00D2439E" w:rsidRPr="00C85F7F" w:rsidRDefault="00D2439E" w:rsidP="00D2439E">
            <w:pPr>
              <w:rPr>
                <w:color w:val="548DD4" w:themeColor="text2" w:themeTint="99"/>
                <w:sz w:val="18"/>
                <w:szCs w:val="18"/>
              </w:rPr>
            </w:pPr>
            <w:r>
              <w:rPr>
                <w:sz w:val="18"/>
                <w:szCs w:val="18"/>
              </w:rPr>
              <w:t> </w:t>
            </w:r>
          </w:p>
        </w:tc>
      </w:tr>
      <w:tr w:rsidR="00D2439E" w:rsidRPr="00C85F7F" w14:paraId="150D2674" w14:textId="77777777" w:rsidTr="006B7656">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3BF41804" w14:textId="77777777" w:rsidR="00D2439E" w:rsidRPr="0057565D" w:rsidRDefault="00D2439E" w:rsidP="00D2439E">
            <w:pPr>
              <w:rPr>
                <w:sz w:val="18"/>
                <w:szCs w:val="18"/>
              </w:rPr>
            </w:pPr>
            <w:r w:rsidRPr="0057565D">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14:paraId="1E4A2347" w14:textId="640190E3" w:rsidR="00D2439E" w:rsidRPr="00C85F7F" w:rsidRDefault="00D2439E" w:rsidP="00D2439E">
            <w:pPr>
              <w:jc w:val="right"/>
              <w:rPr>
                <w:color w:val="548DD4" w:themeColor="text2" w:themeTint="99"/>
                <w:sz w:val="18"/>
                <w:szCs w:val="18"/>
              </w:rPr>
            </w:pPr>
            <w:r>
              <w:rPr>
                <w:sz w:val="18"/>
                <w:szCs w:val="18"/>
              </w:rPr>
              <w:t>1 566,1</w:t>
            </w:r>
          </w:p>
        </w:tc>
        <w:tc>
          <w:tcPr>
            <w:tcW w:w="1087" w:type="dxa"/>
            <w:tcBorders>
              <w:top w:val="nil"/>
              <w:left w:val="nil"/>
              <w:bottom w:val="single" w:sz="4" w:space="0" w:color="auto"/>
              <w:right w:val="nil"/>
            </w:tcBorders>
            <w:shd w:val="clear" w:color="auto" w:fill="auto"/>
            <w:noWrap/>
            <w:vAlign w:val="bottom"/>
            <w:hideMark/>
          </w:tcPr>
          <w:p w14:paraId="1D381BC2" w14:textId="1065EC6E" w:rsidR="00D2439E" w:rsidRPr="00C85F7F" w:rsidRDefault="00D2439E" w:rsidP="00D2439E">
            <w:pPr>
              <w:jc w:val="right"/>
              <w:rPr>
                <w:color w:val="548DD4" w:themeColor="text2" w:themeTint="99"/>
                <w:sz w:val="18"/>
                <w:szCs w:val="18"/>
              </w:rPr>
            </w:pPr>
            <w:r>
              <w:rPr>
                <w:sz w:val="18"/>
                <w:szCs w:val="18"/>
              </w:rPr>
              <w:t>1 094,0</w:t>
            </w:r>
          </w:p>
        </w:tc>
        <w:tc>
          <w:tcPr>
            <w:tcW w:w="1252" w:type="dxa"/>
            <w:tcBorders>
              <w:top w:val="nil"/>
              <w:left w:val="nil"/>
              <w:bottom w:val="single" w:sz="4" w:space="0" w:color="auto"/>
              <w:right w:val="nil"/>
            </w:tcBorders>
            <w:shd w:val="clear" w:color="auto" w:fill="auto"/>
            <w:noWrap/>
            <w:vAlign w:val="bottom"/>
            <w:hideMark/>
          </w:tcPr>
          <w:p w14:paraId="0C8DA777" w14:textId="7BBAA774" w:rsidR="00D2439E" w:rsidRPr="00C85F7F" w:rsidRDefault="00D2439E" w:rsidP="00D2439E">
            <w:pPr>
              <w:jc w:val="right"/>
              <w:rPr>
                <w:color w:val="548DD4" w:themeColor="text2" w:themeTint="99"/>
                <w:sz w:val="18"/>
                <w:szCs w:val="18"/>
              </w:rPr>
            </w:pPr>
            <w:r>
              <w:rPr>
                <w:color w:val="000000"/>
                <w:sz w:val="18"/>
                <w:szCs w:val="18"/>
              </w:rPr>
              <w:t>1 094,0</w:t>
            </w:r>
          </w:p>
        </w:tc>
        <w:tc>
          <w:tcPr>
            <w:tcW w:w="1199" w:type="dxa"/>
            <w:tcBorders>
              <w:top w:val="nil"/>
              <w:left w:val="nil"/>
              <w:bottom w:val="single" w:sz="4" w:space="0" w:color="auto"/>
              <w:right w:val="nil"/>
            </w:tcBorders>
            <w:shd w:val="clear" w:color="auto" w:fill="auto"/>
            <w:noWrap/>
            <w:vAlign w:val="bottom"/>
          </w:tcPr>
          <w:p w14:paraId="315E265F" w14:textId="712137EB" w:rsidR="00D2439E" w:rsidRPr="00706BEF" w:rsidRDefault="00D2439E" w:rsidP="00D2439E">
            <w:pPr>
              <w:jc w:val="right"/>
              <w:rPr>
                <w:color w:val="548DD4" w:themeColor="text2" w:themeTint="99"/>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14:paraId="03F2CF73" w14:textId="446DE1EA" w:rsidR="00D2439E" w:rsidRPr="00C85F7F" w:rsidRDefault="00D2439E" w:rsidP="00D2439E">
            <w:pPr>
              <w:jc w:val="right"/>
              <w:rPr>
                <w:color w:val="548DD4" w:themeColor="text2" w:themeTint="99"/>
                <w:sz w:val="18"/>
                <w:szCs w:val="18"/>
              </w:rPr>
            </w:pPr>
            <w:r>
              <w:rPr>
                <w:sz w:val="18"/>
                <w:szCs w:val="18"/>
              </w:rPr>
              <w:t>69,9%</w:t>
            </w:r>
          </w:p>
        </w:tc>
      </w:tr>
      <w:tr w:rsidR="00D2439E" w:rsidRPr="00C85F7F" w14:paraId="4E10A338" w14:textId="77777777" w:rsidTr="00CC561C">
        <w:trPr>
          <w:trHeight w:val="255"/>
        </w:trPr>
        <w:tc>
          <w:tcPr>
            <w:tcW w:w="4263" w:type="dxa"/>
            <w:tcBorders>
              <w:top w:val="nil"/>
              <w:left w:val="single" w:sz="8" w:space="0" w:color="auto"/>
              <w:bottom w:val="single" w:sz="4" w:space="0" w:color="auto"/>
              <w:right w:val="nil"/>
            </w:tcBorders>
            <w:shd w:val="clear" w:color="auto" w:fill="auto"/>
            <w:noWrap/>
            <w:vAlign w:val="bottom"/>
            <w:hideMark/>
          </w:tcPr>
          <w:p w14:paraId="3488E20B" w14:textId="77777777" w:rsidR="00D2439E" w:rsidRPr="0057565D" w:rsidRDefault="00D2439E" w:rsidP="00D2439E">
            <w:pPr>
              <w:rPr>
                <w:sz w:val="18"/>
                <w:szCs w:val="18"/>
              </w:rPr>
            </w:pPr>
            <w:r w:rsidRPr="0057565D">
              <w:rPr>
                <w:sz w:val="18"/>
                <w:szCs w:val="18"/>
              </w:rPr>
              <w:t>Трансфери</w:t>
            </w:r>
            <w:r w:rsidRPr="0057565D">
              <w:rPr>
                <w:sz w:val="18"/>
                <w:szCs w:val="18"/>
                <w:lang w:val="en-US"/>
              </w:rPr>
              <w:t xml:space="preserve"> </w:t>
            </w:r>
            <w:r w:rsidRPr="0057565D">
              <w:rPr>
                <w:sz w:val="18"/>
                <w:szCs w:val="18"/>
              </w:rPr>
              <w:t>-</w:t>
            </w:r>
            <w:r w:rsidRPr="0057565D">
              <w:rPr>
                <w:sz w:val="18"/>
                <w:szCs w:val="18"/>
                <w:lang w:val="en-US"/>
              </w:rPr>
              <w:t xml:space="preserve"> </w:t>
            </w:r>
            <w:r w:rsidRPr="0057565D">
              <w:rPr>
                <w:sz w:val="18"/>
                <w:szCs w:val="18"/>
              </w:rPr>
              <w:t>нето</w:t>
            </w:r>
          </w:p>
        </w:tc>
        <w:tc>
          <w:tcPr>
            <w:tcW w:w="992" w:type="dxa"/>
            <w:tcBorders>
              <w:top w:val="nil"/>
              <w:left w:val="nil"/>
              <w:bottom w:val="single" w:sz="4" w:space="0" w:color="auto"/>
              <w:right w:val="nil"/>
            </w:tcBorders>
            <w:shd w:val="clear" w:color="auto" w:fill="auto"/>
            <w:noWrap/>
            <w:vAlign w:val="bottom"/>
            <w:hideMark/>
          </w:tcPr>
          <w:p w14:paraId="025498CA" w14:textId="4680AEE4" w:rsidR="00D2439E" w:rsidRPr="00C85F7F" w:rsidRDefault="00D2439E" w:rsidP="00D2439E">
            <w:pPr>
              <w:rPr>
                <w:color w:val="548DD4" w:themeColor="text2" w:themeTint="99"/>
                <w:sz w:val="18"/>
                <w:szCs w:val="18"/>
              </w:rPr>
            </w:pPr>
          </w:p>
        </w:tc>
        <w:tc>
          <w:tcPr>
            <w:tcW w:w="1087" w:type="dxa"/>
            <w:tcBorders>
              <w:top w:val="nil"/>
              <w:left w:val="nil"/>
              <w:bottom w:val="single" w:sz="4" w:space="0" w:color="auto"/>
              <w:right w:val="nil"/>
            </w:tcBorders>
            <w:shd w:val="clear" w:color="auto" w:fill="auto"/>
            <w:noWrap/>
            <w:vAlign w:val="bottom"/>
          </w:tcPr>
          <w:p w14:paraId="02763A3B" w14:textId="1B0281B5" w:rsidR="00D2439E" w:rsidRPr="00C85F7F" w:rsidRDefault="00D2439E" w:rsidP="00D2439E">
            <w:pPr>
              <w:rPr>
                <w:color w:val="548DD4" w:themeColor="text2" w:themeTint="99"/>
                <w:sz w:val="18"/>
                <w:szCs w:val="18"/>
              </w:rPr>
            </w:pPr>
          </w:p>
        </w:tc>
        <w:tc>
          <w:tcPr>
            <w:tcW w:w="1252" w:type="dxa"/>
            <w:tcBorders>
              <w:top w:val="nil"/>
              <w:left w:val="nil"/>
              <w:bottom w:val="single" w:sz="4" w:space="0" w:color="auto"/>
              <w:right w:val="nil"/>
            </w:tcBorders>
            <w:shd w:val="clear" w:color="auto" w:fill="auto"/>
            <w:noWrap/>
            <w:vAlign w:val="bottom"/>
            <w:hideMark/>
          </w:tcPr>
          <w:p w14:paraId="0CA4896F" w14:textId="1618E8CC" w:rsidR="00D2439E" w:rsidRPr="00C85F7F" w:rsidRDefault="00D2439E" w:rsidP="00D2439E">
            <w:pPr>
              <w:jc w:val="right"/>
              <w:rPr>
                <w:color w:val="548DD4" w:themeColor="text2" w:themeTint="99"/>
                <w:sz w:val="18"/>
                <w:szCs w:val="18"/>
              </w:rPr>
            </w:pPr>
            <w:r>
              <w:rPr>
                <w:color w:val="000000"/>
                <w:sz w:val="18"/>
                <w:szCs w:val="18"/>
              </w:rPr>
              <w:t>-476,2</w:t>
            </w:r>
          </w:p>
        </w:tc>
        <w:tc>
          <w:tcPr>
            <w:tcW w:w="1199" w:type="dxa"/>
            <w:tcBorders>
              <w:top w:val="nil"/>
              <w:left w:val="nil"/>
              <w:bottom w:val="single" w:sz="4" w:space="0" w:color="auto"/>
              <w:right w:val="nil"/>
            </w:tcBorders>
            <w:shd w:val="clear" w:color="auto" w:fill="auto"/>
            <w:noWrap/>
            <w:vAlign w:val="bottom"/>
            <w:hideMark/>
          </w:tcPr>
          <w:p w14:paraId="1F3920F1" w14:textId="3AC1873C" w:rsidR="00D2439E" w:rsidRPr="00C85F7F" w:rsidRDefault="00D2439E" w:rsidP="00D2439E">
            <w:pPr>
              <w:jc w:val="right"/>
              <w:rPr>
                <w:color w:val="548DD4" w:themeColor="text2" w:themeTint="99"/>
                <w:sz w:val="18"/>
                <w:szCs w:val="18"/>
              </w:rPr>
            </w:pPr>
            <w:r>
              <w:rPr>
                <w:color w:val="000000"/>
                <w:sz w:val="18"/>
                <w:szCs w:val="18"/>
              </w:rPr>
              <w:t>476,2</w:t>
            </w:r>
          </w:p>
        </w:tc>
        <w:tc>
          <w:tcPr>
            <w:tcW w:w="1300" w:type="dxa"/>
            <w:tcBorders>
              <w:top w:val="nil"/>
              <w:left w:val="nil"/>
              <w:bottom w:val="single" w:sz="4" w:space="0" w:color="auto"/>
              <w:right w:val="single" w:sz="8" w:space="0" w:color="auto"/>
            </w:tcBorders>
            <w:shd w:val="clear" w:color="auto" w:fill="auto"/>
            <w:noWrap/>
            <w:vAlign w:val="bottom"/>
            <w:hideMark/>
          </w:tcPr>
          <w:p w14:paraId="6DB1838D" w14:textId="69ED2C49" w:rsidR="00D2439E" w:rsidRPr="00C85F7F" w:rsidRDefault="00D2439E" w:rsidP="00D2439E">
            <w:pPr>
              <w:rPr>
                <w:b/>
                <w:bCs/>
                <w:color w:val="548DD4" w:themeColor="text2" w:themeTint="99"/>
                <w:sz w:val="18"/>
                <w:szCs w:val="18"/>
              </w:rPr>
            </w:pPr>
            <w:r>
              <w:rPr>
                <w:b/>
                <w:bCs/>
                <w:sz w:val="18"/>
                <w:szCs w:val="18"/>
              </w:rPr>
              <w:t> </w:t>
            </w:r>
          </w:p>
        </w:tc>
      </w:tr>
      <w:tr w:rsidR="00D2439E" w:rsidRPr="00C85F7F" w14:paraId="28A676D9" w14:textId="77777777" w:rsidTr="006B7656">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14:paraId="6F5283DE" w14:textId="77777777" w:rsidR="00D2439E" w:rsidRPr="0057565D" w:rsidRDefault="00D2439E" w:rsidP="00D2439E">
            <w:pPr>
              <w:rPr>
                <w:b/>
                <w:bCs/>
                <w:sz w:val="18"/>
                <w:szCs w:val="18"/>
              </w:rPr>
            </w:pPr>
            <w:r w:rsidRPr="0057565D">
              <w:rPr>
                <w:b/>
                <w:bCs/>
                <w:sz w:val="18"/>
                <w:szCs w:val="18"/>
              </w:rPr>
              <w:t>БЮДЖЕТНО САЛДО</w:t>
            </w:r>
          </w:p>
        </w:tc>
        <w:tc>
          <w:tcPr>
            <w:tcW w:w="992" w:type="dxa"/>
            <w:tcBorders>
              <w:top w:val="nil"/>
              <w:left w:val="nil"/>
              <w:bottom w:val="single" w:sz="8" w:space="0" w:color="auto"/>
              <w:right w:val="nil"/>
            </w:tcBorders>
            <w:shd w:val="clear" w:color="auto" w:fill="auto"/>
            <w:noWrap/>
            <w:vAlign w:val="bottom"/>
            <w:hideMark/>
          </w:tcPr>
          <w:p w14:paraId="4B99C466" w14:textId="1404025F" w:rsidR="00D2439E" w:rsidRPr="00C85F7F" w:rsidRDefault="00D2439E" w:rsidP="00D2439E">
            <w:pPr>
              <w:jc w:val="right"/>
              <w:rPr>
                <w:b/>
                <w:bCs/>
                <w:color w:val="548DD4" w:themeColor="text2" w:themeTint="99"/>
                <w:sz w:val="18"/>
                <w:szCs w:val="18"/>
              </w:rPr>
            </w:pPr>
            <w:r>
              <w:rPr>
                <w:b/>
                <w:bCs/>
                <w:sz w:val="18"/>
                <w:szCs w:val="18"/>
              </w:rPr>
              <w:t>-4 604,2</w:t>
            </w:r>
          </w:p>
        </w:tc>
        <w:tc>
          <w:tcPr>
            <w:tcW w:w="1087" w:type="dxa"/>
            <w:tcBorders>
              <w:top w:val="nil"/>
              <w:left w:val="nil"/>
              <w:bottom w:val="single" w:sz="8" w:space="0" w:color="auto"/>
              <w:right w:val="nil"/>
            </w:tcBorders>
            <w:shd w:val="clear" w:color="auto" w:fill="auto"/>
            <w:noWrap/>
            <w:vAlign w:val="bottom"/>
            <w:hideMark/>
          </w:tcPr>
          <w:p w14:paraId="6510547E" w14:textId="206545F1" w:rsidR="00D2439E" w:rsidRPr="00C85F7F" w:rsidRDefault="00D2439E" w:rsidP="00D2439E">
            <w:pPr>
              <w:jc w:val="right"/>
              <w:rPr>
                <w:b/>
                <w:bCs/>
                <w:color w:val="548DD4" w:themeColor="text2" w:themeTint="99"/>
                <w:sz w:val="18"/>
                <w:szCs w:val="18"/>
              </w:rPr>
            </w:pPr>
            <w:r>
              <w:rPr>
                <w:b/>
                <w:bCs/>
                <w:sz w:val="18"/>
                <w:szCs w:val="18"/>
              </w:rPr>
              <w:t>1 067,8</w:t>
            </w:r>
          </w:p>
        </w:tc>
        <w:tc>
          <w:tcPr>
            <w:tcW w:w="1252" w:type="dxa"/>
            <w:tcBorders>
              <w:top w:val="nil"/>
              <w:left w:val="nil"/>
              <w:bottom w:val="single" w:sz="8" w:space="0" w:color="auto"/>
              <w:right w:val="nil"/>
            </w:tcBorders>
            <w:shd w:val="clear" w:color="auto" w:fill="auto"/>
            <w:noWrap/>
            <w:vAlign w:val="bottom"/>
            <w:hideMark/>
          </w:tcPr>
          <w:p w14:paraId="3E866501" w14:textId="6E34BF4F" w:rsidR="00D2439E" w:rsidRPr="00C85F7F" w:rsidRDefault="00D2439E" w:rsidP="00D2439E">
            <w:pPr>
              <w:jc w:val="right"/>
              <w:rPr>
                <w:b/>
                <w:bCs/>
                <w:color w:val="548DD4" w:themeColor="text2" w:themeTint="99"/>
                <w:sz w:val="18"/>
                <w:szCs w:val="18"/>
              </w:rPr>
            </w:pPr>
            <w:r>
              <w:rPr>
                <w:b/>
                <w:bCs/>
                <w:color w:val="000000"/>
                <w:sz w:val="18"/>
                <w:szCs w:val="18"/>
              </w:rPr>
              <w:t>1 218,3</w:t>
            </w:r>
          </w:p>
        </w:tc>
        <w:tc>
          <w:tcPr>
            <w:tcW w:w="1199" w:type="dxa"/>
            <w:tcBorders>
              <w:top w:val="nil"/>
              <w:left w:val="nil"/>
              <w:bottom w:val="single" w:sz="8" w:space="0" w:color="auto"/>
              <w:right w:val="nil"/>
            </w:tcBorders>
            <w:shd w:val="clear" w:color="auto" w:fill="auto"/>
            <w:noWrap/>
            <w:vAlign w:val="bottom"/>
            <w:hideMark/>
          </w:tcPr>
          <w:p w14:paraId="44DD9B2C" w14:textId="1ACDF708" w:rsidR="00D2439E" w:rsidRPr="00C85F7F" w:rsidRDefault="00D2439E" w:rsidP="00D2439E">
            <w:pPr>
              <w:jc w:val="right"/>
              <w:rPr>
                <w:b/>
                <w:bCs/>
                <w:color w:val="548DD4" w:themeColor="text2" w:themeTint="99"/>
                <w:sz w:val="18"/>
                <w:szCs w:val="18"/>
              </w:rPr>
            </w:pPr>
            <w:r>
              <w:rPr>
                <w:b/>
                <w:bCs/>
                <w:color w:val="000000"/>
                <w:sz w:val="18"/>
                <w:szCs w:val="18"/>
              </w:rPr>
              <w:t>-150,4</w:t>
            </w:r>
          </w:p>
        </w:tc>
        <w:tc>
          <w:tcPr>
            <w:tcW w:w="1300" w:type="dxa"/>
            <w:tcBorders>
              <w:top w:val="nil"/>
              <w:left w:val="nil"/>
              <w:bottom w:val="single" w:sz="8" w:space="0" w:color="auto"/>
              <w:right w:val="single" w:sz="8" w:space="0" w:color="auto"/>
            </w:tcBorders>
            <w:shd w:val="clear" w:color="auto" w:fill="auto"/>
            <w:noWrap/>
            <w:vAlign w:val="bottom"/>
            <w:hideMark/>
          </w:tcPr>
          <w:p w14:paraId="0496CF97" w14:textId="65D0A214" w:rsidR="00D2439E" w:rsidRPr="00C85F7F" w:rsidRDefault="00D2439E" w:rsidP="00D2439E">
            <w:pPr>
              <w:rPr>
                <w:b/>
                <w:bCs/>
                <w:color w:val="548DD4" w:themeColor="text2" w:themeTint="99"/>
                <w:sz w:val="18"/>
                <w:szCs w:val="18"/>
              </w:rPr>
            </w:pPr>
            <w:r>
              <w:rPr>
                <w:b/>
                <w:bCs/>
                <w:sz w:val="18"/>
                <w:szCs w:val="18"/>
              </w:rPr>
              <w:t> </w:t>
            </w:r>
          </w:p>
        </w:tc>
      </w:tr>
    </w:tbl>
    <w:p w14:paraId="152A3601" w14:textId="77777777" w:rsidR="00661BE3" w:rsidRPr="00C85F7F" w:rsidRDefault="00661BE3" w:rsidP="00661BE3">
      <w:pPr>
        <w:ind w:left="360"/>
        <w:jc w:val="both"/>
        <w:rPr>
          <w:color w:val="548DD4" w:themeColor="text2" w:themeTint="99"/>
          <w:sz w:val="22"/>
        </w:rPr>
      </w:pPr>
    </w:p>
    <w:p w14:paraId="0F668FAB" w14:textId="4B1D9ECC" w:rsidR="00661BE3" w:rsidRPr="00810B9F" w:rsidRDefault="00661BE3" w:rsidP="00661BE3">
      <w:pPr>
        <w:numPr>
          <w:ilvl w:val="1"/>
          <w:numId w:val="11"/>
        </w:numPr>
        <w:tabs>
          <w:tab w:val="num" w:pos="426"/>
        </w:tabs>
        <w:ind w:left="0" w:firstLine="0"/>
        <w:jc w:val="both"/>
        <w:rPr>
          <w:rFonts w:eastAsia="Calibri"/>
        </w:rPr>
      </w:pPr>
      <w:r w:rsidRPr="00810B9F">
        <w:rPr>
          <w:b/>
        </w:rPr>
        <w:t>Приходите, помощите и даренията по консолидираната фискална програма</w:t>
      </w:r>
      <w:r w:rsidRPr="00810B9F">
        <w:t xml:space="preserve"> (КФП) </w:t>
      </w:r>
      <w:r w:rsidR="006517D3" w:rsidRPr="00810B9F">
        <w:t>за</w:t>
      </w:r>
      <w:r w:rsidRPr="0096758C">
        <w:t xml:space="preserve"> </w:t>
      </w:r>
      <w:r w:rsidR="00FC69BD" w:rsidRPr="0096758C">
        <w:t>деветмесечието</w:t>
      </w:r>
      <w:r w:rsidRPr="0096758C">
        <w:t xml:space="preserve"> </w:t>
      </w:r>
      <w:r w:rsidRPr="00810B9F">
        <w:t xml:space="preserve">на 2021 г. са в размер на </w:t>
      </w:r>
      <w:r w:rsidR="00810B9F" w:rsidRPr="00810B9F">
        <w:rPr>
          <w:b/>
          <w:bCs/>
        </w:rPr>
        <w:t>37 840,1 </w:t>
      </w:r>
      <w:r w:rsidRPr="00810B9F">
        <w:rPr>
          <w:b/>
        </w:rPr>
        <w:t>млн. лв.,</w:t>
      </w:r>
      <w:r w:rsidRPr="00810B9F">
        <w:t xml:space="preserve"> което представлява </w:t>
      </w:r>
      <w:r w:rsidR="00810B9F" w:rsidRPr="00810B9F">
        <w:rPr>
          <w:bCs/>
        </w:rPr>
        <w:t>74,8</w:t>
      </w:r>
      <w:r w:rsidR="00CF714F" w:rsidRPr="00810B9F">
        <w:rPr>
          <w:b/>
          <w:bCs/>
        </w:rPr>
        <w:t> </w:t>
      </w:r>
      <w:r w:rsidRPr="00810B9F">
        <w:t xml:space="preserve">% от </w:t>
      </w:r>
      <w:r w:rsidR="00214DE6" w:rsidRPr="00810B9F">
        <w:rPr>
          <w:bCs/>
        </w:rPr>
        <w:t>актуализираните</w:t>
      </w:r>
      <w:r w:rsidR="00214DE6" w:rsidRPr="00810B9F">
        <w:rPr>
          <w:b/>
          <w:bCs/>
        </w:rPr>
        <w:t xml:space="preserve"> </w:t>
      </w:r>
      <w:r w:rsidRPr="00810B9F">
        <w:t xml:space="preserve">годишни разчети към ЗДБРБ за 2021 г. </w:t>
      </w:r>
      <w:r w:rsidR="00810B9F" w:rsidRPr="00810B9F">
        <w:rPr>
          <w:rFonts w:eastAsia="Calibri"/>
        </w:rPr>
        <w:t xml:space="preserve">Съпоставени със същия период на предходната година, постъпленията към септември 2021 г. нарастват с </w:t>
      </w:r>
      <w:r w:rsidR="00C636C9">
        <w:rPr>
          <w:rFonts w:eastAsia="Calibri"/>
        </w:rPr>
        <w:t>5</w:t>
      </w:r>
      <w:r w:rsidR="00810B9F" w:rsidRPr="00810B9F">
        <w:rPr>
          <w:rFonts w:eastAsia="Calibri"/>
        </w:rPr>
        <w:t>,4 млрд. лв. (16,6 %). Ръстът спрямо предходната година се дължи на по-високите данъчни и неданъчни приходи, които нарастват с 5,4 млрд. лв., докато постъпленията от помощи</w:t>
      </w:r>
      <w:r w:rsidR="00C636C9">
        <w:rPr>
          <w:rFonts w:eastAsia="Calibri"/>
        </w:rPr>
        <w:t xml:space="preserve"> и дарения</w:t>
      </w:r>
      <w:r w:rsidR="00810B9F" w:rsidRPr="00810B9F">
        <w:rPr>
          <w:rFonts w:eastAsia="Calibri"/>
        </w:rPr>
        <w:t xml:space="preserve"> са близки до отчетените за същия период на 2020 година</w:t>
      </w:r>
      <w:r w:rsidRPr="00810B9F">
        <w:rPr>
          <w:rFonts w:eastAsia="Calibri"/>
        </w:rPr>
        <w:t>.</w:t>
      </w:r>
    </w:p>
    <w:p w14:paraId="6CA25BA6" w14:textId="77FBF86A" w:rsidR="00EC2127" w:rsidRPr="00C85F7F" w:rsidRDefault="00661BE3" w:rsidP="00EC2127">
      <w:pPr>
        <w:spacing w:before="120"/>
        <w:jc w:val="both"/>
        <w:rPr>
          <w:color w:val="548DD4" w:themeColor="text2" w:themeTint="99"/>
        </w:rPr>
      </w:pPr>
      <w:r w:rsidRPr="00F657F0">
        <w:t>Общата сума</w:t>
      </w:r>
      <w:r w:rsidRPr="00F657F0">
        <w:rPr>
          <w:b/>
        </w:rPr>
        <w:t xml:space="preserve"> </w:t>
      </w:r>
      <w:r w:rsidRPr="00F657F0">
        <w:t>на</w:t>
      </w:r>
      <w:r w:rsidRPr="00F657F0">
        <w:rPr>
          <w:b/>
        </w:rPr>
        <w:t xml:space="preserve"> </w:t>
      </w:r>
      <w:r w:rsidRPr="00F657F0">
        <w:rPr>
          <w:b/>
          <w:i/>
        </w:rPr>
        <w:t>данъчните постъпления</w:t>
      </w:r>
      <w:r w:rsidRPr="00F657F0">
        <w:t xml:space="preserve"> (вкл. приходите от осигурителни вноски) са в размер на </w:t>
      </w:r>
      <w:r w:rsidR="00F657F0" w:rsidRPr="00F657F0">
        <w:rPr>
          <w:b/>
          <w:i/>
        </w:rPr>
        <w:t xml:space="preserve">29 600,2 </w:t>
      </w:r>
      <w:r w:rsidRPr="00F657F0">
        <w:rPr>
          <w:b/>
          <w:i/>
        </w:rPr>
        <w:t>млн. лв</w:t>
      </w:r>
      <w:r w:rsidRPr="00F657F0">
        <w:rPr>
          <w:i/>
        </w:rPr>
        <w:t>.</w:t>
      </w:r>
      <w:r w:rsidRPr="00F657F0">
        <w:t xml:space="preserve">, което представлява </w:t>
      </w:r>
      <w:r w:rsidR="00F657F0" w:rsidRPr="00F657F0">
        <w:t>78,2</w:t>
      </w:r>
      <w:r w:rsidRPr="00F657F0">
        <w:t xml:space="preserve"> % от общите постъпления по КФП за периода. Постъпленията в групата представляват </w:t>
      </w:r>
      <w:r w:rsidR="00F657F0" w:rsidRPr="00F657F0">
        <w:t>75,1</w:t>
      </w:r>
      <w:r w:rsidRPr="00F657F0">
        <w:t xml:space="preserve"> % от разчета за годината и нарастват </w:t>
      </w:r>
      <w:r w:rsidR="00830928" w:rsidRPr="00F657F0">
        <w:t xml:space="preserve">с </w:t>
      </w:r>
      <w:r w:rsidR="00F657F0" w:rsidRPr="00F657F0">
        <w:t>3,6</w:t>
      </w:r>
      <w:r w:rsidR="00830928" w:rsidRPr="00F657F0">
        <w:t xml:space="preserve"> млрд. лв. (1</w:t>
      </w:r>
      <w:r w:rsidR="00F657F0" w:rsidRPr="00F657F0">
        <w:t>3</w:t>
      </w:r>
      <w:r w:rsidR="00830928" w:rsidRPr="00F657F0">
        <w:t>,8 %)</w:t>
      </w:r>
      <w:r w:rsidRPr="00F657F0">
        <w:t xml:space="preserve"> спрямо отчетените към </w:t>
      </w:r>
      <w:r w:rsidR="00F657F0" w:rsidRPr="00F657F0">
        <w:t>септември</w:t>
      </w:r>
      <w:r w:rsidRPr="00F657F0">
        <w:t xml:space="preserve"> 2020 година. </w:t>
      </w:r>
    </w:p>
    <w:p w14:paraId="2BA2E8EA" w14:textId="00B148E5" w:rsidR="00661BE3" w:rsidRPr="00C85F7F" w:rsidRDefault="00661BE3" w:rsidP="00661BE3">
      <w:pPr>
        <w:spacing w:before="120"/>
        <w:jc w:val="both"/>
        <w:rPr>
          <w:color w:val="548DD4" w:themeColor="text2" w:themeTint="99"/>
        </w:rPr>
      </w:pPr>
      <w:r w:rsidRPr="00282DC0">
        <w:t xml:space="preserve">Приходите в частта на </w:t>
      </w:r>
      <w:r w:rsidRPr="00282DC0">
        <w:rPr>
          <w:i/>
        </w:rPr>
        <w:t xml:space="preserve">преките данъци </w:t>
      </w:r>
      <w:r w:rsidRPr="00282DC0">
        <w:t xml:space="preserve">възлизат на </w:t>
      </w:r>
      <w:r w:rsidR="00282DC0" w:rsidRPr="00282DC0">
        <w:t xml:space="preserve">5 465,7 </w:t>
      </w:r>
      <w:r w:rsidRPr="00282DC0">
        <w:t xml:space="preserve">млн. лв., което представлява </w:t>
      </w:r>
      <w:r w:rsidR="00282DC0" w:rsidRPr="00282DC0">
        <w:t>71,1</w:t>
      </w:r>
      <w:r w:rsidRPr="00282DC0">
        <w:t xml:space="preserve"> % от разчета за 2021 г. Съпоставени със същия период на 2020 г., преките данъци </w:t>
      </w:r>
      <w:r w:rsidR="00142D3D" w:rsidRPr="00282DC0">
        <w:t>нарастват</w:t>
      </w:r>
      <w:r w:rsidRPr="00282DC0">
        <w:t xml:space="preserve"> с </w:t>
      </w:r>
      <w:r w:rsidR="00282DC0" w:rsidRPr="00282DC0">
        <w:t>18,5</w:t>
      </w:r>
      <w:r w:rsidRPr="00282DC0">
        <w:t xml:space="preserve"> % (</w:t>
      </w:r>
      <w:r w:rsidR="00282DC0" w:rsidRPr="00282DC0">
        <w:t>854,1</w:t>
      </w:r>
      <w:r w:rsidRPr="00282DC0">
        <w:t xml:space="preserve"> млн. лв.).</w:t>
      </w:r>
      <w:r w:rsidRPr="00282DC0">
        <w:rPr>
          <w:rFonts w:ascii="Arial" w:hAnsi="Arial" w:cs="Arial"/>
        </w:rPr>
        <w:t xml:space="preserve"> </w:t>
      </w:r>
      <w:r w:rsidRPr="00282DC0">
        <w:t xml:space="preserve">Приходите от </w:t>
      </w:r>
      <w:r w:rsidRPr="00282DC0">
        <w:rPr>
          <w:i/>
        </w:rPr>
        <w:t>косвени данъци</w:t>
      </w:r>
      <w:r w:rsidRPr="00282DC0">
        <w:t xml:space="preserve"> са в размер на </w:t>
      </w:r>
      <w:r w:rsidR="00282DC0" w:rsidRPr="00D66AAB">
        <w:t>14 100,9 </w:t>
      </w:r>
      <w:r w:rsidR="00137A9F" w:rsidRPr="00D66AAB">
        <w:t xml:space="preserve"> </w:t>
      </w:r>
      <w:r w:rsidRPr="00D66AAB">
        <w:t xml:space="preserve">млн. лв., което представлява </w:t>
      </w:r>
      <w:r w:rsidR="00282DC0" w:rsidRPr="00D66AAB">
        <w:t>77,4</w:t>
      </w:r>
      <w:r w:rsidRPr="00D66AAB">
        <w:t xml:space="preserve"> % от годишния разчет. Съпоставени с </w:t>
      </w:r>
      <w:r w:rsidR="00D66AAB" w:rsidRPr="00D66AAB">
        <w:t>деветмесечието</w:t>
      </w:r>
      <w:r w:rsidRPr="00D66AAB">
        <w:t xml:space="preserve"> на 2020 г., косвените </w:t>
      </w:r>
      <w:r w:rsidRPr="00C16E82">
        <w:t xml:space="preserve">данъци  отчитат увеличение от </w:t>
      </w:r>
      <w:r w:rsidR="00D66AAB" w:rsidRPr="00C16E82">
        <w:t>13,7</w:t>
      </w:r>
      <w:r w:rsidRPr="00C16E82">
        <w:t xml:space="preserve"> % (</w:t>
      </w:r>
      <w:r w:rsidR="00811AA4" w:rsidRPr="00C16E82">
        <w:t>1</w:t>
      </w:r>
      <w:r w:rsidR="00D66AAB" w:rsidRPr="00C16E82">
        <w:t> 699,2</w:t>
      </w:r>
      <w:r w:rsidRPr="00C16E82">
        <w:t xml:space="preserve"> млн. лв.). Постъпленията от </w:t>
      </w:r>
      <w:r w:rsidRPr="00C16E82">
        <w:rPr>
          <w:i/>
        </w:rPr>
        <w:t>други данъци</w:t>
      </w:r>
      <w:r w:rsidRPr="00C16E82">
        <w:t xml:space="preserve"> (включват други данъци по ЗКПО, имуществени данъци и др.) са </w:t>
      </w:r>
      <w:r w:rsidR="00C16E82" w:rsidRPr="00C16E82">
        <w:t xml:space="preserve">1 094,1 </w:t>
      </w:r>
      <w:r w:rsidRPr="00C16E82">
        <w:t xml:space="preserve">млн. лв., което представлява </w:t>
      </w:r>
      <w:r w:rsidR="00C16E82" w:rsidRPr="00C16E82">
        <w:t>87,9</w:t>
      </w:r>
      <w:r w:rsidRPr="00C16E82">
        <w:t xml:space="preserve"> % от разчетите към ЗДБРБ за 2021 г. и </w:t>
      </w:r>
      <w:r w:rsidRPr="00AF2730">
        <w:t xml:space="preserve">сравнени със същия период на 2020 г. нарастват с </w:t>
      </w:r>
      <w:r w:rsidR="00C16E82" w:rsidRPr="00AF2730">
        <w:t>16,2</w:t>
      </w:r>
      <w:r w:rsidRPr="00AF2730">
        <w:t xml:space="preserve"> % (</w:t>
      </w:r>
      <w:r w:rsidR="00C16E82" w:rsidRPr="00AF2730">
        <w:t>152,2</w:t>
      </w:r>
      <w:r w:rsidRPr="00AF2730">
        <w:t xml:space="preserve"> млн. лв.). Приходите от </w:t>
      </w:r>
      <w:r w:rsidRPr="00AF2730">
        <w:rPr>
          <w:b/>
          <w:i/>
        </w:rPr>
        <w:t>социалноосигурителни и здравни вноски</w:t>
      </w:r>
      <w:r w:rsidRPr="00AF2730">
        <w:rPr>
          <w:b/>
        </w:rPr>
        <w:t xml:space="preserve"> </w:t>
      </w:r>
      <w:r w:rsidRPr="00AF2730">
        <w:t>към 3</w:t>
      </w:r>
      <w:r w:rsidR="00631F2F" w:rsidRPr="00AF2730">
        <w:t>0</w:t>
      </w:r>
      <w:r w:rsidRPr="00AF2730">
        <w:t>.</w:t>
      </w:r>
      <w:r w:rsidR="00631F2F" w:rsidRPr="00AF2730">
        <w:t>0</w:t>
      </w:r>
      <w:r w:rsidR="00AF2730" w:rsidRPr="00AF2730">
        <w:t>9</w:t>
      </w:r>
      <w:r w:rsidRPr="00AF2730">
        <w:t xml:space="preserve">.2021 г. са в размер на </w:t>
      </w:r>
      <w:r w:rsidR="00AF2730" w:rsidRPr="00AF2730">
        <w:t xml:space="preserve">8 939,6 </w:t>
      </w:r>
      <w:r w:rsidRPr="00AF2730">
        <w:t xml:space="preserve">млн. лв. </w:t>
      </w:r>
      <w:r w:rsidRPr="00AF2730">
        <w:lastRenderedPageBreak/>
        <w:t xml:space="preserve">или </w:t>
      </w:r>
      <w:r w:rsidR="00AF2730" w:rsidRPr="00AF2730">
        <w:t>72,8</w:t>
      </w:r>
      <w:r w:rsidRPr="00AF2730">
        <w:t xml:space="preserve"> % от планираните за годината, като спрямо същия период на предходната година нарастват с </w:t>
      </w:r>
      <w:r w:rsidR="00AF2730" w:rsidRPr="00AF2730">
        <w:t>881,0</w:t>
      </w:r>
      <w:r w:rsidRPr="00AF2730">
        <w:t xml:space="preserve"> млн. лева. (</w:t>
      </w:r>
      <w:r w:rsidR="00631F2F" w:rsidRPr="00AF2730">
        <w:t>10,</w:t>
      </w:r>
      <w:r w:rsidR="00AF2730" w:rsidRPr="00AF2730">
        <w:t>9</w:t>
      </w:r>
      <w:r w:rsidRPr="00AF2730">
        <w:t xml:space="preserve"> %). </w:t>
      </w:r>
    </w:p>
    <w:p w14:paraId="23CE2B5B" w14:textId="6CD30283" w:rsidR="00661BE3" w:rsidRPr="001E66FF" w:rsidRDefault="00C0418A" w:rsidP="00661BE3">
      <w:pPr>
        <w:spacing w:before="120"/>
        <w:jc w:val="both"/>
      </w:pPr>
      <w:r w:rsidRPr="001E66FF">
        <w:rPr>
          <w:b/>
          <w:bCs/>
          <w:i/>
          <w:iCs/>
        </w:rPr>
        <w:t>Неданъчните приходи</w:t>
      </w:r>
      <w:r w:rsidRPr="001E66FF">
        <w:rPr>
          <w:b/>
          <w:bCs/>
          <w:iCs/>
        </w:rPr>
        <w:t xml:space="preserve"> </w:t>
      </w:r>
      <w:r w:rsidRPr="001E66FF">
        <w:t xml:space="preserve">са в размер на </w:t>
      </w:r>
      <w:r w:rsidR="001E66FF" w:rsidRPr="001E66FF">
        <w:rPr>
          <w:b/>
          <w:i/>
        </w:rPr>
        <w:t xml:space="preserve">6 111,4 </w:t>
      </w:r>
      <w:r w:rsidRPr="001E66FF">
        <w:rPr>
          <w:b/>
          <w:bCs/>
          <w:i/>
        </w:rPr>
        <w:t>млн. лв.</w:t>
      </w:r>
      <w:r w:rsidRPr="001E66FF">
        <w:rPr>
          <w:b/>
          <w:bCs/>
        </w:rPr>
        <w:t>,</w:t>
      </w:r>
      <w:r w:rsidRPr="001E66FF">
        <w:rPr>
          <w:b/>
          <w:i/>
        </w:rPr>
        <w:t xml:space="preserve"> </w:t>
      </w:r>
      <w:r w:rsidRPr="001E66FF">
        <w:t>което представлява</w:t>
      </w:r>
      <w:r w:rsidRPr="001E66FF">
        <w:rPr>
          <w:i/>
        </w:rPr>
        <w:t xml:space="preserve"> </w:t>
      </w:r>
      <w:r w:rsidR="001E66FF" w:rsidRPr="001E66FF">
        <w:t>90,5</w:t>
      </w:r>
      <w:r w:rsidRPr="001E66FF">
        <w:t xml:space="preserve"> %</w:t>
      </w:r>
      <w:r w:rsidRPr="001E66FF">
        <w:rPr>
          <w:b/>
          <w:i/>
        </w:rPr>
        <w:t xml:space="preserve"> </w:t>
      </w:r>
      <w:r w:rsidRPr="001E66FF">
        <w:t>от</w:t>
      </w:r>
      <w:r w:rsidRPr="001E66FF">
        <w:rPr>
          <w:b/>
          <w:i/>
        </w:rPr>
        <w:t xml:space="preserve"> </w:t>
      </w:r>
      <w:r w:rsidRPr="001E66FF">
        <w:t>годишните разчети и се формират основно от приходи от държавни, общински и съдебни такси, приходи и доходи от собственост, приходи от концесии, приходи от продажба на квоти за емисии на парникови газове и други</w:t>
      </w:r>
      <w:r w:rsidR="00661BE3" w:rsidRPr="001E66FF">
        <w:t xml:space="preserve">. </w:t>
      </w:r>
    </w:p>
    <w:p w14:paraId="37620D70" w14:textId="0D64B236" w:rsidR="00661BE3" w:rsidRPr="000C29AF" w:rsidRDefault="00661BE3" w:rsidP="00661BE3">
      <w:pPr>
        <w:spacing w:before="120" w:after="120"/>
        <w:jc w:val="both"/>
      </w:pPr>
      <w:r w:rsidRPr="000C29AF">
        <w:t xml:space="preserve">Постъпленията от </w:t>
      </w:r>
      <w:r w:rsidRPr="000C29AF">
        <w:rPr>
          <w:b/>
          <w:i/>
        </w:rPr>
        <w:t>помощи</w:t>
      </w:r>
      <w:r w:rsidRPr="000C29AF">
        <w:t xml:space="preserve"> </w:t>
      </w:r>
      <w:r w:rsidRPr="000C29AF">
        <w:rPr>
          <w:b/>
          <w:i/>
        </w:rPr>
        <w:t xml:space="preserve">и дарения </w:t>
      </w:r>
      <w:r w:rsidRPr="000C29AF">
        <w:t xml:space="preserve">от страната и чужбина (основно помощи от фондовете на ЕС) </w:t>
      </w:r>
      <w:r w:rsidR="00AD1BC9" w:rsidRPr="000C29AF">
        <w:t xml:space="preserve">към </w:t>
      </w:r>
      <w:r w:rsidR="000C29AF" w:rsidRPr="000C29AF">
        <w:t>септември</w:t>
      </w:r>
      <w:r w:rsidR="00AD1BC9" w:rsidRPr="000C29AF">
        <w:t xml:space="preserve"> 2021 г. са в размер на </w:t>
      </w:r>
      <w:r w:rsidR="000C29AF" w:rsidRPr="000C29AF">
        <w:rPr>
          <w:b/>
          <w:i/>
        </w:rPr>
        <w:t xml:space="preserve">2 128,4 </w:t>
      </w:r>
      <w:r w:rsidR="00AD1BC9" w:rsidRPr="000C29AF">
        <w:rPr>
          <w:b/>
          <w:i/>
        </w:rPr>
        <w:t>млн. лева</w:t>
      </w:r>
      <w:r w:rsidRPr="000C29AF">
        <w:rPr>
          <w:b/>
        </w:rPr>
        <w:t>.</w:t>
      </w:r>
      <w:r w:rsidRPr="000C29AF">
        <w:t xml:space="preserve"> </w:t>
      </w:r>
    </w:p>
    <w:p w14:paraId="47AA5130" w14:textId="5698E61B" w:rsidR="00B91B09" w:rsidRPr="00C85F7F" w:rsidRDefault="00B91B09" w:rsidP="00B91B09">
      <w:pPr>
        <w:spacing w:after="120"/>
        <w:jc w:val="both"/>
        <w:rPr>
          <w:rFonts w:eastAsia="Calibri"/>
          <w:color w:val="548DD4" w:themeColor="text2" w:themeTint="99"/>
        </w:rPr>
      </w:pPr>
      <w:r w:rsidRPr="004056DC">
        <w:rPr>
          <w:rFonts w:eastAsia="Calibri"/>
          <w:b/>
        </w:rPr>
        <w:t>Разходите</w:t>
      </w:r>
      <w:r w:rsidRPr="004056DC">
        <w:rPr>
          <w:rFonts w:eastAsia="Calibri"/>
        </w:rPr>
        <w:t xml:space="preserve"> по КФП (вкл. вноската на Република България в бюджета на ЕС) към </w:t>
      </w:r>
      <w:r w:rsidR="004056DC" w:rsidRPr="004056DC">
        <w:rPr>
          <w:rFonts w:eastAsia="Calibri"/>
        </w:rPr>
        <w:t xml:space="preserve">септември </w:t>
      </w:r>
      <w:r w:rsidRPr="004056DC">
        <w:rPr>
          <w:rFonts w:eastAsia="Calibri"/>
        </w:rPr>
        <w:t xml:space="preserve">2021 г. </w:t>
      </w:r>
      <w:r w:rsidR="004056DC" w:rsidRPr="004056DC">
        <w:rPr>
          <w:rFonts w:eastAsia="Calibri"/>
        </w:rPr>
        <w:t xml:space="preserve">възлизат на </w:t>
      </w:r>
      <w:r w:rsidR="004056DC" w:rsidRPr="004056DC">
        <w:rPr>
          <w:rFonts w:eastAsia="Calibri"/>
          <w:b/>
        </w:rPr>
        <w:t>36 772,3 млн. лв.</w:t>
      </w:r>
      <w:r w:rsidR="004056DC" w:rsidRPr="004056DC">
        <w:rPr>
          <w:rFonts w:eastAsia="Calibri"/>
        </w:rPr>
        <w:t xml:space="preserve">, което е 66,6 % от актуализираните годишни разчети. За </w:t>
      </w:r>
      <w:r w:rsidR="004056DC" w:rsidRPr="00C83DB7">
        <w:rPr>
          <w:rFonts w:eastAsia="Calibri"/>
        </w:rPr>
        <w:t>сравнение разходите по КФП към септември 2020 г. бяха в размер на 31 550,9 млн. лева.</w:t>
      </w:r>
      <w:r w:rsidR="004056DC" w:rsidRPr="001C4B86">
        <w:rPr>
          <w:rFonts w:eastAsia="Calibri"/>
          <w:color w:val="0070C0"/>
        </w:rPr>
        <w:t xml:space="preserve"> </w:t>
      </w:r>
      <w:r w:rsidR="004056DC" w:rsidRPr="00CA74C4">
        <w:rPr>
          <w:rFonts w:eastAsia="Calibri"/>
        </w:rPr>
        <w:t>Значителният ръст на разходите към септември 2021 г. спрямо същия период на предходната година е свързан, от една страна, с по-ниската база през 2020 г., когато през същия период има отчетени по-малки по размер разходи за борба с пандемията от COVID-19, докато за деветмесечието на 2021 г. тези разходи са съществени, и от друга страна – на политиката по доходите, политиките в социалната сфера и по-високите разходи за администрацията, заложени в ЗДБРБ за 2021 година</w:t>
      </w:r>
      <w:r w:rsidRPr="00C85F7F">
        <w:rPr>
          <w:rFonts w:eastAsia="Calibri"/>
          <w:color w:val="548DD4" w:themeColor="text2" w:themeTint="99"/>
        </w:rPr>
        <w:t>.</w:t>
      </w:r>
    </w:p>
    <w:p w14:paraId="6B703ABB" w14:textId="27A5F7EA" w:rsidR="007858B4" w:rsidRPr="00C47A40" w:rsidRDefault="007858B4" w:rsidP="007858B4">
      <w:pPr>
        <w:spacing w:after="120"/>
        <w:jc w:val="both"/>
        <w:rPr>
          <w:rFonts w:eastAsia="Calibri"/>
        </w:rPr>
      </w:pPr>
      <w:r w:rsidRPr="00643F50">
        <w:rPr>
          <w:rFonts w:eastAsia="Calibri"/>
        </w:rPr>
        <w:t xml:space="preserve">Разгледани по икономически елементи, най-значително нарастване се отчита при социалните и здравноосигурителните разходи. В частта на разходите за пенсии са изразходени </w:t>
      </w:r>
      <w:r w:rsidRPr="00FC69BD">
        <w:rPr>
          <w:rFonts w:eastAsia="Calibri"/>
        </w:rPr>
        <w:t>948</w:t>
      </w:r>
      <w:r>
        <w:rPr>
          <w:rFonts w:eastAsia="Calibri"/>
        </w:rPr>
        <w:t>,6</w:t>
      </w:r>
      <w:r w:rsidRPr="00643F50">
        <w:rPr>
          <w:rFonts w:eastAsia="Calibri"/>
        </w:rPr>
        <w:t xml:space="preserve"> млн. лв. за добавки в размер на 50 лева към пенсиите на всички пенсионери за месеците от януари до септември. Наред с това, влияние върху разходите за пенсии оказва и увеличението на размера на минималната пенсия за осигурителен стаж и възраст</w:t>
      </w:r>
      <w:r w:rsidR="00BF7630">
        <w:rPr>
          <w:rFonts w:eastAsia="Calibri"/>
        </w:rPr>
        <w:t xml:space="preserve"> и</w:t>
      </w:r>
      <w:r w:rsidR="00BF7630" w:rsidRPr="00643F50">
        <w:rPr>
          <w:rFonts w:eastAsia="Calibri"/>
        </w:rPr>
        <w:t xml:space="preserve"> на </w:t>
      </w:r>
      <w:r w:rsidRPr="00643F50">
        <w:rPr>
          <w:rFonts w:eastAsia="Calibri"/>
        </w:rPr>
        <w:t>максималния размер на пенсията от началото на годината, базов ефект от увеличението на пенсиите през юли 2020 г., както и увеличението от месец юли 2021 година. В частта на здравноосигурителните разходи се отчита нарастване, свързано с по-високите разходи за борба с пандемията и въведените механизми за финансиране на здравните заведения по време на действието на извънредна е</w:t>
      </w:r>
      <w:r>
        <w:rPr>
          <w:rFonts w:eastAsia="Calibri"/>
        </w:rPr>
        <w:t xml:space="preserve">пидемична обстановка: </w:t>
      </w:r>
      <w:r w:rsidRPr="00643F50">
        <w:rPr>
          <w:rFonts w:eastAsia="Calibri"/>
        </w:rPr>
        <w:t xml:space="preserve">разходи за медикаменти, тестове, консумативи и предпазни средства, средства за подкрепа на персонала на първа линия в борбата с COVID-19 (допълнително месечно възнаграждение в размер на 1 000 лв.), заплащане на изпълнителите на медицинска помощ за поставяне на ваксини срещу COVID-19, месечна добавка към възнагражденията на лекарите в размер на 600 лв., на специалисти от професионално направление „Здравни грижи“ в размер на 360 лв. и на санитари в размер на 120 лв., и други. Принос за нарастване на разходите за субсидии за нефинансови предприятия имат плащанията по мярката „60/40“, мярката „80/20“, мярката „Запази ме“, мярката „Подкрепа чрез оборотен капитал за малки и средни предприятия, засегнати от временните противоепидемични мерки“, администрирана </w:t>
      </w:r>
      <w:r w:rsidRPr="00C47A40">
        <w:rPr>
          <w:rFonts w:eastAsia="Calibri"/>
        </w:rPr>
        <w:t xml:space="preserve">от НАП, и други. </w:t>
      </w:r>
    </w:p>
    <w:p w14:paraId="4B8A082D" w14:textId="6281CF51" w:rsidR="007858B4" w:rsidRPr="00FC69BD" w:rsidRDefault="00981DB5" w:rsidP="007858B4">
      <w:pPr>
        <w:spacing w:after="120"/>
        <w:jc w:val="both"/>
        <w:rPr>
          <w:rFonts w:eastAsia="Calibri"/>
        </w:rPr>
      </w:pPr>
      <w:r w:rsidRPr="00C47A40">
        <w:rPr>
          <w:rFonts w:eastAsia="Calibri"/>
        </w:rPr>
        <w:t>Очаква се през последното тримесечие на годината разходите да нараснат значително, като освен традиционно по-високите капиталови разходи и тези, свързани със зимния период, ще бъде финансирана и основната част от допълнителните разходи за борба с пандемията, социалната подкрепа, изплащането на добавки към пенсиите на всички пенсионери за месеците октомври, ноември и декември в размер на 120 лева, защита от миграционен натиск по границите, подпомагане на бизнеса и други приоритетни мерки за реализиране до края на годината, които бяха одобрени от Народното събрание в средата на месец септември с приетия Закон за изменение и допълнение на ЗДБРБ за 2021 г</w:t>
      </w:r>
      <w:r w:rsidR="007858B4" w:rsidRPr="00C47A40">
        <w:rPr>
          <w:rFonts w:eastAsia="Calibri"/>
        </w:rPr>
        <w:t>.</w:t>
      </w:r>
    </w:p>
    <w:p w14:paraId="7B98F2E8" w14:textId="77777777" w:rsidR="000047E9" w:rsidRPr="001C4B86" w:rsidRDefault="000047E9" w:rsidP="000047E9">
      <w:pPr>
        <w:spacing w:after="120"/>
        <w:jc w:val="both"/>
        <w:rPr>
          <w:color w:val="0070C0"/>
        </w:rPr>
      </w:pPr>
      <w:r w:rsidRPr="00904B4E">
        <w:rPr>
          <w:b/>
          <w:i/>
        </w:rPr>
        <w:t>Нелихвените разходи</w:t>
      </w:r>
      <w:r w:rsidRPr="00904B4E">
        <w:t xml:space="preserve"> са в размер на 35 124,2 млн. лв., което представлява 68,9 % от годишния разчет. </w:t>
      </w:r>
      <w:r w:rsidRPr="00904B4E">
        <w:rPr>
          <w:i/>
        </w:rPr>
        <w:t>Текущите нелихвени разходи</w:t>
      </w:r>
      <w:r w:rsidRPr="00904B4E">
        <w:t xml:space="preserve"> са в размер на 32 898,3 млн. лева. </w:t>
      </w:r>
      <w:r w:rsidRPr="00904B4E">
        <w:rPr>
          <w:i/>
        </w:rPr>
        <w:t>Капиталовите разходи</w:t>
      </w:r>
      <w:r w:rsidRPr="00904B4E">
        <w:t xml:space="preserve"> (вкл. нетния прираст на държавния резерв) възлизат на 2 198,0 млн. лева.</w:t>
      </w:r>
      <w:r w:rsidRPr="001C4B86">
        <w:rPr>
          <w:color w:val="0070C0"/>
        </w:rPr>
        <w:t xml:space="preserve"> </w:t>
      </w:r>
      <w:r w:rsidRPr="00904B4E">
        <w:rPr>
          <w:i/>
        </w:rPr>
        <w:t>Предоставените текущи и капиталови трансфери за чужбина</w:t>
      </w:r>
      <w:r w:rsidRPr="00904B4E">
        <w:t xml:space="preserve"> са в размер на 28,0 млн. лева. </w:t>
      </w:r>
      <w:r w:rsidRPr="00904B4E">
        <w:rPr>
          <w:b/>
          <w:i/>
        </w:rPr>
        <w:t>Лихвените плащания</w:t>
      </w:r>
      <w:r w:rsidRPr="00904B4E">
        <w:t xml:space="preserve"> са в размер на 554,0 млн. лв. (84,3 % от планираните за 2021 година).</w:t>
      </w:r>
    </w:p>
    <w:p w14:paraId="51244154" w14:textId="326F9403" w:rsidR="00303B0B" w:rsidRPr="00B57F5F" w:rsidRDefault="00DD54D1" w:rsidP="00303B0B">
      <w:pPr>
        <w:spacing w:after="120"/>
        <w:jc w:val="both"/>
      </w:pPr>
      <w:r w:rsidRPr="00B57F5F">
        <w:rPr>
          <w:rFonts w:eastAsia="Calibri"/>
          <w:b/>
          <w:bCs/>
        </w:rPr>
        <w:lastRenderedPageBreak/>
        <w:t>Частта от вноската на Република България в бюджета на ЕС</w:t>
      </w:r>
      <w:r w:rsidRPr="00B57F5F">
        <w:rPr>
          <w:rFonts w:eastAsia="Calibri"/>
          <w:bCs/>
        </w:rPr>
        <w:t xml:space="preserve">, изплатена към </w:t>
      </w:r>
      <w:r w:rsidRPr="00B57F5F">
        <w:rPr>
          <w:rFonts w:eastAsia="Calibri"/>
        </w:rPr>
        <w:t>30.0</w:t>
      </w:r>
      <w:r w:rsidR="00B57F5F" w:rsidRPr="00B57F5F">
        <w:rPr>
          <w:rFonts w:eastAsia="Calibri"/>
        </w:rPr>
        <w:t>9</w:t>
      </w:r>
      <w:r w:rsidRPr="00B57F5F">
        <w:rPr>
          <w:rFonts w:eastAsia="Calibri"/>
        </w:rPr>
        <w:t>.2021</w:t>
      </w:r>
      <w:r w:rsidRPr="00B57F5F">
        <w:rPr>
          <w:rFonts w:eastAsia="Calibri"/>
          <w:lang w:val="en-US"/>
        </w:rPr>
        <w:t> </w:t>
      </w:r>
      <w:r w:rsidRPr="00B57F5F">
        <w:rPr>
          <w:rFonts w:eastAsia="Calibri"/>
        </w:rPr>
        <w:t xml:space="preserve">г. </w:t>
      </w:r>
      <w:r w:rsidRPr="00B57F5F">
        <w:rPr>
          <w:rFonts w:eastAsia="Calibri"/>
          <w:bCs/>
        </w:rPr>
        <w:t xml:space="preserve">от централния бюджет, възлиза на </w:t>
      </w:r>
      <w:r w:rsidR="00B57F5F" w:rsidRPr="00B57F5F">
        <w:rPr>
          <w:rFonts w:eastAsia="Calibri"/>
          <w:b/>
          <w:bCs/>
        </w:rPr>
        <w:t xml:space="preserve">1 094,0  </w:t>
      </w:r>
      <w:r w:rsidRPr="00B57F5F">
        <w:rPr>
          <w:rFonts w:eastAsia="Calibri"/>
          <w:bCs/>
        </w:rPr>
        <w:t>млн. лв., което е в изпълнение на действащото към момента законодателство в областта на собствените ресурси на ЕС (</w:t>
      </w:r>
      <w:r w:rsidRPr="00B57F5F">
        <w:rPr>
          <w:rFonts w:eastAsia="Calibri"/>
          <w:b/>
          <w:bCs/>
        </w:rPr>
        <w:t>Решение (ЕС, Евратом) 2020/2053</w:t>
      </w:r>
      <w:r w:rsidRPr="00B57F5F">
        <w:rPr>
          <w:rFonts w:eastAsia="Calibri"/>
          <w:bCs/>
        </w:rPr>
        <w:t xml:space="preserve"> на Съвета oт 14 декември 2020 година относно системата на собствените ресурси на Европейския съюз и за отмяна на Решение 2014/335/ЕС, Евратом; </w:t>
      </w:r>
      <w:r w:rsidRPr="00B57F5F">
        <w:rPr>
          <w:rFonts w:eastAsia="Calibri"/>
          <w:b/>
          <w:bCs/>
        </w:rPr>
        <w:t>Регламент (ЕС, Евратом) 2021/768</w:t>
      </w:r>
      <w:r w:rsidRPr="00B57F5F">
        <w:rPr>
          <w:rFonts w:eastAsia="Calibri"/>
          <w:bCs/>
        </w:rPr>
        <w:t xml:space="preserve"> на Съвета от 30 </w:t>
      </w:r>
      <w:r w:rsidRPr="00B57F5F">
        <w:rPr>
          <w:rFonts w:eastAsia="Calibri"/>
        </w:rPr>
        <w:t xml:space="preserve">април </w:t>
      </w:r>
      <w:r w:rsidRPr="00B57F5F">
        <w:rPr>
          <w:rFonts w:eastAsia="Calibri"/>
          <w:bCs/>
        </w:rPr>
        <w:t xml:space="preserve">2021 година за определяне на мерки за прилагане на системата на собствените ресурси на Европейския съюз и за отмяна на Регламент (ЕС, Евратом) № 608/2014; </w:t>
      </w:r>
      <w:r w:rsidRPr="00B57F5F">
        <w:rPr>
          <w:rFonts w:eastAsia="Calibri"/>
          <w:b/>
          <w:bCs/>
        </w:rPr>
        <w:t>Регламент (EС, Евратом) 2016/804</w:t>
      </w:r>
      <w:r w:rsidRPr="00B57F5F">
        <w:rPr>
          <w:rFonts w:eastAsia="Calibri"/>
          <w:bCs/>
        </w:rPr>
        <w:t xml:space="preserve"> на Съвета от 17 май 2016 година за изменение на Регламент (EС, Евратом) № 609/2014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w:t>
      </w:r>
      <w:r w:rsidRPr="00B57F5F">
        <w:rPr>
          <w:rFonts w:eastAsia="Calibri"/>
          <w:b/>
          <w:bCs/>
        </w:rPr>
        <w:t>Регламент (ЕС, Евратом) 2021/770</w:t>
      </w:r>
      <w:r w:rsidRPr="00B57F5F">
        <w:rPr>
          <w:rFonts w:eastAsia="Calibri"/>
          <w:bCs/>
        </w:rPr>
        <w:t xml:space="preserve"> на Съвета от 30 </w:t>
      </w:r>
      <w:r w:rsidRPr="00B57F5F">
        <w:rPr>
          <w:rFonts w:eastAsia="Calibri"/>
        </w:rPr>
        <w:t xml:space="preserve">април </w:t>
      </w:r>
      <w:r w:rsidRPr="00B57F5F">
        <w:rPr>
          <w:rFonts w:eastAsia="Calibri"/>
          <w:bCs/>
        </w:rPr>
        <w:t xml:space="preserve">2021 година относно изчисляването на собствения ресурс на база нерециклираните отпадъци от опаковки от пластмаса, относно методите и процедурата за предоставяне на този собствен ресурс, относно мерките за удовлетворяване на потребностите от парични средства и относно някои аспекти на собствения ресурс на база брутен национален доход и </w:t>
      </w:r>
      <w:r w:rsidRPr="00B57F5F">
        <w:rPr>
          <w:rFonts w:eastAsia="Calibri"/>
          <w:b/>
          <w:bCs/>
        </w:rPr>
        <w:t>Регламент (ЕС, Евратом) 2021/769</w:t>
      </w:r>
      <w:r w:rsidRPr="00B57F5F">
        <w:rPr>
          <w:rFonts w:eastAsia="Calibri"/>
          <w:bCs/>
        </w:rPr>
        <w:t xml:space="preserve"> на Съвета от 30 </w:t>
      </w:r>
      <w:r w:rsidRPr="00B57F5F">
        <w:rPr>
          <w:rFonts w:eastAsia="Calibri"/>
        </w:rPr>
        <w:t xml:space="preserve">април </w:t>
      </w:r>
      <w:r w:rsidRPr="00B57F5F">
        <w:rPr>
          <w:rFonts w:eastAsia="Calibri"/>
          <w:bCs/>
        </w:rPr>
        <w:t>2021 година 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r w:rsidR="00303B0B" w:rsidRPr="00B57F5F">
        <w:rPr>
          <w:rFonts w:eastAsia="Calibri"/>
        </w:rPr>
        <w:t>.</w:t>
      </w:r>
    </w:p>
    <w:p w14:paraId="6E6D8077" w14:textId="77777777" w:rsidR="009718F3" w:rsidRPr="008A3C49" w:rsidRDefault="009718F3" w:rsidP="009718F3">
      <w:pPr>
        <w:spacing w:before="120" w:after="120"/>
        <w:jc w:val="both"/>
      </w:pPr>
      <w:r w:rsidRPr="008A3C49">
        <w:rPr>
          <w:b/>
        </w:rPr>
        <w:t>Бюджетното салдо</w:t>
      </w:r>
      <w:r w:rsidRPr="008A3C49">
        <w:rPr>
          <w:bCs/>
        </w:rPr>
        <w:t xml:space="preserve"> по консолидираната фискална програма </w:t>
      </w:r>
      <w:r w:rsidRPr="008A3C49">
        <w:t>към септември 2021</w:t>
      </w:r>
      <w:r w:rsidRPr="008A3C49">
        <w:rPr>
          <w:bCs/>
        </w:rPr>
        <w:t xml:space="preserve"> г. е </w:t>
      </w:r>
      <w:r w:rsidRPr="008A3C49">
        <w:rPr>
          <w:b/>
          <w:bCs/>
        </w:rPr>
        <w:t xml:space="preserve">положително </w:t>
      </w:r>
      <w:r w:rsidRPr="008A3C49">
        <w:rPr>
          <w:bCs/>
        </w:rPr>
        <w:t xml:space="preserve">в размер на </w:t>
      </w:r>
      <w:r w:rsidRPr="008A3C49">
        <w:rPr>
          <w:b/>
          <w:bCs/>
        </w:rPr>
        <w:t xml:space="preserve">1 067,8 </w:t>
      </w:r>
      <w:r w:rsidRPr="008A3C49">
        <w:rPr>
          <w:b/>
        </w:rPr>
        <w:t>млн. лв.</w:t>
      </w:r>
      <w:r w:rsidRPr="008A3C49">
        <w:t xml:space="preserve"> </w:t>
      </w:r>
      <w:r w:rsidRPr="008A3C49">
        <w:rPr>
          <w:rFonts w:eastAsia="Calibri"/>
        </w:rPr>
        <w:t xml:space="preserve">(0,8 % от прогнозния БВП) </w:t>
      </w:r>
      <w:r w:rsidRPr="008A3C49">
        <w:t xml:space="preserve">и </w:t>
      </w:r>
      <w:r w:rsidRPr="008A3C49">
        <w:rPr>
          <w:bCs/>
        </w:rPr>
        <w:t xml:space="preserve">се формира от </w:t>
      </w:r>
      <w:r w:rsidRPr="008A3C49">
        <w:t>превишение на приходите над разходите по националния бюджет в размер на 1 218,3 млн. лв. и дефицит по европейските средства в размер на 150,4 млн. лева.</w:t>
      </w:r>
    </w:p>
    <w:p w14:paraId="35322DCA" w14:textId="0AC47350" w:rsidR="00B13128" w:rsidRPr="00D810D4" w:rsidRDefault="002C079D" w:rsidP="002B6BB4">
      <w:pPr>
        <w:numPr>
          <w:ilvl w:val="0"/>
          <w:numId w:val="9"/>
        </w:numPr>
        <w:tabs>
          <w:tab w:val="num" w:pos="0"/>
          <w:tab w:val="left" w:pos="426"/>
          <w:tab w:val="left" w:pos="720"/>
        </w:tabs>
        <w:spacing w:before="240" w:after="60"/>
        <w:ind w:left="0" w:firstLine="0"/>
        <w:jc w:val="both"/>
        <w:rPr>
          <w:sz w:val="22"/>
        </w:rPr>
      </w:pPr>
      <w:r w:rsidRPr="00D810D4">
        <w:rPr>
          <w:b/>
          <w:szCs w:val="28"/>
        </w:rPr>
        <w:t>Общият размер</w:t>
      </w:r>
      <w:r w:rsidRPr="00D810D4">
        <w:rPr>
          <w:bCs/>
          <w:sz w:val="22"/>
        </w:rPr>
        <w:t xml:space="preserve"> </w:t>
      </w:r>
      <w:r w:rsidRPr="00D810D4">
        <w:rPr>
          <w:b/>
          <w:bCs/>
          <w:szCs w:val="28"/>
        </w:rPr>
        <w:t>на касовите постъпления от ЕС</w:t>
      </w:r>
      <w:r w:rsidRPr="00D810D4">
        <w:rPr>
          <w:bCs/>
          <w:szCs w:val="28"/>
        </w:rPr>
        <w:t xml:space="preserve"> (от Структурните и Кохезионния фондове, от</w:t>
      </w:r>
      <w:r w:rsidRPr="00D810D4">
        <w:rPr>
          <w:szCs w:val="28"/>
        </w:rPr>
        <w:t xml:space="preserve"> ЕЗФРСР и ЕФР</w:t>
      </w:r>
      <w:r w:rsidRPr="00D810D4">
        <w:rPr>
          <w:bCs/>
          <w:szCs w:val="28"/>
        </w:rPr>
        <w:t xml:space="preserve">, от средства за директни плащания към земеделските производители и плащания по пазарни мерки и др.) за </w:t>
      </w:r>
      <w:r w:rsidR="006E6D55" w:rsidRPr="00D810D4">
        <w:rPr>
          <w:szCs w:val="28"/>
        </w:rPr>
        <w:t>деветмесечието</w:t>
      </w:r>
      <w:r w:rsidRPr="00D810D4">
        <w:rPr>
          <w:szCs w:val="28"/>
        </w:rPr>
        <w:t xml:space="preserve"> на 2021</w:t>
      </w:r>
      <w:r w:rsidRPr="00D810D4">
        <w:rPr>
          <w:bCs/>
          <w:szCs w:val="28"/>
        </w:rPr>
        <w:t xml:space="preserve"> г. е </w:t>
      </w:r>
      <w:r w:rsidR="006E6D55" w:rsidRPr="00D810D4">
        <w:rPr>
          <w:b/>
          <w:bCs/>
          <w:szCs w:val="28"/>
        </w:rPr>
        <w:t>3 965,5</w:t>
      </w:r>
      <w:r w:rsidR="006E0181" w:rsidRPr="00D810D4">
        <w:rPr>
          <w:b/>
          <w:bCs/>
          <w:szCs w:val="28"/>
        </w:rPr>
        <w:t> </w:t>
      </w:r>
      <w:r w:rsidRPr="00D810D4">
        <w:rPr>
          <w:b/>
          <w:bCs/>
          <w:szCs w:val="28"/>
        </w:rPr>
        <w:t>млн. лв.</w:t>
      </w:r>
      <w:r w:rsidRPr="00D810D4">
        <w:rPr>
          <w:b/>
          <w:szCs w:val="28"/>
        </w:rPr>
        <w:t xml:space="preserve"> </w:t>
      </w:r>
      <w:r w:rsidRPr="00D810D4">
        <w:rPr>
          <w:b/>
          <w:bCs/>
          <w:szCs w:val="28"/>
        </w:rPr>
        <w:t xml:space="preserve">Нетните постъпления от ЕС към </w:t>
      </w:r>
      <w:r w:rsidR="00825E83" w:rsidRPr="00D810D4">
        <w:rPr>
          <w:b/>
          <w:bCs/>
          <w:szCs w:val="28"/>
        </w:rPr>
        <w:t>30</w:t>
      </w:r>
      <w:r w:rsidRPr="00D810D4">
        <w:rPr>
          <w:b/>
          <w:bCs/>
          <w:szCs w:val="28"/>
        </w:rPr>
        <w:t>.</w:t>
      </w:r>
      <w:r w:rsidR="00825E83" w:rsidRPr="00D810D4">
        <w:rPr>
          <w:b/>
          <w:bCs/>
          <w:szCs w:val="28"/>
        </w:rPr>
        <w:t>0</w:t>
      </w:r>
      <w:r w:rsidR="00D810D4" w:rsidRPr="00D810D4">
        <w:rPr>
          <w:b/>
          <w:bCs/>
          <w:szCs w:val="28"/>
        </w:rPr>
        <w:t>9</w:t>
      </w:r>
      <w:r w:rsidRPr="00D810D4">
        <w:rPr>
          <w:b/>
          <w:bCs/>
          <w:szCs w:val="28"/>
        </w:rPr>
        <w:t xml:space="preserve">.2021 г. </w:t>
      </w:r>
      <w:r w:rsidRPr="00D810D4">
        <w:rPr>
          <w:bCs/>
          <w:szCs w:val="28"/>
        </w:rPr>
        <w:t xml:space="preserve">(касови постъпления от ЕС, намалени с вноската в общия бюджет на ЕС) са положителни в размер на </w:t>
      </w:r>
      <w:r w:rsidR="00825E83" w:rsidRPr="00D810D4">
        <w:rPr>
          <w:b/>
          <w:bCs/>
          <w:szCs w:val="28"/>
        </w:rPr>
        <w:t>2</w:t>
      </w:r>
      <w:r w:rsidR="00D810D4" w:rsidRPr="00D810D4">
        <w:rPr>
          <w:b/>
          <w:bCs/>
          <w:szCs w:val="28"/>
        </w:rPr>
        <w:t> 871,5</w:t>
      </w:r>
      <w:r w:rsidRPr="00D810D4">
        <w:rPr>
          <w:b/>
          <w:bCs/>
          <w:szCs w:val="28"/>
        </w:rPr>
        <w:t xml:space="preserve"> млн. лева</w:t>
      </w:r>
      <w:r w:rsidR="00B13128" w:rsidRPr="00D810D4">
        <w:rPr>
          <w:sz w:val="22"/>
        </w:rPr>
        <w:t>.</w:t>
      </w:r>
    </w:p>
    <w:p w14:paraId="61136364" w14:textId="72B77986" w:rsidR="00B13128" w:rsidRPr="00C85F7F" w:rsidRDefault="00B13128" w:rsidP="00A750C5">
      <w:pPr>
        <w:numPr>
          <w:ilvl w:val="2"/>
          <w:numId w:val="16"/>
        </w:numPr>
        <w:tabs>
          <w:tab w:val="left" w:pos="426"/>
        </w:tabs>
        <w:spacing w:before="120" w:after="120"/>
        <w:ind w:left="0" w:firstLine="0"/>
        <w:jc w:val="both"/>
        <w:rPr>
          <w:color w:val="548DD4" w:themeColor="text2" w:themeTint="99"/>
          <w:sz w:val="8"/>
          <w:szCs w:val="8"/>
        </w:rPr>
      </w:pPr>
      <w:r w:rsidRPr="00AD5E84">
        <w:rPr>
          <w:b/>
        </w:rPr>
        <w:t>Фискалният резерв</w:t>
      </w:r>
      <w:r w:rsidRPr="00AD5E84">
        <w:rPr>
          <w:b/>
          <w:bCs/>
          <w:vertAlign w:val="superscript"/>
          <w:lang w:eastAsia="bg-BG"/>
        </w:rPr>
        <w:footnoteReference w:id="5"/>
      </w:r>
      <w:r w:rsidRPr="00AD5E84">
        <w:rPr>
          <w:bCs/>
          <w:lang w:eastAsia="bg-BG"/>
        </w:rPr>
        <w:t xml:space="preserve"> </w:t>
      </w:r>
      <w:r w:rsidR="00524AB1" w:rsidRPr="00AD5E84">
        <w:rPr>
          <w:bCs/>
        </w:rPr>
        <w:t>30.0</w:t>
      </w:r>
      <w:r w:rsidR="005F0F93" w:rsidRPr="00AD5E84">
        <w:rPr>
          <w:bCs/>
        </w:rPr>
        <w:t>9</w:t>
      </w:r>
      <w:r w:rsidR="00524AB1" w:rsidRPr="00AD5E84">
        <w:rPr>
          <w:bCs/>
        </w:rPr>
        <w:t>.2021</w:t>
      </w:r>
      <w:r w:rsidR="00524AB1" w:rsidRPr="00AD5E84">
        <w:rPr>
          <w:rFonts w:eastAsia="Calibri"/>
        </w:rPr>
        <w:t xml:space="preserve"> г. </w:t>
      </w:r>
      <w:r w:rsidR="00524AB1" w:rsidRPr="00AD5E84">
        <w:rPr>
          <w:bCs/>
        </w:rPr>
        <w:t xml:space="preserve">е </w:t>
      </w:r>
      <w:r w:rsidR="005F0F93" w:rsidRPr="00AD5E84">
        <w:rPr>
          <w:b/>
          <w:bCs/>
        </w:rPr>
        <w:t>10,12 млрд. лв</w:t>
      </w:r>
      <w:r w:rsidR="005F0F93" w:rsidRPr="00AD5E84">
        <w:rPr>
          <w:bCs/>
        </w:rPr>
        <w:t xml:space="preserve">., в т.ч. 9,97 млрд. лв. депозити на </w:t>
      </w:r>
      <w:r w:rsidR="005F0F93" w:rsidRPr="007D6299">
        <w:rPr>
          <w:bCs/>
        </w:rPr>
        <w:t>фискалния резерв в БНБ и банки и 0,15 млрд. лв. вземания от фондовете на Европейския съюз за сертифицирани разходи, аванси и други</w:t>
      </w:r>
      <w:r w:rsidRPr="00C85F7F">
        <w:rPr>
          <w:bCs/>
          <w:color w:val="548DD4" w:themeColor="text2" w:themeTint="99"/>
          <w:lang w:eastAsia="bg-BG"/>
        </w:rPr>
        <w:t>.</w:t>
      </w:r>
      <w:r w:rsidRPr="00C85F7F">
        <w:rPr>
          <w:bCs/>
          <w:color w:val="548DD4" w:themeColor="text2" w:themeTint="99"/>
        </w:rPr>
        <w:t xml:space="preserve"> </w:t>
      </w:r>
    </w:p>
    <w:p w14:paraId="4B9FD67C" w14:textId="027B3A39" w:rsidR="001C6709" w:rsidRPr="00C85F7F" w:rsidRDefault="001C6709" w:rsidP="001C6709">
      <w:pPr>
        <w:tabs>
          <w:tab w:val="left" w:pos="426"/>
        </w:tabs>
        <w:spacing w:before="120" w:after="120"/>
        <w:jc w:val="both"/>
        <w:rPr>
          <w:color w:val="548DD4" w:themeColor="text2" w:themeTint="99"/>
          <w:sz w:val="8"/>
          <w:szCs w:val="8"/>
        </w:rPr>
      </w:pPr>
    </w:p>
    <w:p w14:paraId="4C7545C4" w14:textId="7134041D" w:rsidR="001C6709" w:rsidRPr="00C85F7F" w:rsidRDefault="001C6709" w:rsidP="001C6709">
      <w:pPr>
        <w:tabs>
          <w:tab w:val="left" w:pos="426"/>
        </w:tabs>
        <w:spacing w:before="120" w:after="120"/>
        <w:jc w:val="both"/>
        <w:rPr>
          <w:color w:val="548DD4" w:themeColor="text2" w:themeTint="99"/>
          <w:sz w:val="8"/>
          <w:szCs w:val="8"/>
        </w:rPr>
      </w:pPr>
    </w:p>
    <w:p w14:paraId="3FD8D855" w14:textId="77777777" w:rsidR="002E2C27" w:rsidRPr="00C560E1" w:rsidRDefault="002E2C27" w:rsidP="002E2C27">
      <w:pPr>
        <w:tabs>
          <w:tab w:val="left" w:pos="426"/>
        </w:tabs>
        <w:spacing w:before="120" w:after="120"/>
        <w:jc w:val="both"/>
        <w:rPr>
          <w:sz w:val="8"/>
          <w:szCs w:val="8"/>
        </w:rPr>
      </w:pPr>
    </w:p>
    <w:p w14:paraId="7CF00905" w14:textId="4A5F04B1" w:rsidR="00B13128" w:rsidRPr="00C560E1" w:rsidRDefault="006E5E4F" w:rsidP="006E5E4F">
      <w:pPr>
        <w:pStyle w:val="Heading1"/>
        <w:numPr>
          <w:ilvl w:val="0"/>
          <w:numId w:val="10"/>
        </w:numPr>
        <w:tabs>
          <w:tab w:val="clear" w:pos="5430"/>
          <w:tab w:val="num" w:pos="532"/>
        </w:tabs>
        <w:ind w:left="532" w:right="-108"/>
        <w:jc w:val="both"/>
        <w:rPr>
          <w:sz w:val="24"/>
        </w:rPr>
      </w:pPr>
      <w:r w:rsidRPr="00C560E1">
        <w:rPr>
          <w:sz w:val="24"/>
        </w:rPr>
        <w:t>Изпълнение на държавния бюджет</w:t>
      </w:r>
      <w:r w:rsidRPr="00C560E1">
        <w:rPr>
          <w:sz w:val="24"/>
          <w:vertAlign w:val="superscript"/>
        </w:rPr>
        <w:footnoteReference w:id="6"/>
      </w:r>
      <w:r w:rsidRPr="00C560E1">
        <w:rPr>
          <w:sz w:val="24"/>
        </w:rPr>
        <w:t xml:space="preserve"> към </w:t>
      </w:r>
      <w:r w:rsidR="00C560E1" w:rsidRPr="00C560E1">
        <w:rPr>
          <w:sz w:val="24"/>
        </w:rPr>
        <w:t>септември</w:t>
      </w:r>
      <w:r w:rsidR="00C560E1" w:rsidRPr="00C560E1">
        <w:t xml:space="preserve"> </w:t>
      </w:r>
      <w:r w:rsidR="00B13128" w:rsidRPr="00C560E1">
        <w:rPr>
          <w:sz w:val="24"/>
        </w:rPr>
        <w:t>20</w:t>
      </w:r>
      <w:r w:rsidR="00300C77" w:rsidRPr="00C560E1">
        <w:rPr>
          <w:sz w:val="24"/>
        </w:rPr>
        <w:t>2</w:t>
      </w:r>
      <w:r w:rsidR="005B7212" w:rsidRPr="00C560E1">
        <w:rPr>
          <w:sz w:val="24"/>
        </w:rPr>
        <w:t>1</w:t>
      </w:r>
      <w:r w:rsidR="00B13128" w:rsidRPr="00C560E1">
        <w:rPr>
          <w:sz w:val="24"/>
        </w:rPr>
        <w:t>г.</w:t>
      </w:r>
    </w:p>
    <w:p w14:paraId="1F970459" w14:textId="447074F2" w:rsidR="00B13128" w:rsidRPr="00C646C2" w:rsidRDefault="00B13128" w:rsidP="00B13128">
      <w:pPr>
        <w:tabs>
          <w:tab w:val="left" w:pos="1080"/>
        </w:tabs>
        <w:spacing w:before="120"/>
        <w:jc w:val="both"/>
      </w:pPr>
      <w:r w:rsidRPr="00C646C2">
        <w:t>Изпълнението на основните показатели по държавния бюджет, на база месечните отчети на първостепенните разпоредители с бюджет е, както следва:</w:t>
      </w:r>
    </w:p>
    <w:p w14:paraId="29433192" w14:textId="398B0211" w:rsidR="001C6709" w:rsidRPr="00C85F7F" w:rsidRDefault="001C6709" w:rsidP="00B13128">
      <w:pPr>
        <w:tabs>
          <w:tab w:val="left" w:pos="1080"/>
        </w:tabs>
        <w:spacing w:before="120"/>
        <w:jc w:val="both"/>
        <w:rPr>
          <w:color w:val="548DD4" w:themeColor="text2" w:themeTint="99"/>
        </w:rPr>
      </w:pPr>
    </w:p>
    <w:p w14:paraId="24DB148E" w14:textId="59A001F3" w:rsidR="001C6709" w:rsidRPr="00C85F7F" w:rsidRDefault="001C6709" w:rsidP="00B13128">
      <w:pPr>
        <w:tabs>
          <w:tab w:val="left" w:pos="1080"/>
        </w:tabs>
        <w:spacing w:before="120"/>
        <w:jc w:val="both"/>
        <w:rPr>
          <w:color w:val="548DD4" w:themeColor="text2" w:themeTint="99"/>
        </w:rPr>
      </w:pPr>
    </w:p>
    <w:p w14:paraId="6A77B2A6" w14:textId="37FB8497" w:rsidR="001C6709" w:rsidRPr="00C85F7F" w:rsidRDefault="001C6709" w:rsidP="00B13128">
      <w:pPr>
        <w:tabs>
          <w:tab w:val="left" w:pos="1080"/>
        </w:tabs>
        <w:spacing w:before="120"/>
        <w:jc w:val="both"/>
        <w:rPr>
          <w:color w:val="548DD4" w:themeColor="text2" w:themeTint="99"/>
        </w:rPr>
      </w:pPr>
    </w:p>
    <w:p w14:paraId="471A69E6" w14:textId="1F25B302" w:rsidR="001C6709" w:rsidRPr="00C85F7F" w:rsidRDefault="001C6709" w:rsidP="00B13128">
      <w:pPr>
        <w:tabs>
          <w:tab w:val="left" w:pos="1080"/>
        </w:tabs>
        <w:spacing w:before="120"/>
        <w:jc w:val="both"/>
        <w:rPr>
          <w:color w:val="548DD4" w:themeColor="text2" w:themeTint="99"/>
        </w:rPr>
      </w:pPr>
    </w:p>
    <w:p w14:paraId="04511838" w14:textId="27C6A47B" w:rsidR="001C6709" w:rsidRPr="00C85F7F" w:rsidRDefault="001C6709" w:rsidP="00B13128">
      <w:pPr>
        <w:tabs>
          <w:tab w:val="left" w:pos="1080"/>
        </w:tabs>
        <w:spacing w:before="120"/>
        <w:jc w:val="both"/>
        <w:rPr>
          <w:color w:val="548DD4" w:themeColor="text2" w:themeTint="99"/>
        </w:rPr>
      </w:pPr>
    </w:p>
    <w:p w14:paraId="0AA0DA21" w14:textId="64838E11" w:rsidR="001C6709" w:rsidRPr="00C85F7F" w:rsidRDefault="001C6709" w:rsidP="00B13128">
      <w:pPr>
        <w:tabs>
          <w:tab w:val="left" w:pos="1080"/>
        </w:tabs>
        <w:spacing w:before="120"/>
        <w:jc w:val="both"/>
        <w:rPr>
          <w:color w:val="548DD4" w:themeColor="text2" w:themeTint="99"/>
        </w:rPr>
      </w:pPr>
    </w:p>
    <w:p w14:paraId="25EE2155" w14:textId="25187DE4" w:rsidR="001C6709" w:rsidRPr="00C85F7F" w:rsidRDefault="001C6709" w:rsidP="00B13128">
      <w:pPr>
        <w:tabs>
          <w:tab w:val="left" w:pos="1080"/>
        </w:tabs>
        <w:spacing w:before="120"/>
        <w:jc w:val="both"/>
        <w:rPr>
          <w:color w:val="548DD4" w:themeColor="text2" w:themeTint="99"/>
        </w:rPr>
      </w:pPr>
    </w:p>
    <w:p w14:paraId="37A25C36" w14:textId="326CE5D9" w:rsidR="001C6709" w:rsidRPr="00C85F7F" w:rsidRDefault="001C6709" w:rsidP="00B13128">
      <w:pPr>
        <w:tabs>
          <w:tab w:val="left" w:pos="1080"/>
        </w:tabs>
        <w:spacing w:before="120"/>
        <w:jc w:val="both"/>
        <w:rPr>
          <w:color w:val="548DD4" w:themeColor="text2" w:themeTint="99"/>
        </w:rPr>
      </w:pPr>
    </w:p>
    <w:p w14:paraId="16BA7FA4" w14:textId="7C8EAF31" w:rsidR="001C6709" w:rsidRPr="00C85F7F" w:rsidRDefault="001C6709" w:rsidP="00B13128">
      <w:pPr>
        <w:tabs>
          <w:tab w:val="left" w:pos="1080"/>
        </w:tabs>
        <w:spacing w:before="120"/>
        <w:jc w:val="both"/>
        <w:rPr>
          <w:color w:val="548DD4" w:themeColor="text2" w:themeTint="99"/>
        </w:rPr>
      </w:pPr>
    </w:p>
    <w:p w14:paraId="08E3DC52" w14:textId="0CE646AD" w:rsidR="001C6709" w:rsidRPr="00C85F7F" w:rsidRDefault="001C6709" w:rsidP="00B13128">
      <w:pPr>
        <w:tabs>
          <w:tab w:val="left" w:pos="1080"/>
        </w:tabs>
        <w:spacing w:before="120"/>
        <w:jc w:val="both"/>
        <w:rPr>
          <w:color w:val="548DD4" w:themeColor="text2" w:themeTint="99"/>
        </w:rPr>
      </w:pPr>
    </w:p>
    <w:p w14:paraId="793219C9" w14:textId="77777777" w:rsidR="001C6709" w:rsidRPr="00C85F7F" w:rsidRDefault="001C6709" w:rsidP="00B13128">
      <w:pPr>
        <w:tabs>
          <w:tab w:val="left" w:pos="1080"/>
        </w:tabs>
        <w:spacing w:before="120"/>
        <w:jc w:val="both"/>
        <w:rPr>
          <w:color w:val="548DD4" w:themeColor="text2" w:themeTint="99"/>
        </w:rPr>
      </w:pPr>
    </w:p>
    <w:p w14:paraId="7F8E83CC" w14:textId="77777777" w:rsidR="00B13128" w:rsidRPr="00C85F7F" w:rsidRDefault="00B13128" w:rsidP="00B13128">
      <w:pPr>
        <w:tabs>
          <w:tab w:val="left" w:pos="1080"/>
        </w:tabs>
        <w:spacing w:before="120"/>
        <w:jc w:val="both"/>
        <w:rPr>
          <w:color w:val="548DD4" w:themeColor="text2" w:themeTint="99"/>
          <w:sz w:val="2"/>
          <w:szCs w:val="2"/>
        </w:rPr>
      </w:pPr>
    </w:p>
    <w:p w14:paraId="19633587" w14:textId="77777777" w:rsidR="00B13128" w:rsidRPr="00A63563" w:rsidRDefault="00B13128" w:rsidP="00B13128">
      <w:pPr>
        <w:ind w:right="-242"/>
        <w:rPr>
          <w:b/>
          <w:bCs/>
          <w:sz w:val="20"/>
          <w:szCs w:val="20"/>
          <w:lang w:eastAsia="bg-BG"/>
        </w:rPr>
      </w:pPr>
      <w:r w:rsidRPr="00A63563">
        <w:rPr>
          <w:b/>
          <w:bCs/>
          <w:sz w:val="20"/>
          <w:szCs w:val="20"/>
          <w:lang w:eastAsia="bg-BG"/>
        </w:rPr>
        <w:t xml:space="preserve">            Таблица</w:t>
      </w:r>
      <w:r w:rsidRPr="00A63563">
        <w:rPr>
          <w:b/>
          <w:bCs/>
          <w:sz w:val="20"/>
          <w:szCs w:val="20"/>
          <w:vertAlign w:val="superscript"/>
          <w:lang w:eastAsia="bg-BG"/>
        </w:rPr>
        <w:footnoteReference w:id="7"/>
      </w:r>
      <w:r w:rsidRPr="00A63563">
        <w:rPr>
          <w:b/>
          <w:bCs/>
          <w:sz w:val="20"/>
          <w:szCs w:val="20"/>
          <w:lang w:eastAsia="bg-BG"/>
        </w:rPr>
        <w:t xml:space="preserve">  №2      </w:t>
      </w:r>
      <w:r w:rsidRPr="00A63563">
        <w:rPr>
          <w:b/>
          <w:bCs/>
          <w:sz w:val="20"/>
          <w:szCs w:val="20"/>
          <w:lang w:eastAsia="bg-BG"/>
        </w:rPr>
        <w:tab/>
      </w:r>
      <w:r w:rsidRPr="00A63563">
        <w:rPr>
          <w:b/>
          <w:bCs/>
          <w:sz w:val="20"/>
          <w:szCs w:val="20"/>
          <w:lang w:eastAsia="bg-BG"/>
        </w:rPr>
        <w:tab/>
        <w:t xml:space="preserve">                                          </w:t>
      </w:r>
      <w:r w:rsidRPr="00A63563">
        <w:rPr>
          <w:b/>
          <w:bCs/>
          <w:sz w:val="20"/>
          <w:szCs w:val="20"/>
          <w:lang w:eastAsia="bg-BG"/>
        </w:rPr>
        <w:tab/>
      </w:r>
      <w:r w:rsidRPr="00A63563">
        <w:rPr>
          <w:b/>
          <w:bCs/>
          <w:sz w:val="20"/>
          <w:szCs w:val="20"/>
          <w:lang w:eastAsia="bg-BG"/>
        </w:rPr>
        <w:tab/>
      </w:r>
      <w:r w:rsidRPr="00A63563">
        <w:rPr>
          <w:b/>
          <w:bCs/>
          <w:sz w:val="20"/>
          <w:szCs w:val="20"/>
          <w:lang w:eastAsia="bg-BG"/>
        </w:rPr>
        <w:tab/>
      </w:r>
      <w:r w:rsidRPr="00A63563">
        <w:rPr>
          <w:b/>
          <w:bCs/>
          <w:sz w:val="20"/>
          <w:szCs w:val="20"/>
          <w:lang w:eastAsia="bg-BG"/>
        </w:rPr>
        <w:tab/>
        <w:t xml:space="preserve">  (млн. лв.)</w:t>
      </w:r>
    </w:p>
    <w:p w14:paraId="0E093ECF" w14:textId="77777777" w:rsidR="00B13128" w:rsidRPr="00C85F7F" w:rsidRDefault="00B13128" w:rsidP="00B13128">
      <w:pPr>
        <w:ind w:right="-242"/>
        <w:rPr>
          <w:b/>
          <w:bCs/>
          <w:color w:val="548DD4" w:themeColor="text2" w:themeTint="99"/>
          <w:sz w:val="6"/>
          <w:szCs w:val="6"/>
          <w:lang w:eastAsia="bg-BG"/>
        </w:rPr>
      </w:pPr>
    </w:p>
    <w:tbl>
      <w:tblPr>
        <w:tblW w:w="9050" w:type="dxa"/>
        <w:jc w:val="center"/>
        <w:tblCellMar>
          <w:left w:w="70" w:type="dxa"/>
          <w:right w:w="70" w:type="dxa"/>
        </w:tblCellMar>
        <w:tblLook w:val="0000" w:firstRow="0" w:lastRow="0" w:firstColumn="0" w:lastColumn="0" w:noHBand="0" w:noVBand="0"/>
      </w:tblPr>
      <w:tblGrid>
        <w:gridCol w:w="4854"/>
        <w:gridCol w:w="1276"/>
        <w:gridCol w:w="1616"/>
        <w:gridCol w:w="1304"/>
      </w:tblGrid>
      <w:tr w:rsidR="00317112" w:rsidRPr="001C4B86" w14:paraId="62043E6D" w14:textId="77777777" w:rsidTr="00C6093E">
        <w:trPr>
          <w:trHeight w:val="520"/>
          <w:jc w:val="center"/>
        </w:trPr>
        <w:tc>
          <w:tcPr>
            <w:tcW w:w="4854" w:type="dxa"/>
            <w:tcBorders>
              <w:top w:val="single" w:sz="8" w:space="0" w:color="auto"/>
              <w:left w:val="single" w:sz="8" w:space="0" w:color="auto"/>
              <w:bottom w:val="nil"/>
              <w:right w:val="single" w:sz="8" w:space="0" w:color="auto"/>
            </w:tcBorders>
            <w:shd w:val="clear" w:color="auto" w:fill="auto"/>
            <w:noWrap/>
            <w:vAlign w:val="center"/>
          </w:tcPr>
          <w:p w14:paraId="37145998" w14:textId="77777777" w:rsidR="00317112" w:rsidRPr="003F58F1" w:rsidRDefault="00317112" w:rsidP="00C6093E">
            <w:pPr>
              <w:jc w:val="center"/>
              <w:rPr>
                <w:b/>
                <w:bCs/>
                <w:sz w:val="18"/>
                <w:szCs w:val="18"/>
              </w:rPr>
            </w:pPr>
            <w:r w:rsidRPr="003F58F1">
              <w:rPr>
                <w:b/>
                <w:bCs/>
                <w:sz w:val="18"/>
                <w:szCs w:val="18"/>
              </w:rPr>
              <w:t>ПОКАЗАТЕЛИ</w:t>
            </w:r>
          </w:p>
        </w:tc>
        <w:tc>
          <w:tcPr>
            <w:tcW w:w="1276" w:type="dxa"/>
            <w:tcBorders>
              <w:top w:val="single" w:sz="8" w:space="0" w:color="auto"/>
              <w:left w:val="nil"/>
              <w:bottom w:val="single" w:sz="4" w:space="0" w:color="auto"/>
              <w:right w:val="nil"/>
            </w:tcBorders>
            <w:shd w:val="clear" w:color="auto" w:fill="auto"/>
            <w:vAlign w:val="center"/>
          </w:tcPr>
          <w:p w14:paraId="22BDFE14" w14:textId="77777777" w:rsidR="00317112" w:rsidRPr="003F58F1" w:rsidRDefault="00317112" w:rsidP="00C6093E">
            <w:pPr>
              <w:jc w:val="center"/>
              <w:rPr>
                <w:b/>
                <w:bCs/>
                <w:sz w:val="18"/>
                <w:szCs w:val="18"/>
              </w:rPr>
            </w:pPr>
            <w:r w:rsidRPr="003F58F1">
              <w:rPr>
                <w:b/>
                <w:bCs/>
                <w:sz w:val="18"/>
                <w:szCs w:val="18"/>
              </w:rPr>
              <w:t>ЗДБРБ     2021 г.</w:t>
            </w:r>
            <w:r w:rsidRPr="003F58F1">
              <w:rPr>
                <w:rStyle w:val="FootnoteReference"/>
                <w:b/>
                <w:bCs/>
                <w:sz w:val="18"/>
                <w:szCs w:val="18"/>
              </w:rPr>
              <w:footnoteReference w:id="8"/>
            </w:r>
          </w:p>
        </w:tc>
        <w:tc>
          <w:tcPr>
            <w:tcW w:w="1616" w:type="dxa"/>
            <w:tcBorders>
              <w:top w:val="single" w:sz="8" w:space="0" w:color="auto"/>
              <w:left w:val="nil"/>
              <w:bottom w:val="single" w:sz="4" w:space="0" w:color="auto"/>
              <w:right w:val="nil"/>
            </w:tcBorders>
            <w:shd w:val="clear" w:color="auto" w:fill="auto"/>
            <w:vAlign w:val="center"/>
          </w:tcPr>
          <w:p w14:paraId="6DC90148" w14:textId="77777777" w:rsidR="00317112" w:rsidRPr="003F58F1" w:rsidRDefault="00317112" w:rsidP="00C6093E">
            <w:pPr>
              <w:jc w:val="center"/>
              <w:rPr>
                <w:b/>
                <w:bCs/>
                <w:sz w:val="18"/>
                <w:szCs w:val="18"/>
              </w:rPr>
            </w:pPr>
            <w:r w:rsidRPr="003F58F1">
              <w:rPr>
                <w:b/>
                <w:bCs/>
                <w:sz w:val="18"/>
                <w:szCs w:val="18"/>
              </w:rPr>
              <w:t xml:space="preserve">Отчет </w:t>
            </w:r>
          </w:p>
          <w:p w14:paraId="534313F4" w14:textId="77777777" w:rsidR="00317112" w:rsidRPr="003F58F1" w:rsidRDefault="00317112" w:rsidP="00C6093E">
            <w:pPr>
              <w:jc w:val="center"/>
              <w:rPr>
                <w:b/>
                <w:bCs/>
                <w:sz w:val="18"/>
                <w:szCs w:val="18"/>
              </w:rPr>
            </w:pPr>
            <w:r w:rsidRPr="003F58F1">
              <w:rPr>
                <w:b/>
                <w:bCs/>
                <w:sz w:val="18"/>
                <w:szCs w:val="18"/>
              </w:rPr>
              <w:t>септември 2021 г.</w:t>
            </w:r>
          </w:p>
        </w:tc>
        <w:tc>
          <w:tcPr>
            <w:tcW w:w="1304" w:type="dxa"/>
            <w:tcBorders>
              <w:top w:val="single" w:sz="8" w:space="0" w:color="auto"/>
              <w:left w:val="nil"/>
              <w:bottom w:val="single" w:sz="4" w:space="0" w:color="auto"/>
              <w:right w:val="single" w:sz="8" w:space="0" w:color="auto"/>
            </w:tcBorders>
            <w:shd w:val="clear" w:color="auto" w:fill="auto"/>
            <w:vAlign w:val="center"/>
          </w:tcPr>
          <w:p w14:paraId="4F614797" w14:textId="77777777" w:rsidR="00317112" w:rsidRPr="003F58F1" w:rsidRDefault="00317112" w:rsidP="00C6093E">
            <w:pPr>
              <w:jc w:val="center"/>
              <w:rPr>
                <w:b/>
                <w:bCs/>
                <w:sz w:val="18"/>
                <w:szCs w:val="18"/>
              </w:rPr>
            </w:pPr>
            <w:r w:rsidRPr="003F58F1">
              <w:rPr>
                <w:b/>
                <w:bCs/>
                <w:sz w:val="18"/>
                <w:szCs w:val="18"/>
              </w:rPr>
              <w:t>Изпълнение спрямо    закон 2021 г.</w:t>
            </w:r>
          </w:p>
        </w:tc>
      </w:tr>
      <w:tr w:rsidR="00317112" w:rsidRPr="001C4B86" w14:paraId="60BBD8DE" w14:textId="77777777" w:rsidTr="00C6093E">
        <w:trPr>
          <w:trHeight w:val="92"/>
          <w:jc w:val="center"/>
        </w:trPr>
        <w:tc>
          <w:tcPr>
            <w:tcW w:w="4854" w:type="dxa"/>
            <w:tcBorders>
              <w:top w:val="single" w:sz="4" w:space="0" w:color="auto"/>
              <w:left w:val="single" w:sz="8" w:space="0" w:color="auto"/>
              <w:bottom w:val="single" w:sz="4" w:space="0" w:color="auto"/>
              <w:right w:val="single" w:sz="8" w:space="0" w:color="auto"/>
            </w:tcBorders>
            <w:shd w:val="clear" w:color="auto" w:fill="auto"/>
            <w:noWrap/>
            <w:vAlign w:val="bottom"/>
          </w:tcPr>
          <w:p w14:paraId="57DBBBE1" w14:textId="77777777" w:rsidR="00317112" w:rsidRPr="003F58F1" w:rsidRDefault="00317112" w:rsidP="00C6093E">
            <w:pPr>
              <w:rPr>
                <w:b/>
                <w:bCs/>
                <w:sz w:val="18"/>
                <w:szCs w:val="18"/>
              </w:rPr>
            </w:pPr>
            <w:r w:rsidRPr="003F58F1">
              <w:rPr>
                <w:b/>
                <w:bCs/>
                <w:sz w:val="18"/>
                <w:szCs w:val="18"/>
              </w:rPr>
              <w:t>Общо приходи, помощи и дарения</w:t>
            </w:r>
          </w:p>
        </w:tc>
        <w:tc>
          <w:tcPr>
            <w:tcW w:w="1276" w:type="dxa"/>
            <w:tcBorders>
              <w:top w:val="single" w:sz="4" w:space="0" w:color="auto"/>
              <w:left w:val="nil"/>
              <w:bottom w:val="single" w:sz="4" w:space="0" w:color="auto"/>
              <w:right w:val="nil"/>
            </w:tcBorders>
            <w:shd w:val="clear" w:color="auto" w:fill="auto"/>
            <w:noWrap/>
            <w:vAlign w:val="bottom"/>
          </w:tcPr>
          <w:p w14:paraId="23C3903D" w14:textId="77777777" w:rsidR="00317112" w:rsidRPr="003F58F1" w:rsidRDefault="00317112" w:rsidP="00C6093E">
            <w:pPr>
              <w:jc w:val="right"/>
              <w:rPr>
                <w:b/>
                <w:bCs/>
                <w:sz w:val="18"/>
                <w:szCs w:val="18"/>
              </w:rPr>
            </w:pPr>
            <w:r w:rsidRPr="003F58F1">
              <w:rPr>
                <w:b/>
                <w:bCs/>
                <w:sz w:val="18"/>
                <w:szCs w:val="18"/>
              </w:rPr>
              <w:t>28 942,8</w:t>
            </w:r>
          </w:p>
        </w:tc>
        <w:tc>
          <w:tcPr>
            <w:tcW w:w="1616" w:type="dxa"/>
            <w:tcBorders>
              <w:top w:val="single" w:sz="4" w:space="0" w:color="auto"/>
              <w:left w:val="nil"/>
              <w:bottom w:val="single" w:sz="4" w:space="0" w:color="auto"/>
              <w:right w:val="nil"/>
            </w:tcBorders>
            <w:shd w:val="clear" w:color="auto" w:fill="auto"/>
            <w:noWrap/>
            <w:vAlign w:val="bottom"/>
          </w:tcPr>
          <w:p w14:paraId="20814469" w14:textId="77777777" w:rsidR="00317112" w:rsidRDefault="00317112" w:rsidP="00C6093E">
            <w:pPr>
              <w:jc w:val="right"/>
              <w:rPr>
                <w:b/>
                <w:bCs/>
                <w:sz w:val="18"/>
                <w:szCs w:val="18"/>
              </w:rPr>
            </w:pPr>
            <w:r>
              <w:rPr>
                <w:b/>
                <w:bCs/>
                <w:sz w:val="18"/>
                <w:szCs w:val="18"/>
              </w:rPr>
              <w:t>22 154,8</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1A2A383A" w14:textId="77777777" w:rsidR="00317112" w:rsidRDefault="00317112" w:rsidP="00C6093E">
            <w:pPr>
              <w:jc w:val="right"/>
              <w:rPr>
                <w:b/>
                <w:bCs/>
                <w:sz w:val="18"/>
                <w:szCs w:val="18"/>
              </w:rPr>
            </w:pPr>
            <w:r>
              <w:rPr>
                <w:b/>
                <w:bCs/>
                <w:sz w:val="18"/>
                <w:szCs w:val="18"/>
              </w:rPr>
              <w:t>76,5%</w:t>
            </w:r>
          </w:p>
        </w:tc>
      </w:tr>
      <w:tr w:rsidR="00317112" w:rsidRPr="001C4B86" w14:paraId="63C71D3F" w14:textId="77777777" w:rsidTr="00C6093E">
        <w:trPr>
          <w:trHeight w:val="80"/>
          <w:jc w:val="center"/>
        </w:trPr>
        <w:tc>
          <w:tcPr>
            <w:tcW w:w="4854" w:type="dxa"/>
            <w:tcBorders>
              <w:top w:val="single" w:sz="4" w:space="0" w:color="auto"/>
              <w:left w:val="single" w:sz="8" w:space="0" w:color="auto"/>
              <w:bottom w:val="nil"/>
              <w:right w:val="single" w:sz="8" w:space="0" w:color="auto"/>
            </w:tcBorders>
            <w:shd w:val="clear" w:color="auto" w:fill="auto"/>
            <w:noWrap/>
            <w:vAlign w:val="bottom"/>
          </w:tcPr>
          <w:p w14:paraId="217BA7A6" w14:textId="77777777" w:rsidR="00317112" w:rsidRPr="003F58F1" w:rsidRDefault="00317112" w:rsidP="00C6093E">
            <w:pPr>
              <w:rPr>
                <w:sz w:val="18"/>
                <w:szCs w:val="18"/>
              </w:rPr>
            </w:pPr>
            <w:r w:rsidRPr="003F58F1">
              <w:rPr>
                <w:sz w:val="18"/>
                <w:szCs w:val="18"/>
              </w:rPr>
              <w:t xml:space="preserve">   -Данъчни приходи</w:t>
            </w:r>
          </w:p>
        </w:tc>
        <w:tc>
          <w:tcPr>
            <w:tcW w:w="1276" w:type="dxa"/>
            <w:tcBorders>
              <w:top w:val="single" w:sz="4" w:space="0" w:color="auto"/>
              <w:left w:val="nil"/>
              <w:right w:val="nil"/>
            </w:tcBorders>
            <w:shd w:val="clear" w:color="auto" w:fill="auto"/>
            <w:noWrap/>
            <w:vAlign w:val="bottom"/>
          </w:tcPr>
          <w:p w14:paraId="1FDB4D78" w14:textId="77777777" w:rsidR="00317112" w:rsidRPr="003F58F1" w:rsidRDefault="00317112" w:rsidP="00C6093E">
            <w:pPr>
              <w:jc w:val="right"/>
              <w:rPr>
                <w:sz w:val="18"/>
                <w:szCs w:val="18"/>
              </w:rPr>
            </w:pPr>
            <w:r w:rsidRPr="003F58F1">
              <w:rPr>
                <w:sz w:val="18"/>
                <w:szCs w:val="18"/>
              </w:rPr>
              <w:t>25 992,7</w:t>
            </w:r>
          </w:p>
        </w:tc>
        <w:tc>
          <w:tcPr>
            <w:tcW w:w="1616" w:type="dxa"/>
            <w:tcBorders>
              <w:top w:val="single" w:sz="4" w:space="0" w:color="auto"/>
              <w:left w:val="nil"/>
              <w:bottom w:val="nil"/>
              <w:right w:val="nil"/>
            </w:tcBorders>
            <w:shd w:val="clear" w:color="auto" w:fill="auto"/>
            <w:noWrap/>
            <w:vAlign w:val="bottom"/>
          </w:tcPr>
          <w:p w14:paraId="3B37B6FB" w14:textId="77777777" w:rsidR="00317112" w:rsidRDefault="00317112" w:rsidP="00C6093E">
            <w:pPr>
              <w:jc w:val="right"/>
              <w:rPr>
                <w:sz w:val="18"/>
                <w:szCs w:val="18"/>
              </w:rPr>
            </w:pPr>
            <w:r>
              <w:rPr>
                <w:sz w:val="18"/>
                <w:szCs w:val="18"/>
              </w:rPr>
              <w:t>19 654,2</w:t>
            </w:r>
          </w:p>
        </w:tc>
        <w:tc>
          <w:tcPr>
            <w:tcW w:w="1304" w:type="dxa"/>
            <w:tcBorders>
              <w:top w:val="single" w:sz="4" w:space="0" w:color="auto"/>
              <w:left w:val="nil"/>
              <w:bottom w:val="nil"/>
              <w:right w:val="single" w:sz="8" w:space="0" w:color="auto"/>
            </w:tcBorders>
            <w:shd w:val="clear" w:color="auto" w:fill="auto"/>
            <w:noWrap/>
            <w:vAlign w:val="bottom"/>
          </w:tcPr>
          <w:p w14:paraId="63739279" w14:textId="77777777" w:rsidR="00317112" w:rsidRDefault="00317112" w:rsidP="00C6093E">
            <w:pPr>
              <w:jc w:val="right"/>
              <w:rPr>
                <w:sz w:val="18"/>
                <w:szCs w:val="18"/>
              </w:rPr>
            </w:pPr>
            <w:r>
              <w:rPr>
                <w:sz w:val="18"/>
                <w:szCs w:val="18"/>
              </w:rPr>
              <w:t>75,6%</w:t>
            </w:r>
          </w:p>
        </w:tc>
      </w:tr>
      <w:tr w:rsidR="00317112" w:rsidRPr="001C4B86" w14:paraId="268DF095" w14:textId="77777777" w:rsidTr="00C6093E">
        <w:trPr>
          <w:trHeight w:val="80"/>
          <w:jc w:val="center"/>
        </w:trPr>
        <w:tc>
          <w:tcPr>
            <w:tcW w:w="4854" w:type="dxa"/>
            <w:tcBorders>
              <w:left w:val="single" w:sz="8" w:space="0" w:color="auto"/>
              <w:right w:val="single" w:sz="8" w:space="0" w:color="auto"/>
            </w:tcBorders>
            <w:shd w:val="clear" w:color="auto" w:fill="auto"/>
            <w:noWrap/>
            <w:vAlign w:val="bottom"/>
          </w:tcPr>
          <w:p w14:paraId="68B9EC4D" w14:textId="77777777" w:rsidR="00317112" w:rsidRPr="003F58F1" w:rsidRDefault="00317112" w:rsidP="00C6093E">
            <w:pPr>
              <w:rPr>
                <w:sz w:val="18"/>
                <w:szCs w:val="18"/>
              </w:rPr>
            </w:pPr>
            <w:r w:rsidRPr="003F58F1">
              <w:rPr>
                <w:sz w:val="18"/>
                <w:szCs w:val="18"/>
              </w:rPr>
              <w:t xml:space="preserve">      Корпоративни данъци</w:t>
            </w:r>
          </w:p>
        </w:tc>
        <w:tc>
          <w:tcPr>
            <w:tcW w:w="1276" w:type="dxa"/>
            <w:tcBorders>
              <w:left w:val="nil"/>
              <w:bottom w:val="nil"/>
              <w:right w:val="nil"/>
            </w:tcBorders>
            <w:shd w:val="clear" w:color="auto" w:fill="auto"/>
            <w:noWrap/>
            <w:vAlign w:val="bottom"/>
          </w:tcPr>
          <w:p w14:paraId="3FAB2DD3" w14:textId="77777777" w:rsidR="00317112" w:rsidRPr="003F58F1" w:rsidRDefault="00317112" w:rsidP="00C6093E">
            <w:pPr>
              <w:jc w:val="right"/>
              <w:rPr>
                <w:bCs/>
                <w:sz w:val="18"/>
                <w:szCs w:val="18"/>
              </w:rPr>
            </w:pPr>
            <w:r w:rsidRPr="003F58F1">
              <w:rPr>
                <w:bCs/>
                <w:sz w:val="18"/>
                <w:szCs w:val="18"/>
              </w:rPr>
              <w:t>2 975,0</w:t>
            </w:r>
          </w:p>
        </w:tc>
        <w:tc>
          <w:tcPr>
            <w:tcW w:w="1616" w:type="dxa"/>
            <w:tcBorders>
              <w:left w:val="nil"/>
              <w:bottom w:val="nil"/>
              <w:right w:val="nil"/>
            </w:tcBorders>
            <w:shd w:val="clear" w:color="auto" w:fill="auto"/>
            <w:noWrap/>
            <w:vAlign w:val="bottom"/>
          </w:tcPr>
          <w:p w14:paraId="2509C80D" w14:textId="77777777" w:rsidR="00317112" w:rsidRPr="0089661C" w:rsidRDefault="00317112" w:rsidP="00C6093E">
            <w:pPr>
              <w:jc w:val="right"/>
              <w:rPr>
                <w:bCs/>
                <w:sz w:val="18"/>
                <w:szCs w:val="18"/>
              </w:rPr>
            </w:pPr>
            <w:r w:rsidRPr="0089661C">
              <w:rPr>
                <w:bCs/>
                <w:sz w:val="18"/>
                <w:szCs w:val="18"/>
              </w:rPr>
              <w:t>1 882,4</w:t>
            </w:r>
          </w:p>
        </w:tc>
        <w:tc>
          <w:tcPr>
            <w:tcW w:w="1304" w:type="dxa"/>
            <w:tcBorders>
              <w:left w:val="nil"/>
              <w:bottom w:val="nil"/>
              <w:right w:val="single" w:sz="8" w:space="0" w:color="auto"/>
            </w:tcBorders>
            <w:shd w:val="clear" w:color="auto" w:fill="auto"/>
            <w:noWrap/>
            <w:vAlign w:val="bottom"/>
          </w:tcPr>
          <w:p w14:paraId="034C70BF" w14:textId="77777777" w:rsidR="00317112" w:rsidRPr="0089661C" w:rsidRDefault="00317112" w:rsidP="00C6093E">
            <w:pPr>
              <w:jc w:val="right"/>
              <w:rPr>
                <w:bCs/>
                <w:sz w:val="18"/>
                <w:szCs w:val="18"/>
              </w:rPr>
            </w:pPr>
            <w:r w:rsidRPr="0089661C">
              <w:rPr>
                <w:bCs/>
                <w:sz w:val="18"/>
                <w:szCs w:val="18"/>
              </w:rPr>
              <w:t>63,3%</w:t>
            </w:r>
          </w:p>
        </w:tc>
      </w:tr>
      <w:tr w:rsidR="00317112" w:rsidRPr="001C4B86" w14:paraId="5B3150AE"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2E534984" w14:textId="77777777" w:rsidR="00317112" w:rsidRPr="003F58F1" w:rsidRDefault="00317112" w:rsidP="00C6093E">
            <w:pPr>
              <w:rPr>
                <w:sz w:val="18"/>
                <w:szCs w:val="18"/>
              </w:rPr>
            </w:pPr>
            <w:r w:rsidRPr="003F58F1">
              <w:rPr>
                <w:sz w:val="18"/>
                <w:szCs w:val="18"/>
              </w:rPr>
              <w:t xml:space="preserve">     </w:t>
            </w:r>
            <w:r w:rsidRPr="003F58F1">
              <w:rPr>
                <w:sz w:val="18"/>
                <w:szCs w:val="18"/>
                <w:lang w:val="en-US"/>
              </w:rPr>
              <w:t xml:space="preserve"> </w:t>
            </w:r>
            <w:r w:rsidRPr="003F58F1">
              <w:rPr>
                <w:sz w:val="18"/>
                <w:szCs w:val="18"/>
              </w:rPr>
              <w:t>ДДФЛ</w:t>
            </w:r>
          </w:p>
        </w:tc>
        <w:tc>
          <w:tcPr>
            <w:tcW w:w="1276" w:type="dxa"/>
            <w:tcBorders>
              <w:left w:val="nil"/>
              <w:bottom w:val="nil"/>
              <w:right w:val="nil"/>
            </w:tcBorders>
            <w:shd w:val="clear" w:color="auto" w:fill="auto"/>
            <w:noWrap/>
            <w:vAlign w:val="bottom"/>
          </w:tcPr>
          <w:p w14:paraId="4C381F13" w14:textId="77777777" w:rsidR="00317112" w:rsidRPr="003F58F1" w:rsidRDefault="00317112" w:rsidP="00C6093E">
            <w:pPr>
              <w:jc w:val="right"/>
              <w:rPr>
                <w:sz w:val="18"/>
                <w:szCs w:val="18"/>
              </w:rPr>
            </w:pPr>
            <w:r w:rsidRPr="003F58F1">
              <w:rPr>
                <w:sz w:val="18"/>
                <w:szCs w:val="18"/>
              </w:rPr>
              <w:t>4 692,6</w:t>
            </w:r>
          </w:p>
        </w:tc>
        <w:tc>
          <w:tcPr>
            <w:tcW w:w="1616" w:type="dxa"/>
            <w:tcBorders>
              <w:left w:val="nil"/>
              <w:bottom w:val="nil"/>
              <w:right w:val="nil"/>
            </w:tcBorders>
            <w:shd w:val="clear" w:color="auto" w:fill="auto"/>
            <w:noWrap/>
            <w:vAlign w:val="bottom"/>
          </w:tcPr>
          <w:p w14:paraId="200CF8BE" w14:textId="77777777" w:rsidR="00317112" w:rsidRDefault="00317112" w:rsidP="00C6093E">
            <w:pPr>
              <w:jc w:val="right"/>
              <w:rPr>
                <w:sz w:val="18"/>
                <w:szCs w:val="18"/>
              </w:rPr>
            </w:pPr>
            <w:r>
              <w:rPr>
                <w:sz w:val="18"/>
                <w:szCs w:val="18"/>
              </w:rPr>
              <w:t>3 575,1</w:t>
            </w:r>
          </w:p>
        </w:tc>
        <w:tc>
          <w:tcPr>
            <w:tcW w:w="1304" w:type="dxa"/>
            <w:tcBorders>
              <w:left w:val="nil"/>
              <w:bottom w:val="nil"/>
              <w:right w:val="single" w:sz="8" w:space="0" w:color="auto"/>
            </w:tcBorders>
            <w:shd w:val="clear" w:color="auto" w:fill="auto"/>
            <w:noWrap/>
            <w:vAlign w:val="bottom"/>
          </w:tcPr>
          <w:p w14:paraId="2CAF4686" w14:textId="77777777" w:rsidR="00317112" w:rsidRDefault="00317112" w:rsidP="00C6093E">
            <w:pPr>
              <w:jc w:val="right"/>
              <w:rPr>
                <w:sz w:val="18"/>
                <w:szCs w:val="18"/>
              </w:rPr>
            </w:pPr>
            <w:r>
              <w:rPr>
                <w:sz w:val="18"/>
                <w:szCs w:val="18"/>
              </w:rPr>
              <w:t>76,2%</w:t>
            </w:r>
          </w:p>
        </w:tc>
      </w:tr>
      <w:tr w:rsidR="00317112" w:rsidRPr="001C4B86" w14:paraId="024EBCA9"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0DF1006D" w14:textId="77777777" w:rsidR="00317112" w:rsidRPr="003F58F1" w:rsidRDefault="00317112" w:rsidP="00C6093E">
            <w:pPr>
              <w:rPr>
                <w:sz w:val="18"/>
                <w:szCs w:val="18"/>
              </w:rPr>
            </w:pPr>
            <w:r w:rsidRPr="003F58F1">
              <w:rPr>
                <w:sz w:val="18"/>
                <w:szCs w:val="18"/>
              </w:rPr>
              <w:t xml:space="preserve">     </w:t>
            </w:r>
            <w:r w:rsidRPr="003F58F1">
              <w:rPr>
                <w:sz w:val="18"/>
                <w:szCs w:val="18"/>
                <w:lang w:val="en-US"/>
              </w:rPr>
              <w:t xml:space="preserve"> </w:t>
            </w:r>
            <w:r w:rsidRPr="003F58F1">
              <w:rPr>
                <w:sz w:val="18"/>
                <w:szCs w:val="18"/>
              </w:rPr>
              <w:t>ДДС</w:t>
            </w:r>
          </w:p>
        </w:tc>
        <w:tc>
          <w:tcPr>
            <w:tcW w:w="1276" w:type="dxa"/>
            <w:tcBorders>
              <w:left w:val="nil"/>
              <w:bottom w:val="nil"/>
              <w:right w:val="nil"/>
            </w:tcBorders>
            <w:shd w:val="clear" w:color="auto" w:fill="auto"/>
            <w:noWrap/>
            <w:vAlign w:val="bottom"/>
          </w:tcPr>
          <w:p w14:paraId="71AA0792" w14:textId="77777777" w:rsidR="00317112" w:rsidRPr="003F58F1" w:rsidRDefault="00317112" w:rsidP="00C6093E">
            <w:pPr>
              <w:jc w:val="right"/>
              <w:rPr>
                <w:sz w:val="18"/>
                <w:szCs w:val="18"/>
              </w:rPr>
            </w:pPr>
            <w:r w:rsidRPr="003F58F1">
              <w:rPr>
                <w:sz w:val="18"/>
                <w:szCs w:val="18"/>
              </w:rPr>
              <w:t>12 277,5</w:t>
            </w:r>
          </w:p>
        </w:tc>
        <w:tc>
          <w:tcPr>
            <w:tcW w:w="1616" w:type="dxa"/>
            <w:tcBorders>
              <w:left w:val="nil"/>
              <w:bottom w:val="nil"/>
              <w:right w:val="nil"/>
            </w:tcBorders>
            <w:shd w:val="clear" w:color="auto" w:fill="auto"/>
            <w:noWrap/>
            <w:vAlign w:val="bottom"/>
          </w:tcPr>
          <w:p w14:paraId="22F1722A" w14:textId="77777777" w:rsidR="00317112" w:rsidRDefault="00317112" w:rsidP="00C6093E">
            <w:pPr>
              <w:jc w:val="right"/>
              <w:rPr>
                <w:sz w:val="18"/>
                <w:szCs w:val="18"/>
              </w:rPr>
            </w:pPr>
            <w:r>
              <w:rPr>
                <w:sz w:val="18"/>
                <w:szCs w:val="18"/>
              </w:rPr>
              <w:t>9 600,0</w:t>
            </w:r>
          </w:p>
        </w:tc>
        <w:tc>
          <w:tcPr>
            <w:tcW w:w="1304" w:type="dxa"/>
            <w:tcBorders>
              <w:left w:val="nil"/>
              <w:bottom w:val="nil"/>
              <w:right w:val="single" w:sz="8" w:space="0" w:color="auto"/>
            </w:tcBorders>
            <w:shd w:val="clear" w:color="auto" w:fill="auto"/>
            <w:noWrap/>
            <w:vAlign w:val="bottom"/>
          </w:tcPr>
          <w:p w14:paraId="23B56E21" w14:textId="77777777" w:rsidR="00317112" w:rsidRDefault="00317112" w:rsidP="00C6093E">
            <w:pPr>
              <w:jc w:val="right"/>
              <w:rPr>
                <w:sz w:val="18"/>
                <w:szCs w:val="18"/>
              </w:rPr>
            </w:pPr>
            <w:r>
              <w:rPr>
                <w:sz w:val="18"/>
                <w:szCs w:val="18"/>
              </w:rPr>
              <w:t>78,2%</w:t>
            </w:r>
          </w:p>
        </w:tc>
      </w:tr>
      <w:tr w:rsidR="00317112" w:rsidRPr="001C4B86" w14:paraId="23960A29"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21A85C9D" w14:textId="77777777" w:rsidR="00317112" w:rsidRPr="003F58F1" w:rsidRDefault="00317112" w:rsidP="00C6093E">
            <w:pPr>
              <w:rPr>
                <w:sz w:val="18"/>
                <w:szCs w:val="18"/>
              </w:rPr>
            </w:pPr>
            <w:r w:rsidRPr="003F58F1">
              <w:rPr>
                <w:sz w:val="18"/>
                <w:szCs w:val="18"/>
              </w:rPr>
              <w:t xml:space="preserve">     </w:t>
            </w:r>
            <w:r w:rsidRPr="003F58F1">
              <w:rPr>
                <w:sz w:val="18"/>
                <w:szCs w:val="18"/>
                <w:lang w:val="en-US"/>
              </w:rPr>
              <w:t xml:space="preserve"> </w:t>
            </w:r>
            <w:r w:rsidRPr="003F58F1">
              <w:rPr>
                <w:sz w:val="18"/>
                <w:szCs w:val="18"/>
              </w:rPr>
              <w:t xml:space="preserve">Акцизи </w:t>
            </w:r>
          </w:p>
        </w:tc>
        <w:tc>
          <w:tcPr>
            <w:tcW w:w="1276" w:type="dxa"/>
            <w:tcBorders>
              <w:left w:val="nil"/>
              <w:bottom w:val="nil"/>
              <w:right w:val="nil"/>
            </w:tcBorders>
            <w:shd w:val="clear" w:color="auto" w:fill="auto"/>
            <w:noWrap/>
            <w:vAlign w:val="bottom"/>
          </w:tcPr>
          <w:p w14:paraId="52F5B5DF" w14:textId="77777777" w:rsidR="00317112" w:rsidRPr="003F58F1" w:rsidRDefault="00317112" w:rsidP="00C6093E">
            <w:pPr>
              <w:jc w:val="right"/>
              <w:rPr>
                <w:sz w:val="18"/>
                <w:szCs w:val="18"/>
              </w:rPr>
            </w:pPr>
            <w:r w:rsidRPr="003F58F1">
              <w:rPr>
                <w:sz w:val="18"/>
                <w:szCs w:val="18"/>
              </w:rPr>
              <w:t>5 640,5</w:t>
            </w:r>
          </w:p>
        </w:tc>
        <w:tc>
          <w:tcPr>
            <w:tcW w:w="1616" w:type="dxa"/>
            <w:tcBorders>
              <w:left w:val="nil"/>
              <w:bottom w:val="nil"/>
              <w:right w:val="nil"/>
            </w:tcBorders>
            <w:shd w:val="clear" w:color="auto" w:fill="auto"/>
            <w:noWrap/>
            <w:vAlign w:val="bottom"/>
          </w:tcPr>
          <w:p w14:paraId="374F1DC1" w14:textId="77777777" w:rsidR="00317112" w:rsidRDefault="00317112" w:rsidP="00C6093E">
            <w:pPr>
              <w:jc w:val="right"/>
              <w:rPr>
                <w:sz w:val="18"/>
                <w:szCs w:val="18"/>
              </w:rPr>
            </w:pPr>
            <w:r>
              <w:rPr>
                <w:sz w:val="18"/>
                <w:szCs w:val="18"/>
              </w:rPr>
              <w:t>4 260,9</w:t>
            </w:r>
          </w:p>
        </w:tc>
        <w:tc>
          <w:tcPr>
            <w:tcW w:w="1304" w:type="dxa"/>
            <w:tcBorders>
              <w:left w:val="nil"/>
              <w:bottom w:val="nil"/>
              <w:right w:val="single" w:sz="8" w:space="0" w:color="auto"/>
            </w:tcBorders>
            <w:shd w:val="clear" w:color="auto" w:fill="auto"/>
            <w:noWrap/>
            <w:vAlign w:val="bottom"/>
          </w:tcPr>
          <w:p w14:paraId="7135449C" w14:textId="77777777" w:rsidR="00317112" w:rsidRDefault="00317112" w:rsidP="00C6093E">
            <w:pPr>
              <w:jc w:val="right"/>
              <w:rPr>
                <w:sz w:val="18"/>
                <w:szCs w:val="18"/>
              </w:rPr>
            </w:pPr>
            <w:r>
              <w:rPr>
                <w:sz w:val="18"/>
                <w:szCs w:val="18"/>
              </w:rPr>
              <w:t>75,5%</w:t>
            </w:r>
          </w:p>
        </w:tc>
      </w:tr>
      <w:tr w:rsidR="00317112" w:rsidRPr="001C4B86" w14:paraId="25C548A2"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4E10998A" w14:textId="77777777" w:rsidR="00317112" w:rsidRPr="003F58F1" w:rsidRDefault="00317112" w:rsidP="00C6093E">
            <w:pPr>
              <w:rPr>
                <w:sz w:val="18"/>
                <w:szCs w:val="18"/>
              </w:rPr>
            </w:pPr>
            <w:r w:rsidRPr="003F58F1">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14:paraId="6DDF2A62" w14:textId="77777777" w:rsidR="00317112" w:rsidRPr="003F58F1" w:rsidRDefault="00317112" w:rsidP="00C6093E">
            <w:pPr>
              <w:jc w:val="right"/>
              <w:rPr>
                <w:sz w:val="18"/>
                <w:szCs w:val="18"/>
              </w:rPr>
            </w:pPr>
            <w:r w:rsidRPr="003F58F1">
              <w:rPr>
                <w:sz w:val="18"/>
                <w:szCs w:val="18"/>
              </w:rPr>
              <w:t>50,0</w:t>
            </w:r>
          </w:p>
        </w:tc>
        <w:tc>
          <w:tcPr>
            <w:tcW w:w="1616" w:type="dxa"/>
            <w:tcBorders>
              <w:left w:val="nil"/>
              <w:bottom w:val="nil"/>
              <w:right w:val="nil"/>
            </w:tcBorders>
            <w:shd w:val="clear" w:color="auto" w:fill="auto"/>
            <w:noWrap/>
            <w:vAlign w:val="bottom"/>
          </w:tcPr>
          <w:p w14:paraId="2569D6FB" w14:textId="77777777" w:rsidR="00317112" w:rsidRDefault="00317112" w:rsidP="00C6093E">
            <w:pPr>
              <w:jc w:val="right"/>
              <w:rPr>
                <w:sz w:val="18"/>
                <w:szCs w:val="18"/>
              </w:rPr>
            </w:pPr>
            <w:r>
              <w:rPr>
                <w:sz w:val="18"/>
                <w:szCs w:val="18"/>
              </w:rPr>
              <w:t>35,6</w:t>
            </w:r>
          </w:p>
        </w:tc>
        <w:tc>
          <w:tcPr>
            <w:tcW w:w="1304" w:type="dxa"/>
            <w:tcBorders>
              <w:left w:val="nil"/>
              <w:bottom w:val="nil"/>
              <w:right w:val="single" w:sz="8" w:space="0" w:color="auto"/>
            </w:tcBorders>
            <w:shd w:val="clear" w:color="auto" w:fill="auto"/>
            <w:noWrap/>
            <w:vAlign w:val="bottom"/>
          </w:tcPr>
          <w:p w14:paraId="68692BE1" w14:textId="77777777" w:rsidR="00317112" w:rsidRDefault="00317112" w:rsidP="00C6093E">
            <w:pPr>
              <w:jc w:val="right"/>
              <w:rPr>
                <w:sz w:val="18"/>
                <w:szCs w:val="18"/>
              </w:rPr>
            </w:pPr>
            <w:r>
              <w:rPr>
                <w:sz w:val="18"/>
                <w:szCs w:val="18"/>
              </w:rPr>
              <w:t>71,1%</w:t>
            </w:r>
          </w:p>
        </w:tc>
      </w:tr>
      <w:tr w:rsidR="00317112" w:rsidRPr="001C4B86" w14:paraId="056B62DD"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1C8025ED" w14:textId="77777777" w:rsidR="00317112" w:rsidRPr="003F58F1" w:rsidRDefault="00317112" w:rsidP="00C6093E">
            <w:pPr>
              <w:rPr>
                <w:sz w:val="18"/>
                <w:szCs w:val="18"/>
              </w:rPr>
            </w:pPr>
            <w:r w:rsidRPr="003F58F1">
              <w:rPr>
                <w:sz w:val="18"/>
                <w:szCs w:val="18"/>
              </w:rPr>
              <w:t xml:space="preserve">     </w:t>
            </w:r>
            <w:r w:rsidRPr="003F58F1">
              <w:rPr>
                <w:sz w:val="18"/>
                <w:szCs w:val="18"/>
                <w:lang w:val="en-US"/>
              </w:rPr>
              <w:t xml:space="preserve"> </w:t>
            </w:r>
            <w:r w:rsidRPr="003F58F1">
              <w:rPr>
                <w:sz w:val="18"/>
                <w:szCs w:val="18"/>
              </w:rPr>
              <w:t>Мита и митнически такси</w:t>
            </w:r>
          </w:p>
        </w:tc>
        <w:tc>
          <w:tcPr>
            <w:tcW w:w="1276" w:type="dxa"/>
            <w:tcBorders>
              <w:left w:val="nil"/>
              <w:bottom w:val="nil"/>
              <w:right w:val="nil"/>
            </w:tcBorders>
            <w:shd w:val="clear" w:color="auto" w:fill="auto"/>
            <w:noWrap/>
            <w:vAlign w:val="bottom"/>
          </w:tcPr>
          <w:p w14:paraId="7B3BBBFA" w14:textId="77777777" w:rsidR="00317112" w:rsidRPr="003F58F1" w:rsidRDefault="00317112" w:rsidP="00C6093E">
            <w:pPr>
              <w:jc w:val="right"/>
              <w:rPr>
                <w:sz w:val="18"/>
                <w:szCs w:val="18"/>
              </w:rPr>
            </w:pPr>
            <w:r w:rsidRPr="003F58F1">
              <w:rPr>
                <w:sz w:val="18"/>
                <w:szCs w:val="18"/>
              </w:rPr>
              <w:t>241,3</w:t>
            </w:r>
          </w:p>
        </w:tc>
        <w:tc>
          <w:tcPr>
            <w:tcW w:w="1616" w:type="dxa"/>
            <w:tcBorders>
              <w:left w:val="nil"/>
              <w:bottom w:val="nil"/>
              <w:right w:val="nil"/>
            </w:tcBorders>
            <w:shd w:val="clear" w:color="auto" w:fill="auto"/>
            <w:noWrap/>
            <w:vAlign w:val="bottom"/>
          </w:tcPr>
          <w:p w14:paraId="3DA75F94" w14:textId="77777777" w:rsidR="00317112" w:rsidRDefault="00317112" w:rsidP="00C6093E">
            <w:pPr>
              <w:jc w:val="right"/>
              <w:rPr>
                <w:sz w:val="18"/>
                <w:szCs w:val="18"/>
              </w:rPr>
            </w:pPr>
            <w:r>
              <w:rPr>
                <w:sz w:val="18"/>
                <w:szCs w:val="18"/>
              </w:rPr>
              <w:t>204,4</w:t>
            </w:r>
          </w:p>
        </w:tc>
        <w:tc>
          <w:tcPr>
            <w:tcW w:w="1304" w:type="dxa"/>
            <w:tcBorders>
              <w:left w:val="nil"/>
              <w:bottom w:val="nil"/>
              <w:right w:val="single" w:sz="8" w:space="0" w:color="auto"/>
            </w:tcBorders>
            <w:shd w:val="clear" w:color="auto" w:fill="auto"/>
            <w:noWrap/>
            <w:vAlign w:val="bottom"/>
          </w:tcPr>
          <w:p w14:paraId="590A910C" w14:textId="77777777" w:rsidR="00317112" w:rsidRDefault="00317112" w:rsidP="00C6093E">
            <w:pPr>
              <w:jc w:val="right"/>
              <w:rPr>
                <w:sz w:val="18"/>
                <w:szCs w:val="18"/>
              </w:rPr>
            </w:pPr>
            <w:r>
              <w:rPr>
                <w:sz w:val="18"/>
                <w:szCs w:val="18"/>
              </w:rPr>
              <w:t>84,7%</w:t>
            </w:r>
          </w:p>
        </w:tc>
      </w:tr>
      <w:tr w:rsidR="00317112" w:rsidRPr="001C4B86" w14:paraId="4DFAEE9C"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03BC622D" w14:textId="77777777" w:rsidR="00317112" w:rsidRPr="003F58F1" w:rsidRDefault="00317112" w:rsidP="00C6093E">
            <w:pPr>
              <w:rPr>
                <w:sz w:val="18"/>
                <w:szCs w:val="18"/>
              </w:rPr>
            </w:pPr>
            <w:r w:rsidRPr="003F58F1">
              <w:rPr>
                <w:sz w:val="18"/>
                <w:szCs w:val="18"/>
              </w:rPr>
              <w:t xml:space="preserve">     </w:t>
            </w:r>
            <w:r w:rsidRPr="003F58F1">
              <w:rPr>
                <w:sz w:val="18"/>
                <w:szCs w:val="18"/>
                <w:lang w:val="en-US"/>
              </w:rPr>
              <w:t xml:space="preserve"> </w:t>
            </w:r>
            <w:r w:rsidRPr="003F58F1">
              <w:rPr>
                <w:sz w:val="18"/>
                <w:szCs w:val="18"/>
              </w:rPr>
              <w:t>Други данъци</w:t>
            </w:r>
          </w:p>
        </w:tc>
        <w:tc>
          <w:tcPr>
            <w:tcW w:w="1276" w:type="dxa"/>
            <w:tcBorders>
              <w:left w:val="nil"/>
              <w:bottom w:val="nil"/>
              <w:right w:val="nil"/>
            </w:tcBorders>
            <w:shd w:val="clear" w:color="auto" w:fill="auto"/>
            <w:noWrap/>
            <w:vAlign w:val="bottom"/>
          </w:tcPr>
          <w:p w14:paraId="6D0EFA10" w14:textId="77777777" w:rsidR="00317112" w:rsidRPr="003F58F1" w:rsidRDefault="00317112" w:rsidP="00C6093E">
            <w:pPr>
              <w:jc w:val="right"/>
              <w:rPr>
                <w:sz w:val="18"/>
                <w:szCs w:val="18"/>
              </w:rPr>
            </w:pPr>
            <w:r w:rsidRPr="003F58F1">
              <w:rPr>
                <w:sz w:val="18"/>
                <w:szCs w:val="18"/>
              </w:rPr>
              <w:t>115,8</w:t>
            </w:r>
          </w:p>
        </w:tc>
        <w:tc>
          <w:tcPr>
            <w:tcW w:w="1616" w:type="dxa"/>
            <w:tcBorders>
              <w:top w:val="nil"/>
              <w:left w:val="nil"/>
              <w:bottom w:val="nil"/>
              <w:right w:val="nil"/>
            </w:tcBorders>
            <w:shd w:val="clear" w:color="auto" w:fill="auto"/>
            <w:noWrap/>
            <w:vAlign w:val="bottom"/>
          </w:tcPr>
          <w:p w14:paraId="729C2DF9" w14:textId="77777777" w:rsidR="00317112" w:rsidRDefault="00317112" w:rsidP="00C6093E">
            <w:pPr>
              <w:jc w:val="right"/>
              <w:rPr>
                <w:sz w:val="18"/>
                <w:szCs w:val="18"/>
              </w:rPr>
            </w:pPr>
            <w:r>
              <w:rPr>
                <w:sz w:val="18"/>
                <w:szCs w:val="18"/>
              </w:rPr>
              <w:t>95,8</w:t>
            </w:r>
          </w:p>
        </w:tc>
        <w:tc>
          <w:tcPr>
            <w:tcW w:w="1304" w:type="dxa"/>
            <w:tcBorders>
              <w:top w:val="nil"/>
              <w:left w:val="nil"/>
              <w:bottom w:val="nil"/>
              <w:right w:val="single" w:sz="8" w:space="0" w:color="auto"/>
            </w:tcBorders>
            <w:shd w:val="clear" w:color="auto" w:fill="auto"/>
            <w:noWrap/>
            <w:vAlign w:val="bottom"/>
          </w:tcPr>
          <w:p w14:paraId="6C9C9487" w14:textId="77777777" w:rsidR="00317112" w:rsidRDefault="00317112" w:rsidP="00C6093E">
            <w:pPr>
              <w:jc w:val="right"/>
              <w:rPr>
                <w:sz w:val="18"/>
                <w:szCs w:val="18"/>
              </w:rPr>
            </w:pPr>
            <w:r>
              <w:rPr>
                <w:sz w:val="18"/>
                <w:szCs w:val="18"/>
              </w:rPr>
              <w:t>82,7%</w:t>
            </w:r>
          </w:p>
        </w:tc>
      </w:tr>
      <w:tr w:rsidR="00317112" w:rsidRPr="001C4B86" w14:paraId="1BF15878" w14:textId="77777777" w:rsidTr="00C6093E">
        <w:trPr>
          <w:trHeight w:val="165"/>
          <w:jc w:val="center"/>
        </w:trPr>
        <w:tc>
          <w:tcPr>
            <w:tcW w:w="4854" w:type="dxa"/>
            <w:tcBorders>
              <w:left w:val="single" w:sz="8" w:space="0" w:color="auto"/>
              <w:right w:val="single" w:sz="8" w:space="0" w:color="auto"/>
            </w:tcBorders>
            <w:shd w:val="clear" w:color="auto" w:fill="auto"/>
            <w:noWrap/>
            <w:vAlign w:val="bottom"/>
          </w:tcPr>
          <w:p w14:paraId="2EA0C258" w14:textId="77777777" w:rsidR="00317112" w:rsidRPr="003F58F1" w:rsidRDefault="00317112" w:rsidP="00C6093E">
            <w:pPr>
              <w:rPr>
                <w:sz w:val="18"/>
                <w:szCs w:val="18"/>
              </w:rPr>
            </w:pPr>
            <w:r w:rsidRPr="003F58F1">
              <w:rPr>
                <w:sz w:val="18"/>
                <w:szCs w:val="18"/>
              </w:rPr>
              <w:t xml:space="preserve">   -Неданъчни приходи</w:t>
            </w:r>
          </w:p>
        </w:tc>
        <w:tc>
          <w:tcPr>
            <w:tcW w:w="1276" w:type="dxa"/>
            <w:tcBorders>
              <w:left w:val="nil"/>
              <w:bottom w:val="nil"/>
              <w:right w:val="nil"/>
            </w:tcBorders>
            <w:shd w:val="clear" w:color="auto" w:fill="auto"/>
            <w:noWrap/>
            <w:vAlign w:val="bottom"/>
          </w:tcPr>
          <w:p w14:paraId="684C847B" w14:textId="77777777" w:rsidR="00317112" w:rsidRPr="003F58F1" w:rsidRDefault="00317112" w:rsidP="00C6093E">
            <w:pPr>
              <w:jc w:val="right"/>
              <w:rPr>
                <w:sz w:val="18"/>
                <w:szCs w:val="18"/>
              </w:rPr>
            </w:pPr>
            <w:r w:rsidRPr="003F58F1">
              <w:rPr>
                <w:sz w:val="18"/>
                <w:szCs w:val="18"/>
              </w:rPr>
              <w:t>2 950,1</w:t>
            </w:r>
          </w:p>
        </w:tc>
        <w:tc>
          <w:tcPr>
            <w:tcW w:w="1616" w:type="dxa"/>
            <w:tcBorders>
              <w:top w:val="nil"/>
              <w:left w:val="nil"/>
              <w:bottom w:val="nil"/>
              <w:right w:val="nil"/>
            </w:tcBorders>
            <w:shd w:val="clear" w:color="auto" w:fill="auto"/>
            <w:noWrap/>
            <w:vAlign w:val="bottom"/>
          </w:tcPr>
          <w:p w14:paraId="5A834CB5" w14:textId="77777777" w:rsidR="00317112" w:rsidRDefault="00317112" w:rsidP="00C6093E">
            <w:pPr>
              <w:jc w:val="right"/>
              <w:rPr>
                <w:sz w:val="18"/>
                <w:szCs w:val="18"/>
              </w:rPr>
            </w:pPr>
            <w:r>
              <w:rPr>
                <w:sz w:val="18"/>
                <w:szCs w:val="18"/>
              </w:rPr>
              <w:t>2 498,5</w:t>
            </w:r>
          </w:p>
        </w:tc>
        <w:tc>
          <w:tcPr>
            <w:tcW w:w="1304" w:type="dxa"/>
            <w:tcBorders>
              <w:top w:val="nil"/>
              <w:left w:val="nil"/>
              <w:bottom w:val="nil"/>
              <w:right w:val="single" w:sz="8" w:space="0" w:color="auto"/>
            </w:tcBorders>
            <w:shd w:val="clear" w:color="auto" w:fill="auto"/>
            <w:noWrap/>
            <w:vAlign w:val="bottom"/>
          </w:tcPr>
          <w:p w14:paraId="7A22966A" w14:textId="77777777" w:rsidR="00317112" w:rsidRDefault="00317112" w:rsidP="00C6093E">
            <w:pPr>
              <w:jc w:val="right"/>
              <w:rPr>
                <w:sz w:val="18"/>
                <w:szCs w:val="18"/>
              </w:rPr>
            </w:pPr>
            <w:r>
              <w:rPr>
                <w:sz w:val="18"/>
                <w:szCs w:val="18"/>
              </w:rPr>
              <w:t>84,7%</w:t>
            </w:r>
          </w:p>
        </w:tc>
      </w:tr>
      <w:tr w:rsidR="00317112" w:rsidRPr="001C4B86" w14:paraId="5B3C3D28" w14:textId="77777777" w:rsidTr="00C6093E">
        <w:trPr>
          <w:trHeight w:val="165"/>
          <w:jc w:val="center"/>
        </w:trPr>
        <w:tc>
          <w:tcPr>
            <w:tcW w:w="4854" w:type="dxa"/>
            <w:tcBorders>
              <w:left w:val="single" w:sz="8" w:space="0" w:color="auto"/>
              <w:bottom w:val="single" w:sz="4" w:space="0" w:color="auto"/>
              <w:right w:val="single" w:sz="8" w:space="0" w:color="auto"/>
            </w:tcBorders>
            <w:shd w:val="clear" w:color="auto" w:fill="auto"/>
            <w:noWrap/>
            <w:vAlign w:val="bottom"/>
          </w:tcPr>
          <w:p w14:paraId="14DBC618" w14:textId="77777777" w:rsidR="00317112" w:rsidRPr="003F58F1" w:rsidRDefault="00317112" w:rsidP="00C6093E">
            <w:pPr>
              <w:rPr>
                <w:sz w:val="18"/>
                <w:szCs w:val="18"/>
              </w:rPr>
            </w:pPr>
            <w:r w:rsidRPr="003F58F1">
              <w:rPr>
                <w:sz w:val="18"/>
                <w:szCs w:val="18"/>
              </w:rPr>
              <w:t xml:space="preserve">   -Помощи и дарения</w:t>
            </w:r>
          </w:p>
        </w:tc>
        <w:tc>
          <w:tcPr>
            <w:tcW w:w="1276" w:type="dxa"/>
            <w:tcBorders>
              <w:left w:val="nil"/>
              <w:bottom w:val="single" w:sz="4" w:space="0" w:color="auto"/>
              <w:right w:val="nil"/>
            </w:tcBorders>
            <w:shd w:val="clear" w:color="auto" w:fill="auto"/>
            <w:noWrap/>
            <w:vAlign w:val="bottom"/>
          </w:tcPr>
          <w:p w14:paraId="4E4B39AB" w14:textId="77777777" w:rsidR="00317112" w:rsidRPr="003F58F1" w:rsidRDefault="00317112" w:rsidP="00C6093E">
            <w:pPr>
              <w:jc w:val="right"/>
              <w:rPr>
                <w:sz w:val="18"/>
                <w:szCs w:val="18"/>
              </w:rPr>
            </w:pPr>
            <w:r w:rsidRPr="003F58F1">
              <w:rPr>
                <w:sz w:val="18"/>
                <w:szCs w:val="18"/>
              </w:rPr>
              <w:t>0,0</w:t>
            </w:r>
          </w:p>
        </w:tc>
        <w:tc>
          <w:tcPr>
            <w:tcW w:w="1616" w:type="dxa"/>
            <w:tcBorders>
              <w:top w:val="nil"/>
              <w:left w:val="nil"/>
              <w:bottom w:val="single" w:sz="4" w:space="0" w:color="auto"/>
              <w:right w:val="nil"/>
            </w:tcBorders>
            <w:shd w:val="clear" w:color="auto" w:fill="auto"/>
            <w:noWrap/>
            <w:vAlign w:val="bottom"/>
          </w:tcPr>
          <w:p w14:paraId="36F042BE" w14:textId="77777777" w:rsidR="00317112" w:rsidRDefault="00317112" w:rsidP="00C6093E">
            <w:pPr>
              <w:jc w:val="right"/>
              <w:rPr>
                <w:sz w:val="18"/>
                <w:szCs w:val="18"/>
              </w:rPr>
            </w:pPr>
            <w:r>
              <w:rPr>
                <w:sz w:val="18"/>
                <w:szCs w:val="18"/>
              </w:rPr>
              <w:t>2,1</w:t>
            </w:r>
          </w:p>
        </w:tc>
        <w:tc>
          <w:tcPr>
            <w:tcW w:w="1304" w:type="dxa"/>
            <w:tcBorders>
              <w:top w:val="nil"/>
              <w:left w:val="nil"/>
              <w:bottom w:val="single" w:sz="4" w:space="0" w:color="auto"/>
              <w:right w:val="single" w:sz="8" w:space="0" w:color="auto"/>
            </w:tcBorders>
            <w:shd w:val="clear" w:color="auto" w:fill="auto"/>
            <w:noWrap/>
            <w:vAlign w:val="bottom"/>
          </w:tcPr>
          <w:p w14:paraId="3A3D42E6" w14:textId="77777777" w:rsidR="00317112" w:rsidRDefault="00317112" w:rsidP="00C6093E">
            <w:pPr>
              <w:jc w:val="center"/>
              <w:rPr>
                <w:sz w:val="18"/>
                <w:szCs w:val="18"/>
              </w:rPr>
            </w:pPr>
          </w:p>
        </w:tc>
      </w:tr>
      <w:tr w:rsidR="00317112" w:rsidRPr="001C4B86" w14:paraId="434C4549" w14:textId="77777777" w:rsidTr="00C6093E">
        <w:trPr>
          <w:trHeight w:val="199"/>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30BF0" w14:textId="77777777" w:rsidR="00317112" w:rsidRPr="003F58F1" w:rsidRDefault="00317112" w:rsidP="00C6093E">
            <w:pPr>
              <w:rPr>
                <w:b/>
                <w:bCs/>
                <w:sz w:val="18"/>
                <w:szCs w:val="18"/>
              </w:rPr>
            </w:pPr>
            <w:r w:rsidRPr="003F58F1">
              <w:rPr>
                <w:b/>
                <w:bCs/>
                <w:sz w:val="18"/>
                <w:szCs w:val="18"/>
              </w:rPr>
              <w:t xml:space="preserve"> Разходи, трансфери и вноска в бюджета на ЕС</w:t>
            </w:r>
          </w:p>
        </w:tc>
        <w:tc>
          <w:tcPr>
            <w:tcW w:w="1276" w:type="dxa"/>
            <w:tcBorders>
              <w:top w:val="single" w:sz="4" w:space="0" w:color="auto"/>
              <w:left w:val="nil"/>
              <w:bottom w:val="single" w:sz="4" w:space="0" w:color="auto"/>
              <w:right w:val="nil"/>
            </w:tcBorders>
            <w:shd w:val="clear" w:color="auto" w:fill="auto"/>
            <w:noWrap/>
            <w:vAlign w:val="bottom"/>
          </w:tcPr>
          <w:p w14:paraId="5CEDB8F2" w14:textId="77777777" w:rsidR="00317112" w:rsidRPr="003F58F1" w:rsidRDefault="00317112" w:rsidP="00C6093E">
            <w:pPr>
              <w:jc w:val="right"/>
              <w:rPr>
                <w:b/>
                <w:bCs/>
                <w:sz w:val="18"/>
                <w:szCs w:val="18"/>
              </w:rPr>
            </w:pPr>
            <w:r w:rsidRPr="003F58F1">
              <w:rPr>
                <w:b/>
                <w:bCs/>
                <w:sz w:val="18"/>
                <w:szCs w:val="18"/>
              </w:rPr>
              <w:t>34 568,4</w:t>
            </w:r>
          </w:p>
        </w:tc>
        <w:tc>
          <w:tcPr>
            <w:tcW w:w="1616" w:type="dxa"/>
            <w:tcBorders>
              <w:top w:val="single" w:sz="4" w:space="0" w:color="auto"/>
              <w:left w:val="nil"/>
              <w:bottom w:val="single" w:sz="4" w:space="0" w:color="auto"/>
              <w:right w:val="nil"/>
            </w:tcBorders>
            <w:shd w:val="clear" w:color="auto" w:fill="auto"/>
            <w:noWrap/>
            <w:vAlign w:val="bottom"/>
          </w:tcPr>
          <w:p w14:paraId="26DD160D" w14:textId="77777777" w:rsidR="00317112" w:rsidRDefault="00317112" w:rsidP="00C6093E">
            <w:pPr>
              <w:jc w:val="right"/>
              <w:rPr>
                <w:b/>
                <w:bCs/>
                <w:sz w:val="18"/>
                <w:szCs w:val="18"/>
              </w:rPr>
            </w:pPr>
            <w:r>
              <w:rPr>
                <w:b/>
                <w:bCs/>
                <w:sz w:val="18"/>
                <w:szCs w:val="18"/>
              </w:rPr>
              <w:t>22 138,2</w:t>
            </w:r>
          </w:p>
        </w:tc>
        <w:tc>
          <w:tcPr>
            <w:tcW w:w="1304" w:type="dxa"/>
            <w:tcBorders>
              <w:top w:val="single" w:sz="4" w:space="0" w:color="auto"/>
              <w:left w:val="nil"/>
              <w:bottom w:val="single" w:sz="4" w:space="0" w:color="auto"/>
              <w:right w:val="single" w:sz="8" w:space="0" w:color="auto"/>
            </w:tcBorders>
            <w:shd w:val="clear" w:color="auto" w:fill="auto"/>
            <w:noWrap/>
            <w:vAlign w:val="bottom"/>
          </w:tcPr>
          <w:p w14:paraId="0AA3A70D" w14:textId="77777777" w:rsidR="00317112" w:rsidRDefault="00317112" w:rsidP="00C6093E">
            <w:pPr>
              <w:jc w:val="right"/>
              <w:rPr>
                <w:b/>
                <w:bCs/>
                <w:sz w:val="18"/>
                <w:szCs w:val="18"/>
              </w:rPr>
            </w:pPr>
            <w:r>
              <w:rPr>
                <w:b/>
                <w:bCs/>
                <w:sz w:val="18"/>
                <w:szCs w:val="18"/>
              </w:rPr>
              <w:t>64,0%</w:t>
            </w:r>
          </w:p>
        </w:tc>
      </w:tr>
      <w:tr w:rsidR="00317112" w:rsidRPr="001C4B86" w14:paraId="62CB0718" w14:textId="77777777" w:rsidTr="00C6093E">
        <w:trPr>
          <w:trHeight w:val="101"/>
          <w:jc w:val="center"/>
        </w:trPr>
        <w:tc>
          <w:tcPr>
            <w:tcW w:w="4854" w:type="dxa"/>
            <w:tcBorders>
              <w:top w:val="single" w:sz="4" w:space="0" w:color="auto"/>
              <w:left w:val="single" w:sz="4" w:space="0" w:color="auto"/>
              <w:bottom w:val="nil"/>
              <w:right w:val="single" w:sz="4" w:space="0" w:color="auto"/>
            </w:tcBorders>
            <w:shd w:val="clear" w:color="auto" w:fill="auto"/>
            <w:noWrap/>
            <w:vAlign w:val="bottom"/>
          </w:tcPr>
          <w:p w14:paraId="600AD7C3" w14:textId="77777777" w:rsidR="00317112" w:rsidRPr="003F58F1" w:rsidRDefault="00317112" w:rsidP="00C6093E">
            <w:pPr>
              <w:rPr>
                <w:b/>
                <w:i/>
                <w:sz w:val="18"/>
                <w:szCs w:val="18"/>
              </w:rPr>
            </w:pPr>
            <w:r w:rsidRPr="003F58F1">
              <w:rPr>
                <w:b/>
                <w:i/>
                <w:sz w:val="18"/>
                <w:szCs w:val="18"/>
              </w:rPr>
              <w:t xml:space="preserve">   -Нелихвени разходи</w:t>
            </w:r>
          </w:p>
        </w:tc>
        <w:tc>
          <w:tcPr>
            <w:tcW w:w="1276" w:type="dxa"/>
            <w:tcBorders>
              <w:top w:val="single" w:sz="4" w:space="0" w:color="auto"/>
              <w:left w:val="nil"/>
              <w:bottom w:val="nil"/>
              <w:right w:val="nil"/>
            </w:tcBorders>
            <w:shd w:val="clear" w:color="auto" w:fill="auto"/>
            <w:noWrap/>
            <w:vAlign w:val="bottom"/>
          </w:tcPr>
          <w:p w14:paraId="1B04304E" w14:textId="77777777" w:rsidR="00317112" w:rsidRPr="003F58F1" w:rsidRDefault="00317112" w:rsidP="00C6093E">
            <w:pPr>
              <w:jc w:val="right"/>
              <w:rPr>
                <w:sz w:val="18"/>
                <w:szCs w:val="18"/>
              </w:rPr>
            </w:pPr>
            <w:r w:rsidRPr="003F58F1">
              <w:rPr>
                <w:sz w:val="18"/>
                <w:szCs w:val="18"/>
              </w:rPr>
              <w:t>15 154,5</w:t>
            </w:r>
          </w:p>
        </w:tc>
        <w:tc>
          <w:tcPr>
            <w:tcW w:w="1616" w:type="dxa"/>
            <w:tcBorders>
              <w:top w:val="single" w:sz="4" w:space="0" w:color="auto"/>
              <w:left w:val="nil"/>
              <w:bottom w:val="nil"/>
              <w:right w:val="nil"/>
            </w:tcBorders>
            <w:shd w:val="clear" w:color="auto" w:fill="auto"/>
            <w:noWrap/>
            <w:vAlign w:val="bottom"/>
          </w:tcPr>
          <w:p w14:paraId="0ABDD95C" w14:textId="77777777" w:rsidR="00317112" w:rsidRDefault="00317112" w:rsidP="00C6093E">
            <w:pPr>
              <w:jc w:val="right"/>
              <w:rPr>
                <w:sz w:val="18"/>
                <w:szCs w:val="18"/>
              </w:rPr>
            </w:pPr>
            <w:r>
              <w:rPr>
                <w:sz w:val="18"/>
                <w:szCs w:val="18"/>
              </w:rPr>
              <w:t>8 323,6</w:t>
            </w:r>
          </w:p>
        </w:tc>
        <w:tc>
          <w:tcPr>
            <w:tcW w:w="1304" w:type="dxa"/>
            <w:tcBorders>
              <w:top w:val="single" w:sz="4" w:space="0" w:color="auto"/>
              <w:left w:val="nil"/>
              <w:bottom w:val="nil"/>
              <w:right w:val="single" w:sz="8" w:space="0" w:color="auto"/>
            </w:tcBorders>
            <w:shd w:val="clear" w:color="auto" w:fill="auto"/>
            <w:noWrap/>
            <w:vAlign w:val="bottom"/>
          </w:tcPr>
          <w:p w14:paraId="30485AAA" w14:textId="77777777" w:rsidR="00317112" w:rsidRDefault="00317112" w:rsidP="00C6093E">
            <w:pPr>
              <w:jc w:val="right"/>
              <w:rPr>
                <w:sz w:val="18"/>
                <w:szCs w:val="18"/>
              </w:rPr>
            </w:pPr>
            <w:r>
              <w:rPr>
                <w:sz w:val="18"/>
                <w:szCs w:val="18"/>
              </w:rPr>
              <w:t>54,9%</w:t>
            </w:r>
          </w:p>
        </w:tc>
      </w:tr>
      <w:tr w:rsidR="00317112" w:rsidRPr="001C4B86" w14:paraId="3A67B9DB" w14:textId="77777777" w:rsidTr="00C6093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21DC0DAB" w14:textId="77777777" w:rsidR="00317112" w:rsidRPr="003F58F1" w:rsidRDefault="00317112" w:rsidP="00C6093E">
            <w:pPr>
              <w:rPr>
                <w:sz w:val="18"/>
                <w:szCs w:val="18"/>
              </w:rPr>
            </w:pPr>
            <w:r w:rsidRPr="003F58F1">
              <w:rPr>
                <w:sz w:val="18"/>
                <w:szCs w:val="18"/>
              </w:rPr>
              <w:t xml:space="preserve">      Текущи </w:t>
            </w:r>
          </w:p>
        </w:tc>
        <w:tc>
          <w:tcPr>
            <w:tcW w:w="1276" w:type="dxa"/>
            <w:tcBorders>
              <w:top w:val="nil"/>
              <w:left w:val="nil"/>
              <w:bottom w:val="nil"/>
              <w:right w:val="nil"/>
            </w:tcBorders>
            <w:shd w:val="clear" w:color="auto" w:fill="auto"/>
            <w:noWrap/>
            <w:vAlign w:val="bottom"/>
          </w:tcPr>
          <w:p w14:paraId="12052CD2" w14:textId="77777777" w:rsidR="00317112" w:rsidRPr="003F58F1" w:rsidRDefault="00317112" w:rsidP="00C6093E">
            <w:pPr>
              <w:jc w:val="right"/>
              <w:rPr>
                <w:sz w:val="18"/>
                <w:szCs w:val="18"/>
              </w:rPr>
            </w:pPr>
            <w:r w:rsidRPr="003F58F1">
              <w:rPr>
                <w:sz w:val="18"/>
                <w:szCs w:val="18"/>
              </w:rPr>
              <w:t>12 675,6</w:t>
            </w:r>
          </w:p>
        </w:tc>
        <w:tc>
          <w:tcPr>
            <w:tcW w:w="1616" w:type="dxa"/>
            <w:tcBorders>
              <w:top w:val="nil"/>
              <w:left w:val="nil"/>
              <w:bottom w:val="nil"/>
              <w:right w:val="nil"/>
            </w:tcBorders>
            <w:shd w:val="clear" w:color="auto" w:fill="auto"/>
            <w:noWrap/>
            <w:vAlign w:val="bottom"/>
          </w:tcPr>
          <w:p w14:paraId="6B9523A4" w14:textId="77777777" w:rsidR="00317112" w:rsidRDefault="00317112" w:rsidP="00C6093E">
            <w:pPr>
              <w:jc w:val="right"/>
              <w:rPr>
                <w:sz w:val="18"/>
                <w:szCs w:val="18"/>
              </w:rPr>
            </w:pPr>
            <w:r>
              <w:rPr>
                <w:sz w:val="18"/>
                <w:szCs w:val="18"/>
              </w:rPr>
              <w:t>8 142,0</w:t>
            </w:r>
          </w:p>
        </w:tc>
        <w:tc>
          <w:tcPr>
            <w:tcW w:w="1304" w:type="dxa"/>
            <w:tcBorders>
              <w:top w:val="nil"/>
              <w:left w:val="nil"/>
              <w:bottom w:val="nil"/>
              <w:right w:val="single" w:sz="8" w:space="0" w:color="auto"/>
            </w:tcBorders>
            <w:shd w:val="clear" w:color="auto" w:fill="auto"/>
            <w:noWrap/>
            <w:vAlign w:val="bottom"/>
          </w:tcPr>
          <w:p w14:paraId="538542FD" w14:textId="77777777" w:rsidR="00317112" w:rsidRDefault="00317112" w:rsidP="00C6093E">
            <w:pPr>
              <w:jc w:val="right"/>
              <w:rPr>
                <w:sz w:val="18"/>
                <w:szCs w:val="18"/>
              </w:rPr>
            </w:pPr>
            <w:r>
              <w:rPr>
                <w:sz w:val="18"/>
                <w:szCs w:val="18"/>
              </w:rPr>
              <w:t>64,2%</w:t>
            </w:r>
          </w:p>
        </w:tc>
      </w:tr>
      <w:tr w:rsidR="00317112" w:rsidRPr="001C4B86" w14:paraId="227A089F" w14:textId="77777777" w:rsidTr="00C6093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851C726" w14:textId="77777777" w:rsidR="00317112" w:rsidRPr="003F58F1" w:rsidRDefault="00317112" w:rsidP="00C6093E">
            <w:pPr>
              <w:rPr>
                <w:sz w:val="18"/>
                <w:szCs w:val="18"/>
              </w:rPr>
            </w:pPr>
            <w:r w:rsidRPr="003F58F1">
              <w:rPr>
                <w:sz w:val="18"/>
                <w:szCs w:val="18"/>
              </w:rPr>
              <w:t xml:space="preserve">      Предоставени тек. и капит. трансфери за чужбина</w:t>
            </w:r>
          </w:p>
        </w:tc>
        <w:tc>
          <w:tcPr>
            <w:tcW w:w="1276" w:type="dxa"/>
            <w:tcBorders>
              <w:top w:val="nil"/>
              <w:left w:val="nil"/>
              <w:bottom w:val="nil"/>
              <w:right w:val="nil"/>
            </w:tcBorders>
            <w:shd w:val="clear" w:color="auto" w:fill="auto"/>
            <w:noWrap/>
            <w:vAlign w:val="bottom"/>
          </w:tcPr>
          <w:p w14:paraId="3451C64F" w14:textId="77777777" w:rsidR="00317112" w:rsidRPr="003F58F1" w:rsidRDefault="00317112" w:rsidP="00C6093E">
            <w:pPr>
              <w:jc w:val="right"/>
              <w:rPr>
                <w:sz w:val="18"/>
                <w:szCs w:val="18"/>
              </w:rPr>
            </w:pPr>
            <w:r w:rsidRPr="003F58F1">
              <w:rPr>
                <w:sz w:val="18"/>
                <w:szCs w:val="18"/>
              </w:rPr>
              <w:t>18,0</w:t>
            </w:r>
          </w:p>
        </w:tc>
        <w:tc>
          <w:tcPr>
            <w:tcW w:w="1616" w:type="dxa"/>
            <w:tcBorders>
              <w:top w:val="nil"/>
              <w:left w:val="nil"/>
              <w:bottom w:val="nil"/>
              <w:right w:val="nil"/>
            </w:tcBorders>
            <w:shd w:val="clear" w:color="auto" w:fill="auto"/>
            <w:noWrap/>
            <w:vAlign w:val="bottom"/>
          </w:tcPr>
          <w:p w14:paraId="4031A5CE" w14:textId="77777777" w:rsidR="00317112" w:rsidRDefault="00317112" w:rsidP="00C6093E">
            <w:pPr>
              <w:jc w:val="right"/>
              <w:rPr>
                <w:sz w:val="18"/>
                <w:szCs w:val="18"/>
              </w:rPr>
            </w:pPr>
            <w:r>
              <w:rPr>
                <w:sz w:val="18"/>
                <w:szCs w:val="18"/>
              </w:rPr>
              <w:t>10,5</w:t>
            </w:r>
          </w:p>
        </w:tc>
        <w:tc>
          <w:tcPr>
            <w:tcW w:w="1304" w:type="dxa"/>
            <w:tcBorders>
              <w:top w:val="nil"/>
              <w:left w:val="nil"/>
              <w:bottom w:val="nil"/>
              <w:right w:val="single" w:sz="8" w:space="0" w:color="auto"/>
            </w:tcBorders>
            <w:shd w:val="clear" w:color="auto" w:fill="auto"/>
            <w:noWrap/>
            <w:vAlign w:val="bottom"/>
          </w:tcPr>
          <w:p w14:paraId="4BB2B942" w14:textId="77777777" w:rsidR="00317112" w:rsidRDefault="00317112" w:rsidP="00C6093E">
            <w:pPr>
              <w:jc w:val="right"/>
              <w:rPr>
                <w:sz w:val="18"/>
                <w:szCs w:val="18"/>
              </w:rPr>
            </w:pPr>
            <w:r>
              <w:rPr>
                <w:sz w:val="18"/>
                <w:szCs w:val="18"/>
              </w:rPr>
              <w:t>58,1%</w:t>
            </w:r>
          </w:p>
        </w:tc>
      </w:tr>
      <w:tr w:rsidR="00317112" w:rsidRPr="001C4B86" w14:paraId="3DDF4A6B" w14:textId="77777777" w:rsidTr="00C6093E">
        <w:trPr>
          <w:trHeight w:val="179"/>
          <w:jc w:val="center"/>
        </w:trPr>
        <w:tc>
          <w:tcPr>
            <w:tcW w:w="4854" w:type="dxa"/>
            <w:tcBorders>
              <w:top w:val="nil"/>
              <w:left w:val="single" w:sz="4" w:space="0" w:color="auto"/>
              <w:bottom w:val="nil"/>
              <w:right w:val="single" w:sz="4" w:space="0" w:color="auto"/>
            </w:tcBorders>
            <w:shd w:val="clear" w:color="auto" w:fill="auto"/>
            <w:noWrap/>
            <w:vAlign w:val="bottom"/>
          </w:tcPr>
          <w:p w14:paraId="3EA987F7" w14:textId="77777777" w:rsidR="00317112" w:rsidRPr="003F58F1" w:rsidRDefault="00317112" w:rsidP="00C6093E">
            <w:pPr>
              <w:rPr>
                <w:sz w:val="18"/>
                <w:szCs w:val="18"/>
              </w:rPr>
            </w:pPr>
            <w:r w:rsidRPr="003F58F1">
              <w:rPr>
                <w:sz w:val="18"/>
                <w:szCs w:val="18"/>
              </w:rPr>
              <w:t xml:space="preserve">      Капиталови</w:t>
            </w:r>
          </w:p>
        </w:tc>
        <w:tc>
          <w:tcPr>
            <w:tcW w:w="1276" w:type="dxa"/>
            <w:tcBorders>
              <w:top w:val="nil"/>
              <w:left w:val="nil"/>
              <w:bottom w:val="nil"/>
              <w:right w:val="nil"/>
            </w:tcBorders>
            <w:shd w:val="clear" w:color="auto" w:fill="auto"/>
            <w:noWrap/>
            <w:vAlign w:val="bottom"/>
          </w:tcPr>
          <w:p w14:paraId="08D1DE28" w14:textId="77777777" w:rsidR="00317112" w:rsidRPr="003F58F1" w:rsidRDefault="00317112" w:rsidP="00C6093E">
            <w:pPr>
              <w:jc w:val="right"/>
              <w:rPr>
                <w:sz w:val="18"/>
                <w:szCs w:val="18"/>
              </w:rPr>
            </w:pPr>
            <w:r w:rsidRPr="003F58F1">
              <w:rPr>
                <w:sz w:val="18"/>
                <w:szCs w:val="18"/>
              </w:rPr>
              <w:t>2 460,9</w:t>
            </w:r>
          </w:p>
        </w:tc>
        <w:tc>
          <w:tcPr>
            <w:tcW w:w="1616" w:type="dxa"/>
            <w:tcBorders>
              <w:top w:val="nil"/>
              <w:left w:val="nil"/>
              <w:bottom w:val="nil"/>
              <w:right w:val="nil"/>
            </w:tcBorders>
            <w:shd w:val="clear" w:color="auto" w:fill="auto"/>
            <w:noWrap/>
            <w:vAlign w:val="bottom"/>
          </w:tcPr>
          <w:p w14:paraId="76446CAF" w14:textId="77777777" w:rsidR="00317112" w:rsidRDefault="00317112" w:rsidP="00C6093E">
            <w:pPr>
              <w:jc w:val="right"/>
              <w:rPr>
                <w:sz w:val="18"/>
                <w:szCs w:val="18"/>
              </w:rPr>
            </w:pPr>
            <w:r>
              <w:rPr>
                <w:sz w:val="18"/>
                <w:szCs w:val="18"/>
              </w:rPr>
              <w:t>171,2</w:t>
            </w:r>
          </w:p>
        </w:tc>
        <w:tc>
          <w:tcPr>
            <w:tcW w:w="1304" w:type="dxa"/>
            <w:tcBorders>
              <w:top w:val="nil"/>
              <w:left w:val="nil"/>
              <w:bottom w:val="nil"/>
              <w:right w:val="single" w:sz="8" w:space="0" w:color="auto"/>
            </w:tcBorders>
            <w:shd w:val="clear" w:color="auto" w:fill="auto"/>
            <w:noWrap/>
            <w:vAlign w:val="bottom"/>
          </w:tcPr>
          <w:p w14:paraId="3A0A72B5" w14:textId="77777777" w:rsidR="00317112" w:rsidRDefault="00317112" w:rsidP="00C6093E">
            <w:pPr>
              <w:jc w:val="right"/>
              <w:rPr>
                <w:sz w:val="18"/>
                <w:szCs w:val="18"/>
              </w:rPr>
            </w:pPr>
            <w:r>
              <w:rPr>
                <w:sz w:val="18"/>
                <w:szCs w:val="18"/>
              </w:rPr>
              <w:t>7,0%</w:t>
            </w:r>
          </w:p>
        </w:tc>
      </w:tr>
      <w:tr w:rsidR="00317112" w:rsidRPr="001C4B86" w14:paraId="7566F83B" w14:textId="77777777" w:rsidTr="00C6093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3A36BB58" w14:textId="77777777" w:rsidR="00317112" w:rsidRPr="003F58F1" w:rsidRDefault="00317112" w:rsidP="00C6093E">
            <w:pPr>
              <w:rPr>
                <w:b/>
                <w:i/>
                <w:sz w:val="18"/>
                <w:szCs w:val="18"/>
              </w:rPr>
            </w:pPr>
            <w:r w:rsidRPr="003F58F1">
              <w:rPr>
                <w:b/>
                <w:i/>
                <w:sz w:val="18"/>
                <w:szCs w:val="18"/>
              </w:rPr>
              <w:t xml:space="preserve">   -Лихви</w:t>
            </w:r>
          </w:p>
        </w:tc>
        <w:tc>
          <w:tcPr>
            <w:tcW w:w="1276" w:type="dxa"/>
            <w:tcBorders>
              <w:top w:val="nil"/>
              <w:left w:val="nil"/>
              <w:bottom w:val="nil"/>
              <w:right w:val="nil"/>
            </w:tcBorders>
            <w:shd w:val="clear" w:color="auto" w:fill="auto"/>
            <w:noWrap/>
            <w:vAlign w:val="bottom"/>
          </w:tcPr>
          <w:p w14:paraId="60BDFBF4" w14:textId="77777777" w:rsidR="00317112" w:rsidRPr="003F58F1" w:rsidRDefault="00317112" w:rsidP="00C6093E">
            <w:pPr>
              <w:jc w:val="right"/>
              <w:rPr>
                <w:sz w:val="18"/>
                <w:szCs w:val="18"/>
              </w:rPr>
            </w:pPr>
            <w:r w:rsidRPr="003F58F1">
              <w:rPr>
                <w:sz w:val="18"/>
                <w:szCs w:val="18"/>
              </w:rPr>
              <w:t>622,6</w:t>
            </w:r>
          </w:p>
        </w:tc>
        <w:tc>
          <w:tcPr>
            <w:tcW w:w="1616" w:type="dxa"/>
            <w:tcBorders>
              <w:top w:val="nil"/>
              <w:left w:val="nil"/>
              <w:bottom w:val="nil"/>
              <w:right w:val="nil"/>
            </w:tcBorders>
            <w:shd w:val="clear" w:color="auto" w:fill="auto"/>
            <w:noWrap/>
            <w:vAlign w:val="bottom"/>
          </w:tcPr>
          <w:p w14:paraId="7377A970" w14:textId="77777777" w:rsidR="00317112" w:rsidRDefault="00317112" w:rsidP="00C6093E">
            <w:pPr>
              <w:jc w:val="right"/>
              <w:rPr>
                <w:sz w:val="18"/>
                <w:szCs w:val="18"/>
              </w:rPr>
            </w:pPr>
            <w:r>
              <w:rPr>
                <w:sz w:val="18"/>
                <w:szCs w:val="18"/>
              </w:rPr>
              <w:t>522,8</w:t>
            </w:r>
          </w:p>
        </w:tc>
        <w:tc>
          <w:tcPr>
            <w:tcW w:w="1304" w:type="dxa"/>
            <w:tcBorders>
              <w:top w:val="nil"/>
              <w:left w:val="nil"/>
              <w:bottom w:val="nil"/>
              <w:right w:val="single" w:sz="8" w:space="0" w:color="auto"/>
            </w:tcBorders>
            <w:shd w:val="clear" w:color="auto" w:fill="auto"/>
            <w:noWrap/>
            <w:vAlign w:val="bottom"/>
          </w:tcPr>
          <w:p w14:paraId="50AC19CF" w14:textId="77777777" w:rsidR="00317112" w:rsidRDefault="00317112" w:rsidP="00C6093E">
            <w:pPr>
              <w:jc w:val="right"/>
              <w:rPr>
                <w:sz w:val="18"/>
                <w:szCs w:val="18"/>
              </w:rPr>
            </w:pPr>
            <w:r>
              <w:rPr>
                <w:sz w:val="18"/>
                <w:szCs w:val="18"/>
              </w:rPr>
              <w:t>84,0%</w:t>
            </w:r>
          </w:p>
        </w:tc>
      </w:tr>
      <w:tr w:rsidR="00317112" w:rsidRPr="001C4B86" w14:paraId="6EA67D6D" w14:textId="77777777" w:rsidTr="00C6093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A4DEE11" w14:textId="77777777" w:rsidR="00317112" w:rsidRPr="003F58F1" w:rsidRDefault="00317112" w:rsidP="00C6093E">
            <w:pPr>
              <w:rPr>
                <w:sz w:val="18"/>
                <w:szCs w:val="18"/>
              </w:rPr>
            </w:pPr>
            <w:r w:rsidRPr="003F58F1">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14:paraId="6AB2B4C0" w14:textId="77777777" w:rsidR="00317112" w:rsidRPr="003F58F1" w:rsidRDefault="00317112" w:rsidP="00C6093E">
            <w:pPr>
              <w:jc w:val="right"/>
              <w:rPr>
                <w:sz w:val="18"/>
                <w:szCs w:val="18"/>
              </w:rPr>
            </w:pPr>
            <w:r w:rsidRPr="003F58F1">
              <w:rPr>
                <w:sz w:val="18"/>
                <w:szCs w:val="18"/>
              </w:rPr>
              <w:t>472,4</w:t>
            </w:r>
          </w:p>
        </w:tc>
        <w:tc>
          <w:tcPr>
            <w:tcW w:w="1616" w:type="dxa"/>
            <w:tcBorders>
              <w:top w:val="nil"/>
              <w:left w:val="nil"/>
              <w:bottom w:val="nil"/>
              <w:right w:val="nil"/>
            </w:tcBorders>
            <w:shd w:val="clear" w:color="auto" w:fill="auto"/>
            <w:noWrap/>
            <w:vAlign w:val="bottom"/>
          </w:tcPr>
          <w:p w14:paraId="64CD1AE4" w14:textId="77777777" w:rsidR="00317112" w:rsidRDefault="00317112" w:rsidP="00C6093E">
            <w:pPr>
              <w:jc w:val="right"/>
              <w:rPr>
                <w:sz w:val="18"/>
                <w:szCs w:val="18"/>
              </w:rPr>
            </w:pPr>
            <w:r>
              <w:rPr>
                <w:sz w:val="18"/>
                <w:szCs w:val="18"/>
              </w:rPr>
              <w:t>401,6</w:t>
            </w:r>
          </w:p>
        </w:tc>
        <w:tc>
          <w:tcPr>
            <w:tcW w:w="1304" w:type="dxa"/>
            <w:tcBorders>
              <w:top w:val="nil"/>
              <w:left w:val="nil"/>
              <w:bottom w:val="nil"/>
              <w:right w:val="single" w:sz="8" w:space="0" w:color="auto"/>
            </w:tcBorders>
            <w:shd w:val="clear" w:color="auto" w:fill="auto"/>
            <w:noWrap/>
            <w:vAlign w:val="bottom"/>
          </w:tcPr>
          <w:p w14:paraId="2B8D814F" w14:textId="77777777" w:rsidR="00317112" w:rsidRDefault="00317112" w:rsidP="00C6093E">
            <w:pPr>
              <w:jc w:val="right"/>
              <w:rPr>
                <w:sz w:val="18"/>
                <w:szCs w:val="18"/>
              </w:rPr>
            </w:pPr>
            <w:r>
              <w:rPr>
                <w:sz w:val="18"/>
                <w:szCs w:val="18"/>
              </w:rPr>
              <w:t>85,0%</w:t>
            </w:r>
          </w:p>
        </w:tc>
      </w:tr>
      <w:tr w:rsidR="00317112" w:rsidRPr="001C4B86" w14:paraId="10B47529" w14:textId="77777777" w:rsidTr="00C6093E">
        <w:trPr>
          <w:trHeight w:val="80"/>
          <w:jc w:val="center"/>
        </w:trPr>
        <w:tc>
          <w:tcPr>
            <w:tcW w:w="4854" w:type="dxa"/>
            <w:tcBorders>
              <w:top w:val="nil"/>
              <w:left w:val="single" w:sz="4" w:space="0" w:color="auto"/>
              <w:bottom w:val="nil"/>
              <w:right w:val="single" w:sz="4" w:space="0" w:color="auto"/>
            </w:tcBorders>
            <w:shd w:val="clear" w:color="auto" w:fill="auto"/>
            <w:noWrap/>
            <w:vAlign w:val="bottom"/>
          </w:tcPr>
          <w:p w14:paraId="0426B49D" w14:textId="77777777" w:rsidR="00317112" w:rsidRPr="003F58F1" w:rsidRDefault="00317112" w:rsidP="00C6093E">
            <w:pPr>
              <w:rPr>
                <w:sz w:val="18"/>
                <w:szCs w:val="18"/>
              </w:rPr>
            </w:pPr>
            <w:r w:rsidRPr="003F58F1">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14:paraId="5BEBA1CE" w14:textId="77777777" w:rsidR="00317112" w:rsidRPr="003F58F1" w:rsidRDefault="00317112" w:rsidP="00C6093E">
            <w:pPr>
              <w:jc w:val="right"/>
              <w:rPr>
                <w:sz w:val="18"/>
                <w:szCs w:val="18"/>
              </w:rPr>
            </w:pPr>
            <w:r w:rsidRPr="003F58F1">
              <w:rPr>
                <w:sz w:val="18"/>
                <w:szCs w:val="18"/>
              </w:rPr>
              <w:t>150,3</w:t>
            </w:r>
          </w:p>
        </w:tc>
        <w:tc>
          <w:tcPr>
            <w:tcW w:w="1616" w:type="dxa"/>
            <w:tcBorders>
              <w:top w:val="nil"/>
              <w:left w:val="nil"/>
              <w:bottom w:val="nil"/>
              <w:right w:val="nil"/>
            </w:tcBorders>
            <w:shd w:val="clear" w:color="auto" w:fill="auto"/>
            <w:noWrap/>
            <w:vAlign w:val="bottom"/>
          </w:tcPr>
          <w:p w14:paraId="79AB5391" w14:textId="77777777" w:rsidR="00317112" w:rsidRDefault="00317112" w:rsidP="00C6093E">
            <w:pPr>
              <w:jc w:val="right"/>
              <w:rPr>
                <w:sz w:val="18"/>
                <w:szCs w:val="18"/>
              </w:rPr>
            </w:pPr>
            <w:r>
              <w:rPr>
                <w:sz w:val="18"/>
                <w:szCs w:val="18"/>
              </w:rPr>
              <w:t>121,2</w:t>
            </w:r>
          </w:p>
        </w:tc>
        <w:tc>
          <w:tcPr>
            <w:tcW w:w="1304" w:type="dxa"/>
            <w:tcBorders>
              <w:top w:val="nil"/>
              <w:left w:val="nil"/>
              <w:bottom w:val="nil"/>
              <w:right w:val="single" w:sz="8" w:space="0" w:color="auto"/>
            </w:tcBorders>
            <w:shd w:val="clear" w:color="auto" w:fill="auto"/>
            <w:noWrap/>
            <w:vAlign w:val="bottom"/>
          </w:tcPr>
          <w:p w14:paraId="3CB1EBEB" w14:textId="77777777" w:rsidR="00317112" w:rsidRDefault="00317112" w:rsidP="00C6093E">
            <w:pPr>
              <w:jc w:val="right"/>
              <w:rPr>
                <w:sz w:val="18"/>
                <w:szCs w:val="18"/>
              </w:rPr>
            </w:pPr>
            <w:r>
              <w:rPr>
                <w:sz w:val="18"/>
                <w:szCs w:val="18"/>
              </w:rPr>
              <w:t>80,6%</w:t>
            </w:r>
          </w:p>
        </w:tc>
      </w:tr>
      <w:tr w:rsidR="00317112" w:rsidRPr="001C4B86" w14:paraId="6A2728DC" w14:textId="77777777" w:rsidTr="00C6093E">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75FF50C0" w14:textId="77777777" w:rsidR="00317112" w:rsidRPr="003F58F1" w:rsidRDefault="00317112" w:rsidP="00C6093E">
            <w:pPr>
              <w:rPr>
                <w:b/>
                <w:i/>
                <w:sz w:val="18"/>
                <w:szCs w:val="18"/>
              </w:rPr>
            </w:pPr>
            <w:r w:rsidRPr="003F58F1">
              <w:rPr>
                <w:b/>
                <w:i/>
                <w:sz w:val="18"/>
                <w:szCs w:val="18"/>
              </w:rPr>
              <w:t xml:space="preserve"> - Резерв за непредвидени и неотложни разходи</w:t>
            </w:r>
            <w:r w:rsidRPr="003F58F1">
              <w:rPr>
                <w:rStyle w:val="FootnoteReference"/>
              </w:rPr>
              <w:footnoteReference w:id="9"/>
            </w:r>
            <w:r w:rsidRPr="003F58F1">
              <w:rPr>
                <w:b/>
                <w:i/>
                <w:sz w:val="18"/>
                <w:szCs w:val="18"/>
              </w:rPr>
              <w:tab/>
            </w:r>
          </w:p>
        </w:tc>
        <w:tc>
          <w:tcPr>
            <w:tcW w:w="1276" w:type="dxa"/>
            <w:tcBorders>
              <w:top w:val="nil"/>
              <w:left w:val="nil"/>
              <w:bottom w:val="nil"/>
              <w:right w:val="nil"/>
            </w:tcBorders>
            <w:shd w:val="clear" w:color="auto" w:fill="auto"/>
            <w:noWrap/>
            <w:vAlign w:val="bottom"/>
          </w:tcPr>
          <w:p w14:paraId="5EC9D20E" w14:textId="77777777" w:rsidR="00317112" w:rsidRPr="003F58F1" w:rsidRDefault="00317112" w:rsidP="00C6093E">
            <w:pPr>
              <w:jc w:val="right"/>
              <w:rPr>
                <w:sz w:val="18"/>
                <w:szCs w:val="18"/>
              </w:rPr>
            </w:pPr>
            <w:r w:rsidRPr="003F58F1">
              <w:rPr>
                <w:sz w:val="18"/>
                <w:szCs w:val="18"/>
              </w:rPr>
              <w:t>1 796,2</w:t>
            </w:r>
          </w:p>
        </w:tc>
        <w:tc>
          <w:tcPr>
            <w:tcW w:w="1616" w:type="dxa"/>
            <w:tcBorders>
              <w:top w:val="nil"/>
              <w:left w:val="nil"/>
              <w:bottom w:val="nil"/>
              <w:right w:val="nil"/>
            </w:tcBorders>
            <w:shd w:val="clear" w:color="auto" w:fill="auto"/>
            <w:noWrap/>
            <w:vAlign w:val="bottom"/>
          </w:tcPr>
          <w:p w14:paraId="7F8C4A1C" w14:textId="77777777" w:rsidR="00317112" w:rsidRDefault="00317112" w:rsidP="00C6093E">
            <w:pPr>
              <w:jc w:val="right"/>
              <w:rPr>
                <w:sz w:val="18"/>
                <w:szCs w:val="18"/>
              </w:rPr>
            </w:pPr>
          </w:p>
        </w:tc>
        <w:tc>
          <w:tcPr>
            <w:tcW w:w="1304" w:type="dxa"/>
            <w:tcBorders>
              <w:top w:val="nil"/>
              <w:left w:val="nil"/>
              <w:bottom w:val="nil"/>
              <w:right w:val="single" w:sz="8" w:space="0" w:color="auto"/>
            </w:tcBorders>
            <w:shd w:val="clear" w:color="auto" w:fill="auto"/>
            <w:noWrap/>
            <w:vAlign w:val="bottom"/>
          </w:tcPr>
          <w:p w14:paraId="44040B02" w14:textId="77777777" w:rsidR="00317112" w:rsidRDefault="00317112" w:rsidP="00C6093E">
            <w:pPr>
              <w:jc w:val="right"/>
              <w:rPr>
                <w:sz w:val="18"/>
                <w:szCs w:val="18"/>
              </w:rPr>
            </w:pPr>
          </w:p>
        </w:tc>
      </w:tr>
      <w:tr w:rsidR="00317112" w:rsidRPr="001C4B86" w14:paraId="1C982205" w14:textId="77777777" w:rsidTr="00C6093E">
        <w:trPr>
          <w:trHeight w:val="85"/>
          <w:jc w:val="center"/>
        </w:trPr>
        <w:tc>
          <w:tcPr>
            <w:tcW w:w="4854" w:type="dxa"/>
            <w:tcBorders>
              <w:top w:val="nil"/>
              <w:left w:val="single" w:sz="4" w:space="0" w:color="auto"/>
              <w:bottom w:val="nil"/>
              <w:right w:val="single" w:sz="4" w:space="0" w:color="auto"/>
            </w:tcBorders>
            <w:shd w:val="clear" w:color="auto" w:fill="auto"/>
            <w:noWrap/>
            <w:vAlign w:val="bottom"/>
          </w:tcPr>
          <w:p w14:paraId="7B5777A7" w14:textId="77777777" w:rsidR="00317112" w:rsidRPr="003F58F1" w:rsidRDefault="00317112" w:rsidP="00C6093E">
            <w:pPr>
              <w:rPr>
                <w:b/>
                <w:i/>
                <w:sz w:val="18"/>
                <w:szCs w:val="18"/>
              </w:rPr>
            </w:pPr>
            <w:r w:rsidRPr="003F58F1">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14:paraId="65964BE9" w14:textId="77777777" w:rsidR="00317112" w:rsidRPr="003F58F1" w:rsidRDefault="00317112" w:rsidP="00C6093E">
            <w:pPr>
              <w:jc w:val="right"/>
              <w:rPr>
                <w:sz w:val="18"/>
                <w:szCs w:val="18"/>
              </w:rPr>
            </w:pPr>
            <w:r w:rsidRPr="003F58F1">
              <w:rPr>
                <w:sz w:val="18"/>
                <w:szCs w:val="18"/>
              </w:rPr>
              <w:t>15 429,0</w:t>
            </w:r>
          </w:p>
        </w:tc>
        <w:tc>
          <w:tcPr>
            <w:tcW w:w="1616" w:type="dxa"/>
            <w:tcBorders>
              <w:top w:val="nil"/>
              <w:left w:val="nil"/>
              <w:bottom w:val="nil"/>
              <w:right w:val="nil"/>
            </w:tcBorders>
            <w:shd w:val="clear" w:color="auto" w:fill="auto"/>
            <w:noWrap/>
            <w:vAlign w:val="bottom"/>
          </w:tcPr>
          <w:p w14:paraId="51EB086E" w14:textId="77777777" w:rsidR="00317112" w:rsidRDefault="00317112" w:rsidP="00C6093E">
            <w:pPr>
              <w:jc w:val="right"/>
              <w:rPr>
                <w:sz w:val="18"/>
                <w:szCs w:val="18"/>
              </w:rPr>
            </w:pPr>
            <w:r>
              <w:rPr>
                <w:sz w:val="18"/>
                <w:szCs w:val="18"/>
              </w:rPr>
              <w:t>12 197,8</w:t>
            </w:r>
          </w:p>
        </w:tc>
        <w:tc>
          <w:tcPr>
            <w:tcW w:w="1304" w:type="dxa"/>
            <w:tcBorders>
              <w:top w:val="nil"/>
              <w:left w:val="nil"/>
              <w:bottom w:val="nil"/>
              <w:right w:val="single" w:sz="8" w:space="0" w:color="auto"/>
            </w:tcBorders>
            <w:shd w:val="clear" w:color="auto" w:fill="auto"/>
            <w:noWrap/>
            <w:vAlign w:val="bottom"/>
          </w:tcPr>
          <w:p w14:paraId="40AF352F" w14:textId="77777777" w:rsidR="00317112" w:rsidRDefault="00317112" w:rsidP="00C6093E">
            <w:pPr>
              <w:jc w:val="right"/>
              <w:rPr>
                <w:sz w:val="18"/>
                <w:szCs w:val="18"/>
              </w:rPr>
            </w:pPr>
            <w:r>
              <w:rPr>
                <w:sz w:val="18"/>
                <w:szCs w:val="18"/>
              </w:rPr>
              <w:t>79,1%</w:t>
            </w:r>
          </w:p>
        </w:tc>
      </w:tr>
      <w:tr w:rsidR="00317112" w:rsidRPr="001C4B86" w14:paraId="0C554F82" w14:textId="77777777" w:rsidTr="00C6093E">
        <w:trPr>
          <w:trHeight w:val="80"/>
          <w:jc w:val="center"/>
        </w:trPr>
        <w:tc>
          <w:tcPr>
            <w:tcW w:w="4854" w:type="dxa"/>
            <w:tcBorders>
              <w:top w:val="nil"/>
              <w:left w:val="single" w:sz="4" w:space="0" w:color="auto"/>
              <w:bottom w:val="single" w:sz="4" w:space="0" w:color="auto"/>
              <w:right w:val="single" w:sz="4" w:space="0" w:color="auto"/>
            </w:tcBorders>
            <w:shd w:val="clear" w:color="auto" w:fill="auto"/>
            <w:noWrap/>
            <w:vAlign w:val="bottom"/>
          </w:tcPr>
          <w:p w14:paraId="135DDA68" w14:textId="77777777" w:rsidR="00317112" w:rsidRPr="003F58F1" w:rsidRDefault="00317112" w:rsidP="00C6093E">
            <w:pPr>
              <w:rPr>
                <w:b/>
                <w:bCs/>
                <w:i/>
                <w:sz w:val="18"/>
                <w:szCs w:val="18"/>
              </w:rPr>
            </w:pPr>
            <w:r w:rsidRPr="003F58F1">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14:paraId="1290914A" w14:textId="77777777" w:rsidR="00317112" w:rsidRPr="003F58F1" w:rsidRDefault="00317112" w:rsidP="00C6093E">
            <w:pPr>
              <w:jc w:val="right"/>
              <w:rPr>
                <w:sz w:val="18"/>
                <w:szCs w:val="18"/>
              </w:rPr>
            </w:pPr>
            <w:r w:rsidRPr="003F58F1">
              <w:rPr>
                <w:sz w:val="18"/>
                <w:szCs w:val="18"/>
              </w:rPr>
              <w:t>1 566,1</w:t>
            </w:r>
          </w:p>
        </w:tc>
        <w:tc>
          <w:tcPr>
            <w:tcW w:w="1616" w:type="dxa"/>
            <w:tcBorders>
              <w:top w:val="nil"/>
              <w:left w:val="nil"/>
              <w:bottom w:val="single" w:sz="4" w:space="0" w:color="auto"/>
              <w:right w:val="nil"/>
            </w:tcBorders>
            <w:shd w:val="clear" w:color="auto" w:fill="auto"/>
            <w:noWrap/>
            <w:vAlign w:val="bottom"/>
          </w:tcPr>
          <w:p w14:paraId="4F227EA0" w14:textId="77777777" w:rsidR="00317112" w:rsidRDefault="00317112" w:rsidP="00C6093E">
            <w:pPr>
              <w:jc w:val="right"/>
              <w:rPr>
                <w:sz w:val="18"/>
                <w:szCs w:val="18"/>
              </w:rPr>
            </w:pPr>
            <w:r>
              <w:rPr>
                <w:sz w:val="18"/>
                <w:szCs w:val="18"/>
              </w:rPr>
              <w:t>1 094,0</w:t>
            </w:r>
          </w:p>
        </w:tc>
        <w:tc>
          <w:tcPr>
            <w:tcW w:w="1304" w:type="dxa"/>
            <w:tcBorders>
              <w:top w:val="nil"/>
              <w:left w:val="nil"/>
              <w:bottom w:val="single" w:sz="4" w:space="0" w:color="auto"/>
              <w:right w:val="single" w:sz="8" w:space="0" w:color="auto"/>
            </w:tcBorders>
            <w:shd w:val="clear" w:color="auto" w:fill="auto"/>
            <w:noWrap/>
            <w:vAlign w:val="bottom"/>
          </w:tcPr>
          <w:p w14:paraId="7960A98C" w14:textId="77777777" w:rsidR="00317112" w:rsidRDefault="00317112" w:rsidP="00C6093E">
            <w:pPr>
              <w:jc w:val="right"/>
              <w:rPr>
                <w:sz w:val="18"/>
                <w:szCs w:val="18"/>
              </w:rPr>
            </w:pPr>
            <w:r>
              <w:rPr>
                <w:sz w:val="18"/>
                <w:szCs w:val="18"/>
              </w:rPr>
              <w:t>69,9%</w:t>
            </w:r>
          </w:p>
        </w:tc>
      </w:tr>
      <w:tr w:rsidR="00317112" w:rsidRPr="001C4B86" w14:paraId="62CB903B" w14:textId="77777777" w:rsidTr="00C6093E">
        <w:trPr>
          <w:trHeight w:val="70"/>
          <w:jc w:val="center"/>
        </w:trPr>
        <w:tc>
          <w:tcPr>
            <w:tcW w:w="485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7D437" w14:textId="77777777" w:rsidR="00317112" w:rsidRPr="003F58F1" w:rsidRDefault="00317112" w:rsidP="00C6093E">
            <w:pPr>
              <w:rPr>
                <w:b/>
                <w:bCs/>
                <w:sz w:val="18"/>
                <w:szCs w:val="18"/>
              </w:rPr>
            </w:pPr>
            <w:r w:rsidRPr="003F58F1">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14:paraId="55F51F57" w14:textId="77777777" w:rsidR="00317112" w:rsidRPr="003F58F1" w:rsidRDefault="00317112" w:rsidP="00C6093E">
            <w:pPr>
              <w:jc w:val="right"/>
              <w:rPr>
                <w:b/>
                <w:bCs/>
                <w:sz w:val="18"/>
                <w:szCs w:val="18"/>
              </w:rPr>
            </w:pPr>
            <w:r w:rsidRPr="003F58F1">
              <w:rPr>
                <w:b/>
                <w:bCs/>
                <w:sz w:val="18"/>
                <w:szCs w:val="18"/>
              </w:rPr>
              <w:t>-5 625,7</w:t>
            </w:r>
          </w:p>
        </w:tc>
        <w:tc>
          <w:tcPr>
            <w:tcW w:w="1616" w:type="dxa"/>
            <w:tcBorders>
              <w:top w:val="single" w:sz="4" w:space="0" w:color="auto"/>
              <w:left w:val="nil"/>
              <w:bottom w:val="single" w:sz="8" w:space="0" w:color="auto"/>
              <w:right w:val="nil"/>
            </w:tcBorders>
            <w:shd w:val="clear" w:color="auto" w:fill="auto"/>
            <w:noWrap/>
            <w:vAlign w:val="bottom"/>
          </w:tcPr>
          <w:p w14:paraId="37C032E2" w14:textId="77777777" w:rsidR="00317112" w:rsidRDefault="00317112" w:rsidP="00C6093E">
            <w:pPr>
              <w:jc w:val="right"/>
              <w:rPr>
                <w:b/>
                <w:bCs/>
                <w:sz w:val="18"/>
                <w:szCs w:val="18"/>
              </w:rPr>
            </w:pPr>
            <w:r>
              <w:rPr>
                <w:b/>
                <w:bCs/>
                <w:sz w:val="18"/>
                <w:szCs w:val="18"/>
              </w:rPr>
              <w:t>16,6</w:t>
            </w:r>
          </w:p>
        </w:tc>
        <w:tc>
          <w:tcPr>
            <w:tcW w:w="1304" w:type="dxa"/>
            <w:tcBorders>
              <w:top w:val="single" w:sz="4" w:space="0" w:color="auto"/>
              <w:left w:val="nil"/>
              <w:bottom w:val="single" w:sz="8" w:space="0" w:color="auto"/>
              <w:right w:val="single" w:sz="8" w:space="0" w:color="auto"/>
            </w:tcBorders>
            <w:shd w:val="clear" w:color="auto" w:fill="auto"/>
            <w:noWrap/>
            <w:vAlign w:val="bottom"/>
          </w:tcPr>
          <w:p w14:paraId="636CDF9E" w14:textId="77777777" w:rsidR="00317112" w:rsidRDefault="00317112" w:rsidP="00C6093E">
            <w:pPr>
              <w:jc w:val="right"/>
              <w:rPr>
                <w:b/>
                <w:bCs/>
                <w:sz w:val="18"/>
                <w:szCs w:val="18"/>
              </w:rPr>
            </w:pPr>
          </w:p>
        </w:tc>
      </w:tr>
    </w:tbl>
    <w:p w14:paraId="15F95BC3" w14:textId="77777777" w:rsidR="00B13128" w:rsidRPr="00C85F7F" w:rsidRDefault="00B13128" w:rsidP="00B13128">
      <w:pPr>
        <w:spacing w:after="120"/>
        <w:ind w:left="360"/>
        <w:jc w:val="both"/>
        <w:rPr>
          <w:b/>
          <w:color w:val="548DD4" w:themeColor="text2" w:themeTint="99"/>
          <w:sz w:val="6"/>
          <w:lang w:val="en-US"/>
        </w:rPr>
      </w:pPr>
    </w:p>
    <w:p w14:paraId="5CFA862A" w14:textId="77777777" w:rsidR="008D7B9C" w:rsidRPr="0057075B" w:rsidRDefault="008D7B9C" w:rsidP="008D7B9C">
      <w:pPr>
        <w:pStyle w:val="BodyTextIndent"/>
        <w:numPr>
          <w:ilvl w:val="0"/>
          <w:numId w:val="2"/>
        </w:numPr>
        <w:jc w:val="both"/>
        <w:rPr>
          <w:b/>
        </w:rPr>
      </w:pPr>
      <w:r w:rsidRPr="0057075B">
        <w:rPr>
          <w:b/>
          <w:bCs/>
        </w:rPr>
        <w:t xml:space="preserve">Приходи по държавния бюджет </w:t>
      </w:r>
    </w:p>
    <w:p w14:paraId="11F9CFCE" w14:textId="77777777" w:rsidR="008D7B9C" w:rsidRPr="00692EE3" w:rsidRDefault="008D7B9C" w:rsidP="008D7B9C">
      <w:pPr>
        <w:spacing w:after="120"/>
        <w:jc w:val="both"/>
        <w:rPr>
          <w:bCs/>
        </w:rPr>
      </w:pPr>
      <w:r w:rsidRPr="00692EE3">
        <w:rPr>
          <w:bCs/>
        </w:rPr>
        <w:t>Общият размер на</w:t>
      </w:r>
      <w:r w:rsidRPr="00692EE3">
        <w:rPr>
          <w:b/>
          <w:bCs/>
        </w:rPr>
        <w:t xml:space="preserve"> приходите, помощите и даренията по държавния бюджет</w:t>
      </w:r>
      <w:r w:rsidRPr="00692EE3">
        <w:rPr>
          <w:bCs/>
        </w:rPr>
        <w:t xml:space="preserve"> към септември 2021 г. е</w:t>
      </w:r>
      <w:r w:rsidRPr="00692EE3">
        <w:rPr>
          <w:b/>
          <w:bCs/>
        </w:rPr>
        <w:t xml:space="preserve"> 22 154,8 млн. лв.</w:t>
      </w:r>
      <w:r w:rsidRPr="00692EE3">
        <w:rPr>
          <w:bCs/>
        </w:rPr>
        <w:t>, което представлява 76,5 % изпълнение на разчетите по ЗДБРБ за 2021 година.</w:t>
      </w:r>
    </w:p>
    <w:p w14:paraId="37A5BD72" w14:textId="77777777" w:rsidR="008D7B9C" w:rsidRPr="00692EE3" w:rsidRDefault="008D7B9C" w:rsidP="008D7B9C">
      <w:pPr>
        <w:numPr>
          <w:ilvl w:val="0"/>
          <w:numId w:val="3"/>
        </w:numPr>
        <w:tabs>
          <w:tab w:val="num" w:pos="720"/>
        </w:tabs>
        <w:ind w:left="0" w:firstLine="180"/>
        <w:jc w:val="both"/>
        <w:rPr>
          <w:b/>
          <w:bCs/>
        </w:rPr>
      </w:pPr>
      <w:r w:rsidRPr="00692EE3">
        <w:rPr>
          <w:bCs/>
        </w:rPr>
        <w:t xml:space="preserve"> </w:t>
      </w:r>
      <w:r w:rsidRPr="00692EE3">
        <w:rPr>
          <w:b/>
          <w:bCs/>
        </w:rPr>
        <w:t>Данъчни приходи</w:t>
      </w:r>
    </w:p>
    <w:p w14:paraId="6C618D50" w14:textId="77777777" w:rsidR="008D7B9C" w:rsidRPr="001C4B86" w:rsidRDefault="008D7B9C" w:rsidP="008D7B9C">
      <w:pPr>
        <w:jc w:val="both"/>
        <w:rPr>
          <w:bCs/>
          <w:color w:val="0070C0"/>
          <w:sz w:val="4"/>
          <w:szCs w:val="4"/>
        </w:rPr>
      </w:pPr>
    </w:p>
    <w:p w14:paraId="75771A2A" w14:textId="77777777" w:rsidR="008D7B9C" w:rsidRPr="00692EE3" w:rsidRDefault="008D7B9C" w:rsidP="008D7B9C">
      <w:pPr>
        <w:jc w:val="both"/>
        <w:rPr>
          <w:sz w:val="10"/>
        </w:rPr>
      </w:pPr>
      <w:r w:rsidRPr="00692EE3">
        <w:rPr>
          <w:bCs/>
        </w:rPr>
        <w:t>Размерът на</w:t>
      </w:r>
      <w:r w:rsidRPr="00692EE3">
        <w:rPr>
          <w:b/>
          <w:bCs/>
        </w:rPr>
        <w:t xml:space="preserve"> данъчните постъпления по държавния бюджет</w:t>
      </w:r>
      <w:r w:rsidRPr="00692EE3">
        <w:rPr>
          <w:bCs/>
        </w:rPr>
        <w:t xml:space="preserve"> към септември 2021 г. </w:t>
      </w:r>
      <w:r w:rsidRPr="00692EE3">
        <w:t xml:space="preserve">е </w:t>
      </w:r>
      <w:r w:rsidRPr="00692EE3">
        <w:rPr>
          <w:b/>
        </w:rPr>
        <w:t>19 654,2 млн. лв</w:t>
      </w:r>
      <w:r w:rsidRPr="00692EE3">
        <w:t>., което представлява 75,6 % изпълнение на годишните разчети. В сравнение със същия период на 2020 г. постъпленията в групата нарастват с 2 521,3 млн. лева.</w:t>
      </w:r>
    </w:p>
    <w:p w14:paraId="7533B0DF" w14:textId="77777777" w:rsidR="008D7B9C" w:rsidRPr="004E5565" w:rsidRDefault="008D7B9C" w:rsidP="008D7B9C">
      <w:pPr>
        <w:numPr>
          <w:ilvl w:val="0"/>
          <w:numId w:val="4"/>
        </w:numPr>
        <w:tabs>
          <w:tab w:val="clear" w:pos="1440"/>
          <w:tab w:val="num" w:pos="540"/>
        </w:tabs>
        <w:spacing w:before="120" w:after="120"/>
        <w:ind w:left="0" w:firstLine="181"/>
        <w:jc w:val="both"/>
        <w:rPr>
          <w:b/>
          <w:bCs/>
        </w:rPr>
      </w:pPr>
      <w:r w:rsidRPr="004E5565">
        <w:rPr>
          <w:b/>
          <w:bCs/>
        </w:rPr>
        <w:t>Преки данъци</w:t>
      </w:r>
    </w:p>
    <w:p w14:paraId="5B153F57" w14:textId="77777777" w:rsidR="008D7B9C" w:rsidRPr="001C4B86" w:rsidRDefault="008D7B9C" w:rsidP="008D7B9C">
      <w:pPr>
        <w:spacing w:before="120"/>
        <w:jc w:val="both"/>
        <w:rPr>
          <w:color w:val="0070C0"/>
        </w:rPr>
      </w:pPr>
      <w:r w:rsidRPr="004E5565">
        <w:t>Приходите в групата на</w:t>
      </w:r>
      <w:r w:rsidRPr="004E5565">
        <w:rPr>
          <w:b/>
        </w:rPr>
        <w:t xml:space="preserve"> преките данъци</w:t>
      </w:r>
      <w:r w:rsidRPr="004E5565">
        <w:t xml:space="preserve"> са в размер на</w:t>
      </w:r>
      <w:r w:rsidRPr="004E5565">
        <w:rPr>
          <w:b/>
        </w:rPr>
        <w:t> 5 457,5 млн. лв</w:t>
      </w:r>
      <w:r w:rsidRPr="004E5565">
        <w:t>. или 71,2 % от планираните за годината, като съпоставени със същия период на предходната година нарастват с 856,3 млн. лв. (18,6 %).</w:t>
      </w:r>
      <w:r w:rsidRPr="001C4B86">
        <w:rPr>
          <w:color w:val="0070C0"/>
        </w:rPr>
        <w:t xml:space="preserve"> </w:t>
      </w:r>
      <w:r w:rsidRPr="00D33389">
        <w:t>Приходите от</w:t>
      </w:r>
      <w:r w:rsidRPr="00D33389">
        <w:rPr>
          <w:b/>
        </w:rPr>
        <w:t xml:space="preserve"> </w:t>
      </w:r>
      <w:r w:rsidRPr="00D33389">
        <w:rPr>
          <w:b/>
          <w:bCs/>
          <w:i/>
        </w:rPr>
        <w:t>корпоративни данъци</w:t>
      </w:r>
      <w:r w:rsidRPr="00D33389">
        <w:t xml:space="preserve"> </w:t>
      </w:r>
      <w:r w:rsidRPr="00D33389">
        <w:rPr>
          <w:bCs/>
        </w:rPr>
        <w:t>към септември 2021</w:t>
      </w:r>
      <w:r w:rsidRPr="00D33389">
        <w:rPr>
          <w:b/>
        </w:rPr>
        <w:t> </w:t>
      </w:r>
      <w:r w:rsidRPr="00D33389">
        <w:t>г. са в размер на 1 882,4 млн. лв. или 63,3 % от годишния план. Спрямо данните към месец септември на предходната година постъпленията нарастват с 365,</w:t>
      </w:r>
      <w:r w:rsidRPr="00FC69BD">
        <w:t>1</w:t>
      </w:r>
      <w:r w:rsidRPr="00D33389">
        <w:rPr>
          <w:lang w:val="ru-RU"/>
        </w:rPr>
        <w:t xml:space="preserve"> </w:t>
      </w:r>
      <w:r w:rsidRPr="00D33389">
        <w:t xml:space="preserve">млн. лв. </w:t>
      </w:r>
      <w:r w:rsidRPr="00D33389">
        <w:rPr>
          <w:lang w:val="ru-RU"/>
        </w:rPr>
        <w:t>(</w:t>
      </w:r>
      <w:r w:rsidRPr="00D33389">
        <w:rPr>
          <w:bCs/>
          <w:lang w:val="ru-RU"/>
        </w:rPr>
        <w:t>24,1</w:t>
      </w:r>
      <w:r w:rsidRPr="00D33389">
        <w:rPr>
          <w:lang w:val="ru-RU"/>
        </w:rPr>
        <w:t xml:space="preserve"> %)</w:t>
      </w:r>
      <w:r w:rsidRPr="00D33389">
        <w:t xml:space="preserve">, което се дължи предимно на по-високите приходи от корпоративен данък от нефинансови </w:t>
      </w:r>
      <w:r w:rsidRPr="008407AE">
        <w:t xml:space="preserve">предприятия. Приходите от данък върху дивидентите, ликвидационните дялове и доходите на местни и чуждестранни юридически лица са в размер </w:t>
      </w:r>
      <w:r w:rsidRPr="00A03377">
        <w:t>на 54,0</w:t>
      </w:r>
      <w:r w:rsidRPr="008407AE">
        <w:t xml:space="preserve"> млн. лв., като намаляват с 5,2</w:t>
      </w:r>
      <w:r>
        <w:t> </w:t>
      </w:r>
      <w:r w:rsidRPr="008407AE">
        <w:t>млн. лв. (8,8 %) спрямо септември 2020 година.</w:t>
      </w:r>
      <w:r w:rsidRPr="001C4B86">
        <w:rPr>
          <w:color w:val="0070C0"/>
        </w:rPr>
        <w:t xml:space="preserve"> </w:t>
      </w:r>
    </w:p>
    <w:p w14:paraId="592BCED6" w14:textId="77777777" w:rsidR="008D7B9C" w:rsidRPr="001C4B86" w:rsidRDefault="008D7B9C" w:rsidP="008D7B9C">
      <w:pPr>
        <w:spacing w:before="120" w:after="120"/>
        <w:jc w:val="both"/>
        <w:rPr>
          <w:color w:val="0070C0"/>
        </w:rPr>
      </w:pPr>
      <w:r w:rsidRPr="00810F72">
        <w:t>Приходите от</w:t>
      </w:r>
      <w:r w:rsidRPr="00810F72">
        <w:rPr>
          <w:b/>
        </w:rPr>
        <w:t xml:space="preserve"> данъци върху доходите на физически лица </w:t>
      </w:r>
      <w:r w:rsidRPr="00810F72">
        <w:t xml:space="preserve">са в размер на </w:t>
      </w:r>
      <w:r w:rsidRPr="00810F72">
        <w:rPr>
          <w:b/>
        </w:rPr>
        <w:t>3 575,1 млн. лв.</w:t>
      </w:r>
      <w:r w:rsidRPr="00810F72">
        <w:t xml:space="preserve"> или 76,2 % от заложените в разчета за годината. Тези приходи са с 491,3 млн. лв. повече </w:t>
      </w:r>
      <w:r w:rsidRPr="00810F72">
        <w:lastRenderedPageBreak/>
        <w:t>(15,9 %), спрямо същия период на предходната година. Върху размера на данъчните постъпления от ДДФЛ основно влияние имат развитието на пазара на труда и предприетите законодателни и административни мерки в областта на трудовото, социалното и данъчното законодателство.</w:t>
      </w:r>
      <w:r w:rsidRPr="001C4B86">
        <w:rPr>
          <w:color w:val="0070C0"/>
        </w:rPr>
        <w:t xml:space="preserve"> </w:t>
      </w:r>
    </w:p>
    <w:p w14:paraId="00AAC69B" w14:textId="5E507C35" w:rsidR="008D7B9C" w:rsidRPr="00281B5A" w:rsidRDefault="00A81CE4" w:rsidP="008D7B9C">
      <w:pPr>
        <w:spacing w:before="120" w:after="120"/>
        <w:jc w:val="both"/>
      </w:pPr>
      <w:r w:rsidRPr="00A963D6">
        <w:t xml:space="preserve">Редица сектори са пряко или косвено засегнати от наложените мерки за борба с пандемията в </w:t>
      </w:r>
      <w:r w:rsidRPr="009D67B8">
        <w:t>България и при основните търговски партньори, налице са прекъснати вериги за доставки и</w:t>
      </w:r>
      <w:r w:rsidRPr="00A963D6">
        <w:t xml:space="preserve"> други негативни последствия от пандемията, което от своя страна оказва влияние върху заетостта и трудовите възнаграждения на работещите в тези сектори, и съответно върху приходите от ДДФЛ. </w:t>
      </w:r>
      <w:r w:rsidRPr="00965894">
        <w:rPr>
          <w:szCs w:val="20"/>
        </w:rPr>
        <w:t xml:space="preserve">Въпреки удължаването на епидемичната обстановка до 30.11.2021 г. и нарастване на заболеваемостта от </w:t>
      </w:r>
      <w:r w:rsidRPr="00965894">
        <w:t>COVID-19</w:t>
      </w:r>
      <w:r w:rsidRPr="00965894">
        <w:rPr>
          <w:szCs w:val="20"/>
        </w:rPr>
        <w:t>, предприетите политики по доходите и антикризисните мерки, допринасят за преодоляване на негативният ефект от кризата и положителен прираст за бюджетните приходи от ДДФЛ</w:t>
      </w:r>
      <w:r w:rsidR="008D7B9C" w:rsidRPr="00281B5A">
        <w:rPr>
          <w:szCs w:val="20"/>
        </w:rPr>
        <w:t>.</w:t>
      </w:r>
    </w:p>
    <w:p w14:paraId="3291DA23" w14:textId="77777777" w:rsidR="008D7B9C" w:rsidRPr="003F7437" w:rsidRDefault="008D7B9C" w:rsidP="008D7B9C">
      <w:pPr>
        <w:spacing w:after="120"/>
        <w:jc w:val="both"/>
      </w:pPr>
      <w:r w:rsidRPr="00253006">
        <w:rPr>
          <w:i/>
        </w:rPr>
        <w:t>По трудови правоотношения</w:t>
      </w:r>
      <w:r w:rsidRPr="00253006">
        <w:t xml:space="preserve"> приходите от данъка </w:t>
      </w:r>
      <w:r w:rsidRPr="00253006">
        <w:rPr>
          <w:bCs/>
        </w:rPr>
        <w:t>към септември 2021</w:t>
      </w:r>
      <w:r w:rsidRPr="00253006">
        <w:t xml:space="preserve"> г. са 2 896,5 млн. лв., 74,7 % от годишните разчети. Тези приходи са с 350,5 млн. лв. (13,8 %) повече, в сравнение със същия период на предходната </w:t>
      </w:r>
      <w:r w:rsidRPr="00C31300">
        <w:t>година.</w:t>
      </w:r>
      <w:r w:rsidRPr="00C31300">
        <w:rPr>
          <w:color w:val="0070C0"/>
        </w:rPr>
        <w:t xml:space="preserve"> </w:t>
      </w:r>
      <w:r w:rsidRPr="00C31300">
        <w:t xml:space="preserve">Върху размера на постъпленията влияние оказват: увеличението на минималната работна заплата за страната от 01.01.2021 г.; увеличението на минималните осигурителни прагове за 2021 г.; </w:t>
      </w:r>
      <w:r w:rsidRPr="00C31300">
        <w:rPr>
          <w:rFonts w:eastAsia="Batang"/>
        </w:rPr>
        <w:t>увеличение на заплатите в обществения сектор</w:t>
      </w:r>
      <w:r w:rsidRPr="00C31300">
        <w:t xml:space="preserve">, вкл. на </w:t>
      </w:r>
      <w:r w:rsidRPr="00C31300">
        <w:rPr>
          <w:rFonts w:eastAsia="Batang"/>
        </w:rPr>
        <w:t>педагогическия персонал</w:t>
      </w:r>
      <w:r w:rsidRPr="00C31300">
        <w:t>; промените в броя на наетите лица и заплащането на труда; промените в нивото на безработица; допълнителните възнаграждения на медицинския и немедицинския персонал, ангажиран с пациенти, заболели с коронавирус и рискови пациенти; мерките „60/40” и „80/20” за краткосрочна подкрепа на заетостта, чрез които държавата поема изплащането на 60 на сто, респективно 80 на сто от месечния осигурителен доход и дължимите осигурителни вноски за сметка на осигурителя в предприятия, чийто бизнес е пострадал от кризата с разпространението на заразата от коронавирус, и други.</w:t>
      </w:r>
    </w:p>
    <w:p w14:paraId="206A428A" w14:textId="77777777" w:rsidR="008D7B9C" w:rsidRPr="00376F26" w:rsidRDefault="008D7B9C" w:rsidP="008D7B9C">
      <w:pPr>
        <w:spacing w:after="120"/>
        <w:jc w:val="both"/>
      </w:pPr>
      <w:r w:rsidRPr="003F7437">
        <w:rPr>
          <w:i/>
        </w:rPr>
        <w:t>По извънтрудови правоотношения (свободни професии, граждански договори и др.)</w:t>
      </w:r>
      <w:r w:rsidRPr="003F7437">
        <w:t xml:space="preserve"> приходите от данъка </w:t>
      </w:r>
      <w:r w:rsidRPr="003F7437">
        <w:rPr>
          <w:bCs/>
        </w:rPr>
        <w:t>към септември 2021</w:t>
      </w:r>
      <w:r w:rsidRPr="003F7437">
        <w:t xml:space="preserve"> г. са в размер на 328,3 млн. лв., което е 83,9 % от годишния разчет. За отчетния период са постъпили с 49,3 млн. лв. повече приходи (17,7 %) спрямо края на септември 2020 година.</w:t>
      </w:r>
      <w:r w:rsidRPr="001C4B86">
        <w:rPr>
          <w:color w:val="0070C0"/>
        </w:rPr>
        <w:t xml:space="preserve"> </w:t>
      </w:r>
      <w:r w:rsidRPr="00BF432C">
        <w:t xml:space="preserve">Основно влияние върху тези приходи оказват резултатите от годишните данъчни декларации по чл. 50 от ЗДДФЛ (дължим данък за </w:t>
      </w:r>
      <w:r w:rsidRPr="00376F26">
        <w:t>довнасяне или надвнесен данък) и дължимите авансови вноски.</w:t>
      </w:r>
    </w:p>
    <w:p w14:paraId="27877499" w14:textId="77777777" w:rsidR="008D7B9C" w:rsidRPr="001C4B86" w:rsidRDefault="008D7B9C" w:rsidP="008D7B9C">
      <w:pPr>
        <w:spacing w:after="120"/>
        <w:jc w:val="both"/>
        <w:rPr>
          <w:color w:val="0070C0"/>
        </w:rPr>
      </w:pPr>
      <w:r w:rsidRPr="00376F26">
        <w:rPr>
          <w:i/>
        </w:rPr>
        <w:t xml:space="preserve">Окончателен данък на местните и чуждестранни физически лица по чл. 37 и 38 от ЗДДФЛ </w:t>
      </w:r>
      <w:r w:rsidRPr="00376F26">
        <w:t xml:space="preserve">и </w:t>
      </w:r>
      <w:r w:rsidRPr="00376F26">
        <w:rPr>
          <w:i/>
        </w:rPr>
        <w:t>данък върху дивидентите и ликвидационните дялове на физически лица</w:t>
      </w:r>
      <w:r w:rsidRPr="00376F26">
        <w:t xml:space="preserve"> - постъпленията от тези данъци са в размер на 346,8 млн. лв., 83,1 % спрямо годишния разчет. За отчетния </w:t>
      </w:r>
      <w:r w:rsidRPr="009D44A1">
        <w:t>период са постъпили с 92,7 млн. лв. повече (36,5 %) спрямо септември 2020 година.</w:t>
      </w:r>
      <w:r w:rsidRPr="009D44A1">
        <w:rPr>
          <w:color w:val="0070C0"/>
        </w:rPr>
        <w:t xml:space="preserve"> </w:t>
      </w:r>
      <w:r w:rsidRPr="009D44A1">
        <w:t xml:space="preserve">Допълнително влияне за по-високото изпълнение на приходите от данък върху дивидентите и ликвидационните дялове на местни и чуждестранни физически и юридически лица има предприетата кампания от НАП през месец юни за проверка на касови наличности. Кампанията е стартирана приоритетно към лица, за които има  информация за висока касова наличност (над 100 хил. лв.) през 2018 г., 2019 г. и 2020 г., при които има риск от наличие на сделки, сключени при условия, водещи до отклонение от данъчно облагане, наличието на скрито разпределение на печалбата по смисъла на § 1, т. 5 от ДР на ЗКПО. Касовата наличност на </w:t>
      </w:r>
      <w:r w:rsidRPr="00DE3902">
        <w:t>селектираните за проверка лица само за 2019 г. е в размер надвишаващ 569,6 млн. лева. Скритото разпределение на печалбата се третира като дивидент, за който се внася 5 % данък върху разпределените суми. Кампанията за проверка на касовите наличности продължава и се очаква да има допълнителен положителен резултат за приходите от тази група данъци и през следващите отчетни периоди.</w:t>
      </w:r>
    </w:p>
    <w:p w14:paraId="1290E637" w14:textId="77777777" w:rsidR="008D7B9C" w:rsidRPr="000308B1" w:rsidRDefault="008D7B9C" w:rsidP="008D7B9C">
      <w:pPr>
        <w:spacing w:after="120"/>
        <w:jc w:val="both"/>
      </w:pPr>
      <w:r w:rsidRPr="000308B1">
        <w:t xml:space="preserve">Постъпленията от </w:t>
      </w:r>
      <w:r w:rsidRPr="000308B1">
        <w:rPr>
          <w:i/>
        </w:rPr>
        <w:t xml:space="preserve">окончателния данък върху приходите от лихви от депозити на физическите лица </w:t>
      </w:r>
      <w:r w:rsidRPr="000308B1">
        <w:t>са в размер на 3,6 млн. лева.</w:t>
      </w:r>
    </w:p>
    <w:p w14:paraId="5BDC98E5" w14:textId="77777777" w:rsidR="008D7B9C" w:rsidRPr="00C60337" w:rsidRDefault="008D7B9C" w:rsidP="008D7B9C">
      <w:pPr>
        <w:numPr>
          <w:ilvl w:val="0"/>
          <w:numId w:val="4"/>
        </w:numPr>
        <w:tabs>
          <w:tab w:val="clear" w:pos="1440"/>
          <w:tab w:val="num" w:pos="540"/>
        </w:tabs>
        <w:ind w:left="0" w:firstLine="180"/>
        <w:jc w:val="both"/>
        <w:rPr>
          <w:b/>
          <w:bCs/>
        </w:rPr>
      </w:pPr>
      <w:r w:rsidRPr="00C60337">
        <w:rPr>
          <w:b/>
          <w:bCs/>
        </w:rPr>
        <w:t>Косвени данъци</w:t>
      </w:r>
    </w:p>
    <w:p w14:paraId="38E26145" w14:textId="77777777" w:rsidR="008D7B9C" w:rsidRPr="00C60337" w:rsidRDefault="008D7B9C" w:rsidP="008D7B9C">
      <w:pPr>
        <w:jc w:val="both"/>
        <w:rPr>
          <w:b/>
          <w:bCs/>
          <w:sz w:val="4"/>
          <w:szCs w:val="4"/>
        </w:rPr>
      </w:pPr>
    </w:p>
    <w:p w14:paraId="5FBA6E94" w14:textId="77777777" w:rsidR="008D7B9C" w:rsidRPr="00C60337" w:rsidRDefault="008D7B9C" w:rsidP="008D7B9C">
      <w:pPr>
        <w:spacing w:after="120"/>
        <w:jc w:val="both"/>
      </w:pPr>
      <w:r w:rsidRPr="00C60337">
        <w:t xml:space="preserve">Приходите от </w:t>
      </w:r>
      <w:r w:rsidRPr="00C60337">
        <w:rPr>
          <w:b/>
        </w:rPr>
        <w:t>косвени данъци</w:t>
      </w:r>
      <w:r w:rsidRPr="00C60337">
        <w:t xml:space="preserve"> </w:t>
      </w:r>
      <w:r w:rsidRPr="00C60337">
        <w:rPr>
          <w:bCs/>
        </w:rPr>
        <w:t>към септември 2021</w:t>
      </w:r>
      <w:r w:rsidRPr="00C60337">
        <w:t xml:space="preserve"> г. са в размер на </w:t>
      </w:r>
      <w:r w:rsidRPr="00C60337">
        <w:rPr>
          <w:b/>
        </w:rPr>
        <w:t>14 100,9 млн. лв</w:t>
      </w:r>
      <w:r w:rsidRPr="00C60337">
        <w:t xml:space="preserve">. или 77,4 % от годишния разчет. </w:t>
      </w:r>
    </w:p>
    <w:p w14:paraId="0E310DCB" w14:textId="77777777" w:rsidR="008D7B9C" w:rsidRPr="00FF74E7" w:rsidRDefault="008D7B9C" w:rsidP="008D7B9C">
      <w:pPr>
        <w:spacing w:after="120"/>
        <w:jc w:val="both"/>
      </w:pPr>
      <w:r w:rsidRPr="00302FB0">
        <w:rPr>
          <w:b/>
        </w:rPr>
        <w:lastRenderedPageBreak/>
        <w:t>Приходите от ДДС</w:t>
      </w:r>
      <w:r w:rsidRPr="00302FB0">
        <w:t xml:space="preserve"> са в размер на </w:t>
      </w:r>
      <w:r w:rsidRPr="00302FB0">
        <w:rPr>
          <w:b/>
        </w:rPr>
        <w:t>9 600,0</w:t>
      </w:r>
      <w:r w:rsidRPr="00302FB0">
        <w:t xml:space="preserve"> </w:t>
      </w:r>
      <w:r w:rsidRPr="00302FB0">
        <w:rPr>
          <w:b/>
        </w:rPr>
        <w:t>млн. лв.,</w:t>
      </w:r>
      <w:r w:rsidRPr="00302FB0">
        <w:t xml:space="preserve"> което представлява 78,2 % от планираните със ЗДБРБ за 2021 година. Съпоставени с края на септември 2020 г., приходите от </w:t>
      </w:r>
      <w:r w:rsidRPr="00FF74E7">
        <w:t xml:space="preserve">ДДС се увеличават с 1 491,4 млн. лв. (18,4 %). </w:t>
      </w:r>
    </w:p>
    <w:p w14:paraId="0AEAD90D" w14:textId="77777777" w:rsidR="008D7B9C" w:rsidRPr="000E0166" w:rsidRDefault="008D7B9C" w:rsidP="008D7B9C">
      <w:pPr>
        <w:spacing w:after="120"/>
        <w:jc w:val="both"/>
      </w:pPr>
      <w:r w:rsidRPr="000E0166">
        <w:t>Една от промените, които оказват влияние върху приходите от ДДС през 2021 г. е излизането на Великобритания от Европейския съюз (Брекзит). В резултат на Брекзит, се очаква постъпленията от ДДС от внос да се увеличат за сметка на приходите от ДДС от сделки в страната и ВОП.</w:t>
      </w:r>
    </w:p>
    <w:p w14:paraId="6E9572F4" w14:textId="77777777" w:rsidR="008D7B9C" w:rsidRPr="003D7BA0" w:rsidRDefault="008D7B9C" w:rsidP="008D7B9C">
      <w:pPr>
        <w:spacing w:after="120"/>
        <w:jc w:val="both"/>
      </w:pPr>
      <w:r w:rsidRPr="00AA67B9">
        <w:t xml:space="preserve">В допълнение към това, в сила от началото на 2021 г. са приети и промени за усъвършенстване на законодателството и подобряване на режимите за прилагане и събиране на ДДС, свързани с въвеждане в Закона за ДДС на разпоредби на Директива (ЕС) 2017/2455 и Директива (ЕС) 2019/1995, приложими за трансгранична електронна търговия между данъчно задължени и данъчно незадължени лица. С измененията се подобряват и опростяват някои правила в системата на ДДС, в контекста на доставките на услуги и дистанционните продажби на стоки и някои вътрешни доставки на стоки, с цел подобряване на събираемостта на </w:t>
      </w:r>
      <w:r w:rsidRPr="003D7BA0">
        <w:t>приходите от данъка и облекчаване на административната тежест.</w:t>
      </w:r>
    </w:p>
    <w:p w14:paraId="7667F36C" w14:textId="0EAA95C7" w:rsidR="008D7B9C" w:rsidRPr="001C4B86" w:rsidRDefault="008D7B9C" w:rsidP="008D7B9C">
      <w:pPr>
        <w:spacing w:before="120"/>
        <w:ind w:right="-29"/>
        <w:jc w:val="both"/>
        <w:rPr>
          <w:color w:val="0070C0"/>
        </w:rPr>
      </w:pPr>
      <w:r w:rsidRPr="003D7BA0">
        <w:t xml:space="preserve">Нетният размер на приходите от </w:t>
      </w:r>
      <w:r w:rsidRPr="003D7BA0">
        <w:rPr>
          <w:i/>
        </w:rPr>
        <w:t>ДДС от внос</w:t>
      </w:r>
      <w:r w:rsidRPr="003D7BA0">
        <w:t xml:space="preserve"> </w:t>
      </w:r>
      <w:r w:rsidRPr="003D7BA0">
        <w:rPr>
          <w:bCs/>
        </w:rPr>
        <w:t>към септември 2021</w:t>
      </w:r>
      <w:r w:rsidRPr="003D7BA0">
        <w:t xml:space="preserve"> г. е </w:t>
      </w:r>
      <w:r w:rsidR="00953728">
        <w:t>3 294,7 млн. лв., като нараства</w:t>
      </w:r>
      <w:r w:rsidRPr="003D7BA0">
        <w:t xml:space="preserve"> със 745,3 млн. лв. (29,2 %) в сравнение със същия период на 2020 г. Влияние върху постъпленията от ДДС от внос оказват цената на суровия петрол, количествата на внасяните </w:t>
      </w:r>
      <w:r w:rsidRPr="00D55A75">
        <w:t xml:space="preserve">стоки за междинно потребление (черни, цветни метали и др.), курса на щатския долар спрямо еврото, както и въведената законодателна промяна от 01.07.2019 г. за възможност </w:t>
      </w:r>
      <w:r w:rsidRPr="00D55A75">
        <w:rPr>
          <w:iCs/>
        </w:rPr>
        <w:t>за отложено начисляване на ДДС от вносител при внос на стоки от трети страни, в съответствие с разпоредбата на чл. 167а от Закона за данък върху добавената стойност.</w:t>
      </w:r>
      <w:r w:rsidRPr="00D55A75">
        <w:rPr>
          <w:bCs/>
        </w:rPr>
        <w:t xml:space="preserve"> </w:t>
      </w:r>
      <w:r w:rsidRPr="00D55A75">
        <w:t>Ефектът от прилагането на този режим за периода януари-септември 2021 г. е неначислен ДДС при внос в размер на 911,2 млн. лв. което е с 67,7 млн. лева (8,0 %) повече от деветте месеца на 2020 година. Неначисленият ДДС при внос на руди, шлаки и пепели е 572,5 млн. лв. (ръст от 18,7 млн. лева, 3,4 %), следват мед и изделия от мед – 132,7 млн. лева (ръст от 33,4 млн. лв., 33,6 %). Общо 66 икономически оператори са се възползвали от възможността да отложат начисляването на ДДС при внос през периода януари-септември 2021 година.</w:t>
      </w:r>
    </w:p>
    <w:p w14:paraId="0CF26EF3" w14:textId="77777777" w:rsidR="008D7B9C" w:rsidRPr="001C4B86" w:rsidRDefault="008D7B9C" w:rsidP="008D7B9C">
      <w:pPr>
        <w:spacing w:before="120" w:after="120"/>
        <w:jc w:val="both"/>
        <w:rPr>
          <w:b/>
          <w:color w:val="0070C0"/>
        </w:rPr>
      </w:pPr>
      <w:r w:rsidRPr="00604E39">
        <w:t>Постъпленията от</w:t>
      </w:r>
      <w:r w:rsidRPr="00604E39">
        <w:rPr>
          <w:i/>
        </w:rPr>
        <w:t xml:space="preserve"> ДДС при сделки в страната (нето)</w:t>
      </w:r>
      <w:r w:rsidRPr="00604E39">
        <w:t xml:space="preserve"> </w:t>
      </w:r>
      <w:r w:rsidRPr="00604E39">
        <w:rPr>
          <w:bCs/>
        </w:rPr>
        <w:t>към септември 2021</w:t>
      </w:r>
      <w:r w:rsidRPr="00604E39">
        <w:t xml:space="preserve"> г. възлизат на 6 305,3</w:t>
      </w:r>
      <w:r w:rsidRPr="00604E39">
        <w:rPr>
          <w:rFonts w:eastAsia="Calibri"/>
          <w:b/>
        </w:rPr>
        <w:t> </w:t>
      </w:r>
      <w:r w:rsidRPr="00604E39">
        <w:t xml:space="preserve">млн. лв. и нарастват със 746,1 млн. лв. (13,4 %) спрямо същия период на предходната година. </w:t>
      </w:r>
      <w:r w:rsidRPr="00604E39">
        <w:rPr>
          <w:bCs/>
        </w:rPr>
        <w:t xml:space="preserve">Невъзстановеният </w:t>
      </w:r>
      <w:r w:rsidRPr="00604E39">
        <w:t xml:space="preserve">данъчен кредит </w:t>
      </w:r>
      <w:r w:rsidRPr="00604E39">
        <w:rPr>
          <w:bCs/>
        </w:rPr>
        <w:t xml:space="preserve">към 30.09.2021 г. е в размер на </w:t>
      </w:r>
      <w:r>
        <w:rPr>
          <w:bCs/>
        </w:rPr>
        <w:t>91,8</w:t>
      </w:r>
      <w:r w:rsidRPr="00604E39">
        <w:rPr>
          <w:bCs/>
        </w:rPr>
        <w:t> млн. лева.</w:t>
      </w:r>
    </w:p>
    <w:p w14:paraId="4B97055E" w14:textId="77777777" w:rsidR="008D7B9C" w:rsidRPr="00816CAE" w:rsidRDefault="008D7B9C" w:rsidP="008D7B9C">
      <w:pPr>
        <w:spacing w:after="120"/>
        <w:jc w:val="both"/>
      </w:pPr>
      <w:r w:rsidRPr="00766AAB">
        <w:rPr>
          <w:b/>
        </w:rPr>
        <w:t xml:space="preserve">Приходите от акцизи (нето) </w:t>
      </w:r>
      <w:r w:rsidRPr="00766AAB">
        <w:t xml:space="preserve">от внос, вътрешно производство и въведени в страната от други </w:t>
      </w:r>
      <w:r w:rsidRPr="00952AF4">
        <w:t xml:space="preserve">държави-членки на ЕС акцизни стоки са в размер на </w:t>
      </w:r>
      <w:r w:rsidRPr="00952AF4">
        <w:rPr>
          <w:b/>
        </w:rPr>
        <w:t>4 260,9 млн. лв</w:t>
      </w:r>
      <w:r w:rsidRPr="00952AF4">
        <w:t>., което е 75,5 % от планираните със ЗДБРБ за 2021 г.</w:t>
      </w:r>
      <w:r w:rsidRPr="00952AF4">
        <w:rPr>
          <w:color w:val="0070C0"/>
        </w:rPr>
        <w:t xml:space="preserve"> </w:t>
      </w:r>
      <w:r w:rsidRPr="00952AF4">
        <w:t>Освен промените в данъчното законодателство и усилията за подобряване на контрола и събираемостта на митническата администрация, влияние върху приходите от акцизи за 2021 г. оказват и отчетените обеми на потребление по групи акцизни стоки.</w:t>
      </w:r>
      <w:r>
        <w:t xml:space="preserve"> </w:t>
      </w:r>
      <w:r w:rsidRPr="0068036E">
        <w:t>Отмяната на наложените след 27.11.2020 г. противоепидемични мерки за ограничаване разпространението на COVID-19, ръста в цените и предприетите мерки от Агенция „Митници“ за подобряване на митничес</w:t>
      </w:r>
      <w:r>
        <w:t xml:space="preserve">кия и акцизен надзор и контрол </w:t>
      </w:r>
      <w:r w:rsidRPr="0068036E">
        <w:t xml:space="preserve">доведе до ръст в </w:t>
      </w:r>
      <w:r w:rsidRPr="00816CAE">
        <w:t>приходите, администрирани от митническата администрация спрямо 2020 година.</w:t>
      </w:r>
    </w:p>
    <w:p w14:paraId="7BB5BD9D" w14:textId="77777777" w:rsidR="008D7B9C" w:rsidRPr="00166647" w:rsidRDefault="008D7B9C" w:rsidP="008D7B9C">
      <w:pPr>
        <w:spacing w:before="120" w:after="120"/>
        <w:jc w:val="both"/>
      </w:pPr>
      <w:r w:rsidRPr="00816CAE">
        <w:t xml:space="preserve">Нетните постъпления от акциз са от следните основни стокови групи: тютюн и тютюневи изделия (49,8 %); горива (43,9 %); алкохол и алкохолни напитки, вкл. бира (5,4 %), други </w:t>
      </w:r>
      <w:r w:rsidRPr="00166647">
        <w:t>акцизни стоки (0,7 %) и авансови вноски (0,2 %). Постъпления от акциз към септември 2021</w:t>
      </w:r>
      <w:r>
        <w:t> </w:t>
      </w:r>
      <w:r w:rsidRPr="00166647">
        <w:t>г. по основни стокови групи, са както следва:</w:t>
      </w:r>
    </w:p>
    <w:p w14:paraId="06382168" w14:textId="77777777" w:rsidR="008D7B9C" w:rsidRPr="007D3FAA" w:rsidRDefault="008D7B9C" w:rsidP="008D7B9C">
      <w:pPr>
        <w:numPr>
          <w:ilvl w:val="0"/>
          <w:numId w:val="18"/>
        </w:numPr>
        <w:ind w:firstLine="66"/>
        <w:jc w:val="both"/>
        <w:rPr>
          <w:i/>
        </w:rPr>
      </w:pPr>
      <w:r w:rsidRPr="00166647">
        <w:rPr>
          <w:i/>
        </w:rPr>
        <w:t xml:space="preserve">Акцизите от тютюн и тютюневи изделия </w:t>
      </w:r>
      <w:r w:rsidRPr="00532539">
        <w:t>възлизат на</w:t>
      </w:r>
      <w:r w:rsidRPr="007D3FAA">
        <w:rPr>
          <w:i/>
        </w:rPr>
        <w:t xml:space="preserve"> </w:t>
      </w:r>
      <w:r w:rsidRPr="00532539">
        <w:t>2 122,2</w:t>
      </w:r>
      <w:r w:rsidRPr="00405948">
        <w:t xml:space="preserve"> млн. лева</w:t>
      </w:r>
      <w:r w:rsidRPr="007D3FAA">
        <w:rPr>
          <w:i/>
        </w:rPr>
        <w:t xml:space="preserve">; </w:t>
      </w:r>
    </w:p>
    <w:p w14:paraId="32663F84" w14:textId="77777777" w:rsidR="008D7B9C" w:rsidRPr="00166647" w:rsidRDefault="008D7B9C" w:rsidP="008D7B9C">
      <w:pPr>
        <w:numPr>
          <w:ilvl w:val="0"/>
          <w:numId w:val="18"/>
        </w:numPr>
        <w:ind w:firstLine="66"/>
        <w:jc w:val="both"/>
      </w:pPr>
      <w:r w:rsidRPr="00166647">
        <w:rPr>
          <w:i/>
        </w:rPr>
        <w:t>Акцизите от горив</w:t>
      </w:r>
      <w:r w:rsidRPr="00166647">
        <w:t xml:space="preserve">а са в размер на 1 868,9 млн. лева; </w:t>
      </w:r>
    </w:p>
    <w:p w14:paraId="179F6F4A" w14:textId="77777777" w:rsidR="008D7B9C" w:rsidRPr="00166647" w:rsidRDefault="008D7B9C" w:rsidP="008D7B9C">
      <w:pPr>
        <w:numPr>
          <w:ilvl w:val="0"/>
          <w:numId w:val="18"/>
        </w:numPr>
        <w:ind w:firstLine="66"/>
        <w:jc w:val="both"/>
      </w:pPr>
      <w:r w:rsidRPr="00166647">
        <w:rPr>
          <w:i/>
        </w:rPr>
        <w:t xml:space="preserve">Акцизите от алкохол и алкохолни напитки (вкл. бира) </w:t>
      </w:r>
      <w:r w:rsidRPr="00166647">
        <w:t xml:space="preserve">възлизат на 228,7 млн. лева; </w:t>
      </w:r>
    </w:p>
    <w:p w14:paraId="5A7D3688" w14:textId="77777777" w:rsidR="008D7B9C" w:rsidRPr="00166647" w:rsidRDefault="008D7B9C" w:rsidP="008D7B9C">
      <w:pPr>
        <w:numPr>
          <w:ilvl w:val="0"/>
          <w:numId w:val="18"/>
        </w:numPr>
        <w:ind w:firstLine="66"/>
        <w:jc w:val="both"/>
      </w:pPr>
      <w:r w:rsidRPr="00166647">
        <w:rPr>
          <w:i/>
        </w:rPr>
        <w:t xml:space="preserve">Приходите от други акцизни стоки </w:t>
      </w:r>
      <w:r w:rsidRPr="00166647">
        <w:t>възлизат на 31,0 млн. лева;</w:t>
      </w:r>
    </w:p>
    <w:p w14:paraId="10A1F8A5" w14:textId="77777777" w:rsidR="008D7B9C" w:rsidRPr="00166647" w:rsidRDefault="008D7B9C" w:rsidP="008D7B9C">
      <w:pPr>
        <w:numPr>
          <w:ilvl w:val="0"/>
          <w:numId w:val="18"/>
        </w:numPr>
        <w:ind w:firstLine="66"/>
        <w:jc w:val="both"/>
      </w:pPr>
      <w:r w:rsidRPr="00166647">
        <w:rPr>
          <w:i/>
        </w:rPr>
        <w:t xml:space="preserve">Авансови вноски – </w:t>
      </w:r>
      <w:r w:rsidRPr="00166647">
        <w:t>10,2 млн. лева.</w:t>
      </w:r>
    </w:p>
    <w:p w14:paraId="30CC815F" w14:textId="77777777" w:rsidR="008D7B9C" w:rsidRPr="001C4B86" w:rsidRDefault="008D7B9C" w:rsidP="008D7B9C">
      <w:pPr>
        <w:ind w:left="360"/>
        <w:jc w:val="both"/>
        <w:rPr>
          <w:color w:val="0070C0"/>
          <w:sz w:val="8"/>
          <w:szCs w:val="8"/>
        </w:rPr>
      </w:pPr>
    </w:p>
    <w:p w14:paraId="308BF287" w14:textId="77777777" w:rsidR="008D7B9C" w:rsidRPr="001C4B86" w:rsidRDefault="008D7B9C" w:rsidP="008D7B9C">
      <w:pPr>
        <w:ind w:left="360"/>
        <w:jc w:val="both"/>
        <w:rPr>
          <w:color w:val="0070C0"/>
          <w:sz w:val="8"/>
          <w:szCs w:val="8"/>
        </w:rPr>
      </w:pPr>
    </w:p>
    <w:p w14:paraId="03E3F6CB" w14:textId="77777777" w:rsidR="008D7B9C" w:rsidRPr="001C4B86" w:rsidRDefault="008D7B9C" w:rsidP="008D7B9C">
      <w:pPr>
        <w:ind w:left="360"/>
        <w:jc w:val="both"/>
        <w:rPr>
          <w:color w:val="0070C0"/>
          <w:sz w:val="8"/>
          <w:szCs w:val="8"/>
        </w:rPr>
      </w:pPr>
    </w:p>
    <w:p w14:paraId="5B7F83BD" w14:textId="77777777" w:rsidR="008D7B9C" w:rsidRPr="00370552" w:rsidRDefault="008D7B9C" w:rsidP="008D7B9C">
      <w:pPr>
        <w:spacing w:after="120"/>
        <w:jc w:val="both"/>
      </w:pPr>
      <w:r w:rsidRPr="00370552">
        <w:rPr>
          <w:b/>
        </w:rPr>
        <w:lastRenderedPageBreak/>
        <w:t>Приходите от данък върху застрахователните премии</w:t>
      </w:r>
      <w:r w:rsidRPr="00370552">
        <w:t xml:space="preserve"> са в размер на </w:t>
      </w:r>
      <w:r w:rsidRPr="00370552">
        <w:rPr>
          <w:b/>
        </w:rPr>
        <w:t>35,6 млн. лв</w:t>
      </w:r>
      <w:r w:rsidRPr="00370552">
        <w:t>., при планирани за годината 50,0 млн. лева.</w:t>
      </w:r>
    </w:p>
    <w:p w14:paraId="45EDDA21" w14:textId="77777777" w:rsidR="008D7B9C" w:rsidRPr="001C4B86" w:rsidRDefault="008D7B9C" w:rsidP="008D7B9C">
      <w:pPr>
        <w:tabs>
          <w:tab w:val="right" w:pos="9072"/>
        </w:tabs>
        <w:ind w:right="-2"/>
        <w:jc w:val="both"/>
        <w:rPr>
          <w:color w:val="0070C0"/>
        </w:rPr>
      </w:pPr>
      <w:r w:rsidRPr="00370552">
        <w:rPr>
          <w:b/>
        </w:rPr>
        <w:t>Постъпленията от</w:t>
      </w:r>
      <w:r w:rsidRPr="00370552">
        <w:t xml:space="preserve"> </w:t>
      </w:r>
      <w:r w:rsidRPr="00370552">
        <w:rPr>
          <w:b/>
          <w:bCs/>
        </w:rPr>
        <w:t xml:space="preserve">мита </w:t>
      </w:r>
      <w:r w:rsidRPr="00370552">
        <w:t xml:space="preserve">възлизат на </w:t>
      </w:r>
      <w:r w:rsidRPr="00370552">
        <w:rPr>
          <w:b/>
        </w:rPr>
        <w:t>204,4 млн. лв</w:t>
      </w:r>
      <w:r w:rsidRPr="00370552">
        <w:t>. или 84,7 % от планираните със ЗДБРБ за 2021 г., като заемат 1,0 % относителен дял в общия размер на данъчните приходи по държавния бюджет. В сравнение със същия период на предходната година събраните мита са с 47,8 млн. лв. (30,5 %) повече.</w:t>
      </w:r>
      <w:r w:rsidRPr="001C4B86">
        <w:rPr>
          <w:color w:val="0070C0"/>
        </w:rPr>
        <w:t xml:space="preserve"> </w:t>
      </w:r>
    </w:p>
    <w:p w14:paraId="50D5F01D" w14:textId="77777777" w:rsidR="008D7B9C" w:rsidRPr="002F5D75" w:rsidRDefault="008D7B9C" w:rsidP="008D7B9C">
      <w:pPr>
        <w:tabs>
          <w:tab w:val="left" w:pos="0"/>
        </w:tabs>
        <w:spacing w:before="120"/>
        <w:jc w:val="both"/>
      </w:pPr>
      <w:r w:rsidRPr="002F5D75">
        <w:t xml:space="preserve">Основните фактори, от които зависят приходите от </w:t>
      </w:r>
      <w:r w:rsidRPr="002F5D75">
        <w:rPr>
          <w:b/>
          <w:i/>
        </w:rPr>
        <w:t>мита и митнически такси</w:t>
      </w:r>
      <w:r w:rsidRPr="002F5D75">
        <w:t xml:space="preserve"> са следните:</w:t>
      </w:r>
    </w:p>
    <w:p w14:paraId="3A69775B" w14:textId="17528A90" w:rsidR="008D7B9C" w:rsidRPr="002F5D75" w:rsidRDefault="008D7B9C" w:rsidP="008D7B9C">
      <w:pPr>
        <w:numPr>
          <w:ilvl w:val="0"/>
          <w:numId w:val="25"/>
        </w:numPr>
        <w:tabs>
          <w:tab w:val="left" w:pos="0"/>
        </w:tabs>
        <w:ind w:left="851" w:hanging="284"/>
        <w:jc w:val="both"/>
      </w:pPr>
      <w:r w:rsidRPr="002F5D75">
        <w:t>динамика в цените на енергийни и нее</w:t>
      </w:r>
      <w:r w:rsidR="009C7281">
        <w:t>не</w:t>
      </w:r>
      <w:r w:rsidRPr="002F5D75">
        <w:t>ргийни суровини;</w:t>
      </w:r>
    </w:p>
    <w:p w14:paraId="7B14AA55" w14:textId="77777777" w:rsidR="008D7B9C" w:rsidRPr="002F5D75" w:rsidRDefault="008D7B9C" w:rsidP="008D7B9C">
      <w:pPr>
        <w:numPr>
          <w:ilvl w:val="0"/>
          <w:numId w:val="25"/>
        </w:numPr>
        <w:tabs>
          <w:tab w:val="left" w:pos="0"/>
        </w:tabs>
        <w:ind w:left="851" w:hanging="284"/>
        <w:jc w:val="both"/>
      </w:pPr>
      <w:r w:rsidRPr="002F5D75">
        <w:t>реален растеж на световната и европейска икономика;</w:t>
      </w:r>
    </w:p>
    <w:p w14:paraId="62D77BA2" w14:textId="77777777" w:rsidR="008D7B9C" w:rsidRPr="002F5D75" w:rsidRDefault="008D7B9C" w:rsidP="008D7B9C">
      <w:pPr>
        <w:numPr>
          <w:ilvl w:val="0"/>
          <w:numId w:val="25"/>
        </w:numPr>
        <w:tabs>
          <w:tab w:val="left" w:pos="0"/>
        </w:tabs>
        <w:ind w:left="851" w:hanging="284"/>
        <w:jc w:val="both"/>
      </w:pPr>
      <w:r w:rsidRPr="002F5D75">
        <w:t>подобряване на ефективността на митническия контрол, чрез извършване на проверки, изготвяне на указания, усъвършенстване на информационните системи за анализ на риска;</w:t>
      </w:r>
    </w:p>
    <w:p w14:paraId="7FAEE052" w14:textId="77777777" w:rsidR="008D7B9C" w:rsidRPr="002F5D75" w:rsidRDefault="008D7B9C" w:rsidP="008D7B9C">
      <w:pPr>
        <w:numPr>
          <w:ilvl w:val="0"/>
          <w:numId w:val="25"/>
        </w:numPr>
        <w:tabs>
          <w:tab w:val="left" w:pos="0"/>
        </w:tabs>
        <w:ind w:left="851" w:hanging="284"/>
        <w:jc w:val="both"/>
      </w:pPr>
      <w:r w:rsidRPr="002F5D75">
        <w:t>синхронизиране на законодателството, процедурите и инструментите за митнически контрол на ЕС, с цел правилното определяне и събиране на  публичните вземания от компетентността на митническата администрация.</w:t>
      </w:r>
    </w:p>
    <w:p w14:paraId="72E0AE42" w14:textId="03E3ADA7" w:rsidR="008D7B9C" w:rsidRPr="001C4B86" w:rsidRDefault="008D7B9C" w:rsidP="008D7B9C">
      <w:pPr>
        <w:tabs>
          <w:tab w:val="right" w:pos="9072"/>
        </w:tabs>
        <w:spacing w:before="120"/>
        <w:jc w:val="both"/>
        <w:rPr>
          <w:color w:val="0070C0"/>
        </w:rPr>
      </w:pPr>
      <w:r w:rsidRPr="009E6106">
        <w:t>По-</w:t>
      </w:r>
      <w:r w:rsidRPr="00A97CBB">
        <w:t>високи постъпления от мита</w:t>
      </w:r>
      <w:r w:rsidRPr="00A97CBB">
        <w:rPr>
          <w:b/>
          <w:i/>
        </w:rPr>
        <w:t xml:space="preserve"> </w:t>
      </w:r>
      <w:r w:rsidRPr="00A97CBB">
        <w:t xml:space="preserve">към края на септември 2021 г. се отчитат при следните групи стоки: „Чугун, желязо и стомана“ - приходите са с 16,3 млн. лв. повече спрямо края на септември 2020 г.; „Пластмаси и пластмасови изделия“ – приходите нарастват с 8,7 млн. лв. (74,4 %) </w:t>
      </w:r>
      <w:r w:rsidRPr="00EB600A">
        <w:t xml:space="preserve">спрямо тези към края на септември 2020 г.; „Автомобилни превозни средства, велосипеди и др.“  - приходите нарастват с 5,9 млн. лв. (43,2 %) спрямо постъпленията към края на септември 2020 г.; </w:t>
      </w:r>
      <w:r>
        <w:t xml:space="preserve">„Торове“ - </w:t>
      </w:r>
      <w:r w:rsidRPr="00EB600A">
        <w:t>приходите нарастват с 5,0 млн. лв. (132,1 %) спрямо постъпленията към края на септември 2020 г.; „Електрически машини и апарати</w:t>
      </w:r>
      <w:r w:rsidRPr="00FC69BD">
        <w:t>”</w:t>
      </w:r>
      <w:r w:rsidRPr="00EB600A">
        <w:t> - увеличение в размер на 4,5 млн. лв. (37,7 %) спрямо постъпленията към края на септември 2020 г</w:t>
      </w:r>
      <w:r w:rsidRPr="009558A6">
        <w:t>. В зависимост от произхода на внасяните стоки, най-голям е делът на приходите от мита при внос на стоки от Китай. Събраната сума през периода януари - септември 2021 г. е 95,5 млн. лева, което представлява 47,1 % от всички събрани мита и ръст от 15,7 % спрямо същия период на 2020 година. На второ място са приходите от мита за внос на стоки с произход Русия – 19,8 млн. лева, 9,8 % дял и ръст от 17,4 % спрямо деветте месеца на 2020 година. Следват приходите от мита за стоки, внесени от Украйна (11,4 млн. лева, 5,6 % дя</w:t>
      </w:r>
      <w:r>
        <w:t>л от всички мита</w:t>
      </w:r>
      <w:r w:rsidRPr="009558A6">
        <w:t>), САЩ с 8,4 млн. лева приходи, 4,2 % относителен дял и ръст от 7,7 %, и Турция (7,7 млн. лева, 3,8 % дял и ръст от 169,5 %).</w:t>
      </w:r>
    </w:p>
    <w:p w14:paraId="308A1F93" w14:textId="77777777" w:rsidR="008D7B9C" w:rsidRPr="009E6106" w:rsidRDefault="008D7B9C" w:rsidP="008D7B9C">
      <w:pPr>
        <w:numPr>
          <w:ilvl w:val="0"/>
          <w:numId w:val="4"/>
        </w:numPr>
        <w:tabs>
          <w:tab w:val="clear" w:pos="1440"/>
          <w:tab w:val="num" w:pos="540"/>
        </w:tabs>
        <w:spacing w:before="120"/>
        <w:ind w:left="0" w:firstLine="181"/>
        <w:jc w:val="both"/>
        <w:rPr>
          <w:b/>
          <w:bCs/>
        </w:rPr>
      </w:pPr>
      <w:r w:rsidRPr="009E6106">
        <w:rPr>
          <w:b/>
          <w:bCs/>
        </w:rPr>
        <w:t>Други данъци</w:t>
      </w:r>
    </w:p>
    <w:p w14:paraId="3DEA1F26" w14:textId="77777777" w:rsidR="008D7B9C" w:rsidRPr="009E6106" w:rsidRDefault="008D7B9C" w:rsidP="008D7B9C">
      <w:pPr>
        <w:spacing w:before="120"/>
        <w:jc w:val="both"/>
      </w:pPr>
      <w:r w:rsidRPr="009E6106">
        <w:t xml:space="preserve">Постъпленията от </w:t>
      </w:r>
      <w:r w:rsidRPr="009E6106">
        <w:rPr>
          <w:b/>
        </w:rPr>
        <w:t>други данъци</w:t>
      </w:r>
      <w:r w:rsidRPr="009E6106">
        <w:t xml:space="preserve"> по държавния бюджет </w:t>
      </w:r>
      <w:r w:rsidRPr="009E6106">
        <w:rPr>
          <w:bCs/>
        </w:rPr>
        <w:t>към края на септември 2021</w:t>
      </w:r>
      <w:r w:rsidRPr="009E6106">
        <w:t xml:space="preserve"> г. са в размер на </w:t>
      </w:r>
      <w:r w:rsidRPr="009E6106">
        <w:rPr>
          <w:b/>
        </w:rPr>
        <w:t xml:space="preserve">95,8 млн. лв. </w:t>
      </w:r>
      <w:r w:rsidRPr="009E6106">
        <w:t xml:space="preserve">или 82,7 % от планираните със ЗДБРБ за 2021 година. </w:t>
      </w:r>
    </w:p>
    <w:p w14:paraId="59B9B8FD" w14:textId="77777777" w:rsidR="008D7B9C" w:rsidRPr="008E79DB" w:rsidRDefault="008D7B9C" w:rsidP="008D7B9C">
      <w:pPr>
        <w:numPr>
          <w:ilvl w:val="0"/>
          <w:numId w:val="3"/>
        </w:numPr>
        <w:tabs>
          <w:tab w:val="num" w:pos="720"/>
        </w:tabs>
        <w:spacing w:before="120"/>
        <w:ind w:left="0" w:firstLine="181"/>
        <w:jc w:val="both"/>
      </w:pPr>
      <w:r w:rsidRPr="008E79DB">
        <w:rPr>
          <w:b/>
          <w:bCs/>
        </w:rPr>
        <w:t>Неданъчни приходи</w:t>
      </w:r>
    </w:p>
    <w:p w14:paraId="44FAA6FD" w14:textId="77777777" w:rsidR="008D7B9C" w:rsidRPr="001C4B86" w:rsidRDefault="008D7B9C" w:rsidP="008D7B9C">
      <w:pPr>
        <w:tabs>
          <w:tab w:val="left" w:pos="900"/>
        </w:tabs>
        <w:spacing w:after="120"/>
        <w:jc w:val="both"/>
        <w:rPr>
          <w:color w:val="0070C0"/>
        </w:rPr>
      </w:pPr>
      <w:r w:rsidRPr="008E79DB">
        <w:t>Отчетените</w:t>
      </w:r>
      <w:r w:rsidRPr="008E79DB">
        <w:rPr>
          <w:b/>
          <w:bCs/>
        </w:rPr>
        <w:t xml:space="preserve"> неданъчни приходи</w:t>
      </w:r>
      <w:r w:rsidRPr="008E79DB">
        <w:t xml:space="preserve"> по държавния бюджет </w:t>
      </w:r>
      <w:r w:rsidRPr="008E79DB">
        <w:rPr>
          <w:bCs/>
        </w:rPr>
        <w:t>към септември 2021</w:t>
      </w:r>
      <w:r w:rsidRPr="008E79DB">
        <w:t xml:space="preserve"> г. са в размер на </w:t>
      </w:r>
      <w:r w:rsidRPr="008E79DB">
        <w:rPr>
          <w:b/>
        </w:rPr>
        <w:t>2 498,5 млн. лв</w:t>
      </w:r>
      <w:r w:rsidRPr="008E79DB">
        <w:t>. и се формират основно от приходи от държавни такси, приходи и доходи от собственост, приходи от концесии и други.</w:t>
      </w:r>
      <w:r w:rsidRPr="001C4B86">
        <w:rPr>
          <w:color w:val="0070C0"/>
        </w:rPr>
        <w:t xml:space="preserve"> </w:t>
      </w:r>
      <w:r w:rsidRPr="008E79DB">
        <w:t>П</w:t>
      </w:r>
      <w:r w:rsidRPr="008E79DB">
        <w:rPr>
          <w:rFonts w:eastAsia="Calibri"/>
        </w:rPr>
        <w:t>рез месец април 2021 г. постъпиха приходи с еднократен за годината ефект, които представляват първоначално концесионно възнаграждение за държавата от концесията на Летище София.</w:t>
      </w:r>
    </w:p>
    <w:p w14:paraId="5EE51305" w14:textId="77777777" w:rsidR="008D7B9C" w:rsidRPr="002E3E2C" w:rsidRDefault="008D7B9C" w:rsidP="008D7B9C">
      <w:pPr>
        <w:numPr>
          <w:ilvl w:val="0"/>
          <w:numId w:val="3"/>
        </w:numPr>
        <w:tabs>
          <w:tab w:val="num" w:pos="720"/>
        </w:tabs>
        <w:ind w:left="0" w:firstLine="181"/>
        <w:jc w:val="both"/>
        <w:rPr>
          <w:b/>
          <w:bCs/>
        </w:rPr>
      </w:pPr>
      <w:r w:rsidRPr="002E3E2C">
        <w:rPr>
          <w:b/>
          <w:bCs/>
        </w:rPr>
        <w:t>Помощи и дарения</w:t>
      </w:r>
    </w:p>
    <w:p w14:paraId="1517A23A" w14:textId="77777777" w:rsidR="008D7B9C" w:rsidRDefault="008D7B9C" w:rsidP="008D7B9C">
      <w:pPr>
        <w:spacing w:after="120"/>
        <w:jc w:val="both"/>
      </w:pPr>
      <w:r w:rsidRPr="002E3E2C">
        <w:t xml:space="preserve">Постъпилите </w:t>
      </w:r>
      <w:r w:rsidRPr="002E3E2C">
        <w:rPr>
          <w:b/>
        </w:rPr>
        <w:t>помощи</w:t>
      </w:r>
      <w:r w:rsidRPr="002E3E2C">
        <w:t xml:space="preserve"> </w:t>
      </w:r>
      <w:r w:rsidRPr="002E3E2C">
        <w:rPr>
          <w:b/>
        </w:rPr>
        <w:t>и дарения</w:t>
      </w:r>
      <w:r w:rsidRPr="002E3E2C">
        <w:t xml:space="preserve"> по държавния бюджет към септември 2021 г. са в размер на </w:t>
      </w:r>
      <w:r w:rsidRPr="002E3E2C">
        <w:rPr>
          <w:b/>
        </w:rPr>
        <w:t>2,1 млн. лв.</w:t>
      </w:r>
      <w:r w:rsidRPr="002E3E2C">
        <w:t xml:space="preserve"> и са по бюджетите на министерствата и ведомствата.</w:t>
      </w:r>
    </w:p>
    <w:p w14:paraId="6EEB836C" w14:textId="77777777" w:rsidR="0040513F" w:rsidRPr="00FA6DB8" w:rsidRDefault="0040513F" w:rsidP="0040513F">
      <w:pPr>
        <w:numPr>
          <w:ilvl w:val="0"/>
          <w:numId w:val="6"/>
        </w:numPr>
        <w:tabs>
          <w:tab w:val="clear" w:pos="700"/>
          <w:tab w:val="num" w:pos="426"/>
        </w:tabs>
        <w:spacing w:before="240"/>
        <w:ind w:left="0" w:firstLine="0"/>
        <w:jc w:val="both"/>
        <w:rPr>
          <w:b/>
          <w:bCs/>
        </w:rPr>
      </w:pPr>
      <w:r w:rsidRPr="00FA6DB8">
        <w:rPr>
          <w:b/>
          <w:bCs/>
        </w:rPr>
        <w:t>Разходи по държавния бюджет</w:t>
      </w:r>
    </w:p>
    <w:p w14:paraId="5C1DA8B0" w14:textId="77777777" w:rsidR="0040513F" w:rsidRPr="00FA6DB8" w:rsidRDefault="0040513F" w:rsidP="0040513F">
      <w:pPr>
        <w:jc w:val="both"/>
        <w:rPr>
          <w:b/>
          <w:bCs/>
          <w:sz w:val="4"/>
          <w:szCs w:val="4"/>
        </w:rPr>
      </w:pPr>
    </w:p>
    <w:p w14:paraId="78DD5BD9" w14:textId="77777777" w:rsidR="0040513F" w:rsidRPr="00C74BCF" w:rsidRDefault="0040513F" w:rsidP="0040513F">
      <w:pPr>
        <w:pStyle w:val="BodyTextIndent"/>
        <w:spacing w:after="0"/>
        <w:ind w:left="0"/>
        <w:jc w:val="both"/>
      </w:pPr>
      <w:r w:rsidRPr="00FA6DB8">
        <w:t xml:space="preserve">Общият размер на </w:t>
      </w:r>
      <w:r w:rsidRPr="00FA6DB8">
        <w:rPr>
          <w:b/>
        </w:rPr>
        <w:t>разходите по държавния бюджет</w:t>
      </w:r>
      <w:r w:rsidRPr="00FA6DB8">
        <w:t xml:space="preserve"> (вкл. трансферите за др. бюджети и вноската в бюджета </w:t>
      </w:r>
      <w:r w:rsidRPr="00C74BCF">
        <w:t xml:space="preserve">на ЕС) </w:t>
      </w:r>
      <w:r w:rsidRPr="00C74BCF">
        <w:rPr>
          <w:bCs/>
        </w:rPr>
        <w:t>към септември 2021</w:t>
      </w:r>
      <w:r w:rsidRPr="00C74BCF">
        <w:t xml:space="preserve"> г. е </w:t>
      </w:r>
      <w:r w:rsidRPr="00C74BCF">
        <w:rPr>
          <w:b/>
        </w:rPr>
        <w:t>2</w:t>
      </w:r>
      <w:r>
        <w:rPr>
          <w:b/>
        </w:rPr>
        <w:t>2</w:t>
      </w:r>
      <w:r w:rsidRPr="00C74BCF">
        <w:rPr>
          <w:b/>
        </w:rPr>
        <w:t> 138,2 млн. лв</w:t>
      </w:r>
      <w:r w:rsidRPr="00C74BCF">
        <w:t>. или 64,0 % от предвидените със ЗДБРБ за 2021 година.</w:t>
      </w:r>
    </w:p>
    <w:p w14:paraId="5F1993F5" w14:textId="5CCB4EAD" w:rsidR="0040513F" w:rsidRDefault="0040513F" w:rsidP="0040513F">
      <w:pPr>
        <w:pStyle w:val="BodyTextIndent"/>
        <w:spacing w:after="0"/>
        <w:ind w:left="0"/>
        <w:jc w:val="both"/>
        <w:rPr>
          <w:color w:val="0070C0"/>
        </w:rPr>
      </w:pPr>
    </w:p>
    <w:p w14:paraId="7E96193D" w14:textId="4C14CC94" w:rsidR="0040513F" w:rsidRDefault="0040513F" w:rsidP="0040513F">
      <w:pPr>
        <w:pStyle w:val="BodyTextIndent"/>
        <w:spacing w:after="0"/>
        <w:ind w:left="0"/>
        <w:jc w:val="both"/>
        <w:rPr>
          <w:color w:val="0070C0"/>
        </w:rPr>
      </w:pPr>
    </w:p>
    <w:p w14:paraId="54F918D0" w14:textId="27437B0E" w:rsidR="0040513F" w:rsidRDefault="0040513F" w:rsidP="0040513F">
      <w:pPr>
        <w:pStyle w:val="BodyTextIndent"/>
        <w:spacing w:after="0"/>
        <w:ind w:left="0"/>
        <w:jc w:val="both"/>
        <w:rPr>
          <w:color w:val="0070C0"/>
        </w:rPr>
      </w:pPr>
    </w:p>
    <w:p w14:paraId="62D4A273" w14:textId="21E516D6" w:rsidR="0040513F" w:rsidRDefault="0040513F" w:rsidP="0040513F">
      <w:pPr>
        <w:pStyle w:val="BodyTextIndent"/>
        <w:spacing w:after="0"/>
        <w:ind w:left="0"/>
        <w:jc w:val="both"/>
        <w:rPr>
          <w:color w:val="0070C0"/>
        </w:rPr>
      </w:pPr>
    </w:p>
    <w:p w14:paraId="6CA9D6FF" w14:textId="151D82E6" w:rsidR="0040513F" w:rsidRDefault="0040513F" w:rsidP="0040513F">
      <w:pPr>
        <w:pStyle w:val="BodyTextIndent"/>
        <w:spacing w:after="0"/>
        <w:ind w:left="0"/>
        <w:jc w:val="both"/>
        <w:rPr>
          <w:color w:val="0070C0"/>
        </w:rPr>
      </w:pPr>
    </w:p>
    <w:p w14:paraId="28337105" w14:textId="77777777" w:rsidR="0040513F" w:rsidRPr="001C4B86" w:rsidRDefault="0040513F" w:rsidP="0040513F">
      <w:pPr>
        <w:pStyle w:val="BodyTextIndent"/>
        <w:spacing w:after="0"/>
        <w:ind w:left="0"/>
        <w:jc w:val="both"/>
        <w:rPr>
          <w:color w:val="0070C0"/>
        </w:rPr>
      </w:pPr>
    </w:p>
    <w:p w14:paraId="734E0F38" w14:textId="77777777" w:rsidR="0040513F" w:rsidRPr="00FC69BD" w:rsidRDefault="0040513F" w:rsidP="0040513F">
      <w:pPr>
        <w:pStyle w:val="BodyTextIndent"/>
        <w:spacing w:after="0"/>
        <w:ind w:left="0"/>
        <w:jc w:val="both"/>
        <w:rPr>
          <w:color w:val="0070C0"/>
        </w:rPr>
      </w:pPr>
    </w:p>
    <w:p w14:paraId="14AAC2CB" w14:textId="77777777" w:rsidR="0040513F" w:rsidRPr="00FC69BD" w:rsidRDefault="0040513F" w:rsidP="0040513F">
      <w:pPr>
        <w:pStyle w:val="BodyTextIndent"/>
        <w:spacing w:after="0"/>
        <w:ind w:left="0"/>
        <w:jc w:val="both"/>
        <w:rPr>
          <w:sz w:val="8"/>
        </w:rPr>
      </w:pPr>
    </w:p>
    <w:p w14:paraId="75FFAB80" w14:textId="77777777" w:rsidR="0040513F" w:rsidRPr="00FF1691" w:rsidRDefault="0040513F" w:rsidP="0040513F">
      <w:pPr>
        <w:pStyle w:val="BodyTextIndent"/>
        <w:spacing w:after="0"/>
        <w:ind w:left="0"/>
        <w:jc w:val="center"/>
        <w:rPr>
          <w:b/>
          <w:sz w:val="4"/>
          <w:szCs w:val="4"/>
          <w:u w:val="single"/>
        </w:rPr>
      </w:pPr>
    </w:p>
    <w:p w14:paraId="6C6351D2" w14:textId="77777777" w:rsidR="0040513F" w:rsidRPr="00FF1691" w:rsidRDefault="0040513F" w:rsidP="0040513F">
      <w:pPr>
        <w:pStyle w:val="BodyTextIndent"/>
        <w:spacing w:after="0"/>
        <w:ind w:left="0"/>
        <w:jc w:val="center"/>
        <w:rPr>
          <w:b/>
          <w:u w:val="single"/>
        </w:rPr>
      </w:pPr>
      <w:r w:rsidRPr="00FF1691">
        <w:rPr>
          <w:b/>
          <w:u w:val="single"/>
        </w:rPr>
        <w:t xml:space="preserve">Разходи, трансфери за други бюджети и вноска в бюджета на ЕС </w:t>
      </w:r>
    </w:p>
    <w:p w14:paraId="3946DD1A" w14:textId="77777777" w:rsidR="0040513F" w:rsidRPr="00FF1691" w:rsidRDefault="0040513F" w:rsidP="0040513F">
      <w:pPr>
        <w:pStyle w:val="BodyTextIndent"/>
        <w:spacing w:after="0"/>
        <w:ind w:left="0"/>
        <w:jc w:val="center"/>
        <w:rPr>
          <w:b/>
          <w:u w:val="single"/>
        </w:rPr>
      </w:pPr>
      <w:r w:rsidRPr="00FF1691">
        <w:rPr>
          <w:b/>
          <w:u w:val="single"/>
        </w:rPr>
        <w:t>към септември 2020 г. и 2021 г.</w:t>
      </w:r>
    </w:p>
    <w:p w14:paraId="6E9CF301" w14:textId="77777777" w:rsidR="0040513F" w:rsidRPr="001C4B86" w:rsidRDefault="0040513F" w:rsidP="0040513F">
      <w:pPr>
        <w:pStyle w:val="BodyTextIndent"/>
        <w:spacing w:after="0"/>
        <w:ind w:left="0"/>
        <w:jc w:val="center"/>
        <w:rPr>
          <w:b/>
          <w:color w:val="0070C0"/>
          <w:sz w:val="8"/>
          <w:szCs w:val="8"/>
          <w:u w:val="single"/>
        </w:rPr>
      </w:pPr>
    </w:p>
    <w:p w14:paraId="16234EEC" w14:textId="77777777" w:rsidR="0040513F" w:rsidRPr="001C4B86" w:rsidRDefault="0040513F" w:rsidP="0040513F">
      <w:pPr>
        <w:pStyle w:val="BodyTextIndent"/>
        <w:spacing w:after="0"/>
        <w:ind w:left="0"/>
        <w:jc w:val="center"/>
        <w:rPr>
          <w:b/>
          <w:color w:val="0070C0"/>
          <w:u w:val="single"/>
        </w:rPr>
      </w:pPr>
      <w:bookmarkStart w:id="3" w:name="_MON_1562146415"/>
      <w:bookmarkStart w:id="4" w:name="_MON_1562146493"/>
      <w:bookmarkStart w:id="5" w:name="_MON_1562146700"/>
      <w:bookmarkStart w:id="6" w:name="_MON_1562146782"/>
      <w:bookmarkStart w:id="7" w:name="_MON_1562146967"/>
      <w:bookmarkStart w:id="8" w:name="_MON_1562147372"/>
      <w:bookmarkStart w:id="9" w:name="_MON_1562147473"/>
      <w:bookmarkStart w:id="10" w:name="_MON_1562147677"/>
      <w:bookmarkStart w:id="11" w:name="_MON_1562147743"/>
      <w:bookmarkStart w:id="12" w:name="_MON_1562147867"/>
      <w:bookmarkStart w:id="13" w:name="_MON_1562147934"/>
      <w:bookmarkStart w:id="14" w:name="_MON_1562148056"/>
      <w:bookmarkStart w:id="15" w:name="_MON_1562148171"/>
      <w:bookmarkStart w:id="16" w:name="_MON_1562148229"/>
      <w:bookmarkStart w:id="17" w:name="_MON_1562148307"/>
      <w:bookmarkStart w:id="18" w:name="_MON_1562148447"/>
      <w:bookmarkStart w:id="19" w:name="_MON_1562148558"/>
      <w:bookmarkStart w:id="20" w:name="_MON_1562152805"/>
      <w:bookmarkStart w:id="21" w:name="_MON_1562152984"/>
      <w:bookmarkStart w:id="22" w:name="_MON_1562153459"/>
      <w:bookmarkStart w:id="23" w:name="_MON_1562153503"/>
      <w:bookmarkStart w:id="24" w:name="_MON_1562153559"/>
      <w:bookmarkStart w:id="25" w:name="_MON_1562153646"/>
      <w:bookmarkStart w:id="26" w:name="_MON_1562153939"/>
      <w:bookmarkStart w:id="27" w:name="_MON_1562154053"/>
      <w:bookmarkStart w:id="28" w:name="_MON_1562154282"/>
      <w:bookmarkStart w:id="29" w:name="_MON_1562146286"/>
      <w:bookmarkStart w:id="30" w:name="_MON_1562154881"/>
      <w:bookmarkStart w:id="31" w:name="_MON_1562154973"/>
      <w:bookmarkStart w:id="32" w:name="_MON_1562155194"/>
      <w:bookmarkStart w:id="33" w:name="_MON_1562155231"/>
      <w:bookmarkStart w:id="34" w:name="_MON_1562155321"/>
      <w:bookmarkStart w:id="35" w:name="_MON_15621553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C4B86">
        <w:rPr>
          <w:noProof/>
          <w:color w:val="0070C0"/>
          <w:lang w:eastAsia="bg-BG"/>
        </w:rPr>
        <w:drawing>
          <wp:inline distT="0" distB="0" distL="0" distR="0" wp14:anchorId="03491220" wp14:editId="254903EF">
            <wp:extent cx="5547360" cy="3009900"/>
            <wp:effectExtent l="0" t="0" r="15240" b="1905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977A64" w14:textId="77777777" w:rsidR="0040513F" w:rsidRPr="00FF1691" w:rsidRDefault="0040513F" w:rsidP="0040513F">
      <w:pPr>
        <w:ind w:firstLine="360"/>
        <w:rPr>
          <w:sz w:val="18"/>
          <w:szCs w:val="18"/>
        </w:rPr>
      </w:pPr>
      <w:r w:rsidRPr="00FF1691">
        <w:rPr>
          <w:sz w:val="18"/>
          <w:szCs w:val="18"/>
        </w:rPr>
        <w:t>*</w:t>
      </w:r>
      <w:r w:rsidRPr="00FF1691">
        <w:t xml:space="preserve"> </w:t>
      </w:r>
      <w:r w:rsidRPr="00FF1691">
        <w:rPr>
          <w:sz w:val="18"/>
          <w:szCs w:val="18"/>
        </w:rPr>
        <w:t>Вкл. нетния прираст на държавния резерв</w:t>
      </w:r>
    </w:p>
    <w:p w14:paraId="453F332E" w14:textId="77777777" w:rsidR="0040513F" w:rsidRPr="001C4B86" w:rsidRDefault="0040513F" w:rsidP="0040513F">
      <w:pPr>
        <w:pStyle w:val="BodyTextIndent"/>
        <w:spacing w:before="120" w:after="0"/>
        <w:ind w:left="360"/>
        <w:jc w:val="both"/>
        <w:rPr>
          <w:b/>
          <w:bCs/>
          <w:color w:val="0070C0"/>
        </w:rPr>
      </w:pPr>
    </w:p>
    <w:p w14:paraId="249B5849" w14:textId="77777777" w:rsidR="0040513F" w:rsidRPr="00833296" w:rsidRDefault="0040513F" w:rsidP="0040513F">
      <w:pPr>
        <w:pStyle w:val="BodyTextIndent"/>
        <w:numPr>
          <w:ilvl w:val="0"/>
          <w:numId w:val="20"/>
        </w:numPr>
        <w:spacing w:before="120" w:after="0"/>
        <w:jc w:val="both"/>
        <w:rPr>
          <w:b/>
          <w:bCs/>
        </w:rPr>
      </w:pPr>
      <w:r w:rsidRPr="00833296">
        <w:rPr>
          <w:b/>
          <w:bCs/>
        </w:rPr>
        <w:t>Нелихвени разходи</w:t>
      </w:r>
    </w:p>
    <w:p w14:paraId="7696A38F" w14:textId="77777777" w:rsidR="0040513F" w:rsidRPr="00833296" w:rsidRDefault="0040513F" w:rsidP="0040513F">
      <w:pPr>
        <w:spacing w:before="120"/>
        <w:jc w:val="both"/>
        <w:rPr>
          <w:bCs/>
        </w:rPr>
      </w:pPr>
      <w:r w:rsidRPr="00833296">
        <w:rPr>
          <w:b/>
          <w:bCs/>
        </w:rPr>
        <w:t>Нелихвените разходи</w:t>
      </w:r>
      <w:r w:rsidRPr="00833296">
        <w:rPr>
          <w:bCs/>
        </w:rPr>
        <w:t xml:space="preserve"> по държавния бюджет (без трансферите за др. бюджети) към септември 2021</w:t>
      </w:r>
      <w:r w:rsidRPr="00833296">
        <w:rPr>
          <w:lang w:val="en-US"/>
        </w:rPr>
        <w:t> </w:t>
      </w:r>
      <w:r w:rsidRPr="00833296">
        <w:t xml:space="preserve">г. </w:t>
      </w:r>
      <w:r w:rsidRPr="00833296">
        <w:rPr>
          <w:bCs/>
        </w:rPr>
        <w:t xml:space="preserve">са в размер на </w:t>
      </w:r>
      <w:r w:rsidRPr="00833296">
        <w:rPr>
          <w:b/>
          <w:bCs/>
        </w:rPr>
        <w:t>8 323,6 млн. лв</w:t>
      </w:r>
      <w:r w:rsidRPr="00833296">
        <w:rPr>
          <w:bCs/>
        </w:rPr>
        <w:t xml:space="preserve">., което представлява 54,9 % от годишния разчет. Съпоставени с данните към септември 2020 г., нелихвените разходи нарастват с 330,0 млн. лв. (4,1 %). </w:t>
      </w:r>
    </w:p>
    <w:p w14:paraId="01056493" w14:textId="77777777" w:rsidR="00E0357E" w:rsidRDefault="0040513F" w:rsidP="0040513F">
      <w:pPr>
        <w:spacing w:before="120" w:after="120"/>
        <w:jc w:val="both"/>
        <w:rPr>
          <w:bCs/>
        </w:rPr>
      </w:pPr>
      <w:r w:rsidRPr="00943949">
        <w:rPr>
          <w:bCs/>
        </w:rPr>
        <w:t xml:space="preserve">Разходите за персонал (заплати и </w:t>
      </w:r>
      <w:r w:rsidRPr="00943949">
        <w:rPr>
          <w:bCs/>
          <w:noProof/>
        </w:rPr>
        <w:t>възнаграждения</w:t>
      </w:r>
      <w:r w:rsidRPr="00943949">
        <w:rPr>
          <w:bCs/>
        </w:rPr>
        <w:t xml:space="preserve">, други възнаграждения и плащания за персонала и осигурителни вноски) са в общ размер на 4 876,1 млн. лв. или 72,4 % от планираните </w:t>
      </w:r>
      <w:r w:rsidRPr="00943949">
        <w:t xml:space="preserve">за 2021 </w:t>
      </w:r>
      <w:r w:rsidRPr="00943949">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1 452,0 млн. лв. или 49,9 % от планираните </w:t>
      </w:r>
      <w:r w:rsidRPr="00943949">
        <w:t>за годината</w:t>
      </w:r>
      <w:r w:rsidRPr="00943949">
        <w:rPr>
          <w:bCs/>
        </w:rPr>
        <w:t xml:space="preserve">. Социалните разходи (вкл. разходите за стипендии) са в размер на 1 013,7 млн. лв. или 57,7 % от предвидените </w:t>
      </w:r>
      <w:r w:rsidRPr="00943949">
        <w:t>за годината</w:t>
      </w:r>
      <w:r w:rsidRPr="00943949">
        <w:rPr>
          <w:bCs/>
        </w:rPr>
        <w:t xml:space="preserve"> и са основно разходи по бюджета на МТСП за помощи по Закона за социално подпомагане, Закона за хората с увреждания, Закона за семейните помощи за деца и др. Предоставените текущи и капиталови трансфери за чужбина са в размер на 10,5</w:t>
      </w:r>
      <w:r w:rsidRPr="00943949">
        <w:rPr>
          <w:rFonts w:eastAsia="Calibri"/>
          <w:b/>
        </w:rPr>
        <w:t> </w:t>
      </w:r>
      <w:r w:rsidRPr="00943949">
        <w:rPr>
          <w:bCs/>
        </w:rPr>
        <w:t>млн. лв. Разходите за субсидии са в размер на 800,1 млн. лв. или 62,8 % от планираните за годината.</w:t>
      </w:r>
      <w:r w:rsidRPr="001C4B86">
        <w:rPr>
          <w:bCs/>
          <w:color w:val="0070C0"/>
        </w:rPr>
        <w:t xml:space="preserve"> </w:t>
      </w:r>
      <w:r w:rsidRPr="00295893">
        <w:rPr>
          <w:bCs/>
        </w:rPr>
        <w:t>От тях 135,6</w:t>
      </w:r>
      <w:r w:rsidRPr="00295893">
        <w:t xml:space="preserve"> </w:t>
      </w:r>
      <w:r w:rsidRPr="00295893">
        <w:rPr>
          <w:bCs/>
        </w:rPr>
        <w:t xml:space="preserve">млн. лв. са субсидиите за </w:t>
      </w:r>
      <w:r w:rsidRPr="00295893">
        <w:t>„БДЖ – Пътнически превози” ЕООД</w:t>
      </w:r>
      <w:r w:rsidRPr="00295893">
        <w:rPr>
          <w:bCs/>
        </w:rPr>
        <w:t>;</w:t>
      </w:r>
      <w:r w:rsidRPr="001C4B86">
        <w:rPr>
          <w:bCs/>
          <w:color w:val="0070C0"/>
        </w:rPr>
        <w:t xml:space="preserve"> </w:t>
      </w:r>
      <w:r w:rsidRPr="00771835">
        <w:rPr>
          <w:bCs/>
        </w:rPr>
        <w:t>152,4</w:t>
      </w:r>
      <w:r w:rsidRPr="00771835">
        <w:rPr>
          <w:rFonts w:eastAsia="Calibri"/>
          <w:b/>
        </w:rPr>
        <w:t> </w:t>
      </w:r>
      <w:r w:rsidRPr="00771835">
        <w:rPr>
          <w:bCs/>
        </w:rPr>
        <w:t>млн. лв. (в т.ч. 0,4 млн. лв. за предотвратяване на последици от стихийни бедствия – ПМС № 207/29.</w:t>
      </w:r>
      <w:r w:rsidRPr="00226D22">
        <w:rPr>
          <w:bCs/>
        </w:rPr>
        <w:t xml:space="preserve">06.2021 г.) са субсидиите за </w:t>
      </w:r>
      <w:r w:rsidRPr="00226D22">
        <w:t>Национална компания „Железопътна инфраструктура” и 44,4</w:t>
      </w:r>
      <w:r w:rsidRPr="00226D22">
        <w:rPr>
          <w:rFonts w:eastAsia="Calibri"/>
          <w:b/>
        </w:rPr>
        <w:t> </w:t>
      </w:r>
      <w:r w:rsidRPr="00226D22">
        <w:t xml:space="preserve">млн. лв. </w:t>
      </w:r>
      <w:r w:rsidRPr="00FC69BD">
        <w:t>(</w:t>
      </w:r>
      <w:r w:rsidRPr="00226D22">
        <w:t>в т.ч.  26,5 млн. лв. за извършване на универсална пощенска услуга и 17,8 млн. лв. за разпространение на периодични печатни издания - вестници и списания</w:t>
      </w:r>
      <w:r w:rsidRPr="00FC69BD">
        <w:t>)</w:t>
      </w:r>
      <w:r w:rsidRPr="00226D22">
        <w:t xml:space="preserve"> за „Български пощи” ЕАД.</w:t>
      </w:r>
      <w:r w:rsidRPr="001C4B86">
        <w:rPr>
          <w:color w:val="0070C0"/>
        </w:rPr>
        <w:t xml:space="preserve"> </w:t>
      </w:r>
      <w:r w:rsidRPr="009F24E4">
        <w:t>Към края на месец септември 2021</w:t>
      </w:r>
      <w:r w:rsidRPr="009F24E4">
        <w:rPr>
          <w:rFonts w:eastAsia="Calibri"/>
          <w:b/>
        </w:rPr>
        <w:t> </w:t>
      </w:r>
      <w:r w:rsidRPr="009F24E4">
        <w:rPr>
          <w:bCs/>
        </w:rPr>
        <w:t>г. ДФ „Земеделие“ e изплатил субсидии в общ размер на 176,7 млн. лв., от които 84,8 млн. лв. държавна помощ;</w:t>
      </w:r>
      <w:r w:rsidRPr="001C4B86">
        <w:rPr>
          <w:bCs/>
          <w:color w:val="0070C0"/>
        </w:rPr>
        <w:t xml:space="preserve"> </w:t>
      </w:r>
      <w:r w:rsidRPr="001F3427">
        <w:rPr>
          <w:bCs/>
        </w:rPr>
        <w:t>71,1 млн.</w:t>
      </w:r>
      <w:r w:rsidRPr="001F3427">
        <w:t xml:space="preserve"> </w:t>
      </w:r>
      <w:r w:rsidRPr="001F3427">
        <w:rPr>
          <w:bCs/>
        </w:rPr>
        <w:t>лв. преходна национална помощ за тютюн; 14,9 млн. лв. преходна национална помощ за сектор „Животновъдство“ и 4,3 млн. лв. средства за ДДС по схеми „Училищен плод“ и „Училищно мляко“.</w:t>
      </w:r>
    </w:p>
    <w:p w14:paraId="0C0DAA40" w14:textId="3B120D9F" w:rsidR="0040513F" w:rsidRPr="003E7B71" w:rsidRDefault="0040513F" w:rsidP="0040513F">
      <w:pPr>
        <w:spacing w:before="120" w:after="120"/>
        <w:jc w:val="both"/>
        <w:rPr>
          <w:bCs/>
        </w:rPr>
      </w:pPr>
      <w:r w:rsidRPr="003E7B71">
        <w:rPr>
          <w:bCs/>
        </w:rPr>
        <w:lastRenderedPageBreak/>
        <w:t xml:space="preserve">Капиталовите разходи </w:t>
      </w:r>
      <w:r w:rsidRPr="003E7B71">
        <w:t>(вкл. нетния прираст на държавния резерв) по държавния бюджет</w:t>
      </w:r>
      <w:r w:rsidRPr="003E7B71">
        <w:rPr>
          <w:bCs/>
        </w:rPr>
        <w:t xml:space="preserve"> възлизат на 171,2 млн. лева. В частта на капиталовите разходи е отразена извършена трансакция през месец </w:t>
      </w:r>
      <w:r w:rsidRPr="003E7B71">
        <w:rPr>
          <w:rFonts w:eastAsia="Calibri"/>
        </w:rPr>
        <w:t xml:space="preserve">юли </w:t>
      </w:r>
      <w:r w:rsidRPr="003E7B71">
        <w:rPr>
          <w:bCs/>
        </w:rPr>
        <w:t>по възстановяване на средства по държавния бюджет от сметката за чужди средства на МРРБ, която по същество представлява възстановен разход и се отразява в намаление на разходите на касова основа</w:t>
      </w:r>
      <w:r w:rsidRPr="003E7B71">
        <w:t>.</w:t>
      </w:r>
    </w:p>
    <w:p w14:paraId="5FA23F5F" w14:textId="77777777" w:rsidR="001E0034" w:rsidRPr="00ED41AC" w:rsidRDefault="001E0034" w:rsidP="001E0034">
      <w:pPr>
        <w:numPr>
          <w:ilvl w:val="1"/>
          <w:numId w:val="13"/>
        </w:numPr>
        <w:tabs>
          <w:tab w:val="num" w:pos="720"/>
          <w:tab w:val="num" w:pos="900"/>
        </w:tabs>
        <w:spacing w:before="240" w:after="120"/>
        <w:ind w:left="714" w:hanging="357"/>
        <w:jc w:val="both"/>
        <w:rPr>
          <w:b/>
          <w:bCs/>
        </w:rPr>
      </w:pPr>
      <w:r w:rsidRPr="00ED41AC">
        <w:rPr>
          <w:b/>
        </w:rPr>
        <w:t>Просрочени задължения</w:t>
      </w:r>
    </w:p>
    <w:p w14:paraId="6E6613B9" w14:textId="77777777" w:rsidR="001E0034" w:rsidRPr="00ED41AC" w:rsidRDefault="001E0034" w:rsidP="001E0034">
      <w:pPr>
        <w:spacing w:after="120"/>
        <w:jc w:val="both"/>
      </w:pPr>
      <w:r w:rsidRPr="00ED41AC">
        <w:t xml:space="preserve">Към 30.09.2021 г. просрочените задължения на централно и местно правителство са в размер на </w:t>
      </w:r>
      <w:r w:rsidRPr="00ED41AC">
        <w:rPr>
          <w:b/>
        </w:rPr>
        <w:t>403,5 млн. лева.</w:t>
      </w:r>
      <w:r w:rsidRPr="00ED41AC">
        <w:t xml:space="preserve"> </w:t>
      </w:r>
    </w:p>
    <w:p w14:paraId="5D0F95D8" w14:textId="3BFA3D56" w:rsidR="001E0034" w:rsidRPr="00C85F7F" w:rsidRDefault="001E0034" w:rsidP="001E0034">
      <w:pPr>
        <w:spacing w:before="120"/>
        <w:jc w:val="both"/>
        <w:rPr>
          <w:noProof/>
          <w:color w:val="548DD4" w:themeColor="text2" w:themeTint="99"/>
        </w:rPr>
      </w:pPr>
      <w:r w:rsidRPr="00DB2394">
        <w:t xml:space="preserve">Размерът на просрочените задължения на </w:t>
      </w:r>
      <w:r w:rsidRPr="00DB2394">
        <w:rPr>
          <w:b/>
        </w:rPr>
        <w:t>централно правителство</w:t>
      </w:r>
      <w:r w:rsidRPr="00DB2394">
        <w:t xml:space="preserve"> (министерства, ведомства и разпоредителите с бюджет по чл. 13, ал. 3 и ал. 4 на ЗПФ) е</w:t>
      </w:r>
      <w:r w:rsidRPr="00DB2394">
        <w:rPr>
          <w:b/>
        </w:rPr>
        <w:t xml:space="preserve"> 289,2 млн. лева. </w:t>
      </w:r>
      <w:r w:rsidRPr="00333F0A">
        <w:t>Спрямо отчетените в края на 2020 г. те нарастват с 220,1 млн. лева. В</w:t>
      </w:r>
      <w:r w:rsidRPr="004566BD">
        <w:t xml:space="preserve"> обхвата на държавния бюджет по-значими проблеми с наличие на просрочени задължения има </w:t>
      </w:r>
      <w:r w:rsidRPr="004566BD">
        <w:rPr>
          <w:bCs/>
        </w:rPr>
        <w:t>при няколко министерства</w:t>
      </w:r>
      <w:r w:rsidRPr="00852059">
        <w:t xml:space="preserve">: </w:t>
      </w:r>
      <w:r w:rsidRPr="00852059">
        <w:rPr>
          <w:noProof/>
        </w:rPr>
        <w:t xml:space="preserve">Министерство на регионалното развитие </w:t>
      </w:r>
      <w:r w:rsidRPr="0088254C">
        <w:rPr>
          <w:noProof/>
        </w:rPr>
        <w:t xml:space="preserve">и благоустройството – 222,5 млн. лв. (увеличение с 222,5 млн. лв. </w:t>
      </w:r>
      <w:r w:rsidRPr="0088254C">
        <w:t>спрямо просрочията в края на 2020 г.</w:t>
      </w:r>
      <w:r w:rsidRPr="0088254C">
        <w:rPr>
          <w:noProof/>
        </w:rPr>
        <w:t>)</w:t>
      </w:r>
      <w:r>
        <w:rPr>
          <w:noProof/>
        </w:rPr>
        <w:t xml:space="preserve"> </w:t>
      </w:r>
      <w:r w:rsidR="0096758C" w:rsidRPr="0096758C">
        <w:rPr>
          <w:noProof/>
        </w:rPr>
        <w:t xml:space="preserve">- </w:t>
      </w:r>
      <w:r w:rsidR="0096758C">
        <w:rPr>
          <w:noProof/>
        </w:rPr>
        <w:t>това</w:t>
      </w:r>
      <w:r>
        <w:rPr>
          <w:noProof/>
        </w:rPr>
        <w:t xml:space="preserve"> са</w:t>
      </w:r>
      <w:r w:rsidRPr="00B021DF">
        <w:rPr>
          <w:noProof/>
        </w:rPr>
        <w:t xml:space="preserve"> просрочени задължения за извършени и фактурирани дейности по договори за текущ ремонт и поддържане на републиканските пътища, </w:t>
      </w:r>
      <w:r w:rsidR="00503361" w:rsidRPr="00503361">
        <w:rPr>
          <w:noProof/>
        </w:rPr>
        <w:t>вкл.</w:t>
      </w:r>
      <w:r w:rsidR="00503361">
        <w:rPr>
          <w:noProof/>
        </w:rPr>
        <w:t xml:space="preserve"> </w:t>
      </w:r>
      <w:r w:rsidRPr="00B021DF">
        <w:rPr>
          <w:noProof/>
        </w:rPr>
        <w:t xml:space="preserve">и зимно поддържане, които не са обезпечени със средства по утвърдения за 2021 г. бюджет на Агенция „Пътна инфраструктура“ за </w:t>
      </w:r>
      <w:r>
        <w:rPr>
          <w:noProof/>
        </w:rPr>
        <w:t>т</w:t>
      </w:r>
      <w:r w:rsidRPr="004E37BB">
        <w:rPr>
          <w:noProof/>
        </w:rPr>
        <w:t>екущ ремонт и поддържане</w:t>
      </w:r>
      <w:r w:rsidRPr="00B021DF">
        <w:rPr>
          <w:noProof/>
        </w:rPr>
        <w:t>, поради което предстои извършването на вътрешна компенсирана промяна по бюджета на агенция</w:t>
      </w:r>
      <w:r>
        <w:rPr>
          <w:noProof/>
        </w:rPr>
        <w:t xml:space="preserve">та, с оглед тяхното </w:t>
      </w:r>
      <w:r w:rsidRPr="001708BA">
        <w:rPr>
          <w:noProof/>
        </w:rPr>
        <w:t>разплащане; Министерство на земеделието, храните и горите – 19,8 </w:t>
      </w:r>
      <w:r w:rsidRPr="001B2138">
        <w:rPr>
          <w:noProof/>
        </w:rPr>
        <w:t xml:space="preserve">млн. лв. (увеличение с 6,3 млн. лв. </w:t>
      </w:r>
      <w:r w:rsidRPr="001B2138">
        <w:t>спрямо просрочията в края на 2020 г.</w:t>
      </w:r>
      <w:r w:rsidRPr="001B2138">
        <w:rPr>
          <w:noProof/>
        </w:rPr>
        <w:t xml:space="preserve">); Министерство на вътрешните работи – 9,9 млн. лв. (увеличение с 9,9 млн. лв. спрямо </w:t>
      </w:r>
      <w:r w:rsidRPr="001B2138">
        <w:t>отчетените в края на 2020 г.</w:t>
      </w:r>
      <w:r w:rsidRPr="001B2138">
        <w:rPr>
          <w:noProof/>
        </w:rPr>
        <w:t xml:space="preserve">); </w:t>
      </w:r>
      <w:r w:rsidRPr="005F210D">
        <w:rPr>
          <w:noProof/>
        </w:rPr>
        <w:t xml:space="preserve">Министерство на </w:t>
      </w:r>
      <w:r w:rsidRPr="00B22DD6">
        <w:rPr>
          <w:noProof/>
        </w:rPr>
        <w:t>правосъдието – 6,2 млн. лв. (увеличение с 6,2</w:t>
      </w:r>
      <w:r>
        <w:rPr>
          <w:noProof/>
        </w:rPr>
        <w:t> </w:t>
      </w:r>
      <w:r w:rsidRPr="00B22DD6">
        <w:rPr>
          <w:noProof/>
        </w:rPr>
        <w:t xml:space="preserve">млн. лв. спрямо </w:t>
      </w:r>
      <w:r w:rsidRPr="00B22DD6">
        <w:t>отчетените в края на 2020 г.</w:t>
      </w:r>
      <w:r w:rsidRPr="00B22DD6">
        <w:rPr>
          <w:noProof/>
        </w:rPr>
        <w:t>); Министерство на отбраната – 2,8 млн. лв. (</w:t>
      </w:r>
      <w:r w:rsidRPr="00B95A57">
        <w:rPr>
          <w:noProof/>
        </w:rPr>
        <w:t xml:space="preserve">увеличение с 0,9 млн. лв. спрямо </w:t>
      </w:r>
      <w:r w:rsidRPr="00B95A57">
        <w:t>отчетените в края на 2020 г.</w:t>
      </w:r>
      <w:r w:rsidRPr="00B95A57">
        <w:rPr>
          <w:noProof/>
        </w:rPr>
        <w:t xml:space="preserve">), в т.ч. 2,2 млн. лв. на ВМА, и други. </w:t>
      </w:r>
      <w:r w:rsidRPr="00EE7579">
        <w:rPr>
          <w:noProof/>
        </w:rPr>
        <w:t>От разпоредителите с бюджет по чл. 13, ал. 3 на Закона за публичните финанси проблеми с наличието на просрочени задължения има основно при: Българската национална телевизия – 6,1 млн. лв. (намаление с 25,7 млн</w:t>
      </w:r>
      <w:r w:rsidRPr="002A22E1">
        <w:rPr>
          <w:noProof/>
        </w:rPr>
        <w:t xml:space="preserve">. лв. </w:t>
      </w:r>
      <w:r w:rsidRPr="002A22E1">
        <w:t>спрямо отчетените в края на 2020 г.)</w:t>
      </w:r>
      <w:r w:rsidRPr="002A22E1">
        <w:rPr>
          <w:noProof/>
        </w:rPr>
        <w:t xml:space="preserve">, в т.ч. 5,8 млн. лв. </w:t>
      </w:r>
      <w:r w:rsidRPr="005E37DB">
        <w:t>просрочени задължения към доставчици в страната;</w:t>
      </w:r>
      <w:r w:rsidRPr="005E37DB">
        <w:rPr>
          <w:noProof/>
        </w:rPr>
        <w:t xml:space="preserve"> Българското национално радио – 3,0 млн. лв. (увеличение с 1,4 млн. лв. </w:t>
      </w:r>
      <w:r w:rsidRPr="005E37DB">
        <w:t>спрямо отчетените в края на 2020 г</w:t>
      </w:r>
      <w:r w:rsidRPr="000C2098">
        <w:t>.)</w:t>
      </w:r>
      <w:r w:rsidRPr="000C2098">
        <w:rPr>
          <w:noProof/>
        </w:rPr>
        <w:t>, в т.ч. 2,7</w:t>
      </w:r>
      <w:r>
        <w:rPr>
          <w:noProof/>
        </w:rPr>
        <w:t> </w:t>
      </w:r>
      <w:r w:rsidRPr="000C2098">
        <w:rPr>
          <w:noProof/>
        </w:rPr>
        <w:t>млн</w:t>
      </w:r>
      <w:r w:rsidRPr="006A05FF">
        <w:rPr>
          <w:noProof/>
        </w:rPr>
        <w:t xml:space="preserve">. лв. </w:t>
      </w:r>
      <w:r w:rsidRPr="006A05FF">
        <w:rPr>
          <w:szCs w:val="20"/>
        </w:rPr>
        <w:t>просрочени задължения за данъци, вноски, такси и административни санкции</w:t>
      </w:r>
      <w:r w:rsidRPr="006A05FF">
        <w:t>;</w:t>
      </w:r>
      <w:r w:rsidRPr="006A05FF">
        <w:rPr>
          <w:szCs w:val="20"/>
        </w:rPr>
        <w:t xml:space="preserve"> </w:t>
      </w:r>
      <w:r w:rsidRPr="006A05FF">
        <w:rPr>
          <w:noProof/>
        </w:rPr>
        <w:t xml:space="preserve">Държавните висши училища – 12,7 </w:t>
      </w:r>
      <w:r w:rsidRPr="00A466C7">
        <w:rPr>
          <w:noProof/>
        </w:rPr>
        <w:t xml:space="preserve">млн. лв. (увеличение с 6,9 млн. лв. </w:t>
      </w:r>
      <w:r w:rsidRPr="00A466C7">
        <w:t>спрямо отчетените в края на 2020 г., като включват задължения за вн</w:t>
      </w:r>
      <w:r>
        <w:t xml:space="preserve">асяне на данъци, вноски, такси </w:t>
      </w:r>
      <w:r w:rsidRPr="00A466C7">
        <w:t>и административни санкции, задължения към доставчици и др.</w:t>
      </w:r>
      <w:r w:rsidRPr="00A466C7">
        <w:rPr>
          <w:noProof/>
        </w:rPr>
        <w:t>).</w:t>
      </w:r>
    </w:p>
    <w:p w14:paraId="39F46034" w14:textId="77777777" w:rsidR="001E0034" w:rsidRPr="00C85F7F" w:rsidRDefault="001E0034" w:rsidP="001E0034">
      <w:pPr>
        <w:ind w:firstLine="567"/>
        <w:jc w:val="both"/>
        <w:rPr>
          <w:bCs/>
          <w:color w:val="548DD4" w:themeColor="text2" w:themeTint="99"/>
          <w:sz w:val="6"/>
          <w:szCs w:val="12"/>
        </w:rPr>
      </w:pPr>
    </w:p>
    <w:p w14:paraId="6F1B7178" w14:textId="77777777" w:rsidR="001E0034" w:rsidRPr="00C85F7F" w:rsidRDefault="001E0034" w:rsidP="001E0034">
      <w:pPr>
        <w:spacing w:after="120"/>
        <w:jc w:val="both"/>
        <w:rPr>
          <w:noProof/>
          <w:color w:val="548DD4" w:themeColor="text2" w:themeTint="99"/>
        </w:rPr>
      </w:pPr>
      <w:r w:rsidRPr="00502D7B">
        <w:rPr>
          <w:noProof/>
        </w:rPr>
        <w:t xml:space="preserve">Просрочените задължения по </w:t>
      </w:r>
      <w:r w:rsidRPr="00502D7B">
        <w:rPr>
          <w:b/>
          <w:noProof/>
        </w:rPr>
        <w:t>бюджетите на общините</w:t>
      </w:r>
      <w:r w:rsidRPr="00502D7B">
        <w:rPr>
          <w:noProof/>
        </w:rPr>
        <w:t xml:space="preserve"> към 30.09.2021 г. са в размер на </w:t>
      </w:r>
      <w:r w:rsidRPr="00502D7B">
        <w:rPr>
          <w:b/>
          <w:noProof/>
        </w:rPr>
        <w:t>114,3 млн. лв.,</w:t>
      </w:r>
      <w:r w:rsidRPr="00502D7B">
        <w:rPr>
          <w:noProof/>
        </w:rPr>
        <w:t xml:space="preserve"> като спрямо </w:t>
      </w:r>
      <w:r w:rsidRPr="00502D7B">
        <w:t xml:space="preserve">края на </w:t>
      </w:r>
      <w:r w:rsidRPr="00DE343E">
        <w:t xml:space="preserve">2020 г. </w:t>
      </w:r>
      <w:r w:rsidRPr="00DE343E">
        <w:rPr>
          <w:noProof/>
        </w:rPr>
        <w:t xml:space="preserve">се отчита намаление с 13,4 млн. лева. С най-голям относителен дял в просрочените задължения по бюджетите на общините към края на месец </w:t>
      </w:r>
      <w:r w:rsidRPr="00463BD1">
        <w:rPr>
          <w:noProof/>
        </w:rPr>
        <w:t>септември 2021 г. са просрочените задължения към доставчици, които са в размер на 85,7 млн. лева. В делегираните от държавата дейности просрочените задължения са в размер на 2,9 млн. лева.</w:t>
      </w:r>
    </w:p>
    <w:p w14:paraId="0ADD0CD9" w14:textId="77777777" w:rsidR="001E0034" w:rsidRPr="000F73F0" w:rsidRDefault="001E0034" w:rsidP="001E0034">
      <w:pPr>
        <w:spacing w:before="120"/>
        <w:jc w:val="both"/>
      </w:pPr>
      <w:r w:rsidRPr="000F73F0">
        <w:t xml:space="preserve">В системата на </w:t>
      </w:r>
      <w:r w:rsidRPr="000F73F0">
        <w:rPr>
          <w:b/>
        </w:rPr>
        <w:t>НЗОК</w:t>
      </w:r>
      <w:r w:rsidRPr="000F73F0">
        <w:t xml:space="preserve"> към 30.09.2021 г. просрочените задължения са в размер 4,8 хил. лева.</w:t>
      </w:r>
    </w:p>
    <w:p w14:paraId="5D4284DF" w14:textId="77777777" w:rsidR="001E0034" w:rsidRPr="000F73F0" w:rsidRDefault="001E0034" w:rsidP="001E0034">
      <w:pPr>
        <w:spacing w:after="120"/>
        <w:jc w:val="both"/>
        <w:rPr>
          <w:noProof/>
          <w:sz w:val="6"/>
          <w:szCs w:val="6"/>
        </w:rPr>
      </w:pPr>
    </w:p>
    <w:p w14:paraId="5BF04703" w14:textId="2B6A35FD" w:rsidR="001E0034" w:rsidRPr="00C85F7F" w:rsidRDefault="00EF79AA" w:rsidP="001E0034">
      <w:pPr>
        <w:spacing w:after="120"/>
        <w:jc w:val="both"/>
        <w:rPr>
          <w:color w:val="548DD4" w:themeColor="text2" w:themeTint="99"/>
          <w:lang w:val="en-US"/>
        </w:rPr>
      </w:pPr>
      <w:r w:rsidRPr="00EF79AA">
        <w:rPr>
          <w:noProof/>
        </w:rPr>
        <w:t xml:space="preserve">Извън обхвата на консолидираната фискална програма, продължава да има проблем с просрочията на лечебните заведения за болнична помощ (държавни и общински болници – търговски дружества). Към 30.09.2021 г. размерът на просрочените задължения е </w:t>
      </w:r>
      <w:r w:rsidRPr="00EF79AA">
        <w:rPr>
          <w:noProof/>
          <w:lang w:val="en-US"/>
        </w:rPr>
        <w:t>13</w:t>
      </w:r>
      <w:r w:rsidRPr="00EF79AA">
        <w:rPr>
          <w:noProof/>
        </w:rPr>
        <w:t>3</w:t>
      </w:r>
      <w:r w:rsidR="007B0B76">
        <w:rPr>
          <w:noProof/>
        </w:rPr>
        <w:t>,</w:t>
      </w:r>
      <w:r w:rsidRPr="00EF79AA">
        <w:rPr>
          <w:noProof/>
        </w:rPr>
        <w:t xml:space="preserve">8 млн. лв., от които </w:t>
      </w:r>
      <w:r w:rsidRPr="00EF79AA">
        <w:rPr>
          <w:noProof/>
          <w:lang w:val="en-US"/>
        </w:rPr>
        <w:t>103</w:t>
      </w:r>
      <w:r w:rsidR="007B0B76">
        <w:rPr>
          <w:noProof/>
        </w:rPr>
        <w:t>,</w:t>
      </w:r>
      <w:r w:rsidRPr="00EF79AA">
        <w:rPr>
          <w:noProof/>
          <w:lang w:val="en-US"/>
        </w:rPr>
        <w:t>7</w:t>
      </w:r>
      <w:r w:rsidRPr="00EF79AA">
        <w:rPr>
          <w:noProof/>
        </w:rPr>
        <w:t xml:space="preserve"> млн. лв. са на държавните болници и </w:t>
      </w:r>
      <w:r w:rsidRPr="00EF79AA">
        <w:rPr>
          <w:noProof/>
          <w:lang w:val="en-US"/>
        </w:rPr>
        <w:t>30</w:t>
      </w:r>
      <w:r w:rsidR="00B43742">
        <w:rPr>
          <w:noProof/>
        </w:rPr>
        <w:t>,</w:t>
      </w:r>
      <w:r w:rsidRPr="00EF79AA">
        <w:rPr>
          <w:noProof/>
        </w:rPr>
        <w:t>1 млн. лв. са на общинските болници. Спрямо отчетените просрочени задължения към 31.12.2020 г. се отчита увеличение с 18,9 млн. лв. (с 16 на сто)</w:t>
      </w:r>
      <w:r w:rsidR="001E0034" w:rsidRPr="00ED6992">
        <w:t>.</w:t>
      </w:r>
    </w:p>
    <w:p w14:paraId="35FFCB81" w14:textId="77777777" w:rsidR="00BB059C" w:rsidRPr="00C85F7F" w:rsidRDefault="00BB059C" w:rsidP="00BB059C">
      <w:pPr>
        <w:ind w:firstLine="567"/>
        <w:jc w:val="both"/>
        <w:rPr>
          <w:noProof/>
          <w:color w:val="548DD4" w:themeColor="text2" w:themeTint="99"/>
          <w:sz w:val="2"/>
          <w:szCs w:val="12"/>
          <w:lang w:val="en-US"/>
        </w:rPr>
      </w:pPr>
    </w:p>
    <w:p w14:paraId="312ED2BB" w14:textId="77777777" w:rsidR="00A66B54" w:rsidRPr="00F80AE2" w:rsidRDefault="00A66B54" w:rsidP="00A66B54">
      <w:pPr>
        <w:pStyle w:val="BodyTextIndent"/>
        <w:numPr>
          <w:ilvl w:val="1"/>
          <w:numId w:val="13"/>
        </w:numPr>
        <w:tabs>
          <w:tab w:val="clear" w:pos="2160"/>
          <w:tab w:val="num" w:pos="720"/>
          <w:tab w:val="num" w:pos="900"/>
        </w:tabs>
        <w:spacing w:before="120" w:after="0"/>
        <w:ind w:left="720"/>
        <w:jc w:val="both"/>
        <w:rPr>
          <w:b/>
          <w:bCs/>
        </w:rPr>
      </w:pPr>
      <w:r w:rsidRPr="00F80AE2">
        <w:rPr>
          <w:b/>
          <w:bCs/>
        </w:rPr>
        <w:t xml:space="preserve">Разходи по </w:t>
      </w:r>
      <w:r w:rsidRPr="00F80AE2">
        <w:rPr>
          <w:b/>
          <w:bCs/>
          <w:szCs w:val="26"/>
        </w:rPr>
        <w:t xml:space="preserve">централния бюджет </w:t>
      </w:r>
      <w:r w:rsidRPr="00F80AE2">
        <w:rPr>
          <w:b/>
          <w:bCs/>
        </w:rPr>
        <w:t>за субсидии, капиталови трансфери</w:t>
      </w:r>
      <w:r w:rsidRPr="00F80AE2">
        <w:rPr>
          <w:bCs/>
        </w:rPr>
        <w:t xml:space="preserve"> </w:t>
      </w:r>
      <w:r w:rsidRPr="00F80AE2">
        <w:rPr>
          <w:b/>
          <w:bCs/>
        </w:rPr>
        <w:t xml:space="preserve">и други разходи, свързани с дейността на реалния сектор </w:t>
      </w:r>
    </w:p>
    <w:p w14:paraId="6C57129E" w14:textId="77777777" w:rsidR="00A66B54" w:rsidRPr="00F80AE2" w:rsidRDefault="00A66B54" w:rsidP="00A66B54">
      <w:pPr>
        <w:pStyle w:val="Header"/>
        <w:jc w:val="both"/>
        <w:rPr>
          <w:sz w:val="8"/>
          <w:szCs w:val="8"/>
        </w:rPr>
      </w:pPr>
    </w:p>
    <w:p w14:paraId="63722A90" w14:textId="6F49824B" w:rsidR="00A66B54" w:rsidRPr="0030730F" w:rsidRDefault="00A66B54" w:rsidP="00A66B54">
      <w:pPr>
        <w:pStyle w:val="Header"/>
        <w:ind w:firstLine="567"/>
        <w:jc w:val="both"/>
      </w:pPr>
      <w:r w:rsidRPr="0030730F">
        <w:t>С</w:t>
      </w:r>
      <w:r w:rsidR="0030730F">
        <w:t xml:space="preserve"> актуализираните разчети по </w:t>
      </w:r>
      <w:r w:rsidRPr="0030730F">
        <w:t>ЗДБРБ за 2021 г. са утвърдени 2</w:t>
      </w:r>
      <w:r w:rsidR="0030730F" w:rsidRPr="00FC69BD">
        <w:t>5</w:t>
      </w:r>
      <w:r w:rsidRPr="0030730F">
        <w:t>3,0 млн. лв</w:t>
      </w:r>
      <w:r w:rsidRPr="0030730F">
        <w:rPr>
          <w:b/>
        </w:rPr>
        <w:t>.</w:t>
      </w:r>
      <w:r w:rsidRPr="0030730F">
        <w:t xml:space="preserve"> </w:t>
      </w:r>
      <w:r w:rsidRPr="0030730F">
        <w:rPr>
          <w:b/>
        </w:rPr>
        <w:t>субсидии</w:t>
      </w:r>
      <w:r w:rsidRPr="0030730F">
        <w:t xml:space="preserve"> за нефинансови предприятия от централния бюджет.</w:t>
      </w:r>
    </w:p>
    <w:p w14:paraId="2DD7B732" w14:textId="77777777" w:rsidR="00A66B54" w:rsidRPr="00C85F7F" w:rsidRDefault="00A66B54" w:rsidP="00A66B54">
      <w:pPr>
        <w:pStyle w:val="Header"/>
        <w:ind w:firstLine="567"/>
        <w:jc w:val="both"/>
        <w:rPr>
          <w:color w:val="548DD4" w:themeColor="text2" w:themeTint="99"/>
          <w:sz w:val="4"/>
          <w:szCs w:val="4"/>
        </w:rPr>
      </w:pPr>
    </w:p>
    <w:p w14:paraId="479BCDAF" w14:textId="77777777" w:rsidR="00A66B54" w:rsidRPr="0030730F" w:rsidRDefault="00A66B54" w:rsidP="00A66B54">
      <w:pPr>
        <w:pStyle w:val="BodyText2"/>
        <w:spacing w:after="0" w:line="240" w:lineRule="auto"/>
        <w:ind w:firstLine="567"/>
        <w:jc w:val="both"/>
      </w:pPr>
      <w:r w:rsidRPr="0030730F">
        <w:lastRenderedPageBreak/>
        <w:t xml:space="preserve">Средствата за </w:t>
      </w:r>
      <w:r w:rsidRPr="0030730F">
        <w:rPr>
          <w:bCs/>
        </w:rPr>
        <w:t>субсидии</w:t>
      </w:r>
      <w:r w:rsidRPr="0030730F">
        <w:t xml:space="preserve"> са предназначени за търговски дружества, осъществяващи превоза на пътниците по нерентабилни автобусни линии във вътрешноградския транспорт и транспорта в планински и други райони, за текущо поддържане и експлоатация на железопътната инфраструктура и др.</w:t>
      </w:r>
    </w:p>
    <w:p w14:paraId="3F2E8838" w14:textId="77777777" w:rsidR="00A66B54" w:rsidRPr="00C85F7F" w:rsidRDefault="00A66B54" w:rsidP="00A66B54">
      <w:pPr>
        <w:pStyle w:val="BodyText2"/>
        <w:spacing w:after="0" w:line="240" w:lineRule="auto"/>
        <w:jc w:val="both"/>
        <w:rPr>
          <w:color w:val="548DD4" w:themeColor="text2" w:themeTint="99"/>
          <w:sz w:val="12"/>
          <w:szCs w:val="12"/>
        </w:rPr>
      </w:pPr>
    </w:p>
    <w:p w14:paraId="772C976B" w14:textId="71B5B9C4" w:rsidR="00A66B54" w:rsidRPr="009A77A2" w:rsidRDefault="00A66B54" w:rsidP="00A66B54">
      <w:pPr>
        <w:pStyle w:val="BodyTextIndent"/>
        <w:ind w:left="0" w:firstLine="357"/>
        <w:jc w:val="both"/>
      </w:pPr>
      <w:r w:rsidRPr="00C85F7F">
        <w:rPr>
          <w:color w:val="548DD4" w:themeColor="text2" w:themeTint="99"/>
        </w:rPr>
        <w:t xml:space="preserve">- </w:t>
      </w:r>
      <w:r w:rsidRPr="0030730F">
        <w:t>Със ЗДБРБ за 2021 г. за Национална компания „Железопътна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195,0 млн. лева.</w:t>
      </w:r>
      <w:r w:rsidRPr="00C85F7F">
        <w:rPr>
          <w:color w:val="548DD4" w:themeColor="text2" w:themeTint="99"/>
        </w:rPr>
        <w:t xml:space="preserve"> </w:t>
      </w:r>
      <w:r w:rsidRPr="009A77A2">
        <w:t>Усвоените средства за първ</w:t>
      </w:r>
      <w:r w:rsidR="0030730F" w:rsidRPr="009A77A2">
        <w:t>ите девет месеца</w:t>
      </w:r>
      <w:r w:rsidRPr="009A77A2">
        <w:t xml:space="preserve"> на 2021 г. са в размер на </w:t>
      </w:r>
      <w:r w:rsidR="009A77A2" w:rsidRPr="00FC69BD">
        <w:t>152</w:t>
      </w:r>
      <w:r w:rsidRPr="009A77A2">
        <w:t>,</w:t>
      </w:r>
      <w:r w:rsidR="009A77A2" w:rsidRPr="00FC69BD">
        <w:t>0</w:t>
      </w:r>
      <w:r w:rsidR="009A77A2" w:rsidRPr="009A77A2">
        <w:t xml:space="preserve"> млн. лв. или 77</w:t>
      </w:r>
      <w:r w:rsidRPr="009A77A2">
        <w:t>,</w:t>
      </w:r>
      <w:r w:rsidR="009A77A2" w:rsidRPr="00FC69BD">
        <w:t>9</w:t>
      </w:r>
      <w:r w:rsidRPr="009A77A2">
        <w:t xml:space="preserve"> на сто от годишния план. 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 </w:t>
      </w:r>
    </w:p>
    <w:p w14:paraId="04B9E43A" w14:textId="5280267E" w:rsidR="00A66B54" w:rsidRPr="009A77A2" w:rsidRDefault="00A66B54" w:rsidP="00A66B54">
      <w:pPr>
        <w:pStyle w:val="BodyTextIndent2"/>
        <w:spacing w:line="240" w:lineRule="auto"/>
        <w:ind w:left="0" w:firstLine="357"/>
        <w:jc w:val="both"/>
        <w:rPr>
          <w:noProof/>
        </w:rPr>
      </w:pPr>
      <w:r w:rsidRPr="009A77A2">
        <w:t xml:space="preserve">- Предвидените със ЗДБРБ за 2021 г. средства за субсидиране на превоза на пътниците по нерентабилни автобусни линии във вътрешноградския транспорт и транспорта в планински и други райони са в размер на </w:t>
      </w:r>
      <w:r w:rsidR="009A77A2" w:rsidRPr="00FC69BD">
        <w:t>58</w:t>
      </w:r>
      <w:r w:rsidRPr="009A77A2">
        <w:t>,0 млн. лева. По своя характер те са обществени превозни услуги от общ икономически интерес и имат предимно социална насоченост – масови превози до и от работните места в рамките на града и превози до малки отдалечени селища, осигуряващи връзка с общинския център. П</w:t>
      </w:r>
      <w:r w:rsidRPr="009A77A2">
        <w:rPr>
          <w:noProof/>
        </w:rPr>
        <w:t>рез първ</w:t>
      </w:r>
      <w:r w:rsidR="009A77A2" w:rsidRPr="009A77A2">
        <w:rPr>
          <w:noProof/>
        </w:rPr>
        <w:t xml:space="preserve">ите девет месеца </w:t>
      </w:r>
      <w:r w:rsidRPr="009A77A2">
        <w:rPr>
          <w:noProof/>
        </w:rPr>
        <w:t xml:space="preserve">на 2021 г. усвоените средства са в размер на </w:t>
      </w:r>
      <w:r w:rsidR="009A77A2" w:rsidRPr="009A77A2">
        <w:rPr>
          <w:noProof/>
        </w:rPr>
        <w:t>30,3</w:t>
      </w:r>
      <w:r w:rsidRPr="009A77A2">
        <w:rPr>
          <w:noProof/>
        </w:rPr>
        <w:t xml:space="preserve"> млн. лв. или </w:t>
      </w:r>
      <w:r w:rsidR="009A77A2" w:rsidRPr="009A77A2">
        <w:rPr>
          <w:noProof/>
        </w:rPr>
        <w:t>52</w:t>
      </w:r>
      <w:r w:rsidRPr="009A77A2">
        <w:rPr>
          <w:noProof/>
        </w:rPr>
        <w:t>,</w:t>
      </w:r>
      <w:r w:rsidR="009A77A2" w:rsidRPr="009A77A2">
        <w:rPr>
          <w:noProof/>
        </w:rPr>
        <w:t>3</w:t>
      </w:r>
      <w:r w:rsidRPr="009A77A2">
        <w:rPr>
          <w:noProof/>
        </w:rPr>
        <w:t xml:space="preserve"> на сто от разчета за годината. </w:t>
      </w:r>
    </w:p>
    <w:p w14:paraId="6A753E63" w14:textId="3D26AAB0" w:rsidR="00A66B54" w:rsidRPr="009A77A2" w:rsidRDefault="00A66B54" w:rsidP="00A66B54">
      <w:pPr>
        <w:ind w:firstLine="567"/>
        <w:jc w:val="both"/>
        <w:rPr>
          <w:bCs/>
        </w:rPr>
      </w:pPr>
      <w:r w:rsidRPr="009A77A2">
        <w:rPr>
          <w:bCs/>
        </w:rPr>
        <w:t xml:space="preserve">За </w:t>
      </w:r>
      <w:r w:rsidRPr="009A77A2">
        <w:rPr>
          <w:b/>
          <w:bCs/>
        </w:rPr>
        <w:t xml:space="preserve">капиталови трансфери </w:t>
      </w:r>
      <w:r w:rsidRPr="009A77A2">
        <w:rPr>
          <w:bCs/>
        </w:rPr>
        <w:t xml:space="preserve">от централния бюджет за нефинансови предприятия със ЗДБРБ за 2021 г. са предвидени </w:t>
      </w:r>
      <w:r w:rsidRPr="009A77A2">
        <w:rPr>
          <w:b/>
          <w:bCs/>
        </w:rPr>
        <w:t>407,5 млн. лева.</w:t>
      </w:r>
      <w:r w:rsidRPr="009A77A2">
        <w:rPr>
          <w:bCs/>
        </w:rPr>
        <w:t xml:space="preserve"> Преведените и усвоени средства към 30.0</w:t>
      </w:r>
      <w:r w:rsidR="009A77A2" w:rsidRPr="009A77A2">
        <w:rPr>
          <w:bCs/>
        </w:rPr>
        <w:t>9</w:t>
      </w:r>
      <w:r w:rsidRPr="009A77A2">
        <w:rPr>
          <w:bCs/>
        </w:rPr>
        <w:t xml:space="preserve">.2021 г. са в размер на </w:t>
      </w:r>
      <w:r w:rsidRPr="009A77A2">
        <w:rPr>
          <w:b/>
          <w:bCs/>
        </w:rPr>
        <w:t>1</w:t>
      </w:r>
      <w:r w:rsidR="009A77A2" w:rsidRPr="009A77A2">
        <w:rPr>
          <w:b/>
          <w:bCs/>
        </w:rPr>
        <w:t>68</w:t>
      </w:r>
      <w:r w:rsidRPr="009A77A2">
        <w:rPr>
          <w:b/>
          <w:bCs/>
        </w:rPr>
        <w:t>,</w:t>
      </w:r>
      <w:r w:rsidR="009A77A2" w:rsidRPr="009A77A2">
        <w:rPr>
          <w:b/>
          <w:bCs/>
        </w:rPr>
        <w:t>0</w:t>
      </w:r>
      <w:r w:rsidRPr="009A77A2">
        <w:rPr>
          <w:b/>
          <w:bCs/>
        </w:rPr>
        <w:t xml:space="preserve"> млн. лв.</w:t>
      </w:r>
      <w:r w:rsidRPr="009A77A2">
        <w:rPr>
          <w:bCs/>
        </w:rPr>
        <w:t xml:space="preserve"> или </w:t>
      </w:r>
      <w:r w:rsidR="009A77A2" w:rsidRPr="009A77A2">
        <w:rPr>
          <w:bCs/>
        </w:rPr>
        <w:t>41</w:t>
      </w:r>
      <w:r w:rsidRPr="009A77A2">
        <w:rPr>
          <w:bCs/>
        </w:rPr>
        <w:t>,</w:t>
      </w:r>
      <w:r w:rsidR="009A77A2" w:rsidRPr="009A77A2">
        <w:rPr>
          <w:bCs/>
        </w:rPr>
        <w:t>2</w:t>
      </w:r>
      <w:r w:rsidRPr="009A77A2">
        <w:rPr>
          <w:bCs/>
        </w:rPr>
        <w:t xml:space="preserve"> % от годишния размер, както следва:</w:t>
      </w:r>
    </w:p>
    <w:p w14:paraId="2EE75A72" w14:textId="680CDF1A" w:rsidR="00A66B54" w:rsidRPr="009A77A2" w:rsidRDefault="00A66B54" w:rsidP="00A66B54">
      <w:pPr>
        <w:numPr>
          <w:ilvl w:val="0"/>
          <w:numId w:val="5"/>
        </w:numPr>
        <w:tabs>
          <w:tab w:val="clear" w:pos="1440"/>
          <w:tab w:val="left" w:pos="851"/>
          <w:tab w:val="left" w:pos="1134"/>
        </w:tabs>
        <w:ind w:left="0" w:firstLine="567"/>
        <w:jc w:val="both"/>
        <w:rPr>
          <w:i/>
        </w:rPr>
      </w:pPr>
      <w:r w:rsidRPr="009A77A2">
        <w:rPr>
          <w:i/>
        </w:rPr>
        <w:t>капиталови трансфери за  Национална компания „Железопътна инфраструктура</w:t>
      </w:r>
      <w:r w:rsidRPr="009A77A2">
        <w:t>” - ф</w:t>
      </w:r>
      <w:r w:rsidRPr="009A77A2">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9A77A2">
        <w:t xml:space="preserve">. </w:t>
      </w:r>
      <w:r w:rsidRPr="009A77A2">
        <w:rPr>
          <w:noProof/>
        </w:rPr>
        <w:t>За 2021 г. от държавния бюджет за компанията е предвиден капиталов трансфер в размер на 140,0 млн. лева. Усвоените средства за първ</w:t>
      </w:r>
      <w:r w:rsidR="009A77A2" w:rsidRPr="009A77A2">
        <w:rPr>
          <w:noProof/>
        </w:rPr>
        <w:t>ите девет месеца</w:t>
      </w:r>
      <w:r w:rsidRPr="009A77A2">
        <w:rPr>
          <w:noProof/>
        </w:rPr>
        <w:t xml:space="preserve"> на 2021 г. са в размер на </w:t>
      </w:r>
      <w:r w:rsidR="009A77A2" w:rsidRPr="009A77A2">
        <w:rPr>
          <w:noProof/>
        </w:rPr>
        <w:t>6</w:t>
      </w:r>
      <w:r w:rsidRPr="009A77A2">
        <w:rPr>
          <w:noProof/>
        </w:rPr>
        <w:t>1,</w:t>
      </w:r>
      <w:r w:rsidR="009A77A2" w:rsidRPr="009A77A2">
        <w:rPr>
          <w:noProof/>
        </w:rPr>
        <w:t>1</w:t>
      </w:r>
      <w:r w:rsidRPr="009A77A2">
        <w:rPr>
          <w:noProof/>
        </w:rPr>
        <w:t xml:space="preserve"> млн. лв. или </w:t>
      </w:r>
      <w:r w:rsidR="009A77A2" w:rsidRPr="009A77A2">
        <w:rPr>
          <w:noProof/>
        </w:rPr>
        <w:t>43</w:t>
      </w:r>
      <w:r w:rsidRPr="009A77A2">
        <w:rPr>
          <w:noProof/>
        </w:rPr>
        <w:t>,</w:t>
      </w:r>
      <w:r w:rsidR="009A77A2" w:rsidRPr="009A77A2">
        <w:rPr>
          <w:noProof/>
        </w:rPr>
        <w:t>7</w:t>
      </w:r>
      <w:r w:rsidRPr="009A77A2">
        <w:rPr>
          <w:noProof/>
        </w:rPr>
        <w:t xml:space="preserve"> на сто от годишния разчет.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14:paraId="7C859244" w14:textId="4F58161B" w:rsidR="00A66B54" w:rsidRPr="009A77A2" w:rsidRDefault="00A66B54" w:rsidP="00A66B54">
      <w:pPr>
        <w:numPr>
          <w:ilvl w:val="0"/>
          <w:numId w:val="5"/>
        </w:numPr>
        <w:tabs>
          <w:tab w:val="clear" w:pos="1440"/>
          <w:tab w:val="num" w:pos="360"/>
          <w:tab w:val="left" w:pos="851"/>
        </w:tabs>
        <w:ind w:left="0" w:firstLine="567"/>
        <w:jc w:val="both"/>
        <w:rPr>
          <w:i/>
        </w:rPr>
      </w:pPr>
      <w:r w:rsidRPr="009A77A2">
        <w:rPr>
          <w:i/>
        </w:rPr>
        <w:t xml:space="preserve">капиталови трансфери за „БДЖ – Пътнически превози” - ЕООД – </w:t>
      </w:r>
      <w:r w:rsidRPr="009A77A2">
        <w:t xml:space="preserve">предвидените средства със ЗДБРБ за 2021 г. са в размер на 109,0 млн. лева. </w:t>
      </w:r>
      <w:r w:rsidRPr="009A77A2">
        <w:rPr>
          <w:noProof/>
        </w:rPr>
        <w:t>Усвоените средства за първ</w:t>
      </w:r>
      <w:r w:rsidR="009A77A2" w:rsidRPr="009A77A2">
        <w:rPr>
          <w:noProof/>
        </w:rPr>
        <w:t>ите девет месеца</w:t>
      </w:r>
      <w:r w:rsidRPr="009A77A2">
        <w:rPr>
          <w:noProof/>
        </w:rPr>
        <w:t xml:space="preserve"> на 2021 г. са в размер на 33,1 млн. лв. или 30,3 на сто от утвърдения годишен план.</w:t>
      </w:r>
      <w:r w:rsidRPr="009A77A2">
        <w:t xml:space="preserve"> Средствата са предназначени за планов заводски (среден и капитален) ремонт и рециклиране на пътнически вагони, подемен и капитален ремонт и преустройство на електрически локомотиви;</w:t>
      </w:r>
    </w:p>
    <w:p w14:paraId="2B492627" w14:textId="531D903B" w:rsidR="00A66B54" w:rsidRPr="00737CAA" w:rsidRDefault="00A66B54" w:rsidP="00A66B54">
      <w:pPr>
        <w:numPr>
          <w:ilvl w:val="1"/>
          <w:numId w:val="14"/>
        </w:numPr>
        <w:tabs>
          <w:tab w:val="clear" w:pos="1440"/>
          <w:tab w:val="num" w:pos="360"/>
          <w:tab w:val="left" w:pos="851"/>
        </w:tabs>
        <w:ind w:left="0" w:firstLine="567"/>
        <w:jc w:val="both"/>
      </w:pPr>
      <w:r w:rsidRPr="00737CAA">
        <w:rPr>
          <w:i/>
        </w:rPr>
        <w:t>капиталови трансфери за ДП „Пристанищна инфраструктура”</w:t>
      </w:r>
      <w:r w:rsidRPr="00737CAA">
        <w:rPr>
          <w:b/>
          <w:i/>
        </w:rPr>
        <w:t xml:space="preserve"> </w:t>
      </w:r>
      <w:r w:rsidRPr="00737CAA">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капиталови трансфери от държавния бюджет</w:t>
      </w:r>
      <w:r w:rsidRPr="00737CAA">
        <w:rPr>
          <w:noProof/>
        </w:rPr>
        <w:t>. Предвидените със ЗДБРБ за  2021 г. средства са в размер на 148,5 млн. лева. За първ</w:t>
      </w:r>
      <w:r w:rsidR="00737CAA" w:rsidRPr="00737CAA">
        <w:rPr>
          <w:noProof/>
        </w:rPr>
        <w:t>ите девет месеца</w:t>
      </w:r>
      <w:r w:rsidRPr="00737CAA">
        <w:rPr>
          <w:noProof/>
        </w:rPr>
        <w:t xml:space="preserve"> на 2021 г. са усвоени средства в размер на </w:t>
      </w:r>
      <w:r w:rsidR="00737CAA" w:rsidRPr="00737CAA">
        <w:rPr>
          <w:noProof/>
        </w:rPr>
        <w:t>73</w:t>
      </w:r>
      <w:r w:rsidRPr="00737CAA">
        <w:rPr>
          <w:noProof/>
        </w:rPr>
        <w:t>,</w:t>
      </w:r>
      <w:r w:rsidR="00737CAA" w:rsidRPr="00737CAA">
        <w:rPr>
          <w:noProof/>
        </w:rPr>
        <w:t>8</w:t>
      </w:r>
      <w:r w:rsidRPr="00737CAA">
        <w:rPr>
          <w:noProof/>
        </w:rPr>
        <w:t xml:space="preserve"> млн. лв. или </w:t>
      </w:r>
      <w:r w:rsidR="00737CAA" w:rsidRPr="00737CAA">
        <w:rPr>
          <w:noProof/>
        </w:rPr>
        <w:t>49</w:t>
      </w:r>
      <w:r w:rsidRPr="00737CAA">
        <w:rPr>
          <w:noProof/>
        </w:rPr>
        <w:t>,</w:t>
      </w:r>
      <w:r w:rsidR="00737CAA" w:rsidRPr="00737CAA">
        <w:rPr>
          <w:noProof/>
        </w:rPr>
        <w:t>7</w:t>
      </w:r>
      <w:r w:rsidRPr="00737CAA">
        <w:rPr>
          <w:noProof/>
        </w:rPr>
        <w:t xml:space="preserve"> на сто от годишния план</w:t>
      </w:r>
      <w:r w:rsidRPr="00737CAA">
        <w:t>;</w:t>
      </w:r>
    </w:p>
    <w:p w14:paraId="30496BED" w14:textId="1B98FC5E" w:rsidR="00A66B54" w:rsidRPr="00737CAA" w:rsidRDefault="00A66B54" w:rsidP="00A66B54">
      <w:pPr>
        <w:numPr>
          <w:ilvl w:val="0"/>
          <w:numId w:val="15"/>
        </w:numPr>
        <w:tabs>
          <w:tab w:val="clear" w:pos="2157"/>
          <w:tab w:val="left" w:pos="360"/>
          <w:tab w:val="left" w:pos="851"/>
        </w:tabs>
        <w:ind w:left="0" w:firstLine="567"/>
        <w:jc w:val="both"/>
      </w:pPr>
      <w:r w:rsidRPr="00737CAA">
        <w:t xml:space="preserve">През 2021 г. продължава изпълнението на Програмите за отстраняване на нанесени щети </w:t>
      </w:r>
      <w:r w:rsidRPr="00737CAA">
        <w:rPr>
          <w:noProof/>
        </w:rPr>
        <w:t>върху околната среда</w:t>
      </w:r>
      <w:r w:rsidRPr="00737CAA">
        <w:t xml:space="preserve">, настъпили от минали действия или бездействия, при приватизация. В ЗДБРБ за 2021 г. за тези програми са предвидени 10,0 млн. лева. </w:t>
      </w:r>
      <w:r w:rsidRPr="00737CAA">
        <w:rPr>
          <w:noProof/>
        </w:rPr>
        <w:t>За първ</w:t>
      </w:r>
      <w:r w:rsidR="00737CAA" w:rsidRPr="00737CAA">
        <w:rPr>
          <w:noProof/>
        </w:rPr>
        <w:t>ите девет месеца</w:t>
      </w:r>
      <w:r w:rsidRPr="00737CAA">
        <w:rPr>
          <w:noProof/>
        </w:rPr>
        <w:t xml:space="preserve"> на 202</w:t>
      </w:r>
      <w:r w:rsidRPr="00FC69BD">
        <w:rPr>
          <w:noProof/>
        </w:rPr>
        <w:t>1</w:t>
      </w:r>
      <w:r w:rsidRPr="00737CAA">
        <w:rPr>
          <w:noProof/>
        </w:rPr>
        <w:t xml:space="preserve"> г.</w:t>
      </w:r>
      <w:r w:rsidRPr="00FC69BD">
        <w:rPr>
          <w:noProof/>
        </w:rPr>
        <w:t xml:space="preserve"> </w:t>
      </w:r>
      <w:r w:rsidRPr="00737CAA">
        <w:t>не са усвоени средства</w:t>
      </w:r>
      <w:r w:rsidRPr="00737CAA">
        <w:rPr>
          <w:noProof/>
        </w:rPr>
        <w:t>.</w:t>
      </w:r>
      <w:r w:rsidRPr="00737CAA">
        <w:t xml:space="preserve">  </w:t>
      </w:r>
    </w:p>
    <w:p w14:paraId="0BBE4110" w14:textId="77777777" w:rsidR="00A66B54" w:rsidRPr="00C85F7F" w:rsidRDefault="00A66B54" w:rsidP="00A66B54">
      <w:pPr>
        <w:jc w:val="both"/>
        <w:rPr>
          <w:color w:val="548DD4" w:themeColor="text2" w:themeTint="99"/>
          <w:sz w:val="8"/>
          <w:szCs w:val="8"/>
        </w:rPr>
      </w:pPr>
    </w:p>
    <w:p w14:paraId="1CD2ADC0" w14:textId="77777777" w:rsidR="00A66B54" w:rsidRPr="00C85F7F" w:rsidRDefault="00A66B54" w:rsidP="00A66B54">
      <w:pPr>
        <w:jc w:val="both"/>
        <w:rPr>
          <w:color w:val="548DD4" w:themeColor="text2" w:themeTint="99"/>
          <w:sz w:val="8"/>
          <w:szCs w:val="8"/>
          <w:highlight w:val="yellow"/>
        </w:rPr>
      </w:pPr>
    </w:p>
    <w:p w14:paraId="5960554C" w14:textId="77777777" w:rsidR="00A66B54" w:rsidRPr="00737CAA" w:rsidRDefault="00A66B54" w:rsidP="00A66B54">
      <w:pPr>
        <w:ind w:firstLine="567"/>
        <w:jc w:val="both"/>
      </w:pPr>
      <w:r w:rsidRPr="00737CAA">
        <w:rPr>
          <w:b/>
          <w:bCs/>
        </w:rPr>
        <w:t>Други разходи по централния бюджет</w:t>
      </w:r>
      <w:r w:rsidRPr="00737CAA">
        <w:t xml:space="preserve"> предназначени за: </w:t>
      </w:r>
    </w:p>
    <w:p w14:paraId="5FB52770" w14:textId="77777777" w:rsidR="00A66B54" w:rsidRPr="00737CAA" w:rsidRDefault="00A66B54" w:rsidP="00A66B54">
      <w:pPr>
        <w:jc w:val="both"/>
        <w:rPr>
          <w:sz w:val="8"/>
          <w:szCs w:val="8"/>
        </w:rPr>
      </w:pPr>
    </w:p>
    <w:p w14:paraId="43B6E3EE" w14:textId="082056B1" w:rsidR="00A66B54" w:rsidRPr="00737CAA" w:rsidRDefault="00A66B54" w:rsidP="00A66B54">
      <w:pPr>
        <w:numPr>
          <w:ilvl w:val="0"/>
          <w:numId w:val="5"/>
        </w:numPr>
        <w:tabs>
          <w:tab w:val="clear" w:pos="1440"/>
          <w:tab w:val="num" w:pos="360"/>
          <w:tab w:val="left" w:pos="851"/>
        </w:tabs>
        <w:ind w:left="0" w:firstLine="567"/>
        <w:jc w:val="both"/>
        <w:rPr>
          <w:sz w:val="8"/>
          <w:szCs w:val="8"/>
        </w:rPr>
      </w:pPr>
      <w:r w:rsidRPr="00737CAA">
        <w:rPr>
          <w:i/>
        </w:rPr>
        <w:t xml:space="preserve">Компенсиране на </w:t>
      </w:r>
      <w:r w:rsidRPr="00737CAA">
        <w:rPr>
          <w:bCs/>
          <w:i/>
        </w:rPr>
        <w:t>намалените приходи от прилагането на цени за пътуване, предвидени в нормативни актове за определени категории пътници</w:t>
      </w:r>
      <w:r w:rsidRPr="00737CAA">
        <w:rPr>
          <w:i/>
        </w:rPr>
        <w:t xml:space="preserve"> по железопътния и </w:t>
      </w:r>
      <w:r w:rsidRPr="00737CAA">
        <w:rPr>
          <w:i/>
        </w:rPr>
        <w:lastRenderedPageBreak/>
        <w:t>автомобилния транспорт, със средства от държавния бюджет</w:t>
      </w:r>
      <w:r w:rsidRPr="00737CAA">
        <w:t xml:space="preserve"> - предвидените средства са общо в размер на 122,8 млн. лв., от които 47,0 млн. лв. </w:t>
      </w:r>
      <w:r w:rsidRPr="00737CAA">
        <w:rPr>
          <w:noProof/>
        </w:rPr>
        <w:t>за пътувания с вътрешноградския транспорт и междуселищния автомобилен транспорт, 46,0 млн. лв. за транспорт на деца и ученици по чл. 283, ал. 2 от Закона за предучилищното и училищното образование, 16,8 млн. лв. за превоз на служители, ползващи право на безплатно пътуване при изпълнение на служебните си задължения, и 13,0 млн. лв. за пътувания с железопътния транспорт.</w:t>
      </w:r>
      <w:r w:rsidRPr="00737CAA">
        <w:t xml:space="preserve"> </w:t>
      </w:r>
      <w:r w:rsidRPr="00737CAA">
        <w:rPr>
          <w:noProof/>
        </w:rPr>
        <w:t xml:space="preserve">Предоставените средства за </w:t>
      </w:r>
      <w:r w:rsidRPr="00737CAA">
        <w:t>първ</w:t>
      </w:r>
      <w:r w:rsidR="00737CAA" w:rsidRPr="00737CAA">
        <w:t>ите девет месеца</w:t>
      </w:r>
      <w:r w:rsidRPr="00737CAA">
        <w:t xml:space="preserve"> на 2021</w:t>
      </w:r>
      <w:r w:rsidRPr="00737CAA">
        <w:rPr>
          <w:noProof/>
        </w:rPr>
        <w:t xml:space="preserve"> г. са общо в размер на </w:t>
      </w:r>
      <w:r w:rsidR="00737CAA" w:rsidRPr="00737CAA">
        <w:rPr>
          <w:noProof/>
        </w:rPr>
        <w:t>7</w:t>
      </w:r>
      <w:r w:rsidRPr="00737CAA">
        <w:rPr>
          <w:noProof/>
        </w:rPr>
        <w:t xml:space="preserve">6,2 млн. лв. или </w:t>
      </w:r>
      <w:r w:rsidR="00737CAA" w:rsidRPr="00737CAA">
        <w:rPr>
          <w:noProof/>
        </w:rPr>
        <w:t>62</w:t>
      </w:r>
      <w:r w:rsidRPr="00737CAA">
        <w:rPr>
          <w:noProof/>
        </w:rPr>
        <w:t>,</w:t>
      </w:r>
      <w:r w:rsidR="00737CAA" w:rsidRPr="00737CAA">
        <w:rPr>
          <w:noProof/>
        </w:rPr>
        <w:t>0</w:t>
      </w:r>
      <w:r w:rsidRPr="00737CAA">
        <w:rPr>
          <w:noProof/>
        </w:rPr>
        <w:t xml:space="preserve"> на сто от годишния разчет.</w:t>
      </w:r>
      <w:r w:rsidRPr="00737CAA">
        <w:t xml:space="preserve"> </w:t>
      </w:r>
    </w:p>
    <w:p w14:paraId="5A52FF0C" w14:textId="7E5A6FBA" w:rsidR="00A66B54" w:rsidRPr="00737CAA" w:rsidRDefault="00A66B54" w:rsidP="00A66B54">
      <w:pPr>
        <w:tabs>
          <w:tab w:val="left" w:pos="851"/>
        </w:tabs>
        <w:ind w:firstLine="567"/>
        <w:jc w:val="both"/>
      </w:pPr>
      <w:r w:rsidRPr="00737CAA">
        <w:t>Предоставените средства към 30.0</w:t>
      </w:r>
      <w:r w:rsidR="00737CAA" w:rsidRPr="00737CAA">
        <w:t>9</w:t>
      </w:r>
      <w:r w:rsidRPr="00737CAA">
        <w:t xml:space="preserve">.2021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737CAA">
        <w:rPr>
          <w:noProof/>
        </w:rPr>
        <w:t xml:space="preserve">вътрешноградски транспорт и междуселищен </w:t>
      </w:r>
      <w:r w:rsidRPr="00737CAA">
        <w:t>автомобилен транспорт или железопътен транспорт, съгласно ПМС № 408/2020 г. за изпълнението на държавния бюджет на Република България за 2021 г., са както следва:</w:t>
      </w:r>
    </w:p>
    <w:p w14:paraId="3D0F442E" w14:textId="0DBABA89" w:rsidR="00A66B54" w:rsidRPr="00737CAA" w:rsidRDefault="00A66B54" w:rsidP="00A66B54">
      <w:pPr>
        <w:ind w:firstLine="567"/>
        <w:jc w:val="both"/>
      </w:pPr>
      <w:r w:rsidRPr="00737CAA">
        <w:t xml:space="preserve">- компенсации за пътувания с железопътния транспорт в размер на </w:t>
      </w:r>
      <w:r w:rsidR="00737CAA" w:rsidRPr="00737CAA">
        <w:t>4</w:t>
      </w:r>
      <w:r w:rsidRPr="00737CAA">
        <w:t>,</w:t>
      </w:r>
      <w:r w:rsidR="00737CAA" w:rsidRPr="00737CAA">
        <w:t>5</w:t>
      </w:r>
      <w:r w:rsidRPr="00737CAA">
        <w:t xml:space="preserve"> млн. лв.,  което е </w:t>
      </w:r>
      <w:r w:rsidR="00737CAA" w:rsidRPr="00737CAA">
        <w:t>34</w:t>
      </w:r>
      <w:r w:rsidRPr="00737CAA">
        <w:t>,</w:t>
      </w:r>
      <w:r w:rsidR="00737CAA" w:rsidRPr="00737CAA">
        <w:t>6</w:t>
      </w:r>
      <w:r w:rsidRPr="00737CAA">
        <w:t xml:space="preserve"> на сто от утвърдения годишен план; </w:t>
      </w:r>
    </w:p>
    <w:p w14:paraId="0DB763DE" w14:textId="62024097" w:rsidR="00A66B54" w:rsidRPr="00737CAA" w:rsidRDefault="00A66B54" w:rsidP="00A66B54">
      <w:pPr>
        <w:tabs>
          <w:tab w:val="left" w:pos="540"/>
          <w:tab w:val="left" w:pos="709"/>
        </w:tabs>
        <w:ind w:firstLine="567"/>
        <w:jc w:val="both"/>
        <w:rPr>
          <w:noProof/>
        </w:rPr>
      </w:pPr>
      <w:r w:rsidRPr="00737CAA">
        <w:rPr>
          <w:noProof/>
        </w:rPr>
        <w:t>- компенсации за пътувания с вътрешноградски транспорт и междуселищния автомобилен транспорт в страната, предоставени чрез Системата за еле</w:t>
      </w:r>
      <w:r w:rsidR="00737CAA" w:rsidRPr="00737CAA">
        <w:rPr>
          <w:noProof/>
        </w:rPr>
        <w:t>ктронни бюджетни разплащания – 71</w:t>
      </w:r>
      <w:r w:rsidRPr="00737CAA">
        <w:rPr>
          <w:noProof/>
        </w:rPr>
        <w:t>,</w:t>
      </w:r>
      <w:r w:rsidR="00737CAA" w:rsidRPr="00737CAA">
        <w:rPr>
          <w:noProof/>
        </w:rPr>
        <w:t>7</w:t>
      </w:r>
      <w:r w:rsidRPr="00737CAA">
        <w:rPr>
          <w:noProof/>
        </w:rPr>
        <w:t xml:space="preserve"> млн. лв., което е </w:t>
      </w:r>
      <w:r w:rsidR="00737CAA" w:rsidRPr="00737CAA">
        <w:rPr>
          <w:noProof/>
        </w:rPr>
        <w:t>65</w:t>
      </w:r>
      <w:r w:rsidRPr="00737CAA">
        <w:rPr>
          <w:noProof/>
        </w:rPr>
        <w:t>,</w:t>
      </w:r>
      <w:r w:rsidR="00737CAA" w:rsidRPr="00737CAA">
        <w:rPr>
          <w:noProof/>
        </w:rPr>
        <w:t>3</w:t>
      </w:r>
      <w:r w:rsidRPr="00737CAA">
        <w:rPr>
          <w:noProof/>
        </w:rPr>
        <w:t xml:space="preserve"> на сто от </w:t>
      </w:r>
      <w:r w:rsidRPr="00737CAA">
        <w:t>утвърдения</w:t>
      </w:r>
      <w:r w:rsidRPr="00737CAA">
        <w:rPr>
          <w:noProof/>
        </w:rPr>
        <w:t xml:space="preserve"> годишен план. </w:t>
      </w:r>
    </w:p>
    <w:p w14:paraId="4F7EF63E" w14:textId="40F57208" w:rsidR="00A66B54" w:rsidRPr="00737CAA" w:rsidRDefault="00A66B54" w:rsidP="00A66B54">
      <w:pPr>
        <w:ind w:firstLine="567"/>
        <w:jc w:val="both"/>
        <w:rPr>
          <w:noProof/>
        </w:rPr>
      </w:pPr>
      <w:r w:rsidRPr="00737CAA">
        <w:rPr>
          <w:noProof/>
        </w:rPr>
        <w:t xml:space="preserve">Предоставените средства за </w:t>
      </w:r>
      <w:r w:rsidRPr="00737CAA">
        <w:t>компенсиране на намалените приходи от прилагането на цени за пътуване, предвидени в нормативни актове за определени категории пътници,</w:t>
      </w:r>
      <w:r w:rsidRPr="00737CAA">
        <w:rPr>
          <w:noProof/>
        </w:rPr>
        <w:t xml:space="preserve"> по вътрешноградския транспорт и междуселищния автомобилен транспорт за първ</w:t>
      </w:r>
      <w:r w:rsidR="00737CAA" w:rsidRPr="00737CAA">
        <w:rPr>
          <w:noProof/>
        </w:rPr>
        <w:t>ите девет месеца</w:t>
      </w:r>
      <w:r w:rsidRPr="00737CAA">
        <w:rPr>
          <w:noProof/>
        </w:rPr>
        <w:t xml:space="preserve"> на 2021 г., диференцирани по групи правоимащи лица и размер на намалението спрямо редовната цена, са както следва:</w:t>
      </w:r>
    </w:p>
    <w:p w14:paraId="54B98403" w14:textId="77777777" w:rsidR="00A66B54" w:rsidRPr="00737CAA" w:rsidRDefault="00A66B54" w:rsidP="00A66B54">
      <w:pPr>
        <w:pStyle w:val="BodyTextIndent"/>
        <w:spacing w:after="0"/>
        <w:ind w:left="0" w:firstLine="567"/>
        <w:jc w:val="both"/>
      </w:pPr>
      <w:r w:rsidRPr="00737CAA">
        <w:t xml:space="preserve">- 29,1 млн. лв. за транспорт на деца и ученици в съответствие с чл. 283, ал. 2 от Закона за предучилищното и училищното образование, което е 63,2 на сто от утвърдения годишен план; </w:t>
      </w:r>
    </w:p>
    <w:p w14:paraId="6C0A389C" w14:textId="6C495D77" w:rsidR="00A66B54" w:rsidRPr="00DC433F" w:rsidRDefault="00A66B54" w:rsidP="00A66B54">
      <w:pPr>
        <w:pStyle w:val="BodyTextIndent"/>
        <w:tabs>
          <w:tab w:val="left" w:pos="1026"/>
        </w:tabs>
        <w:spacing w:after="0"/>
        <w:ind w:left="0" w:firstLine="567"/>
        <w:jc w:val="both"/>
      </w:pPr>
      <w:r w:rsidRPr="00DC433F">
        <w:t xml:space="preserve">- </w:t>
      </w:r>
      <w:r w:rsidR="00DC433F" w:rsidRPr="00DC433F">
        <w:t>42</w:t>
      </w:r>
      <w:r w:rsidRPr="00DC433F">
        <w:t>,</w:t>
      </w:r>
      <w:r w:rsidR="00DC433F" w:rsidRPr="00DC433F">
        <w:t>6</w:t>
      </w:r>
      <w:r w:rsidRPr="00DC433F">
        <w:t xml:space="preserve"> млн. лв. за безплатни и по намалени цени пътувания по общини.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DC433F" w:rsidRPr="00DC433F">
        <w:t>66</w:t>
      </w:r>
      <w:r w:rsidR="00192130" w:rsidRPr="00DC433F">
        <w:t>,</w:t>
      </w:r>
      <w:r w:rsidR="00DC433F" w:rsidRPr="00DC433F">
        <w:t>8</w:t>
      </w:r>
      <w:r w:rsidRPr="00DC433F">
        <w:t xml:space="preserve"> на сто, в това число:</w:t>
      </w:r>
    </w:p>
    <w:p w14:paraId="5F2AAA7D" w14:textId="31AD3D78" w:rsidR="00A66B54" w:rsidRPr="001B4692" w:rsidRDefault="001B4692" w:rsidP="005B077A">
      <w:pPr>
        <w:numPr>
          <w:ilvl w:val="0"/>
          <w:numId w:val="28"/>
        </w:numPr>
        <w:tabs>
          <w:tab w:val="left" w:pos="993"/>
        </w:tabs>
        <w:ind w:hanging="275"/>
        <w:jc w:val="both"/>
      </w:pPr>
      <w:r w:rsidRPr="001B4692">
        <w:t>3</w:t>
      </w:r>
      <w:r w:rsidR="00A66B54" w:rsidRPr="001B4692">
        <w:t>0,</w:t>
      </w:r>
      <w:r w:rsidRPr="001B4692">
        <w:t>0</w:t>
      </w:r>
      <w:r w:rsidR="00A66B54" w:rsidRPr="001B4692">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1B4692">
        <w:t>6</w:t>
      </w:r>
      <w:r w:rsidR="00636E71" w:rsidRPr="001B4692">
        <w:t>3,</w:t>
      </w:r>
      <w:r w:rsidR="009225E5">
        <w:t>8</w:t>
      </w:r>
      <w:r w:rsidR="00A66B54" w:rsidRPr="001B4692">
        <w:t xml:space="preserve"> на сто о</w:t>
      </w:r>
      <w:r w:rsidR="009225E5">
        <w:t>т</w:t>
      </w:r>
      <w:r w:rsidR="00A66B54" w:rsidRPr="001B4692">
        <w:t xml:space="preserve"> утвърдения годишен план; </w:t>
      </w:r>
    </w:p>
    <w:p w14:paraId="02DB53F5" w14:textId="5DD612B4" w:rsidR="00A66B54" w:rsidRPr="001B4692" w:rsidRDefault="001B4692" w:rsidP="00A66B54">
      <w:pPr>
        <w:numPr>
          <w:ilvl w:val="0"/>
          <w:numId w:val="19"/>
        </w:numPr>
        <w:tabs>
          <w:tab w:val="num" w:pos="360"/>
          <w:tab w:val="left" w:pos="993"/>
        </w:tabs>
        <w:ind w:hanging="275"/>
        <w:jc w:val="both"/>
      </w:pPr>
      <w:r w:rsidRPr="001B4692">
        <w:t>12</w:t>
      </w:r>
      <w:r w:rsidR="00A66B54" w:rsidRPr="001B4692">
        <w:t>,</w:t>
      </w:r>
      <w:r w:rsidRPr="001B4692">
        <w:t>6</w:t>
      </w:r>
      <w:r w:rsidR="00A66B54" w:rsidRPr="001B4692">
        <w:t xml:space="preserve"> млн. лв. за превоз на служители, ползващи право на безплатно пътуване при изпълнение на служебните си задължения, което е </w:t>
      </w:r>
      <w:r w:rsidRPr="001B4692">
        <w:t>7</w:t>
      </w:r>
      <w:r w:rsidR="00A66B54" w:rsidRPr="001B4692">
        <w:t>5,1 от годишния план.</w:t>
      </w:r>
    </w:p>
    <w:p w14:paraId="3330899D" w14:textId="77777777" w:rsidR="00333B5E" w:rsidRPr="00C85F7F" w:rsidRDefault="00333B5E" w:rsidP="00333B5E">
      <w:pPr>
        <w:jc w:val="both"/>
        <w:rPr>
          <w:color w:val="548DD4" w:themeColor="text2" w:themeTint="99"/>
          <w:sz w:val="12"/>
          <w:szCs w:val="12"/>
        </w:rPr>
      </w:pPr>
    </w:p>
    <w:p w14:paraId="681C1AEF" w14:textId="77777777" w:rsidR="00A750C5" w:rsidRPr="00D554DB" w:rsidRDefault="00A750C5" w:rsidP="00A750C5">
      <w:pPr>
        <w:numPr>
          <w:ilvl w:val="0"/>
          <w:numId w:val="7"/>
        </w:numPr>
        <w:spacing w:after="120"/>
        <w:ind w:left="0" w:firstLine="360"/>
        <w:jc w:val="both"/>
        <w:rPr>
          <w:b/>
          <w:lang w:eastAsia="bg-BG"/>
        </w:rPr>
      </w:pPr>
      <w:r w:rsidRPr="00D554DB">
        <w:rPr>
          <w:b/>
          <w:lang w:eastAsia="bg-BG"/>
        </w:rPr>
        <w:t xml:space="preserve">Разходи за лихви </w:t>
      </w:r>
    </w:p>
    <w:p w14:paraId="0A13764A" w14:textId="77777777" w:rsidR="00D554DB" w:rsidRPr="00D554DB" w:rsidRDefault="00D554DB" w:rsidP="00D554DB">
      <w:pPr>
        <w:spacing w:after="120"/>
        <w:jc w:val="both"/>
        <w:rPr>
          <w:lang w:eastAsia="bg-BG"/>
        </w:rPr>
      </w:pPr>
      <w:r w:rsidRPr="00D554DB">
        <w:rPr>
          <w:b/>
          <w:lang w:eastAsia="bg-BG"/>
        </w:rPr>
        <w:t xml:space="preserve">Лихвените плащания </w:t>
      </w:r>
      <w:r w:rsidRPr="00D554DB">
        <w:rPr>
          <w:lang w:eastAsia="bg-BG"/>
        </w:rPr>
        <w:t xml:space="preserve">по държавния бюджет към </w:t>
      </w:r>
      <w:r w:rsidRPr="00FC69BD">
        <w:rPr>
          <w:lang w:eastAsia="bg-BG"/>
        </w:rPr>
        <w:t>30.09.</w:t>
      </w:r>
      <w:r w:rsidRPr="00D554DB">
        <w:rPr>
          <w:lang w:eastAsia="bg-BG"/>
        </w:rPr>
        <w:t xml:space="preserve">2021 г. са в общ размер на </w:t>
      </w:r>
      <w:r w:rsidRPr="00D554DB">
        <w:rPr>
          <w:b/>
          <w:lang w:eastAsia="bg-BG"/>
        </w:rPr>
        <w:t>522,8 млн. лв</w:t>
      </w:r>
      <w:r w:rsidRPr="00D554DB">
        <w:rPr>
          <w:lang w:eastAsia="bg-BG"/>
        </w:rPr>
        <w:t xml:space="preserve">. или 84,0 % от предвидените в годишните разчети. </w:t>
      </w:r>
    </w:p>
    <w:p w14:paraId="27ADAC42" w14:textId="77777777" w:rsidR="00D554DB" w:rsidRPr="00D554DB" w:rsidRDefault="00D554DB" w:rsidP="00D554DB">
      <w:pPr>
        <w:spacing w:after="120"/>
        <w:jc w:val="both"/>
        <w:rPr>
          <w:lang w:eastAsia="bg-BG"/>
        </w:rPr>
      </w:pPr>
      <w:r w:rsidRPr="00D554DB">
        <w:rPr>
          <w:lang w:eastAsia="bg-BG"/>
        </w:rPr>
        <w:t xml:space="preserve">Разходите за </w:t>
      </w:r>
      <w:r w:rsidRPr="00D554DB">
        <w:rPr>
          <w:b/>
          <w:lang w:eastAsia="bg-BG"/>
        </w:rPr>
        <w:t>лихви по външни заеми</w:t>
      </w:r>
      <w:r w:rsidRPr="00D554DB">
        <w:rPr>
          <w:lang w:eastAsia="bg-BG"/>
        </w:rPr>
        <w:t xml:space="preserve"> са в размер на </w:t>
      </w:r>
      <w:r w:rsidRPr="00D554DB">
        <w:rPr>
          <w:b/>
          <w:lang w:eastAsia="bg-BG"/>
        </w:rPr>
        <w:t xml:space="preserve">401,6 млн. лв. </w:t>
      </w:r>
      <w:r w:rsidRPr="00FC69BD">
        <w:rPr>
          <w:lang w:eastAsia="bg-BG"/>
        </w:rPr>
        <w:t>(</w:t>
      </w:r>
      <w:r w:rsidRPr="00D554DB">
        <w:rPr>
          <w:lang w:eastAsia="bg-BG"/>
        </w:rPr>
        <w:t>от тях 13,3 млн. лв. са възстановени средства след приключване на операция по опрощаване на дълга на Судан</w:t>
      </w:r>
      <w:r w:rsidRPr="00FC69BD">
        <w:rPr>
          <w:lang w:eastAsia="bg-BG"/>
        </w:rPr>
        <w:t>)</w:t>
      </w:r>
      <w:r w:rsidRPr="00D554DB">
        <w:rPr>
          <w:lang w:eastAsia="bg-BG"/>
        </w:rPr>
        <w:t>, в т.ч. 382,3 млн. лв. по централния бюджет. Разходите за лихви по ДИЗ, управлявани от министерства и ведомства са в размер на 19,3 млн. лв. (от тях 1,3 млн. лв. са по заемите с краен бенефициент търговско дружество).</w:t>
      </w:r>
    </w:p>
    <w:p w14:paraId="4CB61C5E" w14:textId="77777777" w:rsidR="00D554DB" w:rsidRPr="00D554DB" w:rsidRDefault="00D554DB" w:rsidP="00D554DB">
      <w:pPr>
        <w:spacing w:after="120"/>
        <w:jc w:val="both"/>
        <w:rPr>
          <w:b/>
          <w:lang w:eastAsia="bg-BG"/>
        </w:rPr>
      </w:pPr>
      <w:r w:rsidRPr="00D554DB">
        <w:rPr>
          <w:lang w:eastAsia="bg-BG"/>
        </w:rPr>
        <w:t>През отчетния период не са използвани средства, предвидени за покриване на риска от активиране на държавни гаранции.</w:t>
      </w:r>
      <w:r w:rsidRPr="00D554DB">
        <w:rPr>
          <w:b/>
          <w:lang w:eastAsia="bg-BG"/>
        </w:rPr>
        <w:t xml:space="preserve"> </w:t>
      </w:r>
    </w:p>
    <w:p w14:paraId="016B2B6D" w14:textId="77777777" w:rsidR="00D554DB" w:rsidRPr="00D554DB" w:rsidRDefault="00D554DB" w:rsidP="00D554DB">
      <w:pPr>
        <w:spacing w:after="60"/>
        <w:jc w:val="both"/>
        <w:rPr>
          <w:color w:val="0070C0"/>
          <w:lang w:eastAsia="bg-BG"/>
        </w:rPr>
      </w:pPr>
      <w:r w:rsidRPr="00D554DB">
        <w:rPr>
          <w:b/>
          <w:lang w:eastAsia="bg-BG"/>
        </w:rPr>
        <w:t>Лихвите по вътрешни заеми</w:t>
      </w:r>
      <w:r w:rsidRPr="00D554DB">
        <w:rPr>
          <w:lang w:eastAsia="bg-BG"/>
        </w:rPr>
        <w:t xml:space="preserve"> по държавния бюджет </w:t>
      </w:r>
      <w:r w:rsidRPr="00D554DB">
        <w:rPr>
          <w:bCs/>
          <w:lang w:eastAsia="bg-BG"/>
        </w:rPr>
        <w:t>към септември 2021</w:t>
      </w:r>
      <w:r w:rsidRPr="00D554DB">
        <w:rPr>
          <w:lang w:eastAsia="bg-BG"/>
        </w:rPr>
        <w:t xml:space="preserve"> г. са в размер на </w:t>
      </w:r>
      <w:r w:rsidRPr="00D554DB">
        <w:rPr>
          <w:b/>
          <w:lang w:eastAsia="bg-BG"/>
        </w:rPr>
        <w:t>121,2</w:t>
      </w:r>
      <w:r w:rsidRPr="00D554DB">
        <w:rPr>
          <w:rFonts w:eastAsia="Calibri"/>
          <w:b/>
        </w:rPr>
        <w:t> </w:t>
      </w:r>
      <w:r w:rsidRPr="00D554DB">
        <w:rPr>
          <w:b/>
          <w:lang w:eastAsia="bg-BG"/>
        </w:rPr>
        <w:t>млн. лв.</w:t>
      </w:r>
      <w:r w:rsidRPr="00D554DB">
        <w:rPr>
          <w:lang w:eastAsia="bg-BG"/>
        </w:rPr>
        <w:t xml:space="preserve"> и представляват основно лихви по емисии на ДЦК на вътрешния пазар. Платените лихви и отстъпки по ДЦК, емитирани на аукционен принцип са в размер на 125,4 млн. лв. Реализираните при аукционите премии над номинала от емисии ДЦК </w:t>
      </w:r>
      <w:r w:rsidRPr="00D554DB">
        <w:rPr>
          <w:lang w:eastAsia="bg-BG"/>
        </w:rPr>
        <w:lastRenderedPageBreak/>
        <w:t>към 30.09.2021 г. (отчетени в намаление на разходите за лихви по вътрешния дълг) са съответно (-4,5) млн. лв.</w:t>
      </w:r>
    </w:p>
    <w:p w14:paraId="076DAFF2" w14:textId="77777777" w:rsidR="00D554DB" w:rsidRPr="00D554DB" w:rsidRDefault="00D554DB" w:rsidP="00D554DB">
      <w:pPr>
        <w:numPr>
          <w:ilvl w:val="0"/>
          <w:numId w:val="27"/>
        </w:numPr>
        <w:tabs>
          <w:tab w:val="left" w:pos="426"/>
        </w:tabs>
        <w:spacing w:before="120" w:after="60"/>
        <w:ind w:left="0" w:firstLine="0"/>
        <w:jc w:val="both"/>
        <w:rPr>
          <w:b/>
          <w:bCs/>
          <w:lang w:eastAsia="bg-BG"/>
        </w:rPr>
      </w:pPr>
      <w:r w:rsidRPr="00D554DB">
        <w:rPr>
          <w:b/>
          <w:bCs/>
          <w:lang w:eastAsia="bg-BG"/>
        </w:rPr>
        <w:t>Нетният размер на трансферите по държавния бюджет</w:t>
      </w:r>
      <w:r w:rsidRPr="00D554DB">
        <w:rPr>
          <w:bCs/>
          <w:lang w:eastAsia="bg-BG"/>
        </w:rPr>
        <w:t xml:space="preserve">  към септември 2021</w:t>
      </w:r>
      <w:r w:rsidRPr="00D554DB">
        <w:rPr>
          <w:lang w:eastAsia="bg-BG"/>
        </w:rPr>
        <w:t xml:space="preserve"> г.</w:t>
      </w:r>
      <w:r w:rsidRPr="00D554DB">
        <w:rPr>
          <w:bCs/>
          <w:lang w:eastAsia="bg-BG"/>
        </w:rPr>
        <w:t xml:space="preserve"> е</w:t>
      </w:r>
      <w:r w:rsidRPr="00D554DB">
        <w:rPr>
          <w:b/>
          <w:bCs/>
          <w:lang w:eastAsia="bg-BG"/>
        </w:rPr>
        <w:t xml:space="preserve"> 12 197,8</w:t>
      </w:r>
      <w:r w:rsidRPr="00D554DB">
        <w:rPr>
          <w:rFonts w:eastAsia="Calibri"/>
          <w:b/>
        </w:rPr>
        <w:t> </w:t>
      </w:r>
      <w:r w:rsidRPr="00D554DB">
        <w:rPr>
          <w:b/>
          <w:bCs/>
          <w:lang w:eastAsia="bg-BG"/>
        </w:rPr>
        <w:t xml:space="preserve">млн. лв.,  </w:t>
      </w:r>
      <w:r w:rsidRPr="00D554DB">
        <w:rPr>
          <w:bCs/>
          <w:lang w:eastAsia="bg-BG"/>
        </w:rPr>
        <w:t>в т.ч.:</w:t>
      </w:r>
      <w:r w:rsidRPr="00D554DB">
        <w:rPr>
          <w:b/>
          <w:bCs/>
          <w:lang w:eastAsia="bg-BG"/>
        </w:rPr>
        <w:t xml:space="preserve"> </w:t>
      </w:r>
    </w:p>
    <w:p w14:paraId="16038500" w14:textId="77777777" w:rsidR="00D554DB" w:rsidRPr="00D554DB" w:rsidRDefault="00D554DB" w:rsidP="00D554DB">
      <w:pPr>
        <w:numPr>
          <w:ilvl w:val="0"/>
          <w:numId w:val="21"/>
        </w:numPr>
        <w:tabs>
          <w:tab w:val="clear" w:pos="700"/>
          <w:tab w:val="left" w:pos="180"/>
          <w:tab w:val="num" w:pos="540"/>
          <w:tab w:val="num" w:pos="1495"/>
          <w:tab w:val="num" w:pos="9858"/>
        </w:tabs>
        <w:ind w:left="538" w:hanging="357"/>
        <w:jc w:val="both"/>
        <w:rPr>
          <w:lang w:eastAsia="bg-BG"/>
        </w:rPr>
      </w:pPr>
      <w:r w:rsidRPr="00D554DB">
        <w:rPr>
          <w:lang w:eastAsia="bg-BG"/>
        </w:rPr>
        <w:t>бюджетните  взаимоотношения  с  общините  включват  нето трансфери  и временни безлихвени заеми в  размер  на 4 253,5 млн. лв.,</w:t>
      </w:r>
      <w:r w:rsidRPr="00FC69BD">
        <w:rPr>
          <w:color w:val="0070C0"/>
          <w:lang w:eastAsia="bg-BG"/>
        </w:rPr>
        <w:t xml:space="preserve"> </w:t>
      </w:r>
      <w:r w:rsidRPr="00D554DB">
        <w:rPr>
          <w:lang w:eastAsia="bg-BG"/>
        </w:rPr>
        <w:t>от които субсидии от централния бюджет в размер на 3 678,1 млн. лв.,</w:t>
      </w:r>
      <w:r w:rsidRPr="00D554DB">
        <w:rPr>
          <w:color w:val="0070C0"/>
          <w:lang w:eastAsia="bg-BG"/>
        </w:rPr>
        <w:t xml:space="preserve"> </w:t>
      </w:r>
      <w:r w:rsidRPr="00D554DB">
        <w:rPr>
          <w:lang w:eastAsia="bg-BG"/>
        </w:rPr>
        <w:t>други целеви трансфери от централния бюджет в размер на 166,8 млн. лв., нетни трансфери от/за други бюджети в размер на 415,9 млн. лв. и възстановени трансфери от предходни години в централния бюджет – 7,3 млн. лева;</w:t>
      </w:r>
    </w:p>
    <w:p w14:paraId="201204D1" w14:textId="77777777" w:rsidR="00D554DB" w:rsidRPr="00D554DB" w:rsidRDefault="00D554DB" w:rsidP="00D554DB">
      <w:pPr>
        <w:numPr>
          <w:ilvl w:val="0"/>
          <w:numId w:val="21"/>
        </w:numPr>
        <w:tabs>
          <w:tab w:val="clear" w:pos="700"/>
          <w:tab w:val="left" w:pos="180"/>
          <w:tab w:val="num" w:pos="540"/>
          <w:tab w:val="num" w:pos="1495"/>
          <w:tab w:val="num" w:pos="9858"/>
        </w:tabs>
        <w:ind w:left="538" w:hanging="357"/>
        <w:jc w:val="both"/>
        <w:rPr>
          <w:lang w:eastAsia="bg-BG"/>
        </w:rPr>
      </w:pPr>
      <w:r w:rsidRPr="00D554DB">
        <w:rPr>
          <w:lang w:eastAsia="bg-BG"/>
        </w:rPr>
        <w:t>на социалноосигурителните фондове (нето) – 6 851,6 млн. лв.,</w:t>
      </w:r>
      <w:r w:rsidRPr="00D554DB">
        <w:rPr>
          <w:b/>
          <w:lang w:eastAsia="bg-BG"/>
        </w:rPr>
        <w:t xml:space="preserve"> </w:t>
      </w:r>
      <w:r w:rsidRPr="00D554DB">
        <w:rPr>
          <w:lang w:eastAsia="bg-BG"/>
        </w:rPr>
        <w:t>което представлява 79,7 % от годишния разчет;</w:t>
      </w:r>
    </w:p>
    <w:p w14:paraId="6E4F7D68" w14:textId="77777777" w:rsidR="00D554DB" w:rsidRPr="00D554DB" w:rsidRDefault="00D554DB" w:rsidP="00D554DB">
      <w:pPr>
        <w:numPr>
          <w:ilvl w:val="0"/>
          <w:numId w:val="21"/>
        </w:numPr>
        <w:tabs>
          <w:tab w:val="clear" w:pos="700"/>
          <w:tab w:val="left" w:pos="180"/>
          <w:tab w:val="num" w:pos="540"/>
          <w:tab w:val="num" w:pos="1495"/>
          <w:tab w:val="num" w:pos="9858"/>
        </w:tabs>
        <w:ind w:left="538" w:hanging="357"/>
        <w:jc w:val="both"/>
        <w:rPr>
          <w:lang w:eastAsia="bg-BG"/>
        </w:rPr>
      </w:pPr>
      <w:r w:rsidRPr="00D554DB">
        <w:rPr>
          <w:lang w:eastAsia="bg-BG"/>
        </w:rPr>
        <w:t>на други автономни бюджети (ДВУ, БАН, ССА, БНТ, БНР и БТА) – 746,8 млн. лв., 86,6 % от годишния разчет.</w:t>
      </w:r>
    </w:p>
    <w:p w14:paraId="7A8AFF2B" w14:textId="77777777" w:rsidR="00D554DB" w:rsidRPr="00D554DB" w:rsidRDefault="00D554DB" w:rsidP="00D554DB">
      <w:pPr>
        <w:numPr>
          <w:ilvl w:val="0"/>
          <w:numId w:val="6"/>
        </w:numPr>
        <w:tabs>
          <w:tab w:val="clear" w:pos="700"/>
          <w:tab w:val="left" w:pos="426"/>
          <w:tab w:val="num" w:pos="786"/>
        </w:tabs>
        <w:spacing w:before="120"/>
        <w:ind w:left="0" w:firstLine="0"/>
        <w:jc w:val="both"/>
        <w:rPr>
          <w:bCs/>
          <w:lang w:eastAsia="bg-BG"/>
        </w:rPr>
      </w:pPr>
      <w:r w:rsidRPr="00D554DB">
        <w:rPr>
          <w:lang w:eastAsia="bg-BG"/>
        </w:rPr>
        <w:t>Частта от</w:t>
      </w:r>
      <w:r w:rsidRPr="00D554DB">
        <w:rPr>
          <w:b/>
          <w:lang w:eastAsia="bg-BG"/>
        </w:rPr>
        <w:t xml:space="preserve"> вноската на Република България в общия бюджет на ЕС, </w:t>
      </w:r>
      <w:r w:rsidRPr="00D554DB">
        <w:rPr>
          <w:lang w:eastAsia="bg-BG"/>
        </w:rPr>
        <w:t>изплатена към 30.09.2021 г. от централния бюджет, възлиза на</w:t>
      </w:r>
      <w:r w:rsidRPr="00D554DB">
        <w:rPr>
          <w:b/>
          <w:lang w:eastAsia="bg-BG"/>
        </w:rPr>
        <w:t xml:space="preserve"> 1 094,0 млн. лева.</w:t>
      </w:r>
      <w:r w:rsidRPr="00D554DB">
        <w:rPr>
          <w:lang w:eastAsia="bg-BG"/>
        </w:rPr>
        <w:t xml:space="preserve"> </w:t>
      </w:r>
    </w:p>
    <w:p w14:paraId="416C0AEF" w14:textId="77777777" w:rsidR="00D554DB" w:rsidRPr="00D554DB" w:rsidRDefault="00D554DB" w:rsidP="00D554DB">
      <w:pPr>
        <w:numPr>
          <w:ilvl w:val="0"/>
          <w:numId w:val="6"/>
        </w:numPr>
        <w:tabs>
          <w:tab w:val="clear" w:pos="700"/>
          <w:tab w:val="num" w:pos="426"/>
          <w:tab w:val="num" w:pos="786"/>
        </w:tabs>
        <w:spacing w:before="240" w:after="240"/>
        <w:ind w:left="0" w:firstLine="0"/>
        <w:jc w:val="both"/>
        <w:rPr>
          <w:sz w:val="16"/>
          <w:szCs w:val="16"/>
          <w:lang w:eastAsia="bg-BG"/>
        </w:rPr>
      </w:pPr>
      <w:r w:rsidRPr="00D554DB">
        <w:rPr>
          <w:b/>
          <w:lang w:eastAsia="bg-BG"/>
        </w:rPr>
        <w:t>Бюджетното салдо по държавния бюджет</w:t>
      </w:r>
      <w:r w:rsidRPr="00D554DB">
        <w:rPr>
          <w:lang w:eastAsia="bg-BG"/>
        </w:rPr>
        <w:t xml:space="preserve"> към </w:t>
      </w:r>
      <w:r w:rsidRPr="00FC69BD">
        <w:rPr>
          <w:lang w:eastAsia="bg-BG"/>
        </w:rPr>
        <w:t>30.09.202</w:t>
      </w:r>
      <w:r w:rsidRPr="00D554DB">
        <w:rPr>
          <w:lang w:eastAsia="bg-BG"/>
        </w:rPr>
        <w:t xml:space="preserve">1 г. </w:t>
      </w:r>
      <w:r w:rsidRPr="00D554DB">
        <w:rPr>
          <w:b/>
          <w:lang w:eastAsia="bg-BG"/>
        </w:rPr>
        <w:t>е положително</w:t>
      </w:r>
      <w:r w:rsidRPr="00D554DB">
        <w:rPr>
          <w:lang w:eastAsia="bg-BG"/>
        </w:rPr>
        <w:t xml:space="preserve"> в размер на </w:t>
      </w:r>
      <w:r w:rsidRPr="00FC69BD">
        <w:rPr>
          <w:b/>
          <w:lang w:eastAsia="bg-BG"/>
        </w:rPr>
        <w:t>16</w:t>
      </w:r>
      <w:r w:rsidRPr="00D554DB">
        <w:rPr>
          <w:b/>
          <w:lang w:eastAsia="bg-BG"/>
        </w:rPr>
        <w:t>,6 млн. лева</w:t>
      </w:r>
      <w:r w:rsidRPr="00D554DB">
        <w:rPr>
          <w:lang w:eastAsia="bg-BG"/>
        </w:rPr>
        <w:t xml:space="preserve">. </w:t>
      </w:r>
    </w:p>
    <w:p w14:paraId="68EC4578" w14:textId="77777777" w:rsidR="00D554DB" w:rsidRPr="00D554DB" w:rsidRDefault="00D554DB" w:rsidP="00D554DB">
      <w:pPr>
        <w:numPr>
          <w:ilvl w:val="0"/>
          <w:numId w:val="6"/>
        </w:numPr>
        <w:tabs>
          <w:tab w:val="clear" w:pos="700"/>
          <w:tab w:val="num" w:pos="426"/>
          <w:tab w:val="num" w:pos="786"/>
        </w:tabs>
        <w:spacing w:before="240" w:after="240"/>
        <w:ind w:left="0" w:firstLine="0"/>
        <w:jc w:val="both"/>
        <w:rPr>
          <w:b/>
          <w:lang w:eastAsia="bg-BG"/>
        </w:rPr>
      </w:pPr>
      <w:r w:rsidRPr="00D554DB">
        <w:rPr>
          <w:b/>
          <w:lang w:eastAsia="bg-BG"/>
        </w:rPr>
        <w:t>Финансиране на бюджета чрез операции по дълга</w:t>
      </w:r>
    </w:p>
    <w:p w14:paraId="4B31F3D8" w14:textId="77777777" w:rsidR="00D554DB" w:rsidRPr="00D554DB" w:rsidRDefault="00D554DB" w:rsidP="00D554DB">
      <w:pPr>
        <w:spacing w:after="120"/>
        <w:jc w:val="both"/>
        <w:rPr>
          <w:lang w:eastAsia="bg-BG"/>
        </w:rPr>
      </w:pPr>
      <w:r w:rsidRPr="00D554DB">
        <w:rPr>
          <w:lang w:eastAsia="bg-BG"/>
        </w:rPr>
        <w:t>Към 30.09.2021 г. е отчетено положително нетно външно финансиране по централния бюджет в размер на 921,7 млн. лева.</w:t>
      </w:r>
    </w:p>
    <w:p w14:paraId="56648AD8" w14:textId="77777777" w:rsidR="00D554DB" w:rsidRPr="00D554DB" w:rsidRDefault="00D554DB" w:rsidP="00D554DB">
      <w:pPr>
        <w:spacing w:after="120"/>
        <w:jc w:val="both"/>
        <w:rPr>
          <w:lang w:eastAsia="bg-BG"/>
        </w:rPr>
      </w:pPr>
      <w:r w:rsidRPr="00D554DB">
        <w:rPr>
          <w:lang w:eastAsia="bg-BG"/>
        </w:rPr>
        <w:t xml:space="preserve">През отчетния период по централния бюджет са </w:t>
      </w:r>
      <w:r w:rsidRPr="00D554DB">
        <w:rPr>
          <w:b/>
          <w:i/>
          <w:lang w:eastAsia="bg-BG"/>
        </w:rPr>
        <w:t>усвоени</w:t>
      </w:r>
      <w:r w:rsidRPr="00D554DB">
        <w:rPr>
          <w:lang w:eastAsia="bg-BG"/>
        </w:rPr>
        <w:t xml:space="preserve"> 999,4 млн. лв. по заеми от чужбина.</w:t>
      </w:r>
    </w:p>
    <w:p w14:paraId="6A2F7774" w14:textId="77777777" w:rsidR="00D554DB" w:rsidRPr="00FC69BD" w:rsidRDefault="00D554DB" w:rsidP="00D554DB">
      <w:pPr>
        <w:spacing w:after="120"/>
        <w:jc w:val="both"/>
        <w:rPr>
          <w:lang w:eastAsia="bg-BG"/>
        </w:rPr>
      </w:pPr>
      <w:r w:rsidRPr="00D554DB">
        <w:rPr>
          <w:lang w:eastAsia="bg-BG"/>
        </w:rPr>
        <w:t>Усвоените средства, в размер на 511,0 млн. евро (999,4 млн. лв.), са по Споразумение за заем между Европейския съюз и Република България за временна подкрепа с цел смекчаване на рисковете от безработица при извънредни обстоятелства (SURE) вследствие на COVID-19, постъпили по централен бюджет през май, на два транша, съответно 8-годишен транш от 311 млн. евро и 25-годишен транш от 200 млн. евро.</w:t>
      </w:r>
    </w:p>
    <w:p w14:paraId="3A068810" w14:textId="77777777" w:rsidR="00D554DB" w:rsidRPr="00D554DB" w:rsidRDefault="00D554DB" w:rsidP="00D554DB">
      <w:pPr>
        <w:tabs>
          <w:tab w:val="num" w:pos="900"/>
          <w:tab w:val="num" w:pos="1500"/>
        </w:tabs>
        <w:spacing w:before="120" w:after="60"/>
        <w:jc w:val="both"/>
        <w:rPr>
          <w:lang w:eastAsia="bg-BG"/>
        </w:rPr>
      </w:pPr>
      <w:r w:rsidRPr="00D554DB">
        <w:rPr>
          <w:b/>
          <w:i/>
          <w:lang w:eastAsia="bg-BG"/>
        </w:rPr>
        <w:t>Извършените погашения</w:t>
      </w:r>
      <w:r w:rsidRPr="00D554DB">
        <w:rPr>
          <w:lang w:eastAsia="bg-BG"/>
        </w:rPr>
        <w:t xml:space="preserve"> по заеми от чужбина по централния бюджет възлизат на 77,7 млн. лв. и са, както следва:</w:t>
      </w:r>
    </w:p>
    <w:p w14:paraId="279EAF5F" w14:textId="77777777" w:rsidR="00D554DB" w:rsidRPr="00D554DB" w:rsidRDefault="00D554DB" w:rsidP="00D554DB">
      <w:pPr>
        <w:numPr>
          <w:ilvl w:val="0"/>
          <w:numId w:val="26"/>
        </w:numPr>
        <w:tabs>
          <w:tab w:val="num" w:pos="900"/>
          <w:tab w:val="num" w:pos="1134"/>
        </w:tabs>
        <w:ind w:left="1276" w:hanging="425"/>
        <w:jc w:val="both"/>
        <w:rPr>
          <w:rFonts w:ascii="Arial" w:hAnsi="Arial" w:cs="Arial"/>
          <w:lang w:eastAsia="bg-BG"/>
        </w:rPr>
      </w:pPr>
      <w:r w:rsidRPr="00D554DB">
        <w:rPr>
          <w:lang w:eastAsia="bg-BG"/>
        </w:rPr>
        <w:t xml:space="preserve"> 47,6 млн. лв. към Международната банка за възстановяване и развитие; </w:t>
      </w:r>
    </w:p>
    <w:p w14:paraId="0DBA9606" w14:textId="77777777" w:rsidR="00D554DB" w:rsidRPr="00D554DB" w:rsidRDefault="00D554DB" w:rsidP="00D554DB">
      <w:pPr>
        <w:numPr>
          <w:ilvl w:val="0"/>
          <w:numId w:val="26"/>
        </w:numPr>
        <w:tabs>
          <w:tab w:val="num" w:pos="900"/>
          <w:tab w:val="left" w:pos="1134"/>
        </w:tabs>
        <w:ind w:left="993" w:hanging="142"/>
        <w:jc w:val="both"/>
        <w:rPr>
          <w:rFonts w:ascii="Arial" w:hAnsi="Arial" w:cs="Arial"/>
          <w:lang w:eastAsia="bg-BG"/>
        </w:rPr>
      </w:pPr>
      <w:r w:rsidRPr="00D554DB">
        <w:rPr>
          <w:lang w:eastAsia="bg-BG"/>
        </w:rPr>
        <w:t xml:space="preserve"> 20,3 млн. лв. към </w:t>
      </w:r>
      <w:r w:rsidRPr="00D554DB">
        <w:rPr>
          <w:rFonts w:cs="Arial"/>
          <w:lang w:eastAsia="bg-BG"/>
        </w:rPr>
        <w:t>Европейската инвестиционна банка</w:t>
      </w:r>
      <w:r w:rsidRPr="00D554DB">
        <w:rPr>
          <w:lang w:eastAsia="bg-BG"/>
        </w:rPr>
        <w:t>;</w:t>
      </w:r>
    </w:p>
    <w:p w14:paraId="4A1A14BC" w14:textId="77777777" w:rsidR="00D554DB" w:rsidRPr="00D554DB" w:rsidRDefault="00D554DB" w:rsidP="00D554DB">
      <w:pPr>
        <w:numPr>
          <w:ilvl w:val="0"/>
          <w:numId w:val="26"/>
        </w:numPr>
        <w:tabs>
          <w:tab w:val="num" w:pos="900"/>
          <w:tab w:val="left" w:pos="1134"/>
        </w:tabs>
        <w:ind w:left="993" w:hanging="142"/>
        <w:jc w:val="both"/>
        <w:rPr>
          <w:rFonts w:ascii="Arial" w:hAnsi="Arial" w:cs="Arial"/>
          <w:lang w:eastAsia="bg-BG"/>
        </w:rPr>
      </w:pPr>
      <w:r w:rsidRPr="00D554DB">
        <w:rPr>
          <w:rFonts w:cs="Arial"/>
          <w:lang w:eastAsia="bg-BG"/>
        </w:rPr>
        <w:t xml:space="preserve"> 9,8 млн. лв. </w:t>
      </w:r>
      <w:r w:rsidRPr="00D554DB">
        <w:rPr>
          <w:lang w:eastAsia="bg-BG"/>
        </w:rPr>
        <w:t>към Банка за развитие на Съвета на Европа</w:t>
      </w:r>
      <w:r w:rsidRPr="00D554DB">
        <w:rPr>
          <w:rFonts w:cs="Arial"/>
          <w:lang w:eastAsia="bg-BG"/>
        </w:rPr>
        <w:t>.</w:t>
      </w:r>
    </w:p>
    <w:p w14:paraId="659A3EBF" w14:textId="77777777" w:rsidR="00D554DB" w:rsidRPr="00D554DB" w:rsidRDefault="00D554DB" w:rsidP="00D554DB">
      <w:pPr>
        <w:spacing w:before="120" w:after="120"/>
        <w:jc w:val="both"/>
      </w:pPr>
      <w:r w:rsidRPr="00D554DB">
        <w:rPr>
          <w:lang w:eastAsia="bg-BG"/>
        </w:rPr>
        <w:t xml:space="preserve">По </w:t>
      </w:r>
      <w:r w:rsidRPr="00D554DB">
        <w:rPr>
          <w:b/>
          <w:lang w:eastAsia="bg-BG"/>
        </w:rPr>
        <w:t>държавните инвестиционни заеми</w:t>
      </w:r>
      <w:r w:rsidRPr="00D554DB">
        <w:rPr>
          <w:lang w:eastAsia="bg-BG"/>
        </w:rPr>
        <w:t xml:space="preserve">, управлявани от министерства и ведомства, през отчетния период няма </w:t>
      </w:r>
      <w:r w:rsidRPr="00D554DB">
        <w:rPr>
          <w:b/>
          <w:i/>
          <w:lang w:eastAsia="bg-BG"/>
        </w:rPr>
        <w:t>усвоени</w:t>
      </w:r>
      <w:r w:rsidRPr="00D554DB">
        <w:rPr>
          <w:lang w:eastAsia="bg-BG"/>
        </w:rPr>
        <w:t xml:space="preserve"> средства</w:t>
      </w:r>
      <w:r w:rsidRPr="00D554DB">
        <w:t xml:space="preserve">. </w:t>
      </w:r>
    </w:p>
    <w:p w14:paraId="6966060B" w14:textId="77777777" w:rsidR="00D554DB" w:rsidRPr="00D554DB" w:rsidRDefault="00D554DB" w:rsidP="00D554DB">
      <w:pPr>
        <w:spacing w:after="120"/>
        <w:jc w:val="both"/>
      </w:pPr>
      <w:r w:rsidRPr="00D554DB">
        <w:rPr>
          <w:b/>
          <w:i/>
          <w:lang w:eastAsia="bg-BG"/>
        </w:rPr>
        <w:t>Изплатените погашения</w:t>
      </w:r>
      <w:r w:rsidRPr="00D554DB">
        <w:rPr>
          <w:lang w:eastAsia="bg-BG"/>
        </w:rPr>
        <w:t xml:space="preserve"> по ДИЗ, управлявани от министерства и ведомства, са в размер на 76,0 млн. лв. По заемите с краен бенефициент търговско дружество извършените погашения са в размер на 9,8 млн. лева.</w:t>
      </w:r>
    </w:p>
    <w:p w14:paraId="0A02B9FA" w14:textId="77777777" w:rsidR="00D554DB" w:rsidRPr="00D554DB" w:rsidRDefault="00D554DB" w:rsidP="00D554DB">
      <w:pPr>
        <w:spacing w:after="120"/>
        <w:jc w:val="both"/>
        <w:rPr>
          <w:lang w:eastAsia="bg-BG"/>
        </w:rPr>
      </w:pPr>
      <w:r w:rsidRPr="00D554DB">
        <w:rPr>
          <w:lang w:eastAsia="bg-BG"/>
        </w:rPr>
        <w:t>Не са използвани средства, предвидени за покриване на риска от активиране на държавни гаранции.</w:t>
      </w:r>
    </w:p>
    <w:p w14:paraId="25A56777" w14:textId="56CEC0A4" w:rsidR="00D554DB" w:rsidRPr="00D554DB" w:rsidRDefault="00D554DB" w:rsidP="00D554DB">
      <w:pPr>
        <w:spacing w:after="60"/>
        <w:jc w:val="both"/>
        <w:rPr>
          <w:color w:val="0070C0"/>
          <w:lang w:eastAsia="bg-BG"/>
        </w:rPr>
      </w:pPr>
      <w:r w:rsidRPr="00D554DB">
        <w:rPr>
          <w:lang w:eastAsia="bg-BG"/>
        </w:rPr>
        <w:t xml:space="preserve">Операции с </w:t>
      </w:r>
      <w:r w:rsidRPr="00D554DB">
        <w:rPr>
          <w:b/>
          <w:lang w:eastAsia="bg-BG"/>
        </w:rPr>
        <w:t xml:space="preserve">държавни ценни книжа </w:t>
      </w:r>
      <w:r w:rsidRPr="00D554DB">
        <w:rPr>
          <w:lang w:eastAsia="bg-BG"/>
        </w:rPr>
        <w:t xml:space="preserve">по централния бюджет </w:t>
      </w:r>
      <w:r w:rsidRPr="00D554DB">
        <w:rPr>
          <w:b/>
          <w:lang w:eastAsia="bg-BG"/>
        </w:rPr>
        <w:t>(позиция във вътрешното финансиране):</w:t>
      </w:r>
      <w:r w:rsidRPr="00D554DB">
        <w:rPr>
          <w:lang w:eastAsia="bg-BG"/>
        </w:rPr>
        <w:t xml:space="preserve"> </w:t>
      </w:r>
      <w:r w:rsidR="00D145A6" w:rsidRPr="00355202">
        <w:t xml:space="preserve">В края на месец септември 2021 г. е отчетено положително нетно вътрешно </w:t>
      </w:r>
      <w:r w:rsidR="00D145A6" w:rsidRPr="007C0AB3">
        <w:t>финансиране на бюджета с държавни ценни книжа (ДЦК) в размер на 496,6 млн. лв. Общият размер на постъпленията от емисии на ДЦК е 1 295,8 млн. лв. или са емитирани 1 300,0 млн. лв. ДЦК на обща номинална стойност, както следва: през февруари - петгодишни облигации в обем 200 млн. лв. номинална стойност при постигната среднопретеглена годишна доходност в размер на  (-0,17) и облигации с матуритет десет години и 6 месеца с номинална стойност 300</w:t>
      </w:r>
      <w:r w:rsidR="006240F1">
        <w:t> </w:t>
      </w:r>
      <w:r w:rsidR="00D145A6" w:rsidRPr="007C0AB3">
        <w:t xml:space="preserve">млн. лв. при постигната среднопретеглена годишна доходност в размер на 0,14 %; на </w:t>
      </w:r>
      <w:r w:rsidR="00D145A6" w:rsidRPr="007C0AB3">
        <w:lastRenderedPageBreak/>
        <w:t>22</w:t>
      </w:r>
      <w:r w:rsidR="00302DB9">
        <w:t> </w:t>
      </w:r>
      <w:r w:rsidR="00D145A6" w:rsidRPr="007C0AB3">
        <w:t>март Министерството на фина</w:t>
      </w:r>
      <w:r w:rsidR="00D145A6">
        <w:t>нсите (МФ) преотвори емисия пет</w:t>
      </w:r>
      <w:r w:rsidR="00D145A6" w:rsidRPr="007C0AB3">
        <w:t>годишни ДЦК (деноминирана в лева с падеж 24.02.2026 година), като на проведения аукцион са пласирани ДЦК за 300 млн. лв. съвкупна номинална стойност при среднопретеглена годишна доходност в размер на</w:t>
      </w:r>
      <w:r w:rsidR="00CD1994">
        <w:t xml:space="preserve"> </w:t>
      </w:r>
      <w:r w:rsidR="00D145A6" w:rsidRPr="007C0AB3">
        <w:t>(-0,10 %). През септември са проведени два аукциона за пласмент на ДЦК, като на 7</w:t>
      </w:r>
      <w:r w:rsidR="00F327FB">
        <w:t> </w:t>
      </w:r>
      <w:r w:rsidR="00D145A6" w:rsidRPr="007C0AB3">
        <w:t>септември 2021 г. МФ преотвори и пласира емисия 5-годишни ДЦК за 200 млн. лв. съвкупна номинална стойност при постигната среднопретеглена годишна доходност в размер от (-0,15 %) и съответно - на 20 септември 2021 г. емисия 10,5-годишни ДЦК за 300 млн. лв. съвкупна номинална стойност при постигната среднопретеглена годишна доходност в размер на 0,20 %</w:t>
      </w:r>
      <w:r w:rsidRPr="00D554DB">
        <w:rPr>
          <w:lang w:eastAsia="bg-BG"/>
        </w:rPr>
        <w:t>.</w:t>
      </w:r>
    </w:p>
    <w:p w14:paraId="557F0A2F" w14:textId="77777777" w:rsidR="00D554DB" w:rsidRPr="00D554DB" w:rsidRDefault="00D554DB" w:rsidP="00D554DB">
      <w:pPr>
        <w:spacing w:after="60"/>
        <w:jc w:val="both"/>
        <w:rPr>
          <w:lang w:eastAsia="bg-BG"/>
        </w:rPr>
      </w:pPr>
      <w:r w:rsidRPr="00D554DB">
        <w:rPr>
          <w:lang w:eastAsia="bg-BG"/>
        </w:rPr>
        <w:t xml:space="preserve">Отчетените погашения в края на септември 2021 г. са в размер на 799,2 млн. лв., в т.ч. през февруари Министерството на финансите погаси емисия 4-годишни ДЦК от 2017 г. в обем от 200 млн. лв. и 7-годишни ДЦК от 2014 г. в размер на 145 млн. евро (283,6 млн. лв.) номинална стойност; през </w:t>
      </w:r>
      <w:r w:rsidRPr="00D554DB">
        <w:rPr>
          <w:rFonts w:eastAsia="Calibri"/>
        </w:rPr>
        <w:t xml:space="preserve">юли </w:t>
      </w:r>
      <w:r w:rsidRPr="00D554DB">
        <w:rPr>
          <w:lang w:eastAsia="bg-BG"/>
        </w:rPr>
        <w:t>емисия 10,5-годишни ДЦК от 2011 г. в обем 315,6 млн. лева.</w:t>
      </w:r>
    </w:p>
    <w:p w14:paraId="1F082796" w14:textId="77777777" w:rsidR="0004753C" w:rsidRPr="00BE153D" w:rsidRDefault="0004753C" w:rsidP="006531A3">
      <w:pPr>
        <w:pStyle w:val="Heading1"/>
        <w:numPr>
          <w:ilvl w:val="1"/>
          <w:numId w:val="10"/>
        </w:numPr>
        <w:tabs>
          <w:tab w:val="left" w:pos="993"/>
        </w:tabs>
        <w:spacing w:before="240" w:after="120"/>
        <w:ind w:left="709" w:right="-108" w:hanging="425"/>
        <w:jc w:val="both"/>
        <w:rPr>
          <w:sz w:val="24"/>
        </w:rPr>
      </w:pPr>
      <w:r w:rsidRPr="00BE153D">
        <w:rPr>
          <w:sz w:val="24"/>
        </w:rPr>
        <w:t>Бюджет на съдебната власт</w:t>
      </w:r>
    </w:p>
    <w:p w14:paraId="16E36B54" w14:textId="5266612F" w:rsidR="005B6604" w:rsidRPr="00C85F7F" w:rsidRDefault="005B6604" w:rsidP="00D80BC7">
      <w:pPr>
        <w:jc w:val="both"/>
        <w:rPr>
          <w:color w:val="548DD4" w:themeColor="text2" w:themeTint="99"/>
        </w:rPr>
      </w:pPr>
      <w:r w:rsidRPr="00BE153D">
        <w:t>Със ЗДБРБ за 20</w:t>
      </w:r>
      <w:r w:rsidR="007C1025" w:rsidRPr="00BE153D">
        <w:t>21</w:t>
      </w:r>
      <w:r w:rsidRPr="00BE153D">
        <w:t xml:space="preserve"> г. са предвидени общо </w:t>
      </w:r>
      <w:r w:rsidRPr="00BE153D">
        <w:rPr>
          <w:b/>
        </w:rPr>
        <w:t>приходи</w:t>
      </w:r>
      <w:r w:rsidRPr="00BE153D">
        <w:t xml:space="preserve"> по бюджета на съдебната власт в </w:t>
      </w:r>
      <w:r w:rsidR="007C1025" w:rsidRPr="00BE153D">
        <w:t>размер на 109,0 млн. лв., от тях 93</w:t>
      </w:r>
      <w:r w:rsidRPr="00BE153D">
        <w:t xml:space="preserve">,0 млн. лв. са приходи от съдебни такси. За </w:t>
      </w:r>
      <w:r w:rsidR="00BE153D" w:rsidRPr="00BE153D">
        <w:t>деветмесечието</w:t>
      </w:r>
      <w:r w:rsidR="007C1025" w:rsidRPr="00BE153D">
        <w:t xml:space="preserve"> на 2021</w:t>
      </w:r>
      <w:r w:rsidRPr="00BE153D">
        <w:t xml:space="preserve"> г. са отчетени приходи в размер на </w:t>
      </w:r>
      <w:r w:rsidR="00BE153D" w:rsidRPr="00BE153D">
        <w:t>70,5</w:t>
      </w:r>
      <w:r w:rsidRPr="00BE153D">
        <w:t xml:space="preserve"> млн. лв. (</w:t>
      </w:r>
      <w:r w:rsidR="00BE153D" w:rsidRPr="00BE153D">
        <w:t>64,7</w:t>
      </w:r>
      <w:r w:rsidRPr="00BE153D">
        <w:t xml:space="preserve"> % от планираните), от които </w:t>
      </w:r>
      <w:r w:rsidR="00BE153D" w:rsidRPr="00BE153D">
        <w:t>59,8</w:t>
      </w:r>
      <w:r w:rsidRPr="00BE153D">
        <w:t xml:space="preserve"> млн. лв. - приходи от съдебни такси. За сравнение, към </w:t>
      </w:r>
      <w:r w:rsidR="00441B8F" w:rsidRPr="00BE153D">
        <w:t>30</w:t>
      </w:r>
      <w:r w:rsidRPr="00BE153D">
        <w:t>.</w:t>
      </w:r>
      <w:r w:rsidR="00441B8F" w:rsidRPr="00BE153D">
        <w:t>0</w:t>
      </w:r>
      <w:r w:rsidR="00BE153D" w:rsidRPr="00BE153D">
        <w:t>9</w:t>
      </w:r>
      <w:r w:rsidR="000B49EE" w:rsidRPr="00BE153D">
        <w:t>.2020</w:t>
      </w:r>
      <w:r w:rsidRPr="00BE153D">
        <w:t xml:space="preserve"> г. са отчетени общо приходи в размер на </w:t>
      </w:r>
      <w:r w:rsidR="00BE153D" w:rsidRPr="00BE153D">
        <w:t>72,8</w:t>
      </w:r>
      <w:r w:rsidRPr="00BE153D">
        <w:t xml:space="preserve"> млн. лв. (</w:t>
      </w:r>
      <w:r w:rsidR="00BE153D" w:rsidRPr="00BE153D">
        <w:t>62,8</w:t>
      </w:r>
      <w:r w:rsidRPr="00BE153D">
        <w:t xml:space="preserve"> % от </w:t>
      </w:r>
      <w:r w:rsidR="00272CBF" w:rsidRPr="00BE153D">
        <w:t>планираните</w:t>
      </w:r>
      <w:r w:rsidRPr="00BE153D">
        <w:t xml:space="preserve">), от които </w:t>
      </w:r>
      <w:r w:rsidR="00BE153D" w:rsidRPr="00BE153D">
        <w:t>61,6</w:t>
      </w:r>
      <w:r w:rsidRPr="00BE153D">
        <w:t xml:space="preserve"> млн. лв. - приходи от съдебни такси.</w:t>
      </w:r>
    </w:p>
    <w:p w14:paraId="2D993415" w14:textId="5F8233BF" w:rsidR="005B6604" w:rsidRPr="00345E1A" w:rsidRDefault="005B6604" w:rsidP="00D80BC7">
      <w:pPr>
        <w:spacing w:before="120"/>
        <w:jc w:val="both"/>
      </w:pPr>
      <w:r w:rsidRPr="006E0AAE">
        <w:rPr>
          <w:b/>
        </w:rPr>
        <w:t xml:space="preserve">Разходите </w:t>
      </w:r>
      <w:r w:rsidRPr="006E0AAE">
        <w:t xml:space="preserve">по бюджета на </w:t>
      </w:r>
      <w:r w:rsidRPr="00261CC4">
        <w:t>съдебната власт</w:t>
      </w:r>
      <w:r w:rsidRPr="00261CC4">
        <w:rPr>
          <w:b/>
        </w:rPr>
        <w:t xml:space="preserve"> </w:t>
      </w:r>
      <w:r w:rsidRPr="00261CC4">
        <w:t xml:space="preserve">към </w:t>
      </w:r>
      <w:r w:rsidR="001F1393" w:rsidRPr="00261CC4">
        <w:t>30</w:t>
      </w:r>
      <w:r w:rsidR="000B49EE" w:rsidRPr="00261CC4">
        <w:t>.</w:t>
      </w:r>
      <w:r w:rsidR="001F1393" w:rsidRPr="00261CC4">
        <w:t>0</w:t>
      </w:r>
      <w:r w:rsidR="006E0AAE" w:rsidRPr="00261CC4">
        <w:t>9</w:t>
      </w:r>
      <w:r w:rsidR="000B49EE" w:rsidRPr="00261CC4">
        <w:t>.2021</w:t>
      </w:r>
      <w:r w:rsidRPr="00261CC4">
        <w:t xml:space="preserve"> г.</w:t>
      </w:r>
      <w:r w:rsidRPr="00261CC4">
        <w:rPr>
          <w:b/>
        </w:rPr>
        <w:t xml:space="preserve"> </w:t>
      </w:r>
      <w:r w:rsidRPr="00261CC4">
        <w:t xml:space="preserve">са в размер на </w:t>
      </w:r>
      <w:r w:rsidR="006E0AAE" w:rsidRPr="00261CC4">
        <w:t>593,9</w:t>
      </w:r>
      <w:r w:rsidRPr="00261CC4">
        <w:t xml:space="preserve"> млн. лв. или </w:t>
      </w:r>
      <w:r w:rsidR="006E0AAE" w:rsidRPr="00261CC4">
        <w:t>67,5</w:t>
      </w:r>
      <w:r w:rsidRPr="00261CC4">
        <w:t> % от планираните за годината (</w:t>
      </w:r>
      <w:r w:rsidR="000B49EE" w:rsidRPr="00261CC4">
        <w:t>880</w:t>
      </w:r>
      <w:r w:rsidRPr="00261CC4">
        <w:t>,3 млн. лв.). За сра</w:t>
      </w:r>
      <w:r w:rsidR="000B49EE" w:rsidRPr="00261CC4">
        <w:t>внение, през същия период на 2020</w:t>
      </w:r>
      <w:r w:rsidRPr="00261CC4">
        <w:t xml:space="preserve"> г. са отчетени разходи в размер </w:t>
      </w:r>
      <w:r w:rsidR="00261CC4" w:rsidRPr="00261CC4">
        <w:t>538,9</w:t>
      </w:r>
      <w:r w:rsidRPr="00261CC4">
        <w:t xml:space="preserve"> млн. лв., които представляват </w:t>
      </w:r>
      <w:r w:rsidR="00261CC4" w:rsidRPr="00261CC4">
        <w:t>69,9</w:t>
      </w:r>
      <w:r w:rsidRPr="00261CC4">
        <w:t xml:space="preserve"> % от определените с годишния закон </w:t>
      </w:r>
      <w:r w:rsidR="000B49EE" w:rsidRPr="00261CC4">
        <w:t>771</w:t>
      </w:r>
      <w:r w:rsidR="00B86928" w:rsidRPr="00261CC4">
        <w:t>,3</w:t>
      </w:r>
      <w:r w:rsidRPr="00261CC4">
        <w:t xml:space="preserve"> млн. лева. </w:t>
      </w:r>
      <w:r w:rsidRPr="00345E1A">
        <w:t xml:space="preserve">За </w:t>
      </w:r>
      <w:r w:rsidR="00345E1A" w:rsidRPr="00345E1A">
        <w:t>деветмесечието</w:t>
      </w:r>
      <w:r w:rsidR="000B49EE" w:rsidRPr="00345E1A">
        <w:t xml:space="preserve"> на 2021</w:t>
      </w:r>
      <w:r w:rsidRPr="00345E1A">
        <w:t xml:space="preserve"> г. с най-голям относителен дял от отчетените разходи са тези за персонал – </w:t>
      </w:r>
      <w:r w:rsidR="00DF745D">
        <w:t>92,0</w:t>
      </w:r>
      <w:r w:rsidRPr="00345E1A">
        <w:t xml:space="preserve"> % (</w:t>
      </w:r>
      <w:r w:rsidR="0059731C">
        <w:t>546,5</w:t>
      </w:r>
      <w:r w:rsidRPr="00345E1A">
        <w:t xml:space="preserve"> млн. лв.).</w:t>
      </w:r>
    </w:p>
    <w:p w14:paraId="696FD6CE" w14:textId="77777777" w:rsidR="00F521AA" w:rsidRPr="00C85F7F" w:rsidRDefault="00F521AA" w:rsidP="00F521AA">
      <w:pPr>
        <w:pStyle w:val="Heading1"/>
        <w:numPr>
          <w:ilvl w:val="0"/>
          <w:numId w:val="10"/>
        </w:numPr>
        <w:spacing w:before="240" w:after="120"/>
        <w:ind w:left="748" w:right="-108" w:hanging="391"/>
        <w:jc w:val="both"/>
        <w:rPr>
          <w:color w:val="000000" w:themeColor="text1"/>
          <w:sz w:val="24"/>
        </w:rPr>
      </w:pPr>
      <w:r w:rsidRPr="00C85F7F">
        <w:rPr>
          <w:color w:val="000000" w:themeColor="text1"/>
          <w:sz w:val="24"/>
        </w:rPr>
        <w:t xml:space="preserve">Сметки за средства от ЕС на Разплащателната агенция към ДФ „Земеделие“ и на Националния фонд към Министерството на финансите </w:t>
      </w:r>
    </w:p>
    <w:p w14:paraId="02907A20" w14:textId="77777777" w:rsidR="00F521AA" w:rsidRPr="00C85F7F" w:rsidRDefault="00F521AA" w:rsidP="00F521AA">
      <w:pPr>
        <w:pStyle w:val="Heading1"/>
        <w:numPr>
          <w:ilvl w:val="1"/>
          <w:numId w:val="10"/>
        </w:numPr>
        <w:spacing w:after="120"/>
        <w:ind w:left="788" w:right="-108" w:hanging="431"/>
        <w:jc w:val="both"/>
        <w:rPr>
          <w:color w:val="000000" w:themeColor="text1"/>
          <w:sz w:val="24"/>
        </w:rPr>
      </w:pPr>
      <w:r w:rsidRPr="00C85F7F">
        <w:rPr>
          <w:color w:val="000000" w:themeColor="text1"/>
          <w:sz w:val="24"/>
        </w:rPr>
        <w:t xml:space="preserve"> Сметка за Европейски средства на Разплащателна агенция към Държавен фонд „Земеделие” </w:t>
      </w:r>
    </w:p>
    <w:p w14:paraId="7BA9D691" w14:textId="77777777" w:rsidR="00063CF1" w:rsidRPr="00C85F7F" w:rsidRDefault="00063CF1" w:rsidP="00A750C5">
      <w:pPr>
        <w:numPr>
          <w:ilvl w:val="0"/>
          <w:numId w:val="23"/>
        </w:numPr>
        <w:tabs>
          <w:tab w:val="num" w:pos="540"/>
        </w:tabs>
        <w:spacing w:before="120" w:after="120" w:line="276" w:lineRule="auto"/>
        <w:contextualSpacing/>
        <w:jc w:val="both"/>
        <w:rPr>
          <w:b/>
          <w:color w:val="000000" w:themeColor="text1"/>
          <w:lang w:eastAsia="bg-BG"/>
        </w:rPr>
      </w:pPr>
      <w:r w:rsidRPr="00C85F7F">
        <w:rPr>
          <w:b/>
          <w:color w:val="000000" w:themeColor="text1"/>
          <w:lang w:eastAsia="bg-BG"/>
        </w:rPr>
        <w:t>Приходи</w:t>
      </w:r>
    </w:p>
    <w:p w14:paraId="34266C6B" w14:textId="2ACA2F0E" w:rsidR="004E09D2" w:rsidRPr="006B7335" w:rsidRDefault="004E09D2" w:rsidP="004E09D2">
      <w:pPr>
        <w:ind w:firstLine="567"/>
        <w:jc w:val="both"/>
      </w:pPr>
      <w:r w:rsidRPr="006B7335">
        <w:t>За 2021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699,7 млн. лева. Към 30.09.2021 г. постъпленията са в размер на 34</w:t>
      </w:r>
      <w:r w:rsidR="009179E9">
        <w:t>3,0</w:t>
      </w:r>
      <w:r w:rsidRPr="006B7335">
        <w:t xml:space="preserve"> млн. лв., което представлява 49,0 % от годишния план, при 32,8 % изпълнение на годишния план за същия период на предходната година. </w:t>
      </w:r>
      <w:r w:rsidRPr="006B7335">
        <w:rPr>
          <w:rFonts w:eastAsiaTheme="minorHAnsi"/>
        </w:rPr>
        <w:t>Приходната част е формирана от помощи и дарения от чужбина, приходи от наказателни лихви и коректив на касови постъпления, разпределени както следва:</w:t>
      </w:r>
    </w:p>
    <w:p w14:paraId="411A1BA3" w14:textId="77777777" w:rsidR="004E09D2" w:rsidRPr="006B7335" w:rsidRDefault="004E09D2" w:rsidP="004E09D2">
      <w:pPr>
        <w:numPr>
          <w:ilvl w:val="0"/>
          <w:numId w:val="22"/>
        </w:numPr>
        <w:tabs>
          <w:tab w:val="left" w:pos="993"/>
        </w:tabs>
        <w:spacing w:before="120" w:after="120"/>
        <w:ind w:left="1321" w:hanging="612"/>
        <w:jc w:val="both"/>
        <w:rPr>
          <w:b/>
          <w:i/>
        </w:rPr>
      </w:pPr>
      <w:r w:rsidRPr="006B7335">
        <w:rPr>
          <w:b/>
          <w:i/>
        </w:rPr>
        <w:t>Текущи помощи и дарения от Европейския съюз</w:t>
      </w:r>
    </w:p>
    <w:p w14:paraId="21A32318" w14:textId="77777777" w:rsidR="004E09D2" w:rsidRPr="00B3175F" w:rsidRDefault="004E09D2" w:rsidP="004E09D2">
      <w:pPr>
        <w:ind w:firstLine="567"/>
        <w:jc w:val="both"/>
      </w:pPr>
      <w:r w:rsidRPr="00B3175F">
        <w:t>Общият размер на получените приходи, отчетени в „Текущи помощи и дарения от Европейския съюз“ към края на септември 2021 г. е 73,0 млн. лв. при планирани за годината средства в размер на 147,9 млн. лева.</w:t>
      </w:r>
    </w:p>
    <w:p w14:paraId="0A861242" w14:textId="77777777" w:rsidR="004E09D2" w:rsidRPr="00B3175F" w:rsidRDefault="004E09D2" w:rsidP="004E09D2">
      <w:pPr>
        <w:ind w:firstLine="567"/>
        <w:jc w:val="both"/>
      </w:pPr>
      <w:r w:rsidRPr="00B3175F">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30.09.2021 г. възлизат на 60,5 млн. лв., което е 45,1 % от планираните за годината 134,2 млн. лева. За сравнение, изпълнението на плана за деветмесечието на 2020 г. е 23,8 процента.</w:t>
      </w:r>
    </w:p>
    <w:p w14:paraId="54772CD7" w14:textId="77777777" w:rsidR="004E09D2" w:rsidRPr="00D7540E" w:rsidRDefault="004E09D2" w:rsidP="004E09D2">
      <w:pPr>
        <w:ind w:firstLine="567"/>
        <w:jc w:val="both"/>
      </w:pPr>
      <w:r w:rsidRPr="00D7540E">
        <w:t xml:space="preserve">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30.09.2021 г. са 6,5 млн. лв., което представлява 70,7 % от планираните за годината 9,2 млн. лева. За сравнение, за същия период на предходната година възстановените суми по това направление са 68,4 % от годишния план. </w:t>
      </w:r>
    </w:p>
    <w:p w14:paraId="7B001D27" w14:textId="77777777" w:rsidR="004E09D2" w:rsidRPr="00D7540E" w:rsidRDefault="004E09D2" w:rsidP="004E09D2">
      <w:pPr>
        <w:ind w:firstLine="567"/>
        <w:jc w:val="both"/>
      </w:pPr>
      <w:r w:rsidRPr="00D7540E">
        <w:lastRenderedPageBreak/>
        <w:t xml:space="preserve">През деветмесечието на 2021 г. са получени 6,0 млн. лв. текущи приходи, възстановени средства от Европейския фонд за морско дело и рибарство (ЕФМДР), което представлява 133,3% спрямо планираните за годината 4,5 млн. лева. За същия период на предходната година изпълнението е било 28,4 %. </w:t>
      </w:r>
    </w:p>
    <w:p w14:paraId="4E6B5455" w14:textId="77777777" w:rsidR="004E09D2" w:rsidRPr="00E91FA9" w:rsidRDefault="004E09D2" w:rsidP="004E09D2">
      <w:pPr>
        <w:numPr>
          <w:ilvl w:val="0"/>
          <w:numId w:val="22"/>
        </w:numPr>
        <w:tabs>
          <w:tab w:val="left" w:pos="993"/>
        </w:tabs>
        <w:spacing w:before="120" w:after="120"/>
        <w:ind w:left="1321" w:hanging="612"/>
        <w:jc w:val="both"/>
        <w:rPr>
          <w:b/>
          <w:i/>
        </w:rPr>
      </w:pPr>
      <w:r w:rsidRPr="00E91FA9">
        <w:rPr>
          <w:b/>
          <w:i/>
        </w:rPr>
        <w:t>Капиталови помощи и дарения от Европейския съюз</w:t>
      </w:r>
    </w:p>
    <w:p w14:paraId="068F21C4" w14:textId="77777777" w:rsidR="004E09D2" w:rsidRPr="00E91FA9" w:rsidRDefault="004E09D2" w:rsidP="004E09D2">
      <w:pPr>
        <w:ind w:firstLine="567"/>
        <w:jc w:val="both"/>
      </w:pPr>
      <w:r w:rsidRPr="00E91FA9">
        <w:t>Общият размер на получените приходи, отчетени в „Капиталови помощи и дарения от Европейския съюз“ към 30.09.2021 г. е 274,6 млн. лв. при планирани за годината 551,8 млн. лева.</w:t>
      </w:r>
    </w:p>
    <w:p w14:paraId="3C0F0A5C" w14:textId="77777777" w:rsidR="004E09D2" w:rsidRPr="00E91FA9" w:rsidRDefault="004E09D2" w:rsidP="004E09D2">
      <w:pPr>
        <w:ind w:firstLine="567"/>
        <w:jc w:val="both"/>
      </w:pPr>
      <w:r w:rsidRPr="00E91FA9">
        <w:t>Получените капиталови приходи от ЕЗФРСР по линия на ПРСР без директни плащания към 30.09.2021 г. са 262,1 млн. лв., което е 48</w:t>
      </w:r>
      <w:r>
        <w:t>,</w:t>
      </w:r>
      <w:r w:rsidRPr="00E91FA9">
        <w:t xml:space="preserve">9 % от годишния план (536,0 млн. лв.). За сравнение, през деветмесечието на 2020 г. са получени </w:t>
      </w:r>
      <w:r>
        <w:t>236,0</w:t>
      </w:r>
      <w:r w:rsidRPr="00E91FA9">
        <w:t xml:space="preserve"> млн. лева.</w:t>
      </w:r>
    </w:p>
    <w:p w14:paraId="280D4111" w14:textId="77777777" w:rsidR="004E09D2" w:rsidRDefault="004E09D2" w:rsidP="004E09D2">
      <w:pPr>
        <w:ind w:firstLine="567"/>
        <w:jc w:val="both"/>
      </w:pPr>
      <w:r w:rsidRPr="00E91FA9">
        <w:t xml:space="preserve">През </w:t>
      </w:r>
      <w:r>
        <w:t>деветмесечието</w:t>
      </w:r>
      <w:r w:rsidRPr="00E91FA9">
        <w:t xml:space="preserve"> на 2021 г. са  получени капиталови приходи в размер на </w:t>
      </w:r>
      <w:r>
        <w:t>11,6</w:t>
      </w:r>
      <w:r w:rsidRPr="00E91FA9">
        <w:t xml:space="preserve"> млн. лв. </w:t>
      </w:r>
      <w:r w:rsidRPr="00E91FA9">
        <w:rPr>
          <w:rFonts w:eastAsiaTheme="minorHAnsi"/>
        </w:rPr>
        <w:t>от фонд ЕФМДР</w:t>
      </w:r>
      <w:r w:rsidRPr="00E91FA9">
        <w:t xml:space="preserve"> при планирани за годината 15,8 млн. лв., което е </w:t>
      </w:r>
      <w:r>
        <w:t>73,4</w:t>
      </w:r>
      <w:r w:rsidRPr="00E91FA9">
        <w:rPr>
          <w:rFonts w:eastAsiaTheme="minorHAnsi"/>
        </w:rPr>
        <w:t xml:space="preserve"> % изпълнение на плана за годината. </w:t>
      </w:r>
      <w:r w:rsidRPr="00E91FA9">
        <w:t>За сравнение, изпълнението на годишния план към 30.0</w:t>
      </w:r>
      <w:r>
        <w:t>9</w:t>
      </w:r>
      <w:r w:rsidRPr="00E91FA9">
        <w:t>.2020 г. е 6</w:t>
      </w:r>
      <w:r>
        <w:t>5</w:t>
      </w:r>
      <w:r w:rsidRPr="00E91FA9">
        <w:t>,0 процента.</w:t>
      </w:r>
    </w:p>
    <w:p w14:paraId="1F85F442" w14:textId="77777777" w:rsidR="004E09D2" w:rsidRPr="00E91FA9" w:rsidRDefault="004E09D2" w:rsidP="004E09D2">
      <w:pPr>
        <w:ind w:firstLine="567"/>
        <w:jc w:val="both"/>
      </w:pPr>
      <w:r w:rsidRPr="002012E1">
        <w:t>Към 30.09.2021г. са получени и отчетени 0,8 млн.</w:t>
      </w:r>
      <w:r>
        <w:t xml:space="preserve"> </w:t>
      </w:r>
      <w:r w:rsidRPr="002012E1">
        <w:t>лв. капиталови приходи от ЕФГЗ за пазарни мерки.</w:t>
      </w:r>
    </w:p>
    <w:p w14:paraId="70F83B99" w14:textId="77777777" w:rsidR="004E09D2" w:rsidRPr="00464699" w:rsidRDefault="004E09D2" w:rsidP="004E09D2">
      <w:pPr>
        <w:numPr>
          <w:ilvl w:val="0"/>
          <w:numId w:val="22"/>
        </w:numPr>
        <w:tabs>
          <w:tab w:val="left" w:pos="993"/>
        </w:tabs>
        <w:spacing w:before="120" w:after="120"/>
        <w:ind w:left="1321" w:hanging="612"/>
        <w:jc w:val="both"/>
        <w:rPr>
          <w:b/>
          <w:i/>
        </w:rPr>
      </w:pPr>
      <w:r w:rsidRPr="00464699">
        <w:rPr>
          <w:b/>
          <w:i/>
        </w:rPr>
        <w:t>Приходи от наказателни лихви</w:t>
      </w:r>
    </w:p>
    <w:p w14:paraId="7E13628D" w14:textId="77777777" w:rsidR="004E09D2" w:rsidRDefault="004E09D2" w:rsidP="004E09D2">
      <w:pPr>
        <w:tabs>
          <w:tab w:val="left" w:pos="993"/>
        </w:tabs>
        <w:spacing w:before="120" w:after="120"/>
        <w:ind w:firstLine="567"/>
        <w:jc w:val="both"/>
      </w:pPr>
      <w:r w:rsidRPr="00464699">
        <w:t>Към края на третото тримесечие на 2021 г. са отчетени приходи от получени наказателни лихви, свързани с вземания за възстановяване на средства от ЕК в размер на 1,2 млн. лева.</w:t>
      </w:r>
    </w:p>
    <w:p w14:paraId="48B8B2BC" w14:textId="77777777" w:rsidR="004E09D2" w:rsidRPr="0062712A" w:rsidRDefault="004E09D2" w:rsidP="004E09D2">
      <w:pPr>
        <w:numPr>
          <w:ilvl w:val="0"/>
          <w:numId w:val="22"/>
        </w:numPr>
        <w:tabs>
          <w:tab w:val="left" w:pos="993"/>
        </w:tabs>
        <w:spacing w:before="120" w:after="120"/>
        <w:ind w:left="1321" w:hanging="612"/>
        <w:jc w:val="both"/>
        <w:rPr>
          <w:b/>
          <w:i/>
        </w:rPr>
      </w:pPr>
      <w:r w:rsidRPr="0062712A">
        <w:rPr>
          <w:b/>
          <w:i/>
        </w:rPr>
        <w:t xml:space="preserve">Коректив на касови постъпления </w:t>
      </w:r>
    </w:p>
    <w:p w14:paraId="70ADA558" w14:textId="77777777" w:rsidR="004E09D2" w:rsidRPr="0062712A" w:rsidRDefault="004E09D2" w:rsidP="004E09D2">
      <w:pPr>
        <w:tabs>
          <w:tab w:val="left" w:pos="993"/>
        </w:tabs>
        <w:spacing w:before="120" w:after="120"/>
        <w:jc w:val="both"/>
        <w:rPr>
          <w:bCs/>
          <w:iCs/>
        </w:rPr>
      </w:pPr>
      <w:r w:rsidRPr="0062712A">
        <w:rPr>
          <w:bCs/>
          <w:iCs/>
        </w:rPr>
        <w:tab/>
        <w:t>Към 3</w:t>
      </w:r>
      <w:r>
        <w:rPr>
          <w:bCs/>
          <w:iCs/>
        </w:rPr>
        <w:t>0</w:t>
      </w:r>
      <w:r w:rsidRPr="0062712A">
        <w:rPr>
          <w:bCs/>
          <w:iCs/>
        </w:rPr>
        <w:t>.0</w:t>
      </w:r>
      <w:r>
        <w:rPr>
          <w:bCs/>
          <w:iCs/>
        </w:rPr>
        <w:t>9</w:t>
      </w:r>
      <w:r w:rsidRPr="0062712A">
        <w:rPr>
          <w:bCs/>
          <w:iCs/>
        </w:rPr>
        <w:t>.2021</w:t>
      </w:r>
      <w:r>
        <w:rPr>
          <w:bCs/>
          <w:iCs/>
        </w:rPr>
        <w:t xml:space="preserve"> </w:t>
      </w:r>
      <w:r w:rsidRPr="0062712A">
        <w:rPr>
          <w:bCs/>
          <w:iCs/>
        </w:rPr>
        <w:t xml:space="preserve">г. отчетеният коректив на касови постъпления е минус </w:t>
      </w:r>
      <w:r>
        <w:rPr>
          <w:bCs/>
          <w:iCs/>
        </w:rPr>
        <w:t>5,9</w:t>
      </w:r>
      <w:r w:rsidRPr="0062712A">
        <w:rPr>
          <w:bCs/>
          <w:iCs/>
        </w:rPr>
        <w:t xml:space="preserve"> млн.</w:t>
      </w:r>
      <w:r>
        <w:rPr>
          <w:bCs/>
          <w:iCs/>
        </w:rPr>
        <w:t xml:space="preserve"> </w:t>
      </w:r>
      <w:r w:rsidRPr="0062712A">
        <w:rPr>
          <w:bCs/>
          <w:iCs/>
        </w:rPr>
        <w:t>лв. Той е формиран от размера на принудително събрани суми от НАП, за които не е извършен превод на средства по сметката на ДФЗ-РА.</w:t>
      </w:r>
    </w:p>
    <w:p w14:paraId="50AD1302" w14:textId="77777777" w:rsidR="004E09D2" w:rsidRPr="00464699" w:rsidRDefault="004E09D2" w:rsidP="004E09D2">
      <w:pPr>
        <w:numPr>
          <w:ilvl w:val="0"/>
          <w:numId w:val="23"/>
        </w:numPr>
        <w:tabs>
          <w:tab w:val="num" w:pos="540"/>
        </w:tabs>
        <w:spacing w:before="120" w:after="120" w:line="276" w:lineRule="auto"/>
        <w:contextualSpacing/>
        <w:jc w:val="both"/>
        <w:rPr>
          <w:b/>
          <w:lang w:eastAsia="bg-BG"/>
        </w:rPr>
      </w:pPr>
      <w:r w:rsidRPr="00464699">
        <w:rPr>
          <w:b/>
          <w:lang w:eastAsia="bg-BG"/>
        </w:rPr>
        <w:t xml:space="preserve">Разходи </w:t>
      </w:r>
    </w:p>
    <w:p w14:paraId="1ABF1F40" w14:textId="77777777" w:rsidR="004E09D2" w:rsidRPr="001578C2" w:rsidRDefault="004E09D2" w:rsidP="004E09D2">
      <w:pPr>
        <w:ind w:firstLine="567"/>
        <w:jc w:val="both"/>
      </w:pPr>
      <w:r w:rsidRPr="00AB5AD2">
        <w:t xml:space="preserve">Общият размер на планираните за 2021 г. разходи по утвърдените годишни разчети на </w:t>
      </w:r>
      <w:r w:rsidRPr="001578C2">
        <w:t xml:space="preserve">сметката за средства от Европейския съюз на Разплащателната агенция към ДФ „Земеделие” е 913,1 млн. лева. </w:t>
      </w:r>
    </w:p>
    <w:p w14:paraId="311EA6D4" w14:textId="77777777" w:rsidR="004E09D2" w:rsidRPr="001578C2" w:rsidRDefault="004E09D2" w:rsidP="004E09D2">
      <w:pPr>
        <w:ind w:firstLine="567"/>
        <w:jc w:val="both"/>
      </w:pPr>
      <w:r w:rsidRPr="001578C2">
        <w:t>Уточненият план на субсидиите за текуща дейност и капиталовите трансфери за 2021 г. е 647,5 млн. лева. Изпълнението към 30.09.2021 г. възлиза на 35,2 % от годишния план и е в размер на 227,6 млн. лева.</w:t>
      </w:r>
    </w:p>
    <w:p w14:paraId="7FF2DEEA" w14:textId="77777777" w:rsidR="004E09D2" w:rsidRPr="001578C2" w:rsidRDefault="004E09D2" w:rsidP="004E09D2">
      <w:pPr>
        <w:ind w:firstLine="567"/>
        <w:jc w:val="both"/>
      </w:pPr>
      <w:r w:rsidRPr="001578C2">
        <w:t>Разпределението на разходите е както следва:</w:t>
      </w:r>
    </w:p>
    <w:p w14:paraId="235EB74A" w14:textId="77777777" w:rsidR="004E09D2" w:rsidRPr="00897FC9" w:rsidRDefault="004E09D2" w:rsidP="004E09D2">
      <w:pPr>
        <w:numPr>
          <w:ilvl w:val="0"/>
          <w:numId w:val="22"/>
        </w:numPr>
        <w:tabs>
          <w:tab w:val="left" w:pos="993"/>
        </w:tabs>
        <w:spacing w:before="120" w:after="120"/>
        <w:ind w:left="1321" w:hanging="612"/>
        <w:jc w:val="both"/>
        <w:rPr>
          <w:b/>
          <w:i/>
        </w:rPr>
      </w:pPr>
      <w:r w:rsidRPr="00897FC9">
        <w:rPr>
          <w:b/>
          <w:i/>
        </w:rPr>
        <w:t>Субсидии и други текущи трансфери за нефинансови предприятия</w:t>
      </w:r>
    </w:p>
    <w:p w14:paraId="03AA442A" w14:textId="77777777" w:rsidR="004E09D2" w:rsidRPr="00897FC9" w:rsidRDefault="004E09D2" w:rsidP="004E09D2">
      <w:pPr>
        <w:ind w:firstLine="567"/>
        <w:jc w:val="both"/>
      </w:pPr>
      <w:r w:rsidRPr="00897FC9">
        <w:t>За 2021 г. са планирани средства в размер на 297,8 млн. лв. за субсидии и други текущи трансфери за нефинансови предприятия. Отчетените към края на третото тримесечие на 2021 г. средства представляват 34,8 % от планираните за годината и са в размер на 103,6 млн. лева. За същия период на предходната година, изпълнението е 62,3 млн. лева.</w:t>
      </w:r>
    </w:p>
    <w:p w14:paraId="3605AE2A" w14:textId="77777777" w:rsidR="004E09D2" w:rsidRPr="00DA61C2" w:rsidRDefault="004E09D2" w:rsidP="004E09D2">
      <w:pPr>
        <w:ind w:firstLine="567"/>
        <w:jc w:val="both"/>
      </w:pPr>
      <w:r w:rsidRPr="00DA61C2">
        <w:t>Изпълнението по дейности е както следва:</w:t>
      </w:r>
    </w:p>
    <w:p w14:paraId="12F74FDC" w14:textId="77777777" w:rsidR="004E09D2" w:rsidRPr="00DA61C2" w:rsidRDefault="004E09D2" w:rsidP="004E09D2">
      <w:pPr>
        <w:ind w:firstLine="567"/>
        <w:contextualSpacing/>
        <w:jc w:val="both"/>
      </w:pPr>
      <w:r w:rsidRPr="00DA61C2">
        <w:t>- национално съфинансиране към ЕЗФРСР за директни плащания – 33,9 млн. лв., изпълнение 34,5 % на планираните за годината 98,2 млн. лева;</w:t>
      </w:r>
    </w:p>
    <w:p w14:paraId="34BF7327" w14:textId="77777777" w:rsidR="004E09D2" w:rsidRPr="00DA61C2" w:rsidRDefault="004E09D2" w:rsidP="004E09D2">
      <w:pPr>
        <w:ind w:firstLine="567"/>
        <w:contextualSpacing/>
        <w:jc w:val="both"/>
      </w:pPr>
      <w:r w:rsidRPr="00DA61C2">
        <w:t>- текущи субсидии по Програмата за морско дело и рибарство – 0,3 млн. лв., изпълнение 4,5 % на планираните за годината 6,6 млн. лева;</w:t>
      </w:r>
    </w:p>
    <w:p w14:paraId="2FB17CE8" w14:textId="77777777" w:rsidR="004E09D2" w:rsidRPr="00DA61C2" w:rsidRDefault="004E09D2" w:rsidP="004E09D2">
      <w:pPr>
        <w:ind w:firstLine="567"/>
        <w:contextualSpacing/>
        <w:jc w:val="both"/>
      </w:pPr>
      <w:r w:rsidRPr="00DA61C2">
        <w:t>- текущи субсидии по Програмата за развитие на селските райони – 45,6 млн. лв., изпълнение от 30,6 % на планираните за годината 149,2 млн. лева;</w:t>
      </w:r>
    </w:p>
    <w:p w14:paraId="47118CAC" w14:textId="77777777" w:rsidR="004E09D2" w:rsidRPr="00DA61C2" w:rsidRDefault="004E09D2" w:rsidP="004E09D2">
      <w:pPr>
        <w:tabs>
          <w:tab w:val="left" w:pos="851"/>
          <w:tab w:val="left" w:pos="1134"/>
        </w:tabs>
        <w:ind w:firstLine="567"/>
        <w:contextualSpacing/>
        <w:jc w:val="both"/>
      </w:pPr>
      <w:r w:rsidRPr="00DA61C2">
        <w:t>- текущи субсидии за пазарни мерки – 23,8 млн. лв., изпълнение от 54,5 % на планираните за 2021 г. 43,7 млн. лева.</w:t>
      </w:r>
    </w:p>
    <w:p w14:paraId="074E8BC3" w14:textId="77777777" w:rsidR="004E09D2" w:rsidRPr="00BC3833" w:rsidRDefault="004E09D2" w:rsidP="004E09D2">
      <w:pPr>
        <w:numPr>
          <w:ilvl w:val="0"/>
          <w:numId w:val="22"/>
        </w:numPr>
        <w:tabs>
          <w:tab w:val="left" w:pos="993"/>
        </w:tabs>
        <w:spacing w:before="120" w:after="120"/>
        <w:ind w:left="1321" w:hanging="612"/>
        <w:jc w:val="both"/>
        <w:rPr>
          <w:b/>
          <w:i/>
        </w:rPr>
      </w:pPr>
      <w:r w:rsidRPr="00BC3833">
        <w:rPr>
          <w:b/>
          <w:i/>
        </w:rPr>
        <w:t>Субсидии и други текущи трансфери за юридически лица с нестопанска цел</w:t>
      </w:r>
    </w:p>
    <w:p w14:paraId="6B54732E" w14:textId="77777777" w:rsidR="004E09D2" w:rsidRPr="00560884" w:rsidRDefault="004E09D2" w:rsidP="004E09D2">
      <w:pPr>
        <w:ind w:firstLine="567"/>
        <w:contextualSpacing/>
        <w:jc w:val="both"/>
      </w:pPr>
      <w:r w:rsidRPr="00BC3833">
        <w:lastRenderedPageBreak/>
        <w:tab/>
        <w:t xml:space="preserve">За 2021 г. за субсидии и други текущи трансфери за юридически лица с нестопанска цел </w:t>
      </w:r>
      <w:r w:rsidRPr="00560884">
        <w:t>са планирани 18,2 млн. лева. Към края на деветмесечието са отчетени разходи в размер на 10,4 млн. лв. при 9,9 млн. лв. за същия период на 2020 година.</w:t>
      </w:r>
    </w:p>
    <w:p w14:paraId="21D3A685" w14:textId="77777777" w:rsidR="004E09D2" w:rsidRPr="00560884" w:rsidRDefault="004E09D2" w:rsidP="004E09D2">
      <w:pPr>
        <w:ind w:firstLine="567"/>
        <w:contextualSpacing/>
        <w:jc w:val="both"/>
      </w:pPr>
      <w:r w:rsidRPr="00560884">
        <w:t>Разпределението по дейности е както следва:</w:t>
      </w:r>
    </w:p>
    <w:p w14:paraId="4FA80B11" w14:textId="77777777" w:rsidR="004E09D2" w:rsidRPr="00560884" w:rsidRDefault="004E09D2" w:rsidP="004E09D2">
      <w:pPr>
        <w:ind w:firstLine="567"/>
        <w:contextualSpacing/>
        <w:jc w:val="both"/>
      </w:pPr>
      <w:r w:rsidRPr="00560884">
        <w:t xml:space="preserve">-  национално съфинансиране към ЕЗФРСР за директни плащания  – 0,1 млн. лв.; </w:t>
      </w:r>
    </w:p>
    <w:p w14:paraId="7CBD6157" w14:textId="77777777" w:rsidR="004E09D2" w:rsidRPr="00560884" w:rsidRDefault="004E09D2" w:rsidP="004E09D2">
      <w:pPr>
        <w:tabs>
          <w:tab w:val="left" w:pos="851"/>
        </w:tabs>
        <w:ind w:firstLine="567"/>
        <w:contextualSpacing/>
        <w:jc w:val="both"/>
      </w:pPr>
      <w:r w:rsidRPr="00560884">
        <w:t>-  текущи субсидии по ПМДР – 2,1 млн. лв. при планирани 1,3 млн. лева;</w:t>
      </w:r>
    </w:p>
    <w:p w14:paraId="084C4277" w14:textId="77777777" w:rsidR="004E09D2" w:rsidRPr="00560884" w:rsidRDefault="004E09D2" w:rsidP="004E09D2">
      <w:pPr>
        <w:ind w:firstLine="567"/>
        <w:contextualSpacing/>
        <w:jc w:val="both"/>
      </w:pPr>
      <w:r w:rsidRPr="00560884">
        <w:t>- текущи субсидии по Програмата за развитие на селските райони – 8,2 млн. лв., изпълнение 48,8 % на планираните 16,8 млн. лева;</w:t>
      </w:r>
    </w:p>
    <w:p w14:paraId="709E8C72" w14:textId="77777777" w:rsidR="004E09D2" w:rsidRPr="00560884" w:rsidRDefault="004E09D2" w:rsidP="004E09D2">
      <w:pPr>
        <w:ind w:firstLine="567"/>
        <w:contextualSpacing/>
        <w:jc w:val="both"/>
      </w:pPr>
      <w:r w:rsidRPr="00560884">
        <w:t>-  текущи субсидии за пазарни мерки – 0,03 млн. лв., при планирани за годината 0,1 млн. лева.</w:t>
      </w:r>
    </w:p>
    <w:p w14:paraId="0D7EDA9E" w14:textId="77777777" w:rsidR="004E09D2" w:rsidRPr="00560884" w:rsidRDefault="004E09D2" w:rsidP="004E09D2">
      <w:pPr>
        <w:numPr>
          <w:ilvl w:val="0"/>
          <w:numId w:val="22"/>
        </w:numPr>
        <w:tabs>
          <w:tab w:val="left" w:pos="993"/>
        </w:tabs>
        <w:spacing w:before="120" w:after="120"/>
        <w:ind w:left="1321" w:hanging="612"/>
        <w:jc w:val="both"/>
        <w:rPr>
          <w:b/>
          <w:i/>
        </w:rPr>
      </w:pPr>
      <w:r w:rsidRPr="00560884">
        <w:rPr>
          <w:b/>
          <w:i/>
        </w:rPr>
        <w:t>Капиталови трансфери за нефинансови предприятия</w:t>
      </w:r>
    </w:p>
    <w:p w14:paraId="569593C6" w14:textId="77777777" w:rsidR="004E09D2" w:rsidRPr="00560884" w:rsidRDefault="004E09D2" w:rsidP="004E09D2">
      <w:pPr>
        <w:ind w:firstLine="567"/>
        <w:jc w:val="both"/>
      </w:pPr>
      <w:r w:rsidRPr="00560884">
        <w:t>За 2021 г. за капиталови трансфери за нефинансови предприятия са планирани 314,3 млн. лева. Към 30.09.2021 г. са отчетени 108,7 млн. лв., което е 34,6 % изпълнение на годишния план. Изпълнението за същия период на предходната година е 117,8 млн. лева.</w:t>
      </w:r>
    </w:p>
    <w:p w14:paraId="4352EB7F" w14:textId="77777777" w:rsidR="004E09D2" w:rsidRPr="0033352C" w:rsidRDefault="004E09D2" w:rsidP="004E09D2">
      <w:pPr>
        <w:ind w:firstLine="567"/>
        <w:jc w:val="both"/>
      </w:pPr>
      <w:r w:rsidRPr="0033352C">
        <w:t>Разпределението по дейности е както следва:</w:t>
      </w:r>
    </w:p>
    <w:p w14:paraId="5F21356F" w14:textId="77777777" w:rsidR="004E09D2" w:rsidRPr="0033352C" w:rsidRDefault="004E09D2" w:rsidP="004E09D2">
      <w:pPr>
        <w:ind w:firstLine="567"/>
        <w:contextualSpacing/>
        <w:jc w:val="both"/>
      </w:pPr>
      <w:r w:rsidRPr="0033352C">
        <w:t>-  капиталови трансфери по Програмата за морско дело и рибарство (ПМДР) – 4,4 млн. лв., което е 21,7 %  изпълнение на годишния план (20,3 млн. лева);</w:t>
      </w:r>
    </w:p>
    <w:p w14:paraId="180BDC69" w14:textId="77777777" w:rsidR="004E09D2" w:rsidRPr="0033352C" w:rsidRDefault="004E09D2" w:rsidP="004E09D2">
      <w:pPr>
        <w:ind w:firstLine="567"/>
        <w:contextualSpacing/>
        <w:jc w:val="both"/>
      </w:pPr>
      <w:r w:rsidRPr="0033352C">
        <w:t>-  капиталови трансфери по ПРСР – 103,8 млн. лв., 35,6 %  изпълнение на годишния план (291,6 млн. лв.);</w:t>
      </w:r>
    </w:p>
    <w:p w14:paraId="1A137001" w14:textId="77777777" w:rsidR="004E09D2" w:rsidRPr="0033352C" w:rsidRDefault="004E09D2" w:rsidP="004E09D2">
      <w:pPr>
        <w:ind w:firstLine="567"/>
        <w:contextualSpacing/>
        <w:jc w:val="both"/>
      </w:pPr>
      <w:r w:rsidRPr="0033352C">
        <w:t xml:space="preserve">-  капиталови трансфери за пазарни мерки – 0,5 млн. лв., което е 21,7 %  изпълнение на годишния план (2,3 млн. лева). </w:t>
      </w:r>
    </w:p>
    <w:p w14:paraId="76BC9141" w14:textId="77777777" w:rsidR="004E09D2" w:rsidRPr="0033352C" w:rsidRDefault="004E09D2" w:rsidP="004E09D2">
      <w:pPr>
        <w:numPr>
          <w:ilvl w:val="0"/>
          <w:numId w:val="22"/>
        </w:numPr>
        <w:tabs>
          <w:tab w:val="left" w:pos="993"/>
        </w:tabs>
        <w:spacing w:before="120" w:after="120"/>
        <w:ind w:left="1321" w:hanging="612"/>
        <w:jc w:val="both"/>
        <w:rPr>
          <w:b/>
          <w:i/>
        </w:rPr>
      </w:pPr>
      <w:r w:rsidRPr="0033352C">
        <w:rPr>
          <w:b/>
          <w:i/>
        </w:rPr>
        <w:t>Капиталови трансфери за организации с нестопанска цел</w:t>
      </w:r>
    </w:p>
    <w:p w14:paraId="3B1D61FA" w14:textId="77777777" w:rsidR="004E09D2" w:rsidRPr="004A17BD" w:rsidRDefault="004E09D2" w:rsidP="004E09D2">
      <w:pPr>
        <w:ind w:firstLine="567"/>
        <w:jc w:val="both"/>
      </w:pPr>
      <w:r w:rsidRPr="004A17BD">
        <w:t>За 2021 г. са планирани капиталови трансфери за организации с нестопанска цел в размер на 17,3 млн. лева. Към 30.09.2021 г. са отчетени капиталови трансфери по ПРСР в размер на 4.8 млн. лв., 27.7 % изпълнение на годишния план. За същия период на предходната година изпълнението спрямо годишния план е 23,6 процента.</w:t>
      </w:r>
    </w:p>
    <w:p w14:paraId="714474EE" w14:textId="77777777" w:rsidR="004E09D2" w:rsidRPr="004A17BD" w:rsidRDefault="004E09D2" w:rsidP="004E09D2">
      <w:pPr>
        <w:spacing w:before="120"/>
        <w:ind w:firstLine="567"/>
        <w:jc w:val="both"/>
      </w:pPr>
      <w:r w:rsidRPr="004A17BD">
        <w:t>Планираните разходи в размер 265,6 млн. лв., в т.ч.: за заплати и възнаграждения на персонала 8,9 млн. лв., задължителни осигурителни вноски от работодатели 2,5 млн. лв., издръжка 8,9 млн. лв. и придобиване на ДМА 245,2 млн. лв., подлежат на отчитане в § 63-00 „Трансфери между сметки за средствата от ЕС“.</w:t>
      </w:r>
    </w:p>
    <w:p w14:paraId="6A46C8BE" w14:textId="77777777" w:rsidR="004E09D2" w:rsidRPr="004A17BD" w:rsidRDefault="004E09D2" w:rsidP="004E09D2">
      <w:pPr>
        <w:ind w:firstLine="567"/>
        <w:jc w:val="both"/>
        <w:rPr>
          <w:b/>
          <w:sz w:val="12"/>
          <w:u w:val="single"/>
        </w:rPr>
      </w:pPr>
    </w:p>
    <w:p w14:paraId="38900BA6" w14:textId="77777777" w:rsidR="004E09D2" w:rsidRPr="004A17BD" w:rsidRDefault="004E09D2" w:rsidP="004E09D2">
      <w:pPr>
        <w:numPr>
          <w:ilvl w:val="0"/>
          <w:numId w:val="23"/>
        </w:numPr>
        <w:tabs>
          <w:tab w:val="num" w:pos="540"/>
        </w:tabs>
        <w:spacing w:before="120" w:after="120" w:line="276" w:lineRule="auto"/>
        <w:contextualSpacing/>
        <w:jc w:val="both"/>
        <w:rPr>
          <w:b/>
          <w:lang w:eastAsia="bg-BG"/>
        </w:rPr>
      </w:pPr>
      <w:r w:rsidRPr="004A17BD">
        <w:rPr>
          <w:b/>
          <w:lang w:eastAsia="bg-BG"/>
        </w:rPr>
        <w:t xml:space="preserve">Трансфери </w:t>
      </w:r>
    </w:p>
    <w:p w14:paraId="091BA4FE" w14:textId="77777777" w:rsidR="004E09D2" w:rsidRPr="004A17BD" w:rsidRDefault="004E09D2" w:rsidP="004E09D2">
      <w:pPr>
        <w:ind w:firstLine="567"/>
        <w:jc w:val="both"/>
      </w:pPr>
      <w:r w:rsidRPr="004A17BD">
        <w:t>В частта на трансферите, в касовия отчет на ДФЗ-РА към 30.0</w:t>
      </w:r>
      <w:r>
        <w:t>9</w:t>
      </w:r>
      <w:r w:rsidRPr="004A17BD">
        <w:t>.2021 г. са отразени следните касови потоци:</w:t>
      </w:r>
    </w:p>
    <w:p w14:paraId="049554E8" w14:textId="77777777" w:rsidR="004E09D2" w:rsidRPr="004A17BD" w:rsidRDefault="004E09D2" w:rsidP="004E09D2">
      <w:pPr>
        <w:numPr>
          <w:ilvl w:val="0"/>
          <w:numId w:val="22"/>
        </w:numPr>
        <w:tabs>
          <w:tab w:val="left" w:pos="993"/>
        </w:tabs>
        <w:spacing w:before="120" w:after="120"/>
        <w:ind w:left="1321" w:hanging="612"/>
        <w:jc w:val="both"/>
        <w:rPr>
          <w:b/>
          <w:i/>
        </w:rPr>
      </w:pPr>
      <w:r w:rsidRPr="004A17BD">
        <w:rPr>
          <w:b/>
          <w:i/>
        </w:rPr>
        <w:t xml:space="preserve">Трансфери между бюджети и сметки за средства от Европейския съюз </w:t>
      </w:r>
    </w:p>
    <w:p w14:paraId="6FE6F755" w14:textId="77777777" w:rsidR="004E09D2" w:rsidRPr="00D41D3F" w:rsidRDefault="004E09D2" w:rsidP="004E09D2">
      <w:pPr>
        <w:ind w:firstLine="567"/>
        <w:jc w:val="both"/>
      </w:pPr>
      <w:r w:rsidRPr="00D41D3F">
        <w:t xml:space="preserve">Получените трансфери от бюджетни сметки на бюджетни организации и общини са формирани при възстановяване на суми по вземания по ПРСР, ОПРСР, ПМДР и директни плащания. Към 30.09.2021 г. техният размер е 1,0 млн. лева. </w:t>
      </w:r>
    </w:p>
    <w:p w14:paraId="0AAB7AC8" w14:textId="77777777" w:rsidR="004E09D2" w:rsidRPr="00D41D3F" w:rsidRDefault="004E09D2" w:rsidP="004E09D2">
      <w:pPr>
        <w:ind w:firstLine="567"/>
        <w:jc w:val="both"/>
      </w:pPr>
      <w:r w:rsidRPr="00D41D3F">
        <w:tab/>
        <w:t>Предоставените през деветмесечието на 2021 г. трансфери във връзка с чл.14 от Закона за подпомагане на земеделските производители възлизат на 0,6 млн. лева.</w:t>
      </w:r>
    </w:p>
    <w:p w14:paraId="6F920AB8" w14:textId="77777777" w:rsidR="004E09D2" w:rsidRPr="004F3DCF" w:rsidRDefault="004E09D2" w:rsidP="004E09D2">
      <w:pPr>
        <w:numPr>
          <w:ilvl w:val="0"/>
          <w:numId w:val="22"/>
        </w:numPr>
        <w:tabs>
          <w:tab w:val="left" w:pos="993"/>
        </w:tabs>
        <w:spacing w:before="120" w:after="120"/>
        <w:ind w:left="1321" w:hanging="612"/>
        <w:jc w:val="both"/>
        <w:rPr>
          <w:b/>
          <w:i/>
        </w:rPr>
      </w:pPr>
      <w:r w:rsidRPr="004F3DCF">
        <w:rPr>
          <w:b/>
          <w:i/>
        </w:rPr>
        <w:t>Трансфери между сметки за средства от Европейския съюз:</w:t>
      </w:r>
    </w:p>
    <w:p w14:paraId="50B21A4C" w14:textId="77777777" w:rsidR="004E09D2" w:rsidRPr="004F3DCF" w:rsidRDefault="004E09D2" w:rsidP="004E09D2">
      <w:pPr>
        <w:ind w:firstLine="567"/>
        <w:jc w:val="both"/>
      </w:pPr>
      <w:r w:rsidRPr="004F3DCF">
        <w:t>Предоставените трансфери са формирани от изплатените субсидии и възстановените суми от публични бенефициенти. Към края деветмесечието на 2021 г. са отчетени 211,0 млн. лв., в т.ч.:</w:t>
      </w:r>
    </w:p>
    <w:p w14:paraId="5BA7AD59" w14:textId="77777777" w:rsidR="004E09D2" w:rsidRPr="004F3DCF" w:rsidRDefault="004E09D2" w:rsidP="004E09D2">
      <w:pPr>
        <w:pStyle w:val="ListParagraph"/>
        <w:numPr>
          <w:ilvl w:val="0"/>
          <w:numId w:val="21"/>
        </w:numPr>
        <w:tabs>
          <w:tab w:val="left" w:pos="1080"/>
        </w:tabs>
        <w:spacing w:line="240" w:lineRule="auto"/>
        <w:ind w:left="706" w:firstLine="14"/>
        <w:rPr>
          <w:rFonts w:ascii="Times New Roman" w:hAnsi="Times New Roman"/>
        </w:rPr>
      </w:pPr>
      <w:r w:rsidRPr="004F3DCF">
        <w:rPr>
          <w:rFonts w:ascii="Times New Roman" w:hAnsi="Times New Roman"/>
        </w:rPr>
        <w:t>по Програмата за развитие на селските райони – 205,6 млн. лв.;</w:t>
      </w:r>
    </w:p>
    <w:p w14:paraId="4AB22412" w14:textId="77777777" w:rsidR="004E09D2" w:rsidRPr="004F3DCF" w:rsidRDefault="004E09D2" w:rsidP="004E09D2">
      <w:pPr>
        <w:pStyle w:val="ListParagraph"/>
        <w:numPr>
          <w:ilvl w:val="0"/>
          <w:numId w:val="21"/>
        </w:numPr>
        <w:tabs>
          <w:tab w:val="left" w:pos="1080"/>
        </w:tabs>
        <w:spacing w:line="240" w:lineRule="auto"/>
        <w:ind w:left="706" w:firstLine="14"/>
        <w:rPr>
          <w:rFonts w:ascii="Times New Roman" w:hAnsi="Times New Roman"/>
        </w:rPr>
      </w:pPr>
      <w:r w:rsidRPr="004F3DCF">
        <w:rPr>
          <w:rFonts w:ascii="Times New Roman" w:hAnsi="Times New Roman"/>
        </w:rPr>
        <w:t>национално съфинансиране към директни плащания  – 0,1 млн. лв.;</w:t>
      </w:r>
    </w:p>
    <w:p w14:paraId="2F1EA03B" w14:textId="77777777" w:rsidR="004E09D2" w:rsidRPr="004F3DCF" w:rsidRDefault="004E09D2" w:rsidP="004E09D2">
      <w:pPr>
        <w:pStyle w:val="ListParagraph"/>
        <w:numPr>
          <w:ilvl w:val="0"/>
          <w:numId w:val="21"/>
        </w:numPr>
        <w:tabs>
          <w:tab w:val="left" w:pos="1080"/>
        </w:tabs>
        <w:spacing w:line="240" w:lineRule="auto"/>
        <w:ind w:left="706" w:firstLine="14"/>
        <w:rPr>
          <w:rFonts w:ascii="Times New Roman" w:hAnsi="Times New Roman"/>
        </w:rPr>
      </w:pPr>
      <w:r w:rsidRPr="004F3DCF">
        <w:rPr>
          <w:rFonts w:ascii="Times New Roman" w:hAnsi="Times New Roman"/>
        </w:rPr>
        <w:t>по Програмата за морско дело и рибарство: 5,3 млн. лева.</w:t>
      </w:r>
    </w:p>
    <w:p w14:paraId="44F5BB2B" w14:textId="77777777" w:rsidR="004E09D2" w:rsidRPr="004F3DCF" w:rsidRDefault="004E09D2" w:rsidP="004E09D2">
      <w:pPr>
        <w:ind w:firstLine="567"/>
        <w:jc w:val="both"/>
      </w:pPr>
      <w:r w:rsidRPr="004F3DCF">
        <w:t>Към края на третото тримесечие на 2020 г. са предоставени трансфери в размер на 193,3 млн. лв.</w:t>
      </w:r>
    </w:p>
    <w:p w14:paraId="221A4241" w14:textId="77777777" w:rsidR="004E09D2" w:rsidRPr="004F3DCF" w:rsidRDefault="004E09D2" w:rsidP="004E09D2">
      <w:pPr>
        <w:tabs>
          <w:tab w:val="left" w:pos="540"/>
        </w:tabs>
        <w:ind w:firstLine="567"/>
        <w:jc w:val="both"/>
      </w:pPr>
      <w:r w:rsidRPr="004F3DCF">
        <w:rPr>
          <w:lang w:eastAsia="bg-BG"/>
        </w:rPr>
        <w:tab/>
      </w:r>
    </w:p>
    <w:p w14:paraId="646C8516" w14:textId="77777777" w:rsidR="004E09D2" w:rsidRPr="004F3DCF" w:rsidRDefault="004E09D2" w:rsidP="004E09D2">
      <w:pPr>
        <w:numPr>
          <w:ilvl w:val="0"/>
          <w:numId w:val="23"/>
        </w:numPr>
        <w:tabs>
          <w:tab w:val="num" w:pos="540"/>
        </w:tabs>
        <w:spacing w:before="120" w:after="120" w:line="276" w:lineRule="auto"/>
        <w:contextualSpacing/>
        <w:jc w:val="both"/>
        <w:rPr>
          <w:b/>
          <w:lang w:eastAsia="bg-BG"/>
        </w:rPr>
      </w:pPr>
      <w:r w:rsidRPr="004F3DCF">
        <w:rPr>
          <w:b/>
          <w:lang w:eastAsia="bg-BG"/>
        </w:rPr>
        <w:lastRenderedPageBreak/>
        <w:t>Финансиране</w:t>
      </w:r>
    </w:p>
    <w:p w14:paraId="323A9627" w14:textId="77777777" w:rsidR="004E09D2" w:rsidRPr="00C85F7F" w:rsidRDefault="004E09D2" w:rsidP="004E09D2">
      <w:pPr>
        <w:ind w:firstLine="567"/>
        <w:jc w:val="both"/>
        <w:rPr>
          <w:color w:val="548DD4" w:themeColor="text2" w:themeTint="99"/>
        </w:rPr>
      </w:pPr>
      <w:r w:rsidRPr="004F3DCF">
        <w:t>Към 30.09.2021 г. извършените плащания, възстановените суми, разчетът с централния бюджет и операциите с чужди средства, включени в отчетността в „Друго финансиране“ са в размер на 95,2 млн. лева.</w:t>
      </w:r>
    </w:p>
    <w:p w14:paraId="0C9F24FF" w14:textId="77777777" w:rsidR="004E09D2" w:rsidRPr="00A643AF" w:rsidRDefault="004E09D2" w:rsidP="004E09D2">
      <w:pPr>
        <w:ind w:firstLine="567"/>
        <w:jc w:val="both"/>
        <w:rPr>
          <w:lang w:eastAsia="bg-BG"/>
        </w:rPr>
      </w:pPr>
      <w:r w:rsidRPr="00A643AF">
        <w:rPr>
          <w:lang w:eastAsia="bg-BG"/>
        </w:rPr>
        <w:t>Към 30.09.2021 г. са отчетени плащания в общ размер на 972,1 млн. лв., 49,4 % от годишните разчети (1 969,8 млн. лв.) при 903,4 млн. лв. за същия период на 2020 г.</w:t>
      </w:r>
    </w:p>
    <w:p w14:paraId="505B0169" w14:textId="77777777" w:rsidR="004E09D2" w:rsidRPr="00D96348" w:rsidRDefault="004E09D2" w:rsidP="004E09D2">
      <w:pPr>
        <w:ind w:firstLine="567"/>
        <w:jc w:val="both"/>
        <w:rPr>
          <w:lang w:eastAsia="bg-BG"/>
        </w:rPr>
      </w:pPr>
      <w:r w:rsidRPr="00D96348">
        <w:rPr>
          <w:lang w:eastAsia="bg-BG"/>
        </w:rPr>
        <w:t>Отчетени са плащания по следните направления:</w:t>
      </w:r>
    </w:p>
    <w:p w14:paraId="4E51EA84"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843,5 млн. лв. за директни плащания за сметка на ЕФГЗ, представляващи 52,5 % от планираните 1 607,4 млн. лева;</w:t>
      </w:r>
    </w:p>
    <w:p w14:paraId="379EADD5"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105,7 млн. лв. средства от ЕЗФРСР, прехвърлени към директни плащания, което е 35,9 % от планираните 294,7 млн. лева;</w:t>
      </w:r>
    </w:p>
    <w:p w14:paraId="5D7FA316"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19,2 млн. лв. за пазарни мерки, което е 50,8 % изпълнение на годишния разчет от 37,8 млн. лева;</w:t>
      </w:r>
    </w:p>
    <w:p w14:paraId="04A0739D"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3,7 млн. лв. суми за преструктуриране, 12,4 % от планираните 29,8 млн. лева.</w:t>
      </w:r>
    </w:p>
    <w:p w14:paraId="1A8001BD" w14:textId="77777777" w:rsidR="004E09D2" w:rsidRPr="00D96348" w:rsidRDefault="004E09D2" w:rsidP="004E09D2">
      <w:pPr>
        <w:ind w:firstLine="567"/>
        <w:jc w:val="both"/>
        <w:rPr>
          <w:sz w:val="12"/>
          <w:szCs w:val="12"/>
          <w:lang w:eastAsia="bg-BG"/>
        </w:rPr>
      </w:pPr>
    </w:p>
    <w:p w14:paraId="3BCF6FE0" w14:textId="77777777" w:rsidR="004E09D2" w:rsidRPr="00D96348" w:rsidRDefault="004E09D2" w:rsidP="004E09D2">
      <w:pPr>
        <w:ind w:firstLine="567"/>
        <w:jc w:val="both"/>
        <w:rPr>
          <w:lang w:eastAsia="bg-BG"/>
        </w:rPr>
      </w:pPr>
      <w:r w:rsidRPr="00D96348">
        <w:rPr>
          <w:lang w:eastAsia="bg-BG"/>
        </w:rPr>
        <w:t>Възстановените суми от Европейския съюз към 30.09.2021 г. възлизат общо на 1 866,8</w:t>
      </w:r>
      <w:r w:rsidRPr="00D96348">
        <w:t> </w:t>
      </w:r>
      <w:r w:rsidRPr="00D96348">
        <w:rPr>
          <w:lang w:eastAsia="bg-BG"/>
        </w:rPr>
        <w:t>млн. лв., което е 95,1 % от планираните 1 962,7 млн. лв. За сравнение, към 30.09.2020 г. изпълнението е 91,0 %.</w:t>
      </w:r>
    </w:p>
    <w:p w14:paraId="2003B167" w14:textId="77777777" w:rsidR="004E09D2" w:rsidRPr="00D96348" w:rsidRDefault="004E09D2" w:rsidP="004E09D2">
      <w:pPr>
        <w:ind w:firstLine="567"/>
        <w:jc w:val="both"/>
        <w:rPr>
          <w:lang w:eastAsia="bg-BG"/>
        </w:rPr>
      </w:pPr>
      <w:r w:rsidRPr="00D96348">
        <w:rPr>
          <w:lang w:eastAsia="bg-BG"/>
        </w:rPr>
        <w:t>Възстановени са суми по следните направления:</w:t>
      </w:r>
    </w:p>
    <w:p w14:paraId="48B98BC4"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1</w:t>
      </w:r>
      <w:r w:rsidRPr="00D96348">
        <w:rPr>
          <w:szCs w:val="20"/>
          <w:lang w:val="en-US"/>
        </w:rPr>
        <w:t> </w:t>
      </w:r>
      <w:r w:rsidRPr="00D96348">
        <w:rPr>
          <w:szCs w:val="20"/>
        </w:rPr>
        <w:t>618,5 млн. лв. за директни плащания от ЕФГЗ – 100,8 % спрямо заложените 1 604,9 млн. лева;</w:t>
      </w:r>
    </w:p>
    <w:p w14:paraId="1133C5C2"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 xml:space="preserve">231,7 млн. лв. от ЕЗФРСР, прехвърлени към директни плащания – 78,6 % от заложените 294,7 млн. лева; </w:t>
      </w:r>
    </w:p>
    <w:p w14:paraId="0A365801" w14:textId="77777777" w:rsidR="004E09D2" w:rsidRPr="00D96348" w:rsidRDefault="004E09D2" w:rsidP="004E09D2">
      <w:pPr>
        <w:numPr>
          <w:ilvl w:val="0"/>
          <w:numId w:val="24"/>
        </w:numPr>
        <w:tabs>
          <w:tab w:val="left" w:pos="993"/>
        </w:tabs>
        <w:ind w:left="0" w:firstLine="562"/>
        <w:contextualSpacing/>
        <w:jc w:val="both"/>
        <w:rPr>
          <w:szCs w:val="20"/>
        </w:rPr>
      </w:pPr>
      <w:r w:rsidRPr="00D96348">
        <w:rPr>
          <w:szCs w:val="20"/>
        </w:rPr>
        <w:t>12,0 млн. лв. за пазарни мерки от ЕФГЗ, 34,8 % изпълнение на планираните за годината 34,5 млн. лева;</w:t>
      </w:r>
    </w:p>
    <w:p w14:paraId="61DADE80" w14:textId="77777777" w:rsidR="004E09D2" w:rsidRPr="00D96348" w:rsidRDefault="004E09D2" w:rsidP="004E09D2">
      <w:pPr>
        <w:numPr>
          <w:ilvl w:val="0"/>
          <w:numId w:val="24"/>
        </w:numPr>
        <w:tabs>
          <w:tab w:val="left" w:pos="993"/>
        </w:tabs>
        <w:ind w:left="0" w:firstLine="562"/>
        <w:contextualSpacing/>
        <w:jc w:val="both"/>
      </w:pPr>
      <w:r w:rsidRPr="00D96348">
        <w:rPr>
          <w:szCs w:val="20"/>
        </w:rPr>
        <w:t>4,6 млн. лв. суми за преструктуриране от ЕФГЗ при планирани 28,6 млн. лв., изпълнение 16,1 %.</w:t>
      </w:r>
    </w:p>
    <w:p w14:paraId="2496C0EC" w14:textId="77777777" w:rsidR="004E09D2" w:rsidRPr="00D96348" w:rsidRDefault="004E09D2" w:rsidP="004E09D2">
      <w:pPr>
        <w:spacing w:before="120"/>
        <w:ind w:firstLine="567"/>
        <w:jc w:val="both"/>
      </w:pPr>
      <w:r w:rsidRPr="00D96348">
        <w:t xml:space="preserve">Предоставените суми (нето) по разчети с ЦБ за финансиране на плащания при недостиг на средства по сметки възлизат на -799,4 млн. лева. при планирани -26,3 млн. лева. </w:t>
      </w:r>
    </w:p>
    <w:p w14:paraId="4673F134" w14:textId="77777777" w:rsidR="004E09D2" w:rsidRPr="00D96348" w:rsidRDefault="004E09D2" w:rsidP="004E09D2">
      <w:pPr>
        <w:tabs>
          <w:tab w:val="left" w:pos="540"/>
        </w:tabs>
        <w:spacing w:before="120"/>
        <w:ind w:firstLine="567"/>
        <w:jc w:val="both"/>
      </w:pPr>
      <w:r w:rsidRPr="00D96348">
        <w:rPr>
          <w:lang w:eastAsia="bg-BG"/>
        </w:rPr>
        <w:tab/>
      </w:r>
    </w:p>
    <w:p w14:paraId="68F93F11" w14:textId="77777777" w:rsidR="004E09D2" w:rsidRPr="00D9447E" w:rsidRDefault="004E09D2" w:rsidP="004E09D2">
      <w:pPr>
        <w:pStyle w:val="Heading1"/>
        <w:numPr>
          <w:ilvl w:val="1"/>
          <w:numId w:val="10"/>
        </w:numPr>
        <w:spacing w:after="120"/>
        <w:ind w:left="788" w:right="-108" w:hanging="431"/>
        <w:jc w:val="both"/>
        <w:rPr>
          <w:color w:val="000000" w:themeColor="text1"/>
          <w:sz w:val="24"/>
        </w:rPr>
      </w:pPr>
      <w:r w:rsidRPr="00D9447E">
        <w:rPr>
          <w:color w:val="000000" w:themeColor="text1"/>
          <w:sz w:val="24"/>
        </w:rPr>
        <w:t>Национален фонд към Министерство на финансите</w:t>
      </w:r>
    </w:p>
    <w:p w14:paraId="3CF54D96" w14:textId="77777777" w:rsidR="004E09D2" w:rsidRPr="00E31CDA" w:rsidRDefault="004E09D2" w:rsidP="00256E34">
      <w:pPr>
        <w:pStyle w:val="BodyTextIndent"/>
        <w:ind w:left="0" w:firstLine="567"/>
        <w:jc w:val="both"/>
        <w:rPr>
          <w:bCs/>
          <w:color w:val="00B0F0"/>
        </w:rPr>
      </w:pPr>
      <w:r w:rsidRPr="00E31CDA">
        <w:rPr>
          <w:bCs/>
        </w:rPr>
        <w:t>По сметките на НФ към 3</w:t>
      </w:r>
      <w:r w:rsidRPr="00E31CDA">
        <w:rPr>
          <w:bCs/>
          <w:lang w:val="ru-RU"/>
        </w:rPr>
        <w:t>0</w:t>
      </w:r>
      <w:r w:rsidRPr="00E31CDA">
        <w:rPr>
          <w:bCs/>
        </w:rPr>
        <w:t>.</w:t>
      </w:r>
      <w:r w:rsidRPr="00E31CDA">
        <w:rPr>
          <w:bCs/>
          <w:lang w:val="ru-RU"/>
        </w:rPr>
        <w:t>09</w:t>
      </w:r>
      <w:r w:rsidRPr="00E31CDA">
        <w:rPr>
          <w:bCs/>
        </w:rPr>
        <w:t xml:space="preserve">.2021 г. </w:t>
      </w:r>
      <w:r w:rsidRPr="009D1651">
        <w:rPr>
          <w:bCs/>
        </w:rPr>
        <w:t>са постъпили приходи (нето) в размер на 1</w:t>
      </w:r>
      <w:r>
        <w:rPr>
          <w:bCs/>
        </w:rPr>
        <w:t> </w:t>
      </w:r>
      <w:r w:rsidRPr="009D1651">
        <w:rPr>
          <w:bCs/>
        </w:rPr>
        <w:t>541</w:t>
      </w:r>
      <w:r>
        <w:rPr>
          <w:bCs/>
        </w:rPr>
        <w:t>,</w:t>
      </w:r>
      <w:r w:rsidRPr="009D1651">
        <w:rPr>
          <w:bCs/>
        </w:rPr>
        <w:t>9 млн. лева по програмите, съфинансирани от Европейския фонд за регионално развитие, Европейския социален фонд (включително Инициативата за младежка заетост), Кохезионния фонд и Фонда за европейско подпомагане на най-нуждаещите се лица (ФЕПНЛ) на ЕС за финансовата рамка 2014–2020 г. и двустранните програми за трансгранично сътрудничество по външните граници на EС (ПТСВГ) за периода 2014–2020 г.,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w:t>
      </w:r>
    </w:p>
    <w:p w14:paraId="29AE483D" w14:textId="77777777" w:rsidR="004E09D2" w:rsidRPr="00E31CDA" w:rsidRDefault="004E09D2" w:rsidP="00256E34">
      <w:pPr>
        <w:pStyle w:val="BodyTextIndent"/>
        <w:ind w:left="0" w:firstLine="567"/>
        <w:jc w:val="both"/>
        <w:rPr>
          <w:bCs/>
          <w:color w:val="00B0F0"/>
        </w:rPr>
      </w:pPr>
      <w:r w:rsidRPr="00D266EF">
        <w:rPr>
          <w:bCs/>
        </w:rPr>
        <w:t>Извършените разходи (нето) за периода с натрупване чрез сметките на НФ възлизат на 606</w:t>
      </w:r>
      <w:r>
        <w:rPr>
          <w:bCs/>
        </w:rPr>
        <w:t>,</w:t>
      </w:r>
      <w:r w:rsidRPr="00D266EF">
        <w:rPr>
          <w:bCs/>
        </w:rPr>
        <w:t xml:space="preserve">0 млн. лева. По видове разходи изпълнението е както следва: </w:t>
      </w:r>
      <w:r w:rsidRPr="00DF1557">
        <w:rPr>
          <w:bCs/>
        </w:rPr>
        <w:t>5</w:t>
      </w:r>
      <w:r w:rsidRPr="00D266EF">
        <w:rPr>
          <w:bCs/>
        </w:rPr>
        <w:t>3</w:t>
      </w:r>
      <w:r>
        <w:rPr>
          <w:bCs/>
        </w:rPr>
        <w:t>,</w:t>
      </w:r>
      <w:r w:rsidRPr="00D266EF">
        <w:rPr>
          <w:bCs/>
        </w:rPr>
        <w:t>57</w:t>
      </w:r>
      <w:r>
        <w:rPr>
          <w:bCs/>
        </w:rPr>
        <w:t xml:space="preserve"> </w:t>
      </w:r>
      <w:r w:rsidRPr="00D266EF">
        <w:rPr>
          <w:bCs/>
        </w:rPr>
        <w:t xml:space="preserve">% от общата стойност са капиталови трансфери, </w:t>
      </w:r>
      <w:r w:rsidRPr="00DF1557">
        <w:rPr>
          <w:bCs/>
        </w:rPr>
        <w:t>4</w:t>
      </w:r>
      <w:r w:rsidRPr="00D266EF">
        <w:rPr>
          <w:bCs/>
        </w:rPr>
        <w:t>5</w:t>
      </w:r>
      <w:r>
        <w:rPr>
          <w:bCs/>
        </w:rPr>
        <w:t>,</w:t>
      </w:r>
      <w:r w:rsidRPr="00D266EF">
        <w:rPr>
          <w:bCs/>
        </w:rPr>
        <w:t>35</w:t>
      </w:r>
      <w:r>
        <w:rPr>
          <w:bCs/>
        </w:rPr>
        <w:t xml:space="preserve"> </w:t>
      </w:r>
      <w:r w:rsidRPr="00D266EF">
        <w:rPr>
          <w:bCs/>
        </w:rPr>
        <w:t>% са субсидии, 1</w:t>
      </w:r>
      <w:r>
        <w:rPr>
          <w:bCs/>
        </w:rPr>
        <w:t>,</w:t>
      </w:r>
      <w:r w:rsidRPr="00D266EF">
        <w:rPr>
          <w:bCs/>
        </w:rPr>
        <w:t>07</w:t>
      </w:r>
      <w:r>
        <w:rPr>
          <w:bCs/>
        </w:rPr>
        <w:t xml:space="preserve"> </w:t>
      </w:r>
      <w:r w:rsidRPr="00D266EF">
        <w:rPr>
          <w:bCs/>
        </w:rPr>
        <w:t>% предоставени текущи и капиталови трансфери за чужбина и 0</w:t>
      </w:r>
      <w:r>
        <w:rPr>
          <w:bCs/>
        </w:rPr>
        <w:t>,</w:t>
      </w:r>
      <w:r w:rsidRPr="00D266EF">
        <w:rPr>
          <w:bCs/>
        </w:rPr>
        <w:t>002</w:t>
      </w:r>
      <w:r>
        <w:rPr>
          <w:bCs/>
        </w:rPr>
        <w:t xml:space="preserve"> </w:t>
      </w:r>
      <w:r w:rsidRPr="00D266EF">
        <w:rPr>
          <w:bCs/>
        </w:rPr>
        <w:t>% - издръжка.</w:t>
      </w:r>
    </w:p>
    <w:p w14:paraId="1E161059" w14:textId="77777777" w:rsidR="004E09D2" w:rsidRPr="00E31CDA" w:rsidRDefault="004E09D2" w:rsidP="00256E34">
      <w:pPr>
        <w:pStyle w:val="BodyTextIndent"/>
        <w:ind w:left="0" w:firstLine="567"/>
        <w:jc w:val="both"/>
        <w:rPr>
          <w:bCs/>
          <w:color w:val="00B0F0"/>
        </w:rPr>
      </w:pPr>
      <w:r w:rsidRPr="00D266EF">
        <w:rPr>
          <w:bCs/>
        </w:rPr>
        <w:t>Трансферите (нето), временните безлихвени заеми (нето) и временна възмездна финансова помощ за разглеждания период са на стойност 1</w:t>
      </w:r>
      <w:r>
        <w:rPr>
          <w:bCs/>
        </w:rPr>
        <w:t> 160,</w:t>
      </w:r>
      <w:r w:rsidRPr="00D266EF">
        <w:rPr>
          <w:bCs/>
          <w:lang w:val="ru-RU"/>
        </w:rPr>
        <w:t>0</w:t>
      </w:r>
      <w:r w:rsidRPr="00D266EF">
        <w:rPr>
          <w:bCs/>
        </w:rPr>
        <w:t xml:space="preserve">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2014–2021 г. и НФМ 2014–2021 г., както и възстановени трансфери от бенефициенти-бюджетни организации за неусвоени суми по приключили проекти, за недопустими разходи или други надплащания. В консолидираната отчетност на НФ са отразени и трансфери (нето) към </w:t>
      </w:r>
      <w:r w:rsidRPr="00D266EF">
        <w:rPr>
          <w:bCs/>
        </w:rPr>
        <w:lastRenderedPageBreak/>
        <w:t>бенефициенти – бюджетни организации, които са за сметка на средства, предоставени от държавите-партньори по ПТСВГ.</w:t>
      </w:r>
    </w:p>
    <w:p w14:paraId="4F7DE50C" w14:textId="5000A776" w:rsidR="004E09D2" w:rsidRPr="003E11A5" w:rsidRDefault="004E09D2" w:rsidP="00256E34">
      <w:pPr>
        <w:pStyle w:val="BodyTextIndent"/>
        <w:ind w:left="0" w:firstLine="567"/>
        <w:jc w:val="both"/>
        <w:rPr>
          <w:bCs/>
        </w:rPr>
      </w:pPr>
      <w:r w:rsidRPr="00E31CDA">
        <w:rPr>
          <w:bCs/>
          <w:color w:val="00B0F0"/>
        </w:rPr>
        <w:t xml:space="preserve"> </w:t>
      </w:r>
      <w:r w:rsidRPr="003E11A5">
        <w:rPr>
          <w:bCs/>
        </w:rPr>
        <w:t>Във връзка с изпълнение на ОП - програмен период 2014 – 2020 г. и ПТСВГ 2014 – 2020</w:t>
      </w:r>
      <w:r w:rsidR="001740AD">
        <w:rPr>
          <w:bCs/>
        </w:rPr>
        <w:t> </w:t>
      </w:r>
      <w:r w:rsidRPr="003E11A5">
        <w:rPr>
          <w:bCs/>
        </w:rPr>
        <w:t>г. по сметките на НФ са получени трансфери от централния бюджет на стойност 218</w:t>
      </w:r>
      <w:r>
        <w:rPr>
          <w:bCs/>
        </w:rPr>
        <w:t>,</w:t>
      </w:r>
      <w:r w:rsidRPr="003E11A5">
        <w:rPr>
          <w:bCs/>
        </w:rPr>
        <w:t>7</w:t>
      </w:r>
      <w:r w:rsidR="001740AD">
        <w:rPr>
          <w:bCs/>
        </w:rPr>
        <w:t> </w:t>
      </w:r>
      <w:r w:rsidRPr="003E11A5">
        <w:rPr>
          <w:bCs/>
        </w:rPr>
        <w:t>млн. лева.</w:t>
      </w:r>
    </w:p>
    <w:p w14:paraId="2BC8D879" w14:textId="77777777" w:rsidR="004E09D2" w:rsidRPr="006335FA" w:rsidRDefault="004E09D2" w:rsidP="00256E34">
      <w:pPr>
        <w:pStyle w:val="BodyTextIndent"/>
        <w:ind w:left="0" w:firstLine="567"/>
        <w:jc w:val="both"/>
        <w:rPr>
          <w:bCs/>
        </w:rPr>
      </w:pPr>
      <w:r w:rsidRPr="006335FA">
        <w:rPr>
          <w:bCs/>
        </w:rPr>
        <w:t>Общата сума от други приходи (корективи за касови постъпления, отчетени за дължими суми от бенефициенти по ОП), постъпили по сметките на НФ, са в размер на 5</w:t>
      </w:r>
      <w:r>
        <w:rPr>
          <w:bCs/>
        </w:rPr>
        <w:t>,</w:t>
      </w:r>
      <w:r w:rsidRPr="00DF1557">
        <w:rPr>
          <w:bCs/>
        </w:rPr>
        <w:t>8</w:t>
      </w:r>
      <w:r w:rsidRPr="006335FA">
        <w:rPr>
          <w:bCs/>
        </w:rPr>
        <w:t xml:space="preserve"> млн. лева.</w:t>
      </w:r>
    </w:p>
    <w:p w14:paraId="53256F00" w14:textId="49D8A86B" w:rsidR="004E09D2" w:rsidRPr="00E31CDA" w:rsidRDefault="004E09D2" w:rsidP="00256E34">
      <w:pPr>
        <w:pStyle w:val="BodyTextIndent"/>
        <w:ind w:left="0" w:firstLine="567"/>
        <w:jc w:val="both"/>
        <w:rPr>
          <w:bCs/>
          <w:color w:val="00B0F0"/>
        </w:rPr>
      </w:pPr>
      <w:r w:rsidRPr="00AD001A">
        <w:rPr>
          <w:bCs/>
        </w:rPr>
        <w:t>Наличностите по сметката за средства от ЕС на НФ към 3</w:t>
      </w:r>
      <w:r w:rsidRPr="00DF1557">
        <w:rPr>
          <w:bCs/>
        </w:rPr>
        <w:t>0</w:t>
      </w:r>
      <w:r w:rsidRPr="00AD001A">
        <w:rPr>
          <w:bCs/>
        </w:rPr>
        <w:t xml:space="preserve">.09.2021 г. възлизат на </w:t>
      </w:r>
      <w:r>
        <w:rPr>
          <w:bCs/>
        </w:rPr>
        <w:t>3 037,2</w:t>
      </w:r>
      <w:r w:rsidR="001740AD">
        <w:rPr>
          <w:bCs/>
        </w:rPr>
        <w:t> </w:t>
      </w:r>
      <w:r w:rsidRPr="00AD001A">
        <w:rPr>
          <w:bCs/>
        </w:rPr>
        <w:t>млн. лв. (в отчета на НФ са включени и наличностите на Фонд мениджър на финансови инструменти в България (Фонд на фондовете), които са на стойност 238</w:t>
      </w:r>
      <w:r>
        <w:rPr>
          <w:bCs/>
        </w:rPr>
        <w:t>,</w:t>
      </w:r>
      <w:r w:rsidRPr="00AD001A">
        <w:rPr>
          <w:bCs/>
        </w:rPr>
        <w:t>0 млн. лв.), като в БНБ наличните средства са в размер на 3</w:t>
      </w:r>
      <w:r>
        <w:rPr>
          <w:bCs/>
        </w:rPr>
        <w:t> </w:t>
      </w:r>
      <w:r w:rsidRPr="00AD001A">
        <w:rPr>
          <w:bCs/>
        </w:rPr>
        <w:t>037</w:t>
      </w:r>
      <w:r>
        <w:rPr>
          <w:bCs/>
        </w:rPr>
        <w:t>,</w:t>
      </w:r>
      <w:r w:rsidRPr="00AD001A">
        <w:rPr>
          <w:bCs/>
        </w:rPr>
        <w:t>1 млн. лв., а в търговските банки (УниКредит Булбанк АД и Банка ДСК ЕАД) са в размер на 0</w:t>
      </w:r>
      <w:r>
        <w:rPr>
          <w:bCs/>
        </w:rPr>
        <w:t>,</w:t>
      </w:r>
      <w:r w:rsidRPr="00AD001A">
        <w:rPr>
          <w:bCs/>
        </w:rPr>
        <w:t>1 млн. лева.</w:t>
      </w:r>
    </w:p>
    <w:p w14:paraId="5E20330E" w14:textId="77777777" w:rsidR="004E09D2" w:rsidRPr="00F612BF" w:rsidRDefault="004E09D2" w:rsidP="00256E34">
      <w:pPr>
        <w:pStyle w:val="BodyTextIndent"/>
        <w:spacing w:before="120"/>
        <w:ind w:left="0" w:firstLine="567"/>
        <w:jc w:val="both"/>
        <w:rPr>
          <w:b/>
          <w:bCs/>
          <w:color w:val="000000" w:themeColor="text1"/>
        </w:rPr>
      </w:pPr>
      <w:r w:rsidRPr="00F612BF">
        <w:rPr>
          <w:b/>
          <w:bCs/>
          <w:color w:val="000000" w:themeColor="text1"/>
        </w:rPr>
        <w:t>Структурни и Кохезионен фондове (СКФ) 2007 – 2013 г.</w:t>
      </w:r>
    </w:p>
    <w:p w14:paraId="14539B0C" w14:textId="77777777" w:rsidR="004E09D2" w:rsidRPr="002E5B04" w:rsidRDefault="004E09D2" w:rsidP="00256E34">
      <w:pPr>
        <w:pStyle w:val="BodyTextIndent"/>
        <w:ind w:left="0" w:firstLine="567"/>
        <w:jc w:val="both"/>
        <w:rPr>
          <w:bCs/>
        </w:rPr>
      </w:pPr>
      <w:r w:rsidRPr="002E5B04">
        <w:rPr>
          <w:bCs/>
        </w:rPr>
        <w:t>През отчетния период са постъпили (нето) възстановени суми от бенефициенти по сметките на Национален фонд на стойност на 1</w:t>
      </w:r>
      <w:r>
        <w:rPr>
          <w:bCs/>
        </w:rPr>
        <w:t>4,6</w:t>
      </w:r>
      <w:r w:rsidRPr="002E5B04">
        <w:rPr>
          <w:bCs/>
        </w:rPr>
        <w:t xml:space="preserve"> млн. л</w:t>
      </w:r>
      <w:r>
        <w:rPr>
          <w:bCs/>
        </w:rPr>
        <w:t>е</w:t>
      </w:r>
      <w:r w:rsidRPr="002E5B04">
        <w:rPr>
          <w:bCs/>
        </w:rPr>
        <w:t>в</w:t>
      </w:r>
      <w:r>
        <w:rPr>
          <w:bCs/>
        </w:rPr>
        <w:t>а</w:t>
      </w:r>
      <w:r w:rsidRPr="002E5B04">
        <w:rPr>
          <w:bCs/>
        </w:rPr>
        <w:t>.</w:t>
      </w:r>
      <w:r w:rsidRPr="002E5B04">
        <w:t xml:space="preserve"> </w:t>
      </w:r>
    </w:p>
    <w:p w14:paraId="666FD19B" w14:textId="77777777" w:rsidR="004E09D2" w:rsidRPr="002E5B04" w:rsidRDefault="004E09D2" w:rsidP="00256E34">
      <w:pPr>
        <w:pStyle w:val="BodyTextIndent"/>
        <w:ind w:left="0" w:firstLine="567"/>
        <w:jc w:val="both"/>
        <w:rPr>
          <w:bCs/>
        </w:rPr>
      </w:pPr>
      <w:r w:rsidRPr="002E5B04">
        <w:rPr>
          <w:bCs/>
        </w:rPr>
        <w:t>През отчетния период е възстановено авансово финансиране, предоставено по реда на ДДС6/2011 г. на бюджетни организации на стойност на 1</w:t>
      </w:r>
      <w:r>
        <w:rPr>
          <w:bCs/>
        </w:rPr>
        <w:t>,3</w:t>
      </w:r>
      <w:r w:rsidRPr="002E5B04">
        <w:rPr>
          <w:bCs/>
        </w:rPr>
        <w:t xml:space="preserve"> млн. л</w:t>
      </w:r>
      <w:r>
        <w:rPr>
          <w:bCs/>
        </w:rPr>
        <w:t>е</w:t>
      </w:r>
      <w:r w:rsidRPr="002E5B04">
        <w:rPr>
          <w:bCs/>
        </w:rPr>
        <w:t>в</w:t>
      </w:r>
      <w:r>
        <w:rPr>
          <w:bCs/>
        </w:rPr>
        <w:t>а</w:t>
      </w:r>
      <w:r w:rsidRPr="002E5B04">
        <w:rPr>
          <w:bCs/>
        </w:rPr>
        <w:t xml:space="preserve">. </w:t>
      </w:r>
    </w:p>
    <w:p w14:paraId="6AC914A0" w14:textId="77777777" w:rsidR="004E09D2" w:rsidRPr="00891710" w:rsidRDefault="004E09D2" w:rsidP="00256E34">
      <w:pPr>
        <w:pStyle w:val="BodyTextIndent"/>
        <w:spacing w:before="120"/>
        <w:ind w:left="0" w:firstLine="567"/>
        <w:jc w:val="both"/>
        <w:rPr>
          <w:b/>
          <w:bCs/>
          <w:color w:val="000000" w:themeColor="text1"/>
        </w:rPr>
      </w:pPr>
      <w:r w:rsidRPr="00891710">
        <w:rPr>
          <w:b/>
          <w:bCs/>
          <w:color w:val="000000" w:themeColor="text1"/>
        </w:rPr>
        <w:t>Европейски фонд за регионално развитие, Европейски социален фонд (включително Инициативата за младежка заетост), Кохезионния фонд и ФЕПНЛ на Европейския съюз за финансова рамка 2014 – 2020 г.</w:t>
      </w:r>
    </w:p>
    <w:p w14:paraId="3F293EDA" w14:textId="77777777" w:rsidR="004E09D2" w:rsidRPr="00F612BF" w:rsidRDefault="004E09D2" w:rsidP="00256E34">
      <w:pPr>
        <w:pStyle w:val="BodyTextIndent"/>
        <w:ind w:left="0" w:firstLine="567"/>
        <w:jc w:val="both"/>
        <w:rPr>
          <w:bCs/>
        </w:rPr>
      </w:pPr>
      <w:r w:rsidRPr="00891710">
        <w:rPr>
          <w:bCs/>
          <w:color w:val="000000" w:themeColor="text1"/>
        </w:rPr>
        <w:t>Общо получените средства (нето) от ЕК за периода са в размер на 1</w:t>
      </w:r>
      <w:r>
        <w:rPr>
          <w:bCs/>
          <w:color w:val="000000" w:themeColor="text1"/>
        </w:rPr>
        <w:t> </w:t>
      </w:r>
      <w:r w:rsidRPr="00891710">
        <w:rPr>
          <w:bCs/>
          <w:color w:val="000000" w:themeColor="text1"/>
        </w:rPr>
        <w:t>526</w:t>
      </w:r>
      <w:r>
        <w:rPr>
          <w:bCs/>
          <w:color w:val="000000" w:themeColor="text1"/>
        </w:rPr>
        <w:t>,</w:t>
      </w:r>
      <w:r w:rsidRPr="00891710">
        <w:rPr>
          <w:bCs/>
          <w:color w:val="000000" w:themeColor="text1"/>
        </w:rPr>
        <w:t>4 млн. лв.            (в тях влизат и извършените разходи по REACT-EU в размер на 186</w:t>
      </w:r>
      <w:r>
        <w:rPr>
          <w:bCs/>
          <w:color w:val="000000" w:themeColor="text1"/>
        </w:rPr>
        <w:t>,</w:t>
      </w:r>
      <w:r w:rsidRPr="00891710">
        <w:rPr>
          <w:bCs/>
          <w:color w:val="000000" w:themeColor="text1"/>
        </w:rPr>
        <w:t xml:space="preserve">2 млн. лева) и са </w:t>
      </w:r>
      <w:r w:rsidRPr="00F612BF">
        <w:rPr>
          <w:bCs/>
        </w:rPr>
        <w:t>разпределени както следва:</w:t>
      </w:r>
    </w:p>
    <w:p w14:paraId="2C5D0D6F"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 xml:space="preserve">ОП „Иновации и конкурентоспособност” – 341,0 млн. лв. (вкл. REACT-EU в размер на 26,0 млн. лева);  </w:t>
      </w:r>
    </w:p>
    <w:p w14:paraId="08D925CE"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„Добро управление” – 24,0 млн. лв.;</w:t>
      </w:r>
    </w:p>
    <w:p w14:paraId="0D8C1872"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„Транспорт и транспортна инфраструктура” – 229,5 млн. лв.;</w:t>
      </w:r>
    </w:p>
    <w:p w14:paraId="52928143"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„Околна среда 2014 – 2020 г.“ – 203,9 млн. лв.;</w:t>
      </w:r>
    </w:p>
    <w:p w14:paraId="5975DBDA"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„Развитие на човешките ресурси 2014 - 2020 г.” – 289,6 млн. лв.</w:t>
      </w:r>
      <w:r w:rsidRPr="00F612BF">
        <w:t xml:space="preserve"> (</w:t>
      </w:r>
      <w:r w:rsidRPr="00F612BF">
        <w:rPr>
          <w:bCs/>
        </w:rPr>
        <w:t>вкл. REACT-EU в размер на 94,6 млн. лева);</w:t>
      </w:r>
    </w:p>
    <w:p w14:paraId="19802558"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Инициативата за младежка заетост – 7,4 млн. лв.;</w:t>
      </w:r>
    </w:p>
    <w:p w14:paraId="64257111"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„Региони в растеж“ – 290,2 млн. лв. (вкл. REACT-EU в размер на 16,8 млн. лева);</w:t>
      </w:r>
    </w:p>
    <w:p w14:paraId="0B6F79B0"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за храни и/или основно материално подпомагане от Фонда за европейско подпомагане на най-нуждаещите се лица в България за периода 2014 – 2020 г. – 19,5 млн. лв. (вкл. REACT-EU в размер на 10,4 млн. лева) и</w:t>
      </w:r>
    </w:p>
    <w:p w14:paraId="4E9C069D" w14:textId="77777777" w:rsidR="004E09D2" w:rsidRPr="00F612BF" w:rsidRDefault="004E09D2" w:rsidP="00256E34">
      <w:pPr>
        <w:pStyle w:val="BodyTextIndent"/>
        <w:numPr>
          <w:ilvl w:val="0"/>
          <w:numId w:val="12"/>
        </w:numPr>
        <w:tabs>
          <w:tab w:val="clear" w:pos="1101"/>
          <w:tab w:val="num" w:pos="786"/>
        </w:tabs>
        <w:spacing w:after="0"/>
        <w:ind w:left="0" w:firstLine="567"/>
        <w:jc w:val="both"/>
        <w:rPr>
          <w:bCs/>
        </w:rPr>
      </w:pPr>
      <w:r w:rsidRPr="00F612BF">
        <w:rPr>
          <w:bCs/>
        </w:rPr>
        <w:t>ОП „Наука и образование за интелигентен растеж” – 121,3 млн. лв. (вкл. REACT-EU в размер на 38,4 млн. лева).</w:t>
      </w:r>
    </w:p>
    <w:p w14:paraId="52B69F48" w14:textId="77777777" w:rsidR="004E09D2" w:rsidRPr="007E097F" w:rsidRDefault="004E09D2" w:rsidP="00256E34">
      <w:pPr>
        <w:pStyle w:val="BodyTextIndent"/>
        <w:spacing w:before="120"/>
        <w:ind w:left="0" w:firstLine="567"/>
        <w:jc w:val="both"/>
        <w:rPr>
          <w:bCs/>
          <w:color w:val="000000" w:themeColor="text1"/>
        </w:rPr>
      </w:pPr>
      <w:r w:rsidRPr="007E097F">
        <w:rPr>
          <w:bCs/>
          <w:color w:val="000000" w:themeColor="text1"/>
        </w:rPr>
        <w:t xml:space="preserve">Направените разходи (нето) по Оперативни програми и трансферите (нето) към бюджетни организации и операции с активи към края на </w:t>
      </w:r>
      <w:r>
        <w:rPr>
          <w:bCs/>
          <w:color w:val="000000" w:themeColor="text1"/>
        </w:rPr>
        <w:t>деветмесечието</w:t>
      </w:r>
      <w:r w:rsidRPr="007E097F">
        <w:rPr>
          <w:bCs/>
          <w:color w:val="000000" w:themeColor="text1"/>
        </w:rPr>
        <w:t xml:space="preserve"> са на стойност </w:t>
      </w:r>
      <w:r>
        <w:rPr>
          <w:bCs/>
          <w:color w:val="000000" w:themeColor="text1"/>
        </w:rPr>
        <w:t>1 831,5</w:t>
      </w:r>
      <w:r w:rsidRPr="007E097F">
        <w:rPr>
          <w:bCs/>
          <w:color w:val="000000" w:themeColor="text1"/>
        </w:rPr>
        <w:t xml:space="preserve"> млн. лв. (в тях влизат и извършените разходи по REACT-EU в размер на 247</w:t>
      </w:r>
      <w:r>
        <w:rPr>
          <w:bCs/>
          <w:color w:val="000000" w:themeColor="text1"/>
        </w:rPr>
        <w:t>,</w:t>
      </w:r>
      <w:r w:rsidRPr="007E097F">
        <w:rPr>
          <w:bCs/>
          <w:color w:val="000000" w:themeColor="text1"/>
        </w:rPr>
        <w:t>8 млн. лева), като разпределението по Оперативни програми е следното:</w:t>
      </w:r>
    </w:p>
    <w:p w14:paraId="43097CBA"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„Развитие на човешките ресурси 2014 - 2020 г.” – 374,4 млн. лв.</w:t>
      </w:r>
      <w:r w:rsidRPr="00243C4D">
        <w:t xml:space="preserve"> </w:t>
      </w:r>
      <w:r w:rsidRPr="00243C4D">
        <w:rPr>
          <w:bCs/>
        </w:rPr>
        <w:t>(вкл. REACT-EU в размер на 128,3 млн. лева);</w:t>
      </w:r>
    </w:p>
    <w:p w14:paraId="5E02B0CD"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Инициативата за младежка заетост – 12,8 млн. лв.;</w:t>
      </w:r>
    </w:p>
    <w:p w14:paraId="2845A262"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за храни и/или основно материално подпомагане от Фонда за европейско подпомагане на най-нуждаещите се лица в България за периода 2014 – 2020 г. – 38,2 млн. лева (вкл. REACT-EU в размер на 21,4 млн. лева);</w:t>
      </w:r>
    </w:p>
    <w:p w14:paraId="12735163"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„Иновации и конкурентоспособност” – 467,3 млн. лв. (вкл. REACT-EU в размер на 25,5 млн. лева);</w:t>
      </w:r>
    </w:p>
    <w:p w14:paraId="6D05F6E3"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lastRenderedPageBreak/>
        <w:t>ОП „Добро управление” – 39,4 млн. лв.;</w:t>
      </w:r>
    </w:p>
    <w:p w14:paraId="18DD5DF3"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„Региони в растеж“ – 242,9 млн. лв.;</w:t>
      </w:r>
    </w:p>
    <w:p w14:paraId="7F69F3F0"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„Транспорт и транспортна инфраструктура” – 221,6 млн. лв.;</w:t>
      </w:r>
    </w:p>
    <w:p w14:paraId="1EC03507"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„Наука и образование за интелигентен растеж” – 193,9 млн. лв. (вкл. REACT-EU в размер на 72,6 млн. лева) и</w:t>
      </w:r>
    </w:p>
    <w:p w14:paraId="4EBF0451" w14:textId="77777777" w:rsidR="004E09D2" w:rsidRPr="00243C4D" w:rsidRDefault="004E09D2" w:rsidP="00256E34">
      <w:pPr>
        <w:pStyle w:val="BodyTextIndent"/>
        <w:numPr>
          <w:ilvl w:val="0"/>
          <w:numId w:val="12"/>
        </w:numPr>
        <w:tabs>
          <w:tab w:val="clear" w:pos="1101"/>
          <w:tab w:val="num" w:pos="786"/>
        </w:tabs>
        <w:spacing w:after="0"/>
        <w:ind w:left="0" w:firstLine="567"/>
        <w:jc w:val="both"/>
        <w:rPr>
          <w:bCs/>
        </w:rPr>
      </w:pPr>
      <w:r w:rsidRPr="00243C4D">
        <w:rPr>
          <w:bCs/>
        </w:rPr>
        <w:t>ОП „Околна среда 2014 – 2020 г.“ – 241,0 млн. лева.</w:t>
      </w:r>
    </w:p>
    <w:p w14:paraId="111568CD" w14:textId="77777777" w:rsidR="004E09D2" w:rsidRPr="00891710" w:rsidRDefault="004E09D2" w:rsidP="00256E34">
      <w:pPr>
        <w:pStyle w:val="BodyTextIndent"/>
        <w:spacing w:before="120"/>
        <w:ind w:left="0" w:firstLine="567"/>
        <w:jc w:val="both"/>
        <w:rPr>
          <w:bCs/>
          <w:color w:val="000000" w:themeColor="text1"/>
        </w:rPr>
      </w:pPr>
      <w:r w:rsidRPr="00891710">
        <w:rPr>
          <w:bCs/>
          <w:color w:val="000000" w:themeColor="text1"/>
        </w:rPr>
        <w:t>Предоставеното авансово финансиране по реда на ДДС 6/2011 г. към бюджетни организации за периода е на стойност 219</w:t>
      </w:r>
      <w:r>
        <w:rPr>
          <w:bCs/>
          <w:color w:val="000000" w:themeColor="text1"/>
        </w:rPr>
        <w:t>,</w:t>
      </w:r>
      <w:r w:rsidRPr="00891710">
        <w:rPr>
          <w:bCs/>
          <w:color w:val="000000" w:themeColor="text1"/>
        </w:rPr>
        <w:t>7 млн. лева, а възстановените средства – 187</w:t>
      </w:r>
      <w:r>
        <w:rPr>
          <w:bCs/>
          <w:color w:val="000000" w:themeColor="text1"/>
        </w:rPr>
        <w:t>,</w:t>
      </w:r>
      <w:r w:rsidRPr="00891710">
        <w:rPr>
          <w:bCs/>
          <w:color w:val="000000" w:themeColor="text1"/>
        </w:rPr>
        <w:t>6 млн. лева. В сумата на предоставеното авансово финансиране по реда на ДДС6/2011 г. е включена и предоставена възмездна финансова помощ (нето) в размер на (– 1,1 млн. лева) на ОП „Транспорт и транспортна инфраструктура”.</w:t>
      </w:r>
    </w:p>
    <w:p w14:paraId="7D623DFC" w14:textId="77777777" w:rsidR="004E09D2" w:rsidRPr="00891710" w:rsidRDefault="004E09D2" w:rsidP="00256E34">
      <w:pPr>
        <w:pStyle w:val="BodyTextIndent"/>
        <w:ind w:left="0" w:firstLine="567"/>
        <w:jc w:val="both"/>
        <w:rPr>
          <w:bCs/>
          <w:color w:val="000000" w:themeColor="text1"/>
        </w:rPr>
      </w:pPr>
      <w:r w:rsidRPr="00891710">
        <w:rPr>
          <w:bCs/>
          <w:color w:val="000000" w:themeColor="text1"/>
        </w:rPr>
        <w:t>Извършените разходи до края на третото тримесечие са 74</w:t>
      </w:r>
      <w:r>
        <w:rPr>
          <w:bCs/>
          <w:color w:val="000000" w:themeColor="text1"/>
        </w:rPr>
        <w:t>,</w:t>
      </w:r>
      <w:r w:rsidRPr="00891710">
        <w:rPr>
          <w:bCs/>
          <w:color w:val="000000" w:themeColor="text1"/>
        </w:rPr>
        <w:t>6</w:t>
      </w:r>
      <w:r>
        <w:rPr>
          <w:bCs/>
          <w:color w:val="000000" w:themeColor="text1"/>
        </w:rPr>
        <w:t xml:space="preserve"> </w:t>
      </w:r>
      <w:r w:rsidRPr="00891710">
        <w:rPr>
          <w:bCs/>
          <w:color w:val="000000" w:themeColor="text1"/>
        </w:rPr>
        <w:t>% от заложените разходи за годината.</w:t>
      </w:r>
    </w:p>
    <w:p w14:paraId="3CF0F19F" w14:textId="77777777" w:rsidR="004E09D2" w:rsidRPr="00891710" w:rsidRDefault="004E09D2" w:rsidP="00256E34">
      <w:pPr>
        <w:pStyle w:val="BodyTextIndent"/>
        <w:ind w:left="0" w:firstLine="567"/>
        <w:jc w:val="both"/>
        <w:rPr>
          <w:bCs/>
          <w:color w:val="000000" w:themeColor="text1"/>
          <w:highlight w:val="yellow"/>
        </w:rPr>
      </w:pPr>
      <w:r w:rsidRPr="00891710">
        <w:rPr>
          <w:bCs/>
          <w:color w:val="000000" w:themeColor="text1"/>
        </w:rPr>
        <w:t>Изплатените средства от оперативните програми за мерките за минимизиране на отрицателните последици от епидемичното разпространение на COVD-19 през отчетния период са в размер на 627</w:t>
      </w:r>
      <w:r>
        <w:rPr>
          <w:bCs/>
          <w:color w:val="000000" w:themeColor="text1"/>
        </w:rPr>
        <w:t>,</w:t>
      </w:r>
      <w:r w:rsidRPr="00891710">
        <w:rPr>
          <w:bCs/>
          <w:color w:val="000000" w:themeColor="text1"/>
        </w:rPr>
        <w:t>4 млн. лева.</w:t>
      </w:r>
    </w:p>
    <w:p w14:paraId="02722B05" w14:textId="77777777" w:rsidR="004E09D2" w:rsidRPr="00271ABE" w:rsidRDefault="004E09D2" w:rsidP="00256E34">
      <w:pPr>
        <w:pStyle w:val="BodyTextIndent"/>
        <w:spacing w:before="120"/>
        <w:ind w:left="0" w:firstLine="567"/>
        <w:jc w:val="both"/>
        <w:rPr>
          <w:b/>
          <w:bCs/>
          <w:color w:val="000000" w:themeColor="text1"/>
        </w:rPr>
      </w:pPr>
      <w:r w:rsidRPr="00271ABE">
        <w:rPr>
          <w:b/>
          <w:bCs/>
          <w:color w:val="000000" w:themeColor="text1"/>
        </w:rPr>
        <w:t>Програма ФАР и Преходен финансов инструмент</w:t>
      </w:r>
    </w:p>
    <w:p w14:paraId="70E91284" w14:textId="77777777" w:rsidR="004E09D2" w:rsidRDefault="004E09D2" w:rsidP="00256E34">
      <w:pPr>
        <w:pStyle w:val="BodyTextIndent"/>
        <w:ind w:left="0" w:firstLine="567"/>
        <w:jc w:val="both"/>
        <w:rPr>
          <w:bCs/>
          <w:color w:val="000000" w:themeColor="text1"/>
        </w:rPr>
      </w:pPr>
      <w:r w:rsidRPr="00271ABE">
        <w:rPr>
          <w:bCs/>
          <w:color w:val="000000" w:themeColor="text1"/>
        </w:rPr>
        <w:t>През отчетния период са възстановени суми от бенефициенти по сметките на Национален фонд на стойност 0</w:t>
      </w:r>
      <w:r>
        <w:rPr>
          <w:bCs/>
          <w:color w:val="000000" w:themeColor="text1"/>
        </w:rPr>
        <w:t>,</w:t>
      </w:r>
      <w:r w:rsidRPr="00271ABE">
        <w:rPr>
          <w:bCs/>
          <w:color w:val="000000" w:themeColor="text1"/>
        </w:rPr>
        <w:t>04 млн. лв. През отчетния период няма възстановени суми от бенефициенти по сметките на Национален фонд.</w:t>
      </w:r>
    </w:p>
    <w:p w14:paraId="38783888" w14:textId="77777777" w:rsidR="004E09D2" w:rsidRPr="00FF5B12" w:rsidRDefault="004E09D2" w:rsidP="00256E34">
      <w:pPr>
        <w:pStyle w:val="BodyTextIndent"/>
        <w:spacing w:before="120"/>
        <w:ind w:left="0" w:firstLine="567"/>
        <w:jc w:val="both"/>
        <w:rPr>
          <w:b/>
          <w:bCs/>
        </w:rPr>
      </w:pPr>
      <w:r w:rsidRPr="00FF5B12">
        <w:rPr>
          <w:b/>
          <w:bCs/>
        </w:rPr>
        <w:t>Програма ИСПА/Кохезионен фонд (Регламент 1164/94)</w:t>
      </w:r>
    </w:p>
    <w:p w14:paraId="771D9D6F" w14:textId="77777777" w:rsidR="004E09D2" w:rsidRPr="00271ABE" w:rsidRDefault="004E09D2" w:rsidP="00256E34">
      <w:pPr>
        <w:pStyle w:val="BodyTextIndent"/>
        <w:ind w:left="0" w:firstLine="567"/>
        <w:jc w:val="both"/>
        <w:rPr>
          <w:bCs/>
          <w:color w:val="000000" w:themeColor="text1"/>
        </w:rPr>
      </w:pPr>
      <w:r w:rsidRPr="00FF5B12">
        <w:rPr>
          <w:bCs/>
        </w:rPr>
        <w:t xml:space="preserve">За периода </w:t>
      </w:r>
      <w:r>
        <w:rPr>
          <w:bCs/>
        </w:rPr>
        <w:t>са възстановени</w:t>
      </w:r>
      <w:r w:rsidRPr="00FF5B12">
        <w:rPr>
          <w:bCs/>
        </w:rPr>
        <w:t xml:space="preserve"> средства </w:t>
      </w:r>
      <w:r>
        <w:rPr>
          <w:bCs/>
        </w:rPr>
        <w:t>към</w:t>
      </w:r>
      <w:r w:rsidRPr="00FF5B12">
        <w:rPr>
          <w:bCs/>
        </w:rPr>
        <w:t xml:space="preserve"> ЕК на стойност </w:t>
      </w:r>
      <w:r>
        <w:rPr>
          <w:bCs/>
        </w:rPr>
        <w:t>2,</w:t>
      </w:r>
      <w:r w:rsidRPr="00FF5B12">
        <w:rPr>
          <w:bCs/>
        </w:rPr>
        <w:t>6 млн. л</w:t>
      </w:r>
      <w:r>
        <w:rPr>
          <w:bCs/>
        </w:rPr>
        <w:t>е</w:t>
      </w:r>
      <w:r w:rsidRPr="00FF5B12">
        <w:rPr>
          <w:bCs/>
        </w:rPr>
        <w:t>в</w:t>
      </w:r>
      <w:r>
        <w:rPr>
          <w:bCs/>
        </w:rPr>
        <w:t>а</w:t>
      </w:r>
      <w:r w:rsidRPr="00FF5B12">
        <w:rPr>
          <w:bCs/>
        </w:rPr>
        <w:t>.</w:t>
      </w:r>
    </w:p>
    <w:p w14:paraId="462D97F8" w14:textId="77777777" w:rsidR="004E09D2" w:rsidRPr="00271ABE" w:rsidRDefault="004E09D2" w:rsidP="00256E34">
      <w:pPr>
        <w:pStyle w:val="BodyTextIndent"/>
        <w:spacing w:before="120"/>
        <w:ind w:left="0" w:firstLine="567"/>
        <w:jc w:val="both"/>
        <w:rPr>
          <w:b/>
          <w:bCs/>
          <w:color w:val="000000" w:themeColor="text1"/>
        </w:rPr>
      </w:pPr>
      <w:r w:rsidRPr="00271ABE">
        <w:rPr>
          <w:b/>
          <w:bCs/>
          <w:color w:val="000000" w:themeColor="text1"/>
        </w:rPr>
        <w:t xml:space="preserve">Програма САПАРД </w:t>
      </w:r>
    </w:p>
    <w:p w14:paraId="5E2BED9E" w14:textId="77777777" w:rsidR="004E09D2" w:rsidRPr="00271ABE" w:rsidRDefault="004E09D2" w:rsidP="00256E34">
      <w:pPr>
        <w:pStyle w:val="BodyTextIndent"/>
        <w:ind w:left="0" w:firstLine="567"/>
        <w:jc w:val="both"/>
        <w:rPr>
          <w:bCs/>
          <w:color w:val="000000" w:themeColor="text1"/>
        </w:rPr>
      </w:pPr>
      <w:r w:rsidRPr="00271ABE">
        <w:rPr>
          <w:bCs/>
          <w:color w:val="000000" w:themeColor="text1"/>
        </w:rPr>
        <w:t>През периода са извършени възстановявания от бенефициенти по дългове на стойност 2</w:t>
      </w:r>
      <w:r>
        <w:rPr>
          <w:bCs/>
          <w:color w:val="000000" w:themeColor="text1"/>
        </w:rPr>
        <w:t>,</w:t>
      </w:r>
      <w:r w:rsidRPr="00271ABE">
        <w:rPr>
          <w:bCs/>
          <w:color w:val="000000" w:themeColor="text1"/>
        </w:rPr>
        <w:t>5 млн. л</w:t>
      </w:r>
      <w:r>
        <w:rPr>
          <w:bCs/>
          <w:color w:val="000000" w:themeColor="text1"/>
        </w:rPr>
        <w:t>е</w:t>
      </w:r>
      <w:r w:rsidRPr="00271ABE">
        <w:rPr>
          <w:bCs/>
          <w:color w:val="000000" w:themeColor="text1"/>
        </w:rPr>
        <w:t>в</w:t>
      </w:r>
      <w:r>
        <w:rPr>
          <w:bCs/>
          <w:color w:val="000000" w:themeColor="text1"/>
        </w:rPr>
        <w:t>а</w:t>
      </w:r>
      <w:r w:rsidRPr="00271ABE">
        <w:rPr>
          <w:bCs/>
          <w:color w:val="000000" w:themeColor="text1"/>
        </w:rPr>
        <w:t>.</w:t>
      </w:r>
    </w:p>
    <w:p w14:paraId="5647AF26" w14:textId="77777777" w:rsidR="004E09D2" w:rsidRPr="00891710" w:rsidRDefault="004E09D2" w:rsidP="00256E34">
      <w:pPr>
        <w:pStyle w:val="BodyTextIndent"/>
        <w:spacing w:before="120"/>
        <w:ind w:left="0" w:firstLine="567"/>
        <w:jc w:val="both"/>
        <w:rPr>
          <w:b/>
          <w:bCs/>
          <w:color w:val="000000" w:themeColor="text1"/>
        </w:rPr>
      </w:pPr>
      <w:r w:rsidRPr="00891710">
        <w:rPr>
          <w:b/>
          <w:bCs/>
          <w:color w:val="000000" w:themeColor="text1"/>
        </w:rPr>
        <w:t>Двустранни програми за трансгранично сътрудничество по външните граници на Европейския съюз 2007 – 2013 г. и 2014 – 2020 г.</w:t>
      </w:r>
    </w:p>
    <w:p w14:paraId="17171C19" w14:textId="77777777" w:rsidR="004E09D2" w:rsidRPr="00891710" w:rsidRDefault="004E09D2" w:rsidP="00256E34">
      <w:pPr>
        <w:pStyle w:val="BodyTextIndent"/>
        <w:ind w:left="0" w:firstLine="567"/>
        <w:jc w:val="both"/>
        <w:rPr>
          <w:bCs/>
          <w:color w:val="000000" w:themeColor="text1"/>
        </w:rPr>
      </w:pPr>
      <w:r w:rsidRPr="00891710">
        <w:rPr>
          <w:bCs/>
          <w:color w:val="000000" w:themeColor="text1"/>
        </w:rPr>
        <w:t>Получените средства към 30.09.2021 г. са на стойност 13</w:t>
      </w:r>
      <w:r>
        <w:rPr>
          <w:bCs/>
          <w:color w:val="000000" w:themeColor="text1"/>
        </w:rPr>
        <w:t>,</w:t>
      </w:r>
      <w:r w:rsidRPr="00891710">
        <w:rPr>
          <w:bCs/>
          <w:color w:val="000000" w:themeColor="text1"/>
        </w:rPr>
        <w:t xml:space="preserve">4 млн. лв., представляващи възстановени разходи от ЕК и постъпили средства за съфинансиране от страните-партньори, както </w:t>
      </w:r>
      <w:r>
        <w:rPr>
          <w:bCs/>
          <w:color w:val="000000" w:themeColor="text1"/>
        </w:rPr>
        <w:t xml:space="preserve">и </w:t>
      </w:r>
      <w:r w:rsidRPr="00891710">
        <w:rPr>
          <w:bCs/>
          <w:color w:val="000000" w:themeColor="text1"/>
        </w:rPr>
        <w:t>разпределени към администратори в чужбина за сметка на средствата, получени от страната-партньор.</w:t>
      </w:r>
    </w:p>
    <w:p w14:paraId="6C9DB602" w14:textId="77777777" w:rsidR="004E09D2" w:rsidRPr="00891710" w:rsidRDefault="004E09D2" w:rsidP="00256E34">
      <w:pPr>
        <w:pStyle w:val="BodyTextIndent"/>
        <w:ind w:left="0" w:firstLine="567"/>
        <w:jc w:val="both"/>
        <w:rPr>
          <w:b/>
          <w:bCs/>
          <w:color w:val="000000" w:themeColor="text1"/>
        </w:rPr>
      </w:pPr>
      <w:r w:rsidRPr="00891710">
        <w:rPr>
          <w:bCs/>
          <w:color w:val="000000" w:themeColor="text1"/>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16</w:t>
      </w:r>
      <w:r>
        <w:rPr>
          <w:bCs/>
          <w:color w:val="000000" w:themeColor="text1"/>
        </w:rPr>
        <w:t>,</w:t>
      </w:r>
      <w:r w:rsidRPr="00891710">
        <w:rPr>
          <w:bCs/>
          <w:color w:val="000000" w:themeColor="text1"/>
        </w:rPr>
        <w:t xml:space="preserve">7 млн. лв., включително за плащания към бенефициенти в страната, извършени за сметка на полученото финансиране от страната-партньор по тези програми. </w:t>
      </w:r>
    </w:p>
    <w:p w14:paraId="795C5D24" w14:textId="77777777" w:rsidR="004E09D2" w:rsidRPr="00891710" w:rsidRDefault="004E09D2" w:rsidP="00256E34">
      <w:pPr>
        <w:pStyle w:val="BodyTextIndent"/>
        <w:spacing w:before="120"/>
        <w:ind w:left="0" w:firstLine="567"/>
        <w:jc w:val="both"/>
        <w:rPr>
          <w:b/>
          <w:bCs/>
          <w:color w:val="000000" w:themeColor="text1"/>
        </w:rPr>
      </w:pPr>
      <w:r w:rsidRPr="00891710">
        <w:rPr>
          <w:b/>
          <w:bCs/>
          <w:color w:val="000000" w:themeColor="text1"/>
        </w:rPr>
        <w:t>Финансов механизъм на Европейското икономическо пространство и Норвежки финансов механизъм за периода 2009-2014 г. и 2014-2021 г.</w:t>
      </w:r>
    </w:p>
    <w:p w14:paraId="676E1600" w14:textId="77777777" w:rsidR="004E09D2" w:rsidRPr="00891710" w:rsidRDefault="004E09D2" w:rsidP="00256E34">
      <w:pPr>
        <w:pStyle w:val="BodyTextIndent"/>
        <w:ind w:left="0" w:firstLine="567"/>
        <w:jc w:val="both"/>
        <w:rPr>
          <w:bCs/>
          <w:color w:val="000000" w:themeColor="text1"/>
        </w:rPr>
      </w:pPr>
      <w:r w:rsidRPr="00891710">
        <w:rPr>
          <w:bCs/>
          <w:color w:val="000000" w:themeColor="text1"/>
        </w:rPr>
        <w:t>Получените средства към 30.09.2021 г. са на стойност 4</w:t>
      </w:r>
      <w:r>
        <w:rPr>
          <w:bCs/>
          <w:color w:val="000000" w:themeColor="text1"/>
        </w:rPr>
        <w:t>,</w:t>
      </w:r>
      <w:r w:rsidRPr="00891710">
        <w:rPr>
          <w:bCs/>
          <w:color w:val="000000" w:themeColor="text1"/>
        </w:rPr>
        <w:t>7 млн. л</w:t>
      </w:r>
      <w:r>
        <w:rPr>
          <w:bCs/>
          <w:color w:val="000000" w:themeColor="text1"/>
        </w:rPr>
        <w:t>е</w:t>
      </w:r>
      <w:r w:rsidRPr="00891710">
        <w:rPr>
          <w:bCs/>
          <w:color w:val="000000" w:themeColor="text1"/>
        </w:rPr>
        <w:t>в</w:t>
      </w:r>
      <w:r>
        <w:rPr>
          <w:bCs/>
          <w:color w:val="000000" w:themeColor="text1"/>
        </w:rPr>
        <w:t>а</w:t>
      </w:r>
      <w:r w:rsidRPr="00891710">
        <w:rPr>
          <w:bCs/>
          <w:color w:val="000000" w:themeColor="text1"/>
        </w:rPr>
        <w:t>.</w:t>
      </w:r>
    </w:p>
    <w:p w14:paraId="054EFBCF" w14:textId="447321C6" w:rsidR="004E09D2" w:rsidRDefault="004E09D2" w:rsidP="00256E34">
      <w:pPr>
        <w:pStyle w:val="BodyTextIndent"/>
        <w:ind w:left="0" w:firstLine="567"/>
        <w:jc w:val="both"/>
        <w:rPr>
          <w:bCs/>
          <w:color w:val="000000" w:themeColor="text1"/>
        </w:rPr>
      </w:pPr>
      <w:r w:rsidRPr="00891710">
        <w:rPr>
          <w:bCs/>
          <w:color w:val="000000" w:themeColor="text1"/>
        </w:rPr>
        <w:t>Сумата на разходите и трансферите (нето) към 30.09.2021 г. с натрупване са на обща стойност 15</w:t>
      </w:r>
      <w:r>
        <w:rPr>
          <w:bCs/>
          <w:color w:val="000000" w:themeColor="text1"/>
        </w:rPr>
        <w:t>,</w:t>
      </w:r>
      <w:r w:rsidRPr="00891710">
        <w:rPr>
          <w:bCs/>
          <w:color w:val="000000" w:themeColor="text1"/>
        </w:rPr>
        <w:t>7 млн. лева.</w:t>
      </w:r>
    </w:p>
    <w:p w14:paraId="0FE38F6F" w14:textId="77777777" w:rsidR="00890704" w:rsidRPr="00891710" w:rsidRDefault="00890704" w:rsidP="00256E34">
      <w:pPr>
        <w:pStyle w:val="BodyTextIndent"/>
        <w:ind w:left="0" w:firstLine="567"/>
        <w:jc w:val="both"/>
        <w:rPr>
          <w:bCs/>
          <w:color w:val="000000" w:themeColor="text1"/>
        </w:rPr>
      </w:pPr>
    </w:p>
    <w:p w14:paraId="57956227" w14:textId="77777777" w:rsidR="00251963" w:rsidRPr="00686800" w:rsidRDefault="00251963" w:rsidP="006B4AFB">
      <w:pPr>
        <w:pStyle w:val="Heading1"/>
        <w:numPr>
          <w:ilvl w:val="0"/>
          <w:numId w:val="10"/>
        </w:numPr>
        <w:spacing w:before="360"/>
        <w:ind w:left="533" w:right="-108" w:hanging="391"/>
        <w:jc w:val="both"/>
        <w:rPr>
          <w:sz w:val="24"/>
        </w:rPr>
      </w:pPr>
      <w:r w:rsidRPr="00686800">
        <w:rPr>
          <w:sz w:val="24"/>
        </w:rPr>
        <w:lastRenderedPageBreak/>
        <w:t>Бюджети на социално и здравно-осигурителните фондове и бюджети по чл. 13, ал. 2 и ал. 3 на Закона за публичните финанси</w:t>
      </w:r>
    </w:p>
    <w:p w14:paraId="18E3517B" w14:textId="77777777" w:rsidR="007C1025" w:rsidRPr="00686800" w:rsidRDefault="007C1025" w:rsidP="00890704">
      <w:pPr>
        <w:pStyle w:val="Heading1"/>
        <w:numPr>
          <w:ilvl w:val="1"/>
          <w:numId w:val="10"/>
        </w:numPr>
        <w:spacing w:before="240"/>
        <w:ind w:left="788" w:right="-108" w:hanging="431"/>
        <w:jc w:val="both"/>
        <w:rPr>
          <w:sz w:val="24"/>
          <w:lang w:val="en-US"/>
        </w:rPr>
      </w:pPr>
      <w:r w:rsidRPr="00686800">
        <w:rPr>
          <w:sz w:val="24"/>
        </w:rPr>
        <w:t>Социално и здравно-осигурителни фондове</w:t>
      </w:r>
    </w:p>
    <w:p w14:paraId="47DA354F" w14:textId="77777777" w:rsidR="00454BF6" w:rsidRPr="00454BF6" w:rsidRDefault="00454BF6" w:rsidP="00454BF6">
      <w:pPr>
        <w:numPr>
          <w:ilvl w:val="1"/>
          <w:numId w:val="6"/>
        </w:numPr>
        <w:spacing w:before="120" w:line="276" w:lineRule="auto"/>
        <w:ind w:left="992" w:hanging="357"/>
        <w:jc w:val="both"/>
        <w:rPr>
          <w:b/>
          <w:bCs/>
        </w:rPr>
      </w:pPr>
      <w:r w:rsidRPr="00454BF6">
        <w:rPr>
          <w:b/>
        </w:rPr>
        <w:t>Държавно обществено осигуряване</w:t>
      </w:r>
    </w:p>
    <w:p w14:paraId="193BF882" w14:textId="77777777" w:rsidR="00454BF6" w:rsidRPr="0063578A" w:rsidRDefault="00454BF6" w:rsidP="00454BF6">
      <w:pPr>
        <w:ind w:firstLine="567"/>
        <w:jc w:val="both"/>
        <w:rPr>
          <w:color w:val="548DD4"/>
        </w:rPr>
      </w:pPr>
      <w:r w:rsidRPr="0063578A">
        <w:t xml:space="preserve">Общата сума на </w:t>
      </w:r>
      <w:r w:rsidRPr="0063578A">
        <w:rPr>
          <w:b/>
        </w:rPr>
        <w:t>приходите, помощите и даренията</w:t>
      </w:r>
      <w:r w:rsidRPr="0063578A">
        <w:t xml:space="preserve"> по бюджета на Държавното обществено осигуряване (ДОО) към 30.0</w:t>
      </w:r>
      <w:r w:rsidRPr="00FC69BD">
        <w:t>9</w:t>
      </w:r>
      <w:r w:rsidRPr="0063578A">
        <w:t xml:space="preserve">.2021 г. възлиза на </w:t>
      </w:r>
      <w:r w:rsidRPr="00FC69BD">
        <w:t>6</w:t>
      </w:r>
      <w:r w:rsidRPr="0063578A">
        <w:t> </w:t>
      </w:r>
      <w:r w:rsidRPr="00FC69BD">
        <w:t>624</w:t>
      </w:r>
      <w:r w:rsidRPr="0063578A">
        <w:t>,</w:t>
      </w:r>
      <w:r w:rsidRPr="00FC69BD">
        <w:t>9</w:t>
      </w:r>
      <w:r w:rsidRPr="0063578A">
        <w:t xml:space="preserve"> млн. лв. Най-голям е делът на приходите от осигурителни вноски (9</w:t>
      </w:r>
      <w:r w:rsidRPr="00FC69BD">
        <w:t>6</w:t>
      </w:r>
      <w:r w:rsidRPr="0063578A">
        <w:t>,</w:t>
      </w:r>
      <w:r w:rsidRPr="00FC69BD">
        <w:t>6</w:t>
      </w:r>
      <w:r w:rsidRPr="0063578A">
        <w:t xml:space="preserve"> % от общите приходи), които за отчетния период са в размер на </w:t>
      </w:r>
      <w:r w:rsidRPr="00FC69BD">
        <w:t>6</w:t>
      </w:r>
      <w:r w:rsidRPr="0063578A">
        <w:t> </w:t>
      </w:r>
      <w:r w:rsidRPr="00FC69BD">
        <w:t>400</w:t>
      </w:r>
      <w:r w:rsidRPr="0063578A">
        <w:t>,</w:t>
      </w:r>
      <w:r w:rsidRPr="00FC69BD">
        <w:t>1</w:t>
      </w:r>
      <w:r w:rsidRPr="0063578A">
        <w:t xml:space="preserve"> млн. лв. </w:t>
      </w:r>
    </w:p>
    <w:p w14:paraId="2CB960C7" w14:textId="68516BC2" w:rsidR="00454BF6" w:rsidRDefault="00454BF6" w:rsidP="00454BF6">
      <w:pPr>
        <w:ind w:firstLine="567"/>
        <w:jc w:val="both"/>
        <w:rPr>
          <w:bCs/>
        </w:rPr>
      </w:pPr>
      <w:r w:rsidRPr="0063578A">
        <w:t xml:space="preserve">Съпоставени с </w:t>
      </w:r>
      <w:r w:rsidR="008C3751">
        <w:t>деветмесечието</w:t>
      </w:r>
      <w:r w:rsidRPr="0063578A">
        <w:t xml:space="preserve"> на 2020 г., приходите по бюджета на ДОО нарастват с</w:t>
      </w:r>
      <w:r w:rsidRPr="00904A8A">
        <w:t>ъс</w:t>
      </w:r>
      <w:r w:rsidRPr="0063578A">
        <w:t xml:space="preserve"> </w:t>
      </w:r>
      <w:r w:rsidRPr="00904A8A">
        <w:t>707</w:t>
      </w:r>
      <w:r w:rsidRPr="0063578A">
        <w:t>,</w:t>
      </w:r>
      <w:r w:rsidRPr="00904A8A">
        <w:t>2</w:t>
      </w:r>
      <w:r w:rsidRPr="0063578A">
        <w:t xml:space="preserve"> млн. лв. (1</w:t>
      </w:r>
      <w:r w:rsidRPr="00904A8A">
        <w:t>2</w:t>
      </w:r>
      <w:r w:rsidRPr="0063578A">
        <w:t>,</w:t>
      </w:r>
      <w:r w:rsidRPr="00904A8A">
        <w:t>0</w:t>
      </w:r>
      <w:r w:rsidRPr="0063578A">
        <w:t xml:space="preserve"> %). </w:t>
      </w:r>
      <w:r w:rsidRPr="0063578A">
        <w:rPr>
          <w:bCs/>
        </w:rPr>
        <w:t xml:space="preserve">Върху състоянието на приходите през 2021 г. влияние оказват следните основни фактори: </w:t>
      </w:r>
    </w:p>
    <w:p w14:paraId="5EC28C0E" w14:textId="77777777" w:rsidR="00454BF6" w:rsidRDefault="00454BF6" w:rsidP="00454BF6">
      <w:pPr>
        <w:ind w:firstLine="567"/>
        <w:jc w:val="both"/>
        <w:rPr>
          <w:bCs/>
        </w:rPr>
      </w:pPr>
      <w:r>
        <w:rPr>
          <w:bCs/>
        </w:rPr>
        <w:t xml:space="preserve">- за частния и за обществения сектор - </w:t>
      </w:r>
      <w:r w:rsidRPr="0063578A">
        <w:rPr>
          <w:bCs/>
        </w:rPr>
        <w:t xml:space="preserve">увеличаване на минималния осигурителен доход за самоосигуряващите се лица от 610 лв. на 650 лв.; запазване равнищата на минималните осигурителни доходи по основните икономически дейности и квалификационни групи професии от 2020 г., с изключение на позициите, които са под новия размер на минималната работна заплата за 2021 г. (650 лв.), които бяха приравнени на нея; </w:t>
      </w:r>
    </w:p>
    <w:p w14:paraId="6883E627" w14:textId="2655FF1B" w:rsidR="00454BF6" w:rsidRDefault="00454BF6" w:rsidP="00454BF6">
      <w:pPr>
        <w:ind w:firstLine="567"/>
        <w:jc w:val="both"/>
        <w:rPr>
          <w:bCs/>
        </w:rPr>
      </w:pPr>
      <w:r>
        <w:rPr>
          <w:bCs/>
        </w:rPr>
        <w:t xml:space="preserve">- за обществения сектор - </w:t>
      </w:r>
      <w:r w:rsidRPr="0063578A">
        <w:rPr>
          <w:bCs/>
        </w:rPr>
        <w:t>увеличение на възнагражденията на педагогическите специалисти и непедагогическия персонал; увеличение с 30% (от 01.08.2020 г.) на разходите за персонал на органи и администрации, които са натоварени с дейности по овладяване на пандемията и последствията от COVID 19, в. т.ч. за служители на първа линия, които бяха включени в социално-икономическия пакет на правителството; увеличение с 15 % на разходите за персонал на Министерството на вътрешните работи за 2021 г.; увеличение с 10</w:t>
      </w:r>
      <w:r w:rsidR="00DE53F2">
        <w:rPr>
          <w:bCs/>
        </w:rPr>
        <w:t> </w:t>
      </w:r>
      <w:r w:rsidRPr="0063578A">
        <w:rPr>
          <w:bCs/>
        </w:rPr>
        <w:t xml:space="preserve">% на средствата за заплати и възнаграждения на персонала, нает по трудови и служебни правоотношения, включително и на средствата за осигурителни вноски, за всички структури, които не попадат в обхвата на пакета от социално-икономически мерки на правителството; увеличение на средствата за заплати и възнаграждения на персонала за изборните длъжности и за заетите в системата на съдебната власт, за които законодателно е регламентиран механизъм за формиране на възнагражденията. </w:t>
      </w:r>
    </w:p>
    <w:p w14:paraId="272143AE" w14:textId="77777777" w:rsidR="00454BF6" w:rsidRPr="00FC69BD" w:rsidRDefault="00454BF6" w:rsidP="00454BF6">
      <w:pPr>
        <w:ind w:firstLine="567"/>
        <w:jc w:val="both"/>
        <w:rPr>
          <w:rFonts w:eastAsia="Calibri"/>
        </w:rPr>
      </w:pPr>
      <w:r>
        <w:rPr>
          <w:bCs/>
        </w:rPr>
        <w:t xml:space="preserve">- за частния сектор – нарастване на заплатите в частния сектор и задържащото се </w:t>
      </w:r>
      <w:r w:rsidRPr="007008FF">
        <w:rPr>
          <w:bCs/>
        </w:rPr>
        <w:t>ниско ниво на безработица.</w:t>
      </w:r>
    </w:p>
    <w:p w14:paraId="422E3810" w14:textId="77777777" w:rsidR="00454BF6" w:rsidRPr="0063578A" w:rsidRDefault="00454BF6" w:rsidP="00454BF6">
      <w:pPr>
        <w:ind w:firstLine="567"/>
        <w:jc w:val="both"/>
        <w:rPr>
          <w:bCs/>
        </w:rPr>
      </w:pPr>
      <w:r w:rsidRPr="0063578A">
        <w:rPr>
          <w:bCs/>
        </w:rPr>
        <w:t xml:space="preserve">Отчетените неданъчни приходи към края на </w:t>
      </w:r>
      <w:r w:rsidRPr="007008FF">
        <w:rPr>
          <w:bCs/>
        </w:rPr>
        <w:t>септември</w:t>
      </w:r>
      <w:r w:rsidRPr="0063578A">
        <w:rPr>
          <w:bCs/>
        </w:rPr>
        <w:t xml:space="preserve"> 2021 г. по бюджета на ДОО възлизат на </w:t>
      </w:r>
      <w:r w:rsidRPr="007008FF">
        <w:rPr>
          <w:bCs/>
        </w:rPr>
        <w:t>224</w:t>
      </w:r>
      <w:r w:rsidRPr="0063578A">
        <w:rPr>
          <w:bCs/>
        </w:rPr>
        <w:t>,</w:t>
      </w:r>
      <w:r w:rsidRPr="007008FF">
        <w:rPr>
          <w:bCs/>
        </w:rPr>
        <w:t>9</w:t>
      </w:r>
      <w:r w:rsidRPr="0063578A">
        <w:rPr>
          <w:bCs/>
        </w:rPr>
        <w:t xml:space="preserve"> млн. лв., в т.ч. </w:t>
      </w:r>
      <w:r w:rsidRPr="007008FF">
        <w:rPr>
          <w:bCs/>
        </w:rPr>
        <w:t>205</w:t>
      </w:r>
      <w:r w:rsidRPr="0063578A">
        <w:rPr>
          <w:bCs/>
        </w:rPr>
        <w:t>,</w:t>
      </w:r>
      <w:r w:rsidRPr="007008FF">
        <w:rPr>
          <w:bCs/>
        </w:rPr>
        <w:t>5</w:t>
      </w:r>
      <w:r w:rsidRPr="0063578A">
        <w:rPr>
          <w:bCs/>
        </w:rPr>
        <w:t xml:space="preserve"> млн. лв. постъпили средства по чл. 4б, чл. 4в и чл. 69б от Кодекса за социално осигуряване (КСО)</w:t>
      </w:r>
      <w:r w:rsidRPr="0063578A">
        <w:t>.</w:t>
      </w:r>
      <w:r w:rsidRPr="0063578A">
        <w:rPr>
          <w:bCs/>
        </w:rPr>
        <w:t xml:space="preserve"> </w:t>
      </w:r>
    </w:p>
    <w:p w14:paraId="02298D17" w14:textId="11A3B80D" w:rsidR="00454BF6" w:rsidRPr="0063578A" w:rsidRDefault="00454BF6" w:rsidP="00454BF6">
      <w:pPr>
        <w:tabs>
          <w:tab w:val="num" w:pos="1499"/>
          <w:tab w:val="num" w:pos="2148"/>
        </w:tabs>
        <w:spacing w:after="120"/>
        <w:ind w:firstLine="567"/>
        <w:jc w:val="both"/>
        <w:rPr>
          <w:bCs/>
        </w:rPr>
      </w:pPr>
      <w:r w:rsidRPr="0063578A">
        <w:rPr>
          <w:bCs/>
        </w:rPr>
        <w:t xml:space="preserve">Размерът на извършените </w:t>
      </w:r>
      <w:r w:rsidRPr="0063578A">
        <w:rPr>
          <w:b/>
          <w:bCs/>
        </w:rPr>
        <w:t xml:space="preserve">разходи </w:t>
      </w:r>
      <w:r w:rsidRPr="0063578A">
        <w:rPr>
          <w:bCs/>
        </w:rPr>
        <w:t xml:space="preserve">за </w:t>
      </w:r>
      <w:r w:rsidR="006F4B24">
        <w:t>деветмесечието</w:t>
      </w:r>
      <w:r w:rsidR="006F4B24" w:rsidRPr="0063578A">
        <w:t xml:space="preserve"> </w:t>
      </w:r>
      <w:r w:rsidRPr="0063578A">
        <w:rPr>
          <w:bCs/>
        </w:rPr>
        <w:t xml:space="preserve">на 2021 г. по бюджета на ДОО е </w:t>
      </w:r>
      <w:r w:rsidRPr="00E77135">
        <w:rPr>
          <w:bCs/>
        </w:rPr>
        <w:t>11</w:t>
      </w:r>
      <w:r w:rsidRPr="0063578A">
        <w:rPr>
          <w:bCs/>
        </w:rPr>
        <w:t> 8</w:t>
      </w:r>
      <w:r w:rsidRPr="00E77135">
        <w:rPr>
          <w:bCs/>
        </w:rPr>
        <w:t>12</w:t>
      </w:r>
      <w:r w:rsidRPr="0063578A">
        <w:rPr>
          <w:bCs/>
        </w:rPr>
        <w:t>,</w:t>
      </w:r>
      <w:r w:rsidRPr="00E77135">
        <w:rPr>
          <w:bCs/>
        </w:rPr>
        <w:t>1</w:t>
      </w:r>
      <w:r w:rsidRPr="0063578A">
        <w:rPr>
          <w:bCs/>
        </w:rPr>
        <w:t xml:space="preserve"> млн. лв. Спрямо същия период на миналата година, общо разходите по бюджета на ДОО са с 1 </w:t>
      </w:r>
      <w:r w:rsidRPr="00E77135">
        <w:rPr>
          <w:bCs/>
        </w:rPr>
        <w:t>896</w:t>
      </w:r>
      <w:r w:rsidRPr="0063578A">
        <w:rPr>
          <w:bCs/>
        </w:rPr>
        <w:t>,</w:t>
      </w:r>
      <w:r w:rsidRPr="00E77135">
        <w:rPr>
          <w:bCs/>
        </w:rPr>
        <w:t>4</w:t>
      </w:r>
      <w:r w:rsidRPr="0063578A">
        <w:rPr>
          <w:bCs/>
        </w:rPr>
        <w:t xml:space="preserve"> млн. лв. (</w:t>
      </w:r>
      <w:r w:rsidRPr="00E77135">
        <w:rPr>
          <w:bCs/>
        </w:rPr>
        <w:t>19</w:t>
      </w:r>
      <w:r w:rsidRPr="0063578A">
        <w:rPr>
          <w:bCs/>
        </w:rPr>
        <w:t>,</w:t>
      </w:r>
      <w:r w:rsidRPr="00E77135">
        <w:rPr>
          <w:bCs/>
        </w:rPr>
        <w:t>1</w:t>
      </w:r>
      <w:r w:rsidRPr="0063578A">
        <w:rPr>
          <w:bCs/>
        </w:rPr>
        <w:t xml:space="preserve"> %) повече. От структурна гледна точка най-голям относителен дял в общите разходи заемат разходите за пенсии, обезщетения и помощи, изплащани на основание КСО, както и разходите по мярката „60/40“  – общо </w:t>
      </w:r>
      <w:r w:rsidRPr="00E77135">
        <w:rPr>
          <w:bCs/>
        </w:rPr>
        <w:t>11</w:t>
      </w:r>
      <w:r w:rsidRPr="0063578A">
        <w:rPr>
          <w:bCs/>
        </w:rPr>
        <w:t> 7</w:t>
      </w:r>
      <w:r w:rsidRPr="00E77135">
        <w:rPr>
          <w:bCs/>
        </w:rPr>
        <w:t>07</w:t>
      </w:r>
      <w:r w:rsidRPr="0063578A">
        <w:rPr>
          <w:bCs/>
        </w:rPr>
        <w:t>,</w:t>
      </w:r>
      <w:r w:rsidRPr="00E77135">
        <w:rPr>
          <w:bCs/>
        </w:rPr>
        <w:t>3</w:t>
      </w:r>
      <w:r w:rsidRPr="0063578A">
        <w:rPr>
          <w:bCs/>
        </w:rPr>
        <w:t xml:space="preserve"> млн. лв. или 99,1 % от общия размер на разходите за отчетния период. </w:t>
      </w:r>
    </w:p>
    <w:p w14:paraId="0F166594" w14:textId="040EBFB0" w:rsidR="00454BF6" w:rsidRPr="0063578A" w:rsidRDefault="00454BF6" w:rsidP="00454BF6">
      <w:pPr>
        <w:tabs>
          <w:tab w:val="num" w:pos="1499"/>
          <w:tab w:val="num" w:pos="2148"/>
        </w:tabs>
        <w:spacing w:after="120"/>
        <w:ind w:firstLine="567"/>
        <w:jc w:val="both"/>
        <w:rPr>
          <w:bCs/>
          <w:color w:val="548DD4"/>
        </w:rPr>
      </w:pPr>
      <w:r w:rsidRPr="0063578A">
        <w:rPr>
          <w:bCs/>
        </w:rPr>
        <w:t xml:space="preserve">Отчетените разходи за </w:t>
      </w:r>
      <w:r w:rsidRPr="0063578A">
        <w:rPr>
          <w:b/>
          <w:bCs/>
        </w:rPr>
        <w:t>пенсии</w:t>
      </w:r>
      <w:r w:rsidRPr="0063578A">
        <w:rPr>
          <w:bCs/>
        </w:rPr>
        <w:t xml:space="preserve"> по бюджета на ДОО към 30.0</w:t>
      </w:r>
      <w:r w:rsidRPr="00E77135">
        <w:rPr>
          <w:bCs/>
        </w:rPr>
        <w:t>9</w:t>
      </w:r>
      <w:r w:rsidRPr="0063578A">
        <w:rPr>
          <w:bCs/>
        </w:rPr>
        <w:t xml:space="preserve">.2021 г. възлизат на </w:t>
      </w:r>
      <w:r w:rsidRPr="00E77135">
        <w:rPr>
          <w:bCs/>
        </w:rPr>
        <w:t>9</w:t>
      </w:r>
      <w:r w:rsidRPr="0063578A">
        <w:rPr>
          <w:bCs/>
        </w:rPr>
        <w:t> </w:t>
      </w:r>
      <w:r w:rsidRPr="00E77135">
        <w:rPr>
          <w:bCs/>
        </w:rPr>
        <w:t>678</w:t>
      </w:r>
      <w:r w:rsidRPr="0063578A">
        <w:rPr>
          <w:bCs/>
        </w:rPr>
        <w:t>,2 млн. лв., което е с 1 </w:t>
      </w:r>
      <w:r w:rsidRPr="00E77135">
        <w:rPr>
          <w:bCs/>
        </w:rPr>
        <w:t>601</w:t>
      </w:r>
      <w:r w:rsidRPr="0063578A">
        <w:rPr>
          <w:bCs/>
        </w:rPr>
        <w:t>,</w:t>
      </w:r>
      <w:r w:rsidRPr="00E77135">
        <w:rPr>
          <w:bCs/>
        </w:rPr>
        <w:t>4</w:t>
      </w:r>
      <w:r w:rsidRPr="0063578A">
        <w:rPr>
          <w:bCs/>
        </w:rPr>
        <w:t xml:space="preserve"> млн. лв. повече спрямо </w:t>
      </w:r>
      <w:r w:rsidR="00525A70">
        <w:t>деветмесечието</w:t>
      </w:r>
      <w:r w:rsidR="00525A70" w:rsidRPr="0063578A">
        <w:t xml:space="preserve"> </w:t>
      </w:r>
      <w:r w:rsidRPr="0063578A">
        <w:rPr>
          <w:bCs/>
        </w:rPr>
        <w:t xml:space="preserve">на 2020 г. Основните причини за това са: изплатените добавки по 50 лв. към пенсиите за месеците  от януари до </w:t>
      </w:r>
      <w:r w:rsidRPr="00E77135">
        <w:rPr>
          <w:bCs/>
        </w:rPr>
        <w:t>септември</w:t>
      </w:r>
      <w:r w:rsidRPr="0063578A">
        <w:rPr>
          <w:bCs/>
        </w:rPr>
        <w:t>; ефектът от изплащане на увеличените пенсии от 1 юли 2020 г.; увеличението на минималната пенсия от 250 на 300 лв. и на максималната пенсия от 1200 на 1440 лв. от 1</w:t>
      </w:r>
      <w:r w:rsidRPr="0063578A">
        <w:rPr>
          <w:bCs/>
          <w:lang w:val="en-US"/>
        </w:rPr>
        <w:t> </w:t>
      </w:r>
      <w:r w:rsidRPr="0063578A">
        <w:rPr>
          <w:bCs/>
        </w:rPr>
        <w:t>януари 2021 г</w:t>
      </w:r>
      <w:r w:rsidRPr="0063578A">
        <w:rPr>
          <w:bCs/>
          <w:color w:val="548DD4"/>
        </w:rPr>
        <w:t xml:space="preserve">. </w:t>
      </w:r>
    </w:p>
    <w:p w14:paraId="69439769" w14:textId="77777777" w:rsidR="00454BF6" w:rsidRPr="0063578A" w:rsidRDefault="00454BF6" w:rsidP="00454BF6">
      <w:pPr>
        <w:tabs>
          <w:tab w:val="num" w:pos="1499"/>
          <w:tab w:val="num" w:pos="2148"/>
        </w:tabs>
        <w:spacing w:after="120"/>
        <w:ind w:firstLine="567"/>
        <w:jc w:val="both"/>
      </w:pPr>
      <w:r w:rsidRPr="0063578A">
        <w:t xml:space="preserve">Отчетените разходи за </w:t>
      </w:r>
      <w:r w:rsidRPr="0063578A">
        <w:rPr>
          <w:b/>
        </w:rPr>
        <w:t>краткосрочни обезщетения и помощи по КСО</w:t>
      </w:r>
      <w:r w:rsidRPr="0063578A">
        <w:t xml:space="preserve"> са в размер на 1</w:t>
      </w:r>
      <w:r w:rsidRPr="0063578A">
        <w:rPr>
          <w:lang w:val="en-US"/>
        </w:rPr>
        <w:t> </w:t>
      </w:r>
      <w:r w:rsidRPr="00E77135">
        <w:t>5</w:t>
      </w:r>
      <w:r w:rsidRPr="0063578A">
        <w:t>0</w:t>
      </w:r>
      <w:r w:rsidRPr="00E77135">
        <w:t>3</w:t>
      </w:r>
      <w:r w:rsidRPr="0063578A">
        <w:t>,</w:t>
      </w:r>
      <w:r w:rsidRPr="00E77135">
        <w:t>0</w:t>
      </w:r>
      <w:r w:rsidRPr="0063578A">
        <w:t xml:space="preserve"> млн. лева. Спрямо същия период на миналата година изплатените обезщетения по КСО са с</w:t>
      </w:r>
      <w:r w:rsidRPr="00E77135">
        <w:t>ъс</w:t>
      </w:r>
      <w:r w:rsidRPr="0063578A">
        <w:t xml:space="preserve"> </w:t>
      </w:r>
      <w:r w:rsidRPr="00E77135">
        <w:t>78</w:t>
      </w:r>
      <w:r w:rsidRPr="0063578A">
        <w:t>,</w:t>
      </w:r>
      <w:r w:rsidRPr="00E77135">
        <w:t>3</w:t>
      </w:r>
      <w:r w:rsidRPr="0063578A">
        <w:t xml:space="preserve"> млн. лв. (</w:t>
      </w:r>
      <w:r w:rsidRPr="00E77135">
        <w:t>5</w:t>
      </w:r>
      <w:r w:rsidRPr="0063578A">
        <w:t>,</w:t>
      </w:r>
      <w:r w:rsidRPr="00E77135">
        <w:t>5</w:t>
      </w:r>
      <w:r w:rsidRPr="0063578A">
        <w:t xml:space="preserve"> %) повече.</w:t>
      </w:r>
    </w:p>
    <w:p w14:paraId="61149446" w14:textId="77777777" w:rsidR="00454BF6" w:rsidRPr="0063578A" w:rsidRDefault="00454BF6" w:rsidP="00454BF6">
      <w:pPr>
        <w:tabs>
          <w:tab w:val="num" w:pos="1499"/>
          <w:tab w:val="num" w:pos="2148"/>
        </w:tabs>
        <w:spacing w:after="120"/>
        <w:ind w:firstLine="567"/>
        <w:jc w:val="both"/>
      </w:pPr>
      <w:r w:rsidRPr="0063578A">
        <w:t>Изплатените средства по мярката за запазване на заетостта на работници и служители, т.нар. „60/40“</w:t>
      </w:r>
      <w:r w:rsidRPr="00E77135">
        <w:t>,</w:t>
      </w:r>
      <w:r w:rsidRPr="0063578A">
        <w:t xml:space="preserve">  са в общ размер на </w:t>
      </w:r>
      <w:r w:rsidRPr="00E77135">
        <w:t>530</w:t>
      </w:r>
      <w:r w:rsidRPr="0063578A">
        <w:t>,</w:t>
      </w:r>
      <w:r w:rsidRPr="00E77135">
        <w:t>2</w:t>
      </w:r>
      <w:r w:rsidRPr="0063578A">
        <w:t xml:space="preserve"> млн. лв., от които </w:t>
      </w:r>
      <w:r w:rsidRPr="00E77135">
        <w:t>526</w:t>
      </w:r>
      <w:r w:rsidRPr="0063578A">
        <w:t>,</w:t>
      </w:r>
      <w:r w:rsidRPr="00E77135">
        <w:t>1</w:t>
      </w:r>
      <w:r w:rsidRPr="0063578A">
        <w:t xml:space="preserve"> млн. лв. разходи по бюджета на НОИ и </w:t>
      </w:r>
      <w:r w:rsidRPr="00E77135">
        <w:t>4</w:t>
      </w:r>
      <w:r w:rsidRPr="0063578A">
        <w:t>,</w:t>
      </w:r>
      <w:r w:rsidRPr="00E77135">
        <w:t>1</w:t>
      </w:r>
      <w:r w:rsidRPr="0063578A">
        <w:t xml:space="preserve"> млн. лв. предоставени трансфери от бюджета на НОИ към бюджетни организации.</w:t>
      </w:r>
    </w:p>
    <w:p w14:paraId="6D89284E" w14:textId="77777777" w:rsidR="00454BF6" w:rsidRPr="0063578A" w:rsidRDefault="00454BF6" w:rsidP="00454BF6">
      <w:pPr>
        <w:numPr>
          <w:ilvl w:val="1"/>
          <w:numId w:val="6"/>
        </w:numPr>
        <w:tabs>
          <w:tab w:val="num" w:pos="709"/>
          <w:tab w:val="left" w:pos="851"/>
          <w:tab w:val="left" w:pos="1134"/>
        </w:tabs>
        <w:spacing w:before="120" w:line="276" w:lineRule="auto"/>
        <w:ind w:left="709" w:hanging="357"/>
        <w:jc w:val="both"/>
        <w:rPr>
          <w:b/>
          <w:bCs/>
        </w:rPr>
      </w:pPr>
      <w:r w:rsidRPr="0063578A">
        <w:rPr>
          <w:b/>
          <w:bCs/>
        </w:rPr>
        <w:lastRenderedPageBreak/>
        <w:t>Национална здравноосигурителна каса</w:t>
      </w:r>
    </w:p>
    <w:p w14:paraId="41DC213C" w14:textId="225ACAED" w:rsidR="00454BF6" w:rsidRPr="0063578A" w:rsidRDefault="00454BF6" w:rsidP="00454BF6">
      <w:pPr>
        <w:ind w:firstLine="567"/>
        <w:jc w:val="both"/>
        <w:rPr>
          <w:color w:val="548DD4"/>
        </w:rPr>
      </w:pPr>
      <w:r w:rsidRPr="0063578A">
        <w:t xml:space="preserve">Общият размер на събраните </w:t>
      </w:r>
      <w:r w:rsidRPr="0063578A">
        <w:rPr>
          <w:b/>
        </w:rPr>
        <w:t>приходи, помощи и дарения</w:t>
      </w:r>
      <w:r w:rsidRPr="0063578A">
        <w:t xml:space="preserve"> по бюджета на НЗОК за </w:t>
      </w:r>
      <w:r w:rsidR="000915E4">
        <w:t>деветмесечието</w:t>
      </w:r>
      <w:r w:rsidR="000915E4" w:rsidRPr="0063578A">
        <w:t xml:space="preserve"> </w:t>
      </w:r>
      <w:r w:rsidRPr="0063578A">
        <w:t xml:space="preserve">на 2021 г. възлиза на </w:t>
      </w:r>
      <w:r w:rsidRPr="002A6214">
        <w:t>2</w:t>
      </w:r>
      <w:r w:rsidRPr="0063578A">
        <w:t> </w:t>
      </w:r>
      <w:r w:rsidRPr="002A6214">
        <w:t>496</w:t>
      </w:r>
      <w:r w:rsidRPr="0063578A">
        <w:t>,</w:t>
      </w:r>
      <w:r w:rsidRPr="002A6214">
        <w:t>0</w:t>
      </w:r>
      <w:r w:rsidRPr="0063578A">
        <w:t xml:space="preserve"> млн. лв., което представлява </w:t>
      </w:r>
      <w:r w:rsidRPr="002A6214">
        <w:t>74</w:t>
      </w:r>
      <w:r w:rsidRPr="0063578A">
        <w:t>,</w:t>
      </w:r>
      <w:r w:rsidRPr="002A6214">
        <w:t>6</w:t>
      </w:r>
      <w:r w:rsidRPr="0063578A">
        <w:t xml:space="preserve"> % от предвидените със Закона за бюджета на НЗОК (ЗБНЗОК) за 2021 г. – 3 </w:t>
      </w:r>
      <w:r w:rsidRPr="002A6214">
        <w:t>345</w:t>
      </w:r>
      <w:r w:rsidRPr="0063578A">
        <w:t xml:space="preserve">,8 млн. лева. Постъпленията от здравноосигурителни вноски са в размер на </w:t>
      </w:r>
      <w:r w:rsidRPr="002A6214">
        <w:t>2</w:t>
      </w:r>
      <w:r w:rsidRPr="0063578A">
        <w:t xml:space="preserve"> </w:t>
      </w:r>
      <w:r w:rsidRPr="002A6214">
        <w:t>479</w:t>
      </w:r>
      <w:r w:rsidRPr="0063578A">
        <w:t>,</w:t>
      </w:r>
      <w:r w:rsidRPr="002A6214">
        <w:t>9</w:t>
      </w:r>
      <w:r w:rsidRPr="0063578A">
        <w:t xml:space="preserve"> млн. лв., което е </w:t>
      </w:r>
      <w:r w:rsidRPr="002A6214">
        <w:t>74</w:t>
      </w:r>
      <w:r w:rsidRPr="0063578A">
        <w:t>,</w:t>
      </w:r>
      <w:r w:rsidRPr="002A6214">
        <w:t>6</w:t>
      </w:r>
      <w:r w:rsidRPr="0063578A">
        <w:t xml:space="preserve"> % изпълнение на утвърдените със ЗБНЗОК за 2021 г. средства в размер на 3 </w:t>
      </w:r>
      <w:r w:rsidRPr="002A6214">
        <w:t>325</w:t>
      </w:r>
      <w:r w:rsidRPr="0063578A">
        <w:t xml:space="preserve">,3 млн. лева. Събраните неданъчни приходи за </w:t>
      </w:r>
      <w:r w:rsidRPr="002A6214">
        <w:t>деветмесечието</w:t>
      </w:r>
      <w:r w:rsidRPr="0063578A">
        <w:t xml:space="preserve"> на 2021 г. са 1</w:t>
      </w:r>
      <w:r w:rsidRPr="002A6214">
        <w:t>6</w:t>
      </w:r>
      <w:r w:rsidRPr="0063578A">
        <w:t>,</w:t>
      </w:r>
      <w:r w:rsidRPr="002A6214">
        <w:t>1</w:t>
      </w:r>
      <w:r w:rsidRPr="0063578A">
        <w:t xml:space="preserve"> млн. лв. или </w:t>
      </w:r>
      <w:r w:rsidRPr="002A6214">
        <w:t>78</w:t>
      </w:r>
      <w:r w:rsidRPr="0063578A">
        <w:t xml:space="preserve">,3 % от заложените в ЗБНЗОК за 2021 г., като основната част от тях са приходи от глоби, санкции и наказателни лихви. </w:t>
      </w:r>
    </w:p>
    <w:p w14:paraId="34F3E007" w14:textId="77777777" w:rsidR="00454BF6" w:rsidRPr="0063578A" w:rsidRDefault="00454BF6" w:rsidP="00454BF6">
      <w:pPr>
        <w:ind w:firstLine="567"/>
        <w:jc w:val="both"/>
      </w:pPr>
      <w:r w:rsidRPr="0063578A">
        <w:t>Полученият трансфер от МЗ за</w:t>
      </w:r>
      <w:r w:rsidRPr="0063578A">
        <w:rPr>
          <w:szCs w:val="20"/>
        </w:rPr>
        <w:t xml:space="preserve">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здравнонеосигурени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за сумите по чл. 37, ал. 6 от Закона за здравното осигуряване (ЗЗО) и за медицински изделия, помощни средства, приспособления и съоръжения за хората с увреждания извън обхвата на задължителното здравно осигуряване,</w:t>
      </w:r>
      <w:r w:rsidRPr="0063578A">
        <w:t xml:space="preserve"> </w:t>
      </w:r>
      <w:r w:rsidRPr="0063578A">
        <w:rPr>
          <w:szCs w:val="20"/>
        </w:rPr>
        <w:t xml:space="preserve">както и за осигуряване на средства за заплащане на изпълнителите на медицинска помощ за работа при неблагоприятни условия по време на обявена извънредна епидемична обстановка поради разпространение на COVID-19 и за поставяне на ваксини срещу COVID-19 за отчетния период </w:t>
      </w:r>
      <w:r w:rsidRPr="0063578A">
        <w:rPr>
          <w:szCs w:val="20"/>
          <w:lang w:val="en-US"/>
        </w:rPr>
        <w:t>e</w:t>
      </w:r>
      <w:r w:rsidRPr="0063578A">
        <w:rPr>
          <w:szCs w:val="20"/>
        </w:rPr>
        <w:t xml:space="preserve"> в размер на </w:t>
      </w:r>
      <w:r w:rsidRPr="00612A72">
        <w:rPr>
          <w:szCs w:val="20"/>
        </w:rPr>
        <w:t>344</w:t>
      </w:r>
      <w:r w:rsidRPr="0063578A">
        <w:rPr>
          <w:szCs w:val="20"/>
        </w:rPr>
        <w:t>,0</w:t>
      </w:r>
      <w:r w:rsidRPr="0063578A">
        <w:t xml:space="preserve"> млн. лева. </w:t>
      </w:r>
    </w:p>
    <w:p w14:paraId="0AE62F3C" w14:textId="77777777" w:rsidR="00454BF6" w:rsidRPr="0063578A" w:rsidRDefault="00454BF6" w:rsidP="00454BF6">
      <w:pPr>
        <w:ind w:firstLine="567"/>
        <w:jc w:val="both"/>
      </w:pPr>
      <w:r w:rsidRPr="0063578A">
        <w:t xml:space="preserve">Трансферите за здравно осигуряване (вкл. за поети осигурителни вноски) и за изплащане на допълнителни възнаграждения на медицинския персонал за срока на обявена епидемична обстановка от централния бюджет за периода са </w:t>
      </w:r>
      <w:r w:rsidRPr="001B45D4">
        <w:t>1 461,5</w:t>
      </w:r>
      <w:r w:rsidRPr="0063578A">
        <w:t xml:space="preserve"> млн. лв.</w:t>
      </w:r>
    </w:p>
    <w:p w14:paraId="3BAEB73C" w14:textId="77777777" w:rsidR="00454BF6" w:rsidRPr="0063578A" w:rsidRDefault="00454BF6" w:rsidP="00454BF6">
      <w:pPr>
        <w:ind w:firstLine="567"/>
        <w:jc w:val="both"/>
      </w:pPr>
      <w:r w:rsidRPr="0063578A">
        <w:t xml:space="preserve">Отчетените </w:t>
      </w:r>
      <w:r w:rsidRPr="0063578A">
        <w:rPr>
          <w:b/>
        </w:rPr>
        <w:t>разходи</w:t>
      </w:r>
      <w:r w:rsidRPr="0063578A">
        <w:t xml:space="preserve"> към 30.0</w:t>
      </w:r>
      <w:r w:rsidRPr="001B45D4">
        <w:t>9.2021 г. са в размер на 3</w:t>
      </w:r>
      <w:r w:rsidRPr="0063578A">
        <w:t> </w:t>
      </w:r>
      <w:r w:rsidRPr="001B45D4">
        <w:t>949</w:t>
      </w:r>
      <w:r w:rsidRPr="0063578A">
        <w:t>,</w:t>
      </w:r>
      <w:r w:rsidRPr="001B45D4">
        <w:t>7</w:t>
      </w:r>
      <w:r w:rsidRPr="0063578A">
        <w:t xml:space="preserve"> млн. лв. и представляват </w:t>
      </w:r>
      <w:r w:rsidRPr="001B45D4">
        <w:t>72</w:t>
      </w:r>
      <w:r w:rsidRPr="0063578A">
        <w:t>,</w:t>
      </w:r>
      <w:r w:rsidRPr="001B45D4">
        <w:t>5</w:t>
      </w:r>
      <w:r w:rsidRPr="0063578A">
        <w:t> % от предвидените в ЗБНЗОК за 2021 г. 5 </w:t>
      </w:r>
      <w:r w:rsidRPr="001B45D4">
        <w:t>446</w:t>
      </w:r>
      <w:r w:rsidRPr="0063578A">
        <w:t xml:space="preserve">,3 млн. лева. </w:t>
      </w:r>
      <w:r w:rsidRPr="001B45D4">
        <w:rPr>
          <w:szCs w:val="20"/>
        </w:rPr>
        <w:t>В изпълнение на ПМС №59/18.02.2021 г., ПМС № 113/ 29.03.2021 г., ПМС № 177/ 29.04.2021 г., ПМС № 210/ 01.07.2021 г. и ПМС № 247/ 22.07.2021 г. за осигуряване на средства за заплащане на изпълнителите на медицинска помощ за работ</w:t>
      </w:r>
      <w:r>
        <w:rPr>
          <w:szCs w:val="20"/>
        </w:rPr>
        <w:t>а</w:t>
      </w:r>
      <w:r w:rsidRPr="001B45D4">
        <w:rPr>
          <w:szCs w:val="20"/>
        </w:rPr>
        <w:t xml:space="preserve"> при неблагоприятни условия по време на обявена извънредна епидемична обстановка поради разпространение на COVID-19  и за заплащане на изпълнителите за поставяне на ваксини срещу COVID-19, както и в изпълнение на ПМС 269/06.08.2021 г. за разходи за дейности във връзка с лечението на лица до 18-годишна възраст по чл. 82, ал. 1а, З и 6 от Закона за здравето и за дейности във връзка с лечението на лица над 18-годишна възраст по чл. 82, ал. 1а и 6 от Закона за здравето са увеличени получените трансфери от МЗ със 281,2 </w:t>
      </w:r>
      <w:r w:rsidRPr="002B56C0">
        <w:rPr>
          <w:szCs w:val="20"/>
        </w:rPr>
        <w:t>млн. лв.</w:t>
      </w:r>
      <w:r w:rsidRPr="0063578A">
        <w:t xml:space="preserve"> </w:t>
      </w:r>
    </w:p>
    <w:p w14:paraId="38B8599B" w14:textId="77777777" w:rsidR="00454BF6" w:rsidRPr="0063578A" w:rsidRDefault="00454BF6" w:rsidP="006E63D2">
      <w:pPr>
        <w:ind w:firstLine="567"/>
        <w:jc w:val="both"/>
        <w:rPr>
          <w:color w:val="548DD4"/>
        </w:rPr>
      </w:pPr>
      <w:r w:rsidRPr="0063578A">
        <w:t>Най-голям относителен дял в общите разходи (91,</w:t>
      </w:r>
      <w:r w:rsidRPr="002B56C0">
        <w:t>6</w:t>
      </w:r>
      <w:r w:rsidRPr="0063578A">
        <w:t xml:space="preserve"> %) заемат здравноосигурителните плащания, които възлизат на </w:t>
      </w:r>
      <w:r w:rsidRPr="002B56C0">
        <w:t>3</w:t>
      </w:r>
      <w:r w:rsidRPr="0063578A">
        <w:t xml:space="preserve"> </w:t>
      </w:r>
      <w:r w:rsidRPr="002B56C0">
        <w:t>616</w:t>
      </w:r>
      <w:r w:rsidRPr="0063578A">
        <w:t>,</w:t>
      </w:r>
      <w:r w:rsidRPr="002B56C0">
        <w:t>4</w:t>
      </w:r>
      <w:r w:rsidRPr="0063578A">
        <w:t xml:space="preserve"> млн. лева. В отделните направления на здравноосигурителни плащания изпълнението на бюджета за първ</w:t>
      </w:r>
      <w:r w:rsidRPr="002B56C0">
        <w:t>ите</w:t>
      </w:r>
      <w:r w:rsidRPr="0063578A">
        <w:t xml:space="preserve"> </w:t>
      </w:r>
      <w:r w:rsidRPr="002B56C0">
        <w:t>девет месеца</w:t>
      </w:r>
      <w:r w:rsidRPr="0063578A">
        <w:t xml:space="preserve"> на 2021 г. е следното:</w:t>
      </w:r>
    </w:p>
    <w:p w14:paraId="13525CDD" w14:textId="77777777" w:rsidR="00454BF6" w:rsidRPr="0063578A" w:rsidRDefault="00454BF6" w:rsidP="00454BF6">
      <w:pPr>
        <w:numPr>
          <w:ilvl w:val="0"/>
          <w:numId w:val="17"/>
        </w:numPr>
        <w:tabs>
          <w:tab w:val="num" w:pos="0"/>
          <w:tab w:val="left" w:pos="720"/>
          <w:tab w:val="left" w:pos="1134"/>
        </w:tabs>
        <w:spacing w:before="120" w:line="276" w:lineRule="auto"/>
        <w:ind w:hanging="6169"/>
        <w:jc w:val="both"/>
        <w:rPr>
          <w:bCs/>
        </w:rPr>
      </w:pPr>
      <w:r w:rsidRPr="0063578A">
        <w:rPr>
          <w:b/>
          <w:i/>
        </w:rPr>
        <w:t>първична извънболнична медицинска помощ</w:t>
      </w:r>
      <w:r w:rsidRPr="0063578A">
        <w:rPr>
          <w:i/>
        </w:rPr>
        <w:t xml:space="preserve"> –</w:t>
      </w:r>
      <w:r w:rsidRPr="0063578A">
        <w:t xml:space="preserve"> </w:t>
      </w:r>
      <w:r w:rsidRPr="002B56C0">
        <w:t>229</w:t>
      </w:r>
      <w:r w:rsidRPr="0063578A">
        <w:t>,</w:t>
      </w:r>
      <w:r w:rsidRPr="002B56C0">
        <w:t>9</w:t>
      </w:r>
      <w:r w:rsidRPr="0063578A">
        <w:t xml:space="preserve"> млн. лева;</w:t>
      </w:r>
      <w:r w:rsidRPr="0063578A">
        <w:rPr>
          <w:bCs/>
        </w:rPr>
        <w:t xml:space="preserve"> </w:t>
      </w:r>
    </w:p>
    <w:p w14:paraId="59C13DAF" w14:textId="77777777" w:rsidR="00454BF6" w:rsidRPr="0063578A" w:rsidRDefault="00454BF6" w:rsidP="00454BF6">
      <w:pPr>
        <w:numPr>
          <w:ilvl w:val="0"/>
          <w:numId w:val="17"/>
        </w:numPr>
        <w:tabs>
          <w:tab w:val="num" w:pos="0"/>
          <w:tab w:val="left" w:pos="720"/>
          <w:tab w:val="left" w:pos="1134"/>
        </w:tabs>
        <w:spacing w:line="276" w:lineRule="auto"/>
        <w:ind w:hanging="6169"/>
        <w:jc w:val="both"/>
        <w:rPr>
          <w:i/>
        </w:rPr>
      </w:pPr>
      <w:r w:rsidRPr="0063578A">
        <w:rPr>
          <w:b/>
          <w:i/>
        </w:rPr>
        <w:t xml:space="preserve">специализирана извънболнична медицинска помощ </w:t>
      </w:r>
      <w:r w:rsidRPr="0063578A">
        <w:t xml:space="preserve"> – </w:t>
      </w:r>
      <w:r w:rsidRPr="002B56C0">
        <w:t>210</w:t>
      </w:r>
      <w:r w:rsidRPr="0063578A">
        <w:t>,</w:t>
      </w:r>
      <w:r w:rsidRPr="002B56C0">
        <w:t>9</w:t>
      </w:r>
      <w:r w:rsidRPr="0063578A">
        <w:t> млн. лева;</w:t>
      </w:r>
    </w:p>
    <w:p w14:paraId="656853A4" w14:textId="77777777" w:rsidR="00454BF6" w:rsidRPr="0063578A" w:rsidRDefault="00454BF6" w:rsidP="00454BF6">
      <w:pPr>
        <w:numPr>
          <w:ilvl w:val="0"/>
          <w:numId w:val="17"/>
        </w:numPr>
        <w:tabs>
          <w:tab w:val="num" w:pos="0"/>
          <w:tab w:val="left" w:pos="720"/>
          <w:tab w:val="left" w:pos="1134"/>
        </w:tabs>
        <w:spacing w:line="276" w:lineRule="auto"/>
        <w:ind w:hanging="6169"/>
        <w:jc w:val="both"/>
        <w:rPr>
          <w:b/>
        </w:rPr>
      </w:pPr>
      <w:r w:rsidRPr="0063578A">
        <w:rPr>
          <w:b/>
          <w:i/>
        </w:rPr>
        <w:t xml:space="preserve">дентална помощ – </w:t>
      </w:r>
      <w:r w:rsidRPr="0063578A">
        <w:rPr>
          <w:lang w:val="en-US"/>
        </w:rPr>
        <w:t>1</w:t>
      </w:r>
      <w:r w:rsidRPr="002B56C0">
        <w:t>61</w:t>
      </w:r>
      <w:r w:rsidRPr="0063578A">
        <w:t>,</w:t>
      </w:r>
      <w:r w:rsidRPr="002B56C0">
        <w:t>7</w:t>
      </w:r>
      <w:r w:rsidRPr="0063578A">
        <w:t xml:space="preserve"> млн. лева;</w:t>
      </w:r>
    </w:p>
    <w:p w14:paraId="6E5D9816" w14:textId="77777777" w:rsidR="00454BF6" w:rsidRPr="0063578A" w:rsidRDefault="00454BF6" w:rsidP="00454BF6">
      <w:pPr>
        <w:numPr>
          <w:ilvl w:val="0"/>
          <w:numId w:val="17"/>
        </w:numPr>
        <w:tabs>
          <w:tab w:val="num" w:pos="0"/>
          <w:tab w:val="left" w:pos="720"/>
          <w:tab w:val="left" w:pos="1134"/>
        </w:tabs>
        <w:spacing w:line="276" w:lineRule="auto"/>
        <w:ind w:hanging="6169"/>
        <w:jc w:val="both"/>
        <w:rPr>
          <w:b/>
          <w:i/>
        </w:rPr>
      </w:pPr>
      <w:r w:rsidRPr="0063578A">
        <w:rPr>
          <w:b/>
          <w:i/>
        </w:rPr>
        <w:t xml:space="preserve">медико-диагностична дейност – </w:t>
      </w:r>
      <w:r w:rsidRPr="002B56C0">
        <w:t>98</w:t>
      </w:r>
      <w:r w:rsidRPr="0063578A">
        <w:t>,</w:t>
      </w:r>
      <w:r w:rsidRPr="002B56C0">
        <w:t>9</w:t>
      </w:r>
      <w:r w:rsidRPr="0063578A">
        <w:t xml:space="preserve"> млн. лева;</w:t>
      </w:r>
      <w:r w:rsidRPr="0063578A">
        <w:rPr>
          <w:b/>
          <w:i/>
        </w:rPr>
        <w:t xml:space="preserve"> </w:t>
      </w:r>
    </w:p>
    <w:p w14:paraId="17A07835" w14:textId="77777777" w:rsidR="00454BF6" w:rsidRPr="0063578A" w:rsidRDefault="00454BF6" w:rsidP="00454BF6">
      <w:pPr>
        <w:numPr>
          <w:ilvl w:val="0"/>
          <w:numId w:val="17"/>
        </w:numPr>
        <w:tabs>
          <w:tab w:val="num" w:pos="0"/>
          <w:tab w:val="left" w:pos="1134"/>
        </w:tabs>
        <w:spacing w:line="276" w:lineRule="auto"/>
        <w:ind w:left="1134" w:hanging="425"/>
        <w:jc w:val="both"/>
      </w:pPr>
      <w:r w:rsidRPr="0063578A">
        <w:rPr>
          <w:b/>
          <w:i/>
        </w:rPr>
        <w:t xml:space="preserve">лекарствени продукти, медицински изделия и диетични храни за домашно лечение на територията на страната  - </w:t>
      </w:r>
      <w:r w:rsidRPr="002B56C0">
        <w:t>632</w:t>
      </w:r>
      <w:r w:rsidRPr="0063578A">
        <w:t>,2 млн. лв.</w:t>
      </w:r>
    </w:p>
    <w:p w14:paraId="0230589B" w14:textId="77777777" w:rsidR="00454BF6" w:rsidRPr="0063578A" w:rsidRDefault="00454BF6" w:rsidP="00454BF6">
      <w:pPr>
        <w:numPr>
          <w:ilvl w:val="0"/>
          <w:numId w:val="17"/>
        </w:numPr>
        <w:tabs>
          <w:tab w:val="num" w:pos="0"/>
          <w:tab w:val="left" w:pos="1134"/>
          <w:tab w:val="num" w:pos="6096"/>
        </w:tabs>
        <w:spacing w:line="276" w:lineRule="auto"/>
        <w:ind w:left="1134" w:hanging="425"/>
        <w:jc w:val="both"/>
      </w:pPr>
      <w:r w:rsidRPr="0063578A">
        <w:rPr>
          <w:b/>
          <w:i/>
        </w:rPr>
        <w:t xml:space="preserve"> лекарствени продукти за лечение на злокачествени заболявания в условията на болнична медицинска помощ </w:t>
      </w:r>
      <w:r w:rsidRPr="0063578A">
        <w:t xml:space="preserve"> – </w:t>
      </w:r>
      <w:r w:rsidRPr="002B56C0">
        <w:t>419</w:t>
      </w:r>
      <w:r w:rsidRPr="0063578A">
        <w:t>,</w:t>
      </w:r>
      <w:r w:rsidRPr="002B56C0">
        <w:t>2</w:t>
      </w:r>
      <w:r w:rsidRPr="0063578A">
        <w:t xml:space="preserve"> млн. лева;</w:t>
      </w:r>
    </w:p>
    <w:p w14:paraId="13C3F380" w14:textId="77777777" w:rsidR="00454BF6" w:rsidRPr="0063578A" w:rsidRDefault="00454BF6" w:rsidP="00454BF6">
      <w:pPr>
        <w:numPr>
          <w:ilvl w:val="0"/>
          <w:numId w:val="17"/>
        </w:numPr>
        <w:tabs>
          <w:tab w:val="num" w:pos="0"/>
          <w:tab w:val="left" w:pos="720"/>
          <w:tab w:val="num" w:pos="1134"/>
        </w:tabs>
        <w:spacing w:line="276" w:lineRule="auto"/>
        <w:ind w:left="1134" w:hanging="425"/>
        <w:jc w:val="both"/>
      </w:pPr>
      <w:r w:rsidRPr="0063578A">
        <w:rPr>
          <w:b/>
          <w:i/>
        </w:rPr>
        <w:t>медицински изделия, прилагани в болничната  помощ –</w:t>
      </w:r>
      <w:r w:rsidRPr="0063578A">
        <w:t xml:space="preserve"> </w:t>
      </w:r>
      <w:r w:rsidRPr="002B56C0">
        <w:t>55</w:t>
      </w:r>
      <w:r w:rsidRPr="0063578A">
        <w:t>,</w:t>
      </w:r>
      <w:r w:rsidRPr="002B56C0">
        <w:t>3</w:t>
      </w:r>
      <w:r w:rsidRPr="0063578A">
        <w:t xml:space="preserve"> млн. лева;</w:t>
      </w:r>
    </w:p>
    <w:p w14:paraId="5F612A07" w14:textId="77777777" w:rsidR="00454BF6" w:rsidRPr="0063578A" w:rsidRDefault="00454BF6" w:rsidP="00454BF6">
      <w:pPr>
        <w:numPr>
          <w:ilvl w:val="0"/>
          <w:numId w:val="17"/>
        </w:numPr>
        <w:tabs>
          <w:tab w:val="num" w:pos="0"/>
          <w:tab w:val="left" w:pos="720"/>
          <w:tab w:val="left" w:pos="1134"/>
        </w:tabs>
        <w:spacing w:line="276" w:lineRule="auto"/>
        <w:ind w:hanging="6169"/>
        <w:jc w:val="both"/>
        <w:rPr>
          <w:color w:val="548DD4"/>
        </w:rPr>
      </w:pPr>
      <w:r w:rsidRPr="0063578A">
        <w:rPr>
          <w:b/>
          <w:i/>
        </w:rPr>
        <w:t>болнична медицинска помощ –</w:t>
      </w:r>
      <w:r w:rsidRPr="0063578A">
        <w:t xml:space="preserve"> 1 </w:t>
      </w:r>
      <w:r w:rsidRPr="002B56C0">
        <w:t>759</w:t>
      </w:r>
      <w:r w:rsidRPr="0063578A">
        <w:t>,6 млн. лева.</w:t>
      </w:r>
      <w:r w:rsidRPr="0063578A">
        <w:rPr>
          <w:color w:val="548DD4"/>
        </w:rPr>
        <w:tab/>
        <w:t xml:space="preserve"> </w:t>
      </w:r>
    </w:p>
    <w:p w14:paraId="2D9625B0" w14:textId="77777777" w:rsidR="00454BF6" w:rsidRPr="0063578A" w:rsidRDefault="00454BF6" w:rsidP="00454BF6">
      <w:pPr>
        <w:numPr>
          <w:ilvl w:val="0"/>
          <w:numId w:val="17"/>
        </w:numPr>
        <w:tabs>
          <w:tab w:val="num" w:pos="0"/>
          <w:tab w:val="left" w:pos="720"/>
          <w:tab w:val="left" w:pos="1134"/>
        </w:tabs>
        <w:spacing w:line="276" w:lineRule="auto"/>
        <w:ind w:hanging="6169"/>
        <w:jc w:val="both"/>
      </w:pPr>
      <w:r w:rsidRPr="0063578A">
        <w:rPr>
          <w:b/>
          <w:i/>
        </w:rPr>
        <w:t xml:space="preserve">други здравноосигурителни плащания – </w:t>
      </w:r>
      <w:r w:rsidRPr="002B56C0">
        <w:t>48</w:t>
      </w:r>
      <w:r w:rsidRPr="0063578A">
        <w:t>,</w:t>
      </w:r>
      <w:r w:rsidRPr="002B56C0">
        <w:t>6</w:t>
      </w:r>
      <w:r w:rsidRPr="0063578A">
        <w:t xml:space="preserve"> млн. лева.</w:t>
      </w:r>
    </w:p>
    <w:p w14:paraId="74308DED" w14:textId="77777777" w:rsidR="00454BF6" w:rsidRPr="0063578A" w:rsidRDefault="00454BF6" w:rsidP="00454BF6">
      <w:pPr>
        <w:spacing w:before="120"/>
        <w:ind w:firstLine="567"/>
        <w:jc w:val="both"/>
      </w:pPr>
      <w:r w:rsidRPr="0063578A">
        <w:t xml:space="preserve">Като здравноосигурителни плащания следва да се третират и преведените </w:t>
      </w:r>
      <w:r w:rsidRPr="00016EBD">
        <w:t>99</w:t>
      </w:r>
      <w:r w:rsidRPr="0063578A">
        <w:t>,</w:t>
      </w:r>
      <w:r w:rsidRPr="00016EBD">
        <w:t>1</w:t>
      </w:r>
      <w:r w:rsidRPr="0063578A">
        <w:t xml:space="preserve"> млн. лв. трансфери по договори за извършване на медицински услуги към бюджетни организации, в </w:t>
      </w:r>
      <w:r w:rsidRPr="0063578A">
        <w:lastRenderedPageBreak/>
        <w:t xml:space="preserve">структурата на които има лечебни заведения по чл. 5 от Закона за лечебните заведения. Заедно с преведените трансфери усвоените средства за здравноосигурителни плащания възлизат на </w:t>
      </w:r>
      <w:r w:rsidRPr="00F66BC2">
        <w:t>3</w:t>
      </w:r>
      <w:r w:rsidRPr="0063578A">
        <w:t> </w:t>
      </w:r>
      <w:r w:rsidRPr="00F66BC2">
        <w:t>715</w:t>
      </w:r>
      <w:r w:rsidRPr="0063578A">
        <w:t>,</w:t>
      </w:r>
      <w:r w:rsidRPr="00F66BC2">
        <w:t>5</w:t>
      </w:r>
      <w:r w:rsidRPr="0063578A">
        <w:t xml:space="preserve"> млн. лв.</w:t>
      </w:r>
    </w:p>
    <w:p w14:paraId="05C1B7C2" w14:textId="4D92725C" w:rsidR="00454BF6" w:rsidRPr="0063578A" w:rsidRDefault="00454BF6" w:rsidP="00454BF6">
      <w:pPr>
        <w:ind w:firstLine="567"/>
        <w:jc w:val="both"/>
      </w:pPr>
      <w:r w:rsidRPr="0063578A">
        <w:t xml:space="preserve">За </w:t>
      </w:r>
      <w:r w:rsidR="00A36D77">
        <w:t>деветмесечието</w:t>
      </w:r>
      <w:r w:rsidR="00A36D77" w:rsidRPr="0063578A">
        <w:t xml:space="preserve"> </w:t>
      </w:r>
      <w:r w:rsidRPr="0063578A">
        <w:t>на 2021 г. средствата, които НЗОК е изплатила на медицинските специалисти за работа при неблагоприятни условия по време на обявена извънредна епидемична обстановка поради разпространение на COVID-19, са в размер на 1</w:t>
      </w:r>
      <w:r w:rsidRPr="00F66BC2">
        <w:t>84</w:t>
      </w:r>
      <w:r w:rsidRPr="0063578A">
        <w:t>,</w:t>
      </w:r>
      <w:r w:rsidRPr="00F66BC2">
        <w:t>8</w:t>
      </w:r>
      <w:r w:rsidRPr="0063578A">
        <w:t xml:space="preserve"> млн. лв.</w:t>
      </w:r>
    </w:p>
    <w:p w14:paraId="73B34E49" w14:textId="77777777" w:rsidR="00454BF6" w:rsidRPr="0063578A" w:rsidRDefault="00454BF6" w:rsidP="00454BF6">
      <w:pPr>
        <w:ind w:firstLine="567"/>
        <w:jc w:val="both"/>
      </w:pPr>
      <w:r w:rsidRPr="0063578A">
        <w:t xml:space="preserve">За периода са отчетени плащания в размер на </w:t>
      </w:r>
      <w:r w:rsidRPr="00F66BC2">
        <w:t>88</w:t>
      </w:r>
      <w:r w:rsidRPr="0063578A">
        <w:t>,</w:t>
      </w:r>
      <w:r w:rsidRPr="00F66BC2">
        <w:t>6</w:t>
      </w:r>
      <w:r w:rsidRPr="0063578A">
        <w:t xml:space="preserve"> млн. лв. от предоставения трансфер  от Министерството на здравеопазването за дейности за здравнонеосигурени лица, лекарствени продукти и за потребителска такса.</w:t>
      </w:r>
    </w:p>
    <w:p w14:paraId="270369F0" w14:textId="05F9E802" w:rsidR="00454BF6" w:rsidRPr="00454BF6" w:rsidRDefault="00454BF6" w:rsidP="00464ECA">
      <w:pPr>
        <w:spacing w:before="120"/>
        <w:ind w:firstLine="567"/>
        <w:jc w:val="both"/>
      </w:pPr>
      <w:r w:rsidRPr="0053543C">
        <w:t xml:space="preserve">По бюджета на НЗОК за 2021 година са утвърдени </w:t>
      </w:r>
      <w:r w:rsidRPr="00454BF6">
        <w:t>8</w:t>
      </w:r>
      <w:r w:rsidRPr="0053543C">
        <w:t xml:space="preserve">6,7 млн. лв. за административни разходи на институцията, които включват разходите за персонал и за текуща издръжка. За </w:t>
      </w:r>
      <w:r w:rsidR="0099170F">
        <w:t>деветмесечието</w:t>
      </w:r>
      <w:r w:rsidR="0099170F" w:rsidRPr="0063578A">
        <w:t xml:space="preserve"> </w:t>
      </w:r>
      <w:r w:rsidRPr="0053543C">
        <w:t>на годината са отчетени 58,2 млн. лв., което представлява 67,1 % от годишния разчет. Усвоените средства за административни разходи заемат 1,5 на сто в структурата на общите разходи за отчетния период.</w:t>
      </w:r>
    </w:p>
    <w:p w14:paraId="20A195B7" w14:textId="2F2E53D9" w:rsidR="00664601" w:rsidRPr="00454BF6" w:rsidRDefault="00664601" w:rsidP="00664601">
      <w:pPr>
        <w:ind w:firstLine="567"/>
        <w:jc w:val="both"/>
      </w:pPr>
    </w:p>
    <w:p w14:paraId="71F93EA1" w14:textId="77777777" w:rsidR="00B6120B" w:rsidRPr="003A5166" w:rsidRDefault="00B6120B" w:rsidP="00572966">
      <w:pPr>
        <w:pStyle w:val="Heading1"/>
        <w:numPr>
          <w:ilvl w:val="1"/>
          <w:numId w:val="10"/>
        </w:numPr>
        <w:spacing w:before="240"/>
        <w:ind w:left="788" w:right="-108" w:hanging="431"/>
        <w:jc w:val="both"/>
        <w:rPr>
          <w:sz w:val="24"/>
        </w:rPr>
      </w:pPr>
      <w:r w:rsidRPr="003A5166">
        <w:rPr>
          <w:sz w:val="24"/>
        </w:rPr>
        <w:t>Общински бюджети</w:t>
      </w:r>
    </w:p>
    <w:p w14:paraId="01E4ACB0" w14:textId="77777777" w:rsidR="001B7D4C" w:rsidRPr="003A5166" w:rsidRDefault="001B7D4C" w:rsidP="001B7D4C">
      <w:pPr>
        <w:numPr>
          <w:ilvl w:val="0"/>
          <w:numId w:val="8"/>
        </w:numPr>
        <w:tabs>
          <w:tab w:val="num" w:pos="540"/>
        </w:tabs>
        <w:spacing w:before="120" w:line="276" w:lineRule="auto"/>
        <w:ind w:left="714" w:hanging="147"/>
        <w:jc w:val="both"/>
        <w:rPr>
          <w:b/>
        </w:rPr>
      </w:pPr>
      <w:r w:rsidRPr="003A5166">
        <w:rPr>
          <w:b/>
        </w:rPr>
        <w:t>Приходи</w:t>
      </w:r>
    </w:p>
    <w:p w14:paraId="6F33EAF4" w14:textId="77777777" w:rsidR="003A5166" w:rsidRPr="009A6D6A" w:rsidRDefault="003A5166" w:rsidP="00CF2761">
      <w:pPr>
        <w:tabs>
          <w:tab w:val="center" w:pos="4153"/>
          <w:tab w:val="right" w:pos="8306"/>
        </w:tabs>
        <w:ind w:firstLine="567"/>
        <w:jc w:val="both"/>
      </w:pPr>
      <w:r w:rsidRPr="00E944D0">
        <w:t xml:space="preserve">Собствените приходи по бюджетите на общините към 30.09.2021 г. са в размер на </w:t>
      </w:r>
      <w:r w:rsidRPr="009A6D6A">
        <w:t>2</w:t>
      </w:r>
      <w:r w:rsidRPr="009A6D6A">
        <w:rPr>
          <w:lang w:val="en-US"/>
        </w:rPr>
        <w:t> </w:t>
      </w:r>
      <w:r w:rsidRPr="009A6D6A">
        <w:t>160,5</w:t>
      </w:r>
      <w:r w:rsidRPr="009A6D6A">
        <w:rPr>
          <w:bCs/>
        </w:rPr>
        <w:t> м</w:t>
      </w:r>
      <w:r w:rsidRPr="009A6D6A">
        <w:t xml:space="preserve">лн. лв., което представлява 82,9 % от разчетените към ЗДБРБ за 2021 г. постъпления в размер на </w:t>
      </w:r>
      <w:r w:rsidRPr="009A6D6A">
        <w:rPr>
          <w:bCs/>
        </w:rPr>
        <w:t>2 605,0</w:t>
      </w:r>
      <w:r w:rsidRPr="009A6D6A">
        <w:t xml:space="preserve"> млн. лева</w:t>
      </w:r>
      <w:r>
        <w:rPr>
          <w:color w:val="548DD4" w:themeColor="text2" w:themeTint="99"/>
        </w:rPr>
        <w:t xml:space="preserve"> </w:t>
      </w:r>
      <w:r w:rsidRPr="008C42FD">
        <w:t>и с 375,5 млн. лв.</w:t>
      </w:r>
      <w:r w:rsidRPr="00C85F7F">
        <w:rPr>
          <w:color w:val="548DD4" w:themeColor="text2" w:themeTint="99"/>
        </w:rPr>
        <w:t xml:space="preserve"> </w:t>
      </w:r>
      <w:r w:rsidRPr="009A6D6A">
        <w:t>повече спрямо събраните за същия период през 2020 г.</w:t>
      </w:r>
    </w:p>
    <w:p w14:paraId="35C97DDD" w14:textId="5711D487" w:rsidR="003A5166" w:rsidRPr="00C85F7F" w:rsidRDefault="003A5166" w:rsidP="003A5166">
      <w:pPr>
        <w:ind w:firstLine="567"/>
        <w:jc w:val="both"/>
        <w:rPr>
          <w:color w:val="548DD4" w:themeColor="text2" w:themeTint="99"/>
        </w:rPr>
      </w:pPr>
      <w:r w:rsidRPr="009A6D6A">
        <w:rPr>
          <w:i/>
        </w:rPr>
        <w:t>Данъчните приходи</w:t>
      </w:r>
      <w:r w:rsidRPr="009A6D6A">
        <w:t xml:space="preserve"> по общинските бюджети са в размер на 1 006,5 млн. лв. или 87,5 % от годишните разчети към ЗДБРБ за 2021 г</w:t>
      </w:r>
      <w:r w:rsidRPr="00C85F7F">
        <w:rPr>
          <w:color w:val="548DD4" w:themeColor="text2" w:themeTint="99"/>
        </w:rPr>
        <w:t xml:space="preserve">. </w:t>
      </w:r>
      <w:r w:rsidRPr="00862171">
        <w:t>и с</w:t>
      </w:r>
      <w:r w:rsidRPr="00C85F7F">
        <w:rPr>
          <w:color w:val="548DD4" w:themeColor="text2" w:themeTint="99"/>
        </w:rPr>
        <w:t xml:space="preserve"> </w:t>
      </w:r>
      <w:r w:rsidRPr="005E5740">
        <w:t xml:space="preserve"> </w:t>
      </w:r>
      <w:r>
        <w:t>22,4</w:t>
      </w:r>
      <w:r w:rsidRPr="005E5740">
        <w:t xml:space="preserve"> %</w:t>
      </w:r>
      <w:r>
        <w:t xml:space="preserve"> (184,3 млн. лв.)</w:t>
      </w:r>
      <w:r w:rsidRPr="005E5740">
        <w:t xml:space="preserve"> </w:t>
      </w:r>
      <w:r w:rsidRPr="009A6D6A">
        <w:t xml:space="preserve">повече спрямо тези за същия период на предходната година. </w:t>
      </w:r>
      <w:r w:rsidRPr="009A6D6A">
        <w:rPr>
          <w:bCs/>
        </w:rPr>
        <w:t xml:space="preserve">От </w:t>
      </w:r>
      <w:r w:rsidRPr="009A6D6A">
        <w:rPr>
          <w:bCs/>
          <w:i/>
        </w:rPr>
        <w:t>имуществени данъци по Закона за местните данъци и такси</w:t>
      </w:r>
      <w:r w:rsidRPr="009A6D6A">
        <w:rPr>
          <w:bCs/>
        </w:rPr>
        <w:t xml:space="preserve"> в местните бюджети към 30 </w:t>
      </w:r>
      <w:r w:rsidR="00C25DCB" w:rsidRPr="009A6D6A">
        <w:rPr>
          <w:bCs/>
        </w:rPr>
        <w:t>септември</w:t>
      </w:r>
      <w:r w:rsidRPr="009A6D6A">
        <w:rPr>
          <w:bCs/>
        </w:rPr>
        <w:t xml:space="preserve"> 2021 г. са постъпили общо 998,3 млн. лв., което представлява 88,4 % от годишния разчет.</w:t>
      </w:r>
      <w:r w:rsidRPr="00C85F7F">
        <w:rPr>
          <w:bCs/>
          <w:color w:val="548DD4" w:themeColor="text2" w:themeTint="99"/>
        </w:rPr>
        <w:t xml:space="preserve"> </w:t>
      </w:r>
      <w:r w:rsidRPr="005E5740">
        <w:t>С най-значителен дял в пр</w:t>
      </w:r>
      <w:r>
        <w:t>иходите от имуществени данъци е</w:t>
      </w:r>
      <w:r w:rsidRPr="005E5740">
        <w:t xml:space="preserve"> </w:t>
      </w:r>
      <w:r>
        <w:t>данъкът</w:t>
      </w:r>
      <w:r w:rsidRPr="005E5740">
        <w:t xml:space="preserve"> върху придобиването на имущество по дарения и възмезден начин – </w:t>
      </w:r>
      <w:r>
        <w:t>33,8</w:t>
      </w:r>
      <w:r w:rsidRPr="005E5740">
        <w:t xml:space="preserve"> %</w:t>
      </w:r>
      <w:r>
        <w:t>, следван от данъкът</w:t>
      </w:r>
      <w:r w:rsidRPr="005E5740">
        <w:t xml:space="preserve"> върху превозните средства – </w:t>
      </w:r>
      <w:r>
        <w:t>33,0</w:t>
      </w:r>
      <w:r w:rsidRPr="005E5740">
        <w:t xml:space="preserve"> %, данъкът върху недвижимите имоти – </w:t>
      </w:r>
      <w:r>
        <w:t xml:space="preserve">31,8 % и </w:t>
      </w:r>
      <w:r w:rsidRPr="005E5740">
        <w:t>туристически</w:t>
      </w:r>
      <w:r>
        <w:t>я</w:t>
      </w:r>
      <w:r w:rsidRPr="005E5740">
        <w:t xml:space="preserve"> данък – </w:t>
      </w:r>
      <w:r>
        <w:t>1,3</w:t>
      </w:r>
      <w:r w:rsidRPr="005E5740">
        <w:t xml:space="preserve"> %.</w:t>
      </w:r>
      <w:r>
        <w:t xml:space="preserve"> </w:t>
      </w:r>
      <w:r w:rsidRPr="001D32F8">
        <w:t>През отчетния период по бюджетите на общините са п</w:t>
      </w:r>
      <w:r w:rsidRPr="005E5740">
        <w:t xml:space="preserve">остъпили </w:t>
      </w:r>
      <w:r>
        <w:t>8,1</w:t>
      </w:r>
      <w:r w:rsidRPr="005E5740">
        <w:t xml:space="preserve"> млн. лв. от патентен данък и данък върху таксиметров превоз на пътници (</w:t>
      </w:r>
      <w:r>
        <w:t>38,6</w:t>
      </w:r>
      <w:r w:rsidRPr="005E5740">
        <w:t xml:space="preserve"> % от годишния разчет) и 0,0</w:t>
      </w:r>
      <w:r>
        <w:t>4</w:t>
      </w:r>
      <w:r w:rsidRPr="005E5740">
        <w:t xml:space="preserve"> млн. лв. приходи от други данъци.</w:t>
      </w:r>
      <w:r w:rsidRPr="00C85F7F">
        <w:rPr>
          <w:color w:val="548DD4" w:themeColor="text2" w:themeTint="99"/>
        </w:rPr>
        <w:t xml:space="preserve"> </w:t>
      </w:r>
    </w:p>
    <w:p w14:paraId="0DEE5E6E" w14:textId="1588BB7F" w:rsidR="003A5166" w:rsidRPr="005B0F2C" w:rsidRDefault="003A5166" w:rsidP="003A5166">
      <w:pPr>
        <w:ind w:firstLine="567"/>
        <w:jc w:val="both"/>
      </w:pPr>
      <w:r w:rsidRPr="001D32F8">
        <w:t xml:space="preserve">Общият размер на </w:t>
      </w:r>
      <w:r w:rsidRPr="001D32F8">
        <w:rPr>
          <w:i/>
        </w:rPr>
        <w:t>неданъчните приходи</w:t>
      </w:r>
      <w:r w:rsidRPr="001D32F8">
        <w:t xml:space="preserve"> по  местните бюджети към 30 септември 2021 г. е</w:t>
      </w:r>
      <w:r>
        <w:rPr>
          <w:color w:val="548DD4" w:themeColor="text2" w:themeTint="99"/>
        </w:rPr>
        <w:t xml:space="preserve"> </w:t>
      </w:r>
      <w:r w:rsidRPr="005B0F2C">
        <w:t>1 142,2 млн. лв. или 79,9 % от разчетите към ЗДБРБ за 2021 г. Най-голям относителен дял заемат приходите от общински такси, които възлизат на 746,5 млн. лв. (83,6</w:t>
      </w:r>
      <w:r>
        <w:rPr>
          <w:lang w:val="en-US"/>
        </w:rPr>
        <w:t> </w:t>
      </w:r>
      <w:r w:rsidRPr="005B0F2C">
        <w:t>% от разчетените за годината),</w:t>
      </w:r>
      <w:r w:rsidRPr="00C85F7F">
        <w:rPr>
          <w:color w:val="548DD4" w:themeColor="text2" w:themeTint="99"/>
        </w:rPr>
        <w:t xml:space="preserve"> </w:t>
      </w:r>
      <w:r w:rsidRPr="005B0F2C">
        <w:t>следват приходите и доходите от собственост – 227,4</w:t>
      </w:r>
      <w:r w:rsidR="009C7BEE">
        <w:rPr>
          <w:lang w:val="en-US"/>
        </w:rPr>
        <w:t> </w:t>
      </w:r>
      <w:r w:rsidRPr="005B0F2C">
        <w:t>млн. лв. (70,7 % от разчетените за 2021 г.),</w:t>
      </w:r>
      <w:r w:rsidRPr="00C85F7F">
        <w:rPr>
          <w:color w:val="548DD4" w:themeColor="text2" w:themeTint="99"/>
        </w:rPr>
        <w:t xml:space="preserve"> </w:t>
      </w:r>
      <w:r w:rsidRPr="005B0F2C">
        <w:t>постъпленията от продажба на нефинансови активи – 89,8 млн. лв. (73,4 % от разчета за годината),</w:t>
      </w:r>
      <w:r w:rsidRPr="00C85F7F">
        <w:rPr>
          <w:color w:val="548DD4" w:themeColor="text2" w:themeTint="99"/>
        </w:rPr>
        <w:t xml:space="preserve"> </w:t>
      </w:r>
      <w:r w:rsidRPr="005B0F2C">
        <w:t>постъпленията от глоби, санкции и наказателни лихви – 59,0 млн. лв. (71,6 % от планираните) и приходите от концесии - 49,3</w:t>
      </w:r>
      <w:r w:rsidR="008D0A33">
        <w:rPr>
          <w:lang w:val="en-US"/>
        </w:rPr>
        <w:t> </w:t>
      </w:r>
      <w:r w:rsidRPr="005B0F2C">
        <w:t xml:space="preserve">млн. лв. (109,5 % от разчета за 2021 г.). </w:t>
      </w:r>
    </w:p>
    <w:p w14:paraId="0CA95EF5" w14:textId="77777777" w:rsidR="003A5166" w:rsidRPr="00C421E1" w:rsidRDefault="003A5166" w:rsidP="003A5166">
      <w:pPr>
        <w:ind w:firstLine="567"/>
        <w:jc w:val="both"/>
      </w:pPr>
      <w:r w:rsidRPr="00C421E1">
        <w:t xml:space="preserve">През отчетния период по общинските бюджети са постъпили 11,8 млн. лв. приходи от </w:t>
      </w:r>
      <w:r w:rsidRPr="00C421E1">
        <w:rPr>
          <w:i/>
        </w:rPr>
        <w:t>помощи и дарения</w:t>
      </w:r>
      <w:r w:rsidRPr="00C421E1">
        <w:t xml:space="preserve">, което е 45,1 % от разчетените за годината 26,1 млн. лева. </w:t>
      </w:r>
    </w:p>
    <w:p w14:paraId="58AC8AEF" w14:textId="77777777" w:rsidR="003A5166" w:rsidRPr="00C421E1" w:rsidRDefault="003A5166" w:rsidP="003A5166">
      <w:pPr>
        <w:numPr>
          <w:ilvl w:val="0"/>
          <w:numId w:val="8"/>
        </w:numPr>
        <w:tabs>
          <w:tab w:val="num" w:pos="540"/>
        </w:tabs>
        <w:spacing w:before="240" w:line="276" w:lineRule="auto"/>
        <w:ind w:left="714" w:hanging="147"/>
        <w:jc w:val="both"/>
        <w:rPr>
          <w:b/>
        </w:rPr>
      </w:pPr>
      <w:r w:rsidRPr="00C421E1">
        <w:rPr>
          <w:b/>
        </w:rPr>
        <w:t>Разходи</w:t>
      </w:r>
    </w:p>
    <w:p w14:paraId="6E5AD9EC" w14:textId="77777777" w:rsidR="003A5166" w:rsidRPr="00C85F7F" w:rsidRDefault="003A5166" w:rsidP="003A5166">
      <w:pPr>
        <w:ind w:firstLine="567"/>
        <w:jc w:val="both"/>
        <w:rPr>
          <w:color w:val="548DD4" w:themeColor="text2" w:themeTint="99"/>
        </w:rPr>
      </w:pPr>
      <w:r w:rsidRPr="00C421E1">
        <w:t>Към 30.09. 2021 г. общините са отчели общо разходи в размер на 5</w:t>
      </w:r>
      <w:r w:rsidRPr="00C421E1">
        <w:rPr>
          <w:lang w:val="en-US"/>
        </w:rPr>
        <w:t> </w:t>
      </w:r>
      <w:r w:rsidRPr="00C421E1">
        <w:t>916,2 млн. лв., които представляват 78,1 % спрямо разчетите по ЗДБРБ за 2021 година.</w:t>
      </w:r>
    </w:p>
    <w:p w14:paraId="2E67308A" w14:textId="77777777" w:rsidR="003A5166" w:rsidRPr="00C85F7F" w:rsidRDefault="003A5166" w:rsidP="003A5166">
      <w:pPr>
        <w:ind w:firstLine="567"/>
        <w:jc w:val="both"/>
        <w:rPr>
          <w:color w:val="548DD4" w:themeColor="text2" w:themeTint="99"/>
          <w:lang w:eastAsia="bg-BG"/>
        </w:rPr>
      </w:pPr>
      <w:r w:rsidRPr="00C421E1">
        <w:rPr>
          <w:i/>
        </w:rPr>
        <w:t>Нелихвените разходи</w:t>
      </w:r>
      <w:r w:rsidRPr="00C421E1">
        <w:t xml:space="preserve"> възлизат на 5 891,0 млн. лв. или 78,2 % от годишния разчет. Разходите за персонал (заплати и възнаграждения, други възнаграждения и плащания за персонала и осигурителни вноски) са в размер на 3 431,2 млн. лв. или 76,7 % от планираните за 2021 г. Разходите за издръжка </w:t>
      </w:r>
      <w:r w:rsidRPr="00C421E1">
        <w:rPr>
          <w:bCs/>
        </w:rPr>
        <w:t>(вкл. разходи за членски внос и участие в нетърговски организации и дейности, платени данъци, такси и административни санкции)</w:t>
      </w:r>
      <w:r w:rsidRPr="00C421E1">
        <w:t xml:space="preserve"> са в размер на</w:t>
      </w:r>
      <w:r w:rsidRPr="00C421E1">
        <w:rPr>
          <w:lang w:val="en-US"/>
        </w:rPr>
        <w:t> </w:t>
      </w:r>
      <w:r>
        <w:t>1 </w:t>
      </w:r>
      <w:r w:rsidRPr="00C421E1">
        <w:t>535</w:t>
      </w:r>
      <w:r w:rsidRPr="00C421E1">
        <w:rPr>
          <w:lang w:eastAsia="bg-BG"/>
        </w:rPr>
        <w:t>,7 млн. лв. или</w:t>
      </w:r>
      <w:r>
        <w:rPr>
          <w:color w:val="548DD4" w:themeColor="text2" w:themeTint="99"/>
          <w:lang w:eastAsia="bg-BG"/>
        </w:rPr>
        <w:t xml:space="preserve"> </w:t>
      </w:r>
      <w:r w:rsidRPr="00C421E1">
        <w:rPr>
          <w:lang w:eastAsia="bg-BG"/>
        </w:rPr>
        <w:t xml:space="preserve">87,6 % от годишния </w:t>
      </w:r>
      <w:r w:rsidRPr="00FE4AA9">
        <w:rPr>
          <w:lang w:eastAsia="bg-BG"/>
        </w:rPr>
        <w:t xml:space="preserve">разчет. Разходите за субсидии са в размер на 241,3 </w:t>
      </w:r>
      <w:r w:rsidRPr="00FE4AA9">
        <w:rPr>
          <w:lang w:eastAsia="bg-BG"/>
        </w:rPr>
        <w:lastRenderedPageBreak/>
        <w:t>млн. лева (151,5 % от годишния разчет).</w:t>
      </w:r>
      <w:r w:rsidRPr="00C85F7F">
        <w:rPr>
          <w:color w:val="548DD4" w:themeColor="text2" w:themeTint="99"/>
          <w:lang w:eastAsia="bg-BG"/>
        </w:rPr>
        <w:t xml:space="preserve"> </w:t>
      </w:r>
      <w:r w:rsidRPr="00FE4AA9">
        <w:rPr>
          <w:lang w:eastAsia="bg-BG"/>
        </w:rPr>
        <w:t>В разходите за субсидии за нефинансови предприятия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както и тези, които се предоставят по решение на общинския съвет. Като разходи за субсидии за организации с нестопанска цел се отчитат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(отчитат се в местните дейности).</w:t>
      </w:r>
      <w:r w:rsidRPr="00C85F7F">
        <w:rPr>
          <w:bCs/>
          <w:color w:val="548DD4" w:themeColor="text2" w:themeTint="99"/>
          <w:lang w:eastAsia="bg-BG"/>
        </w:rPr>
        <w:t xml:space="preserve"> </w:t>
      </w:r>
      <w:r w:rsidRPr="00511FF7">
        <w:rPr>
          <w:bCs/>
        </w:rPr>
        <w:t>Социалните разходи (</w:t>
      </w:r>
      <w:r w:rsidRPr="00511FF7">
        <w:t xml:space="preserve">текущи трансфери, обезщетения и помощи за домакинствата, </w:t>
      </w:r>
      <w:r w:rsidRPr="00511FF7">
        <w:rPr>
          <w:bCs/>
        </w:rPr>
        <w:t>вкл. разходите за стипендии)</w:t>
      </w:r>
      <w:r w:rsidRPr="00511FF7">
        <w:t xml:space="preserve"> са в размер на 118,3 млн. лв., което е 89,7 % от разчетите към ЗДБРБ за 2021 година.</w:t>
      </w:r>
    </w:p>
    <w:p w14:paraId="47BDF713" w14:textId="77777777" w:rsidR="003A5166" w:rsidRPr="00FE4AA9" w:rsidRDefault="003A5166" w:rsidP="003A5166">
      <w:pPr>
        <w:ind w:firstLine="567"/>
        <w:rPr>
          <w:lang w:eastAsia="bg-BG"/>
        </w:rPr>
      </w:pPr>
      <w:r w:rsidRPr="00FE4AA9">
        <w:rPr>
          <w:lang w:eastAsia="bg-BG"/>
        </w:rPr>
        <w:t>Капиталовите разходи са в размер на 564,4 млн. лв. или 55,4 % от разчетите към ЗДБРБ за 2021 година.</w:t>
      </w:r>
    </w:p>
    <w:p w14:paraId="5DBC5EAE" w14:textId="77777777" w:rsidR="003A5166" w:rsidRDefault="003A5166" w:rsidP="003A5166">
      <w:pPr>
        <w:ind w:firstLine="567"/>
        <w:jc w:val="both"/>
      </w:pPr>
      <w:r w:rsidRPr="00FE4AA9">
        <w:rPr>
          <w:i/>
        </w:rPr>
        <w:t>Разходите за лихви</w:t>
      </w:r>
      <w:r w:rsidRPr="000F7EA4">
        <w:t xml:space="preserve"> възлизат на 25,2 млн. лв. В сравнение със същия период на миналата година те са намалели с 1,5 млн. лв. Лихвените плащания по заеми от чужбина са в размер на 12,0 млн. лв., по облигационни заеми са 1,3 млн. лв., по заеми към местни банки и др. л</w:t>
      </w:r>
      <w:r>
        <w:t>ица от страната („ФЛАГ“ ЕАД, Фонд</w:t>
      </w:r>
      <w:r w:rsidRPr="00FE4AA9">
        <w:t xml:space="preserve"> </w:t>
      </w:r>
      <w:r>
        <w:t xml:space="preserve">„Енергийна ефективност“ </w:t>
      </w:r>
      <w:r w:rsidRPr="000F7EA4">
        <w:t xml:space="preserve"> и др.) са 9,2 млн. лв., лихвите по задължения, поети от общините под формата на финансов лизинг и търговски кредит са 0,1 млн. лв., по заеми към ЦБ и др. бюджетни организации са 0,2 млн. лв., а отчетените др. лихвени плащания (по изпълнителни листове, за забавено изпълнение по сключени договори и др.) са в размер на 2,4 млн. лв.</w:t>
      </w:r>
    </w:p>
    <w:p w14:paraId="1E891DB1" w14:textId="77777777" w:rsidR="003A5166" w:rsidRDefault="003A5166" w:rsidP="003A5166">
      <w:pPr>
        <w:ind w:firstLine="567"/>
        <w:jc w:val="both"/>
      </w:pPr>
      <w:r w:rsidRPr="00511FF7">
        <w:t>Общият размер на отчетените разходи за дофинансиране на делегираните от държавата дейности с местни приходи е 131,7 млн. лева.</w:t>
      </w:r>
    </w:p>
    <w:p w14:paraId="0D44D909" w14:textId="77777777" w:rsidR="003A5166" w:rsidRPr="00FE4AA9" w:rsidRDefault="003A5166" w:rsidP="003A5166">
      <w:pPr>
        <w:numPr>
          <w:ilvl w:val="0"/>
          <w:numId w:val="8"/>
        </w:numPr>
        <w:tabs>
          <w:tab w:val="num" w:pos="540"/>
        </w:tabs>
        <w:spacing w:before="120" w:line="276" w:lineRule="auto"/>
        <w:ind w:left="714" w:hanging="147"/>
        <w:jc w:val="both"/>
        <w:rPr>
          <w:b/>
        </w:rPr>
      </w:pPr>
      <w:r w:rsidRPr="00FE4AA9">
        <w:rPr>
          <w:b/>
        </w:rPr>
        <w:t>Финансиране</w:t>
      </w:r>
    </w:p>
    <w:p w14:paraId="2546D78F" w14:textId="77777777" w:rsidR="003A5166" w:rsidRPr="006070E8" w:rsidRDefault="003A5166" w:rsidP="00A4451B">
      <w:pPr>
        <w:pStyle w:val="BodyText"/>
        <w:widowControl w:val="0"/>
        <w:ind w:firstLine="567"/>
      </w:pPr>
      <w:r w:rsidRPr="006070E8">
        <w:t>От началото на годината до 30.09.2021</w:t>
      </w:r>
      <w:r w:rsidRPr="00DB681D">
        <w:t xml:space="preserve"> </w:t>
      </w:r>
      <w:r w:rsidRPr="006070E8">
        <w:t xml:space="preserve">г. по общинските бюджети са получени заемни средства по договори с чуждестранни кредитори в размер на </w:t>
      </w:r>
      <w:r w:rsidRPr="00FE4AA9">
        <w:t>1</w:t>
      </w:r>
      <w:r w:rsidRPr="006070E8">
        <w:t xml:space="preserve">,0 млн. лв. (получени са от община Варна по договор от 2018 г.). Изплатените главници по външните заеми за същия период са в размер на 31,5 млн. лв. (от Столична община - </w:t>
      </w:r>
      <w:r w:rsidRPr="00FE4AA9">
        <w:t>27</w:t>
      </w:r>
      <w:r w:rsidRPr="006070E8">
        <w:t>,</w:t>
      </w:r>
      <w:r w:rsidRPr="00FE4AA9">
        <w:t>0</w:t>
      </w:r>
      <w:r w:rsidRPr="006070E8">
        <w:t xml:space="preserve"> млн. лв., от община Варна – </w:t>
      </w:r>
      <w:r w:rsidRPr="00FE4AA9">
        <w:t>1</w:t>
      </w:r>
      <w:r w:rsidRPr="006070E8">
        <w:t>,8 млн. лв., от Пловдив – 1,5 млн. лв.</w:t>
      </w:r>
      <w:r w:rsidRPr="00FE4AA9">
        <w:t xml:space="preserve">, </w:t>
      </w:r>
      <w:r w:rsidRPr="006070E8">
        <w:t xml:space="preserve">Бургас – 1 млн. лв. и от община Ловеч 0,2 млн. лв.). </w:t>
      </w:r>
    </w:p>
    <w:p w14:paraId="29C83FA6" w14:textId="14564861" w:rsidR="003A5166" w:rsidRPr="00C85F7F" w:rsidRDefault="003A5166" w:rsidP="00A4451B">
      <w:pPr>
        <w:pStyle w:val="BodyText"/>
        <w:widowControl w:val="0"/>
        <w:ind w:firstLine="567"/>
        <w:rPr>
          <w:color w:val="548DD4" w:themeColor="text2" w:themeTint="99"/>
        </w:rPr>
      </w:pPr>
      <w:r w:rsidRPr="006070E8">
        <w:t>За отчетния период получените заемни средства от банки в страната са в размер на 30,5 млн. лв., а от други местни лица са 86,4 млн. лв. (в т.ч. 77,7 млн. лв. от „ФЛАГ“ ЕАД) или общо получените от страната заемни средства са 116,9 млн. лв. Изплатените главници по банкови заеми от страната са 46,5 млн. лв., а по заеми от др. лица са 70,2 млн. лв. (в т.ч. 68,1 млн. лв. към „ФЛАГ“ ЕАД ) или общо платените главници са в размер на 116,7 млн. лв. Размерът на получените от страната заемни средства за периода е по-голям от погасените, поради което нетният размер на операциите по тези заеми е положителен (0,2 млн. лв.). За същия период на 2020 г</w:t>
      </w:r>
      <w:r w:rsidRPr="0038244C">
        <w:t>.</w:t>
      </w:r>
      <w:r w:rsidRPr="006070E8">
        <w:t xml:space="preserve"> (на база тримесечен отчет), получените заемни средства от банки в страната и др. местни лица са 131,8 млн. лв., а погашенията към същите са 96,5 млн. лв.</w:t>
      </w:r>
      <w:r w:rsidR="001118FD">
        <w:t xml:space="preserve">, </w:t>
      </w:r>
      <w:r w:rsidRPr="006070E8">
        <w:t xml:space="preserve"> </w:t>
      </w:r>
      <w:r w:rsidR="001118FD">
        <w:t>като</w:t>
      </w:r>
      <w:r w:rsidR="001118FD" w:rsidRPr="006070E8">
        <w:t xml:space="preserve"> </w:t>
      </w:r>
      <w:r w:rsidRPr="006070E8">
        <w:t xml:space="preserve">нетният размер на операциите по тези заеми също е бил положителен, но в по-голям размер (35,3 млн. лв.) т.е. общините са ползвали по-голям размер заемни средства. </w:t>
      </w:r>
      <w:r w:rsidRPr="00C85F7F">
        <w:rPr>
          <w:color w:val="548DD4" w:themeColor="text2" w:themeTint="99"/>
        </w:rPr>
        <w:t xml:space="preserve"> </w:t>
      </w:r>
    </w:p>
    <w:p w14:paraId="023E8DB6" w14:textId="77777777" w:rsidR="003A5166" w:rsidRPr="00C85F7F" w:rsidRDefault="003A5166" w:rsidP="00A4451B">
      <w:pPr>
        <w:pStyle w:val="BodyText"/>
        <w:widowControl w:val="0"/>
        <w:ind w:firstLine="567"/>
        <w:rPr>
          <w:color w:val="548DD4" w:themeColor="text2" w:themeTint="99"/>
        </w:rPr>
      </w:pPr>
      <w:r w:rsidRPr="006070E8">
        <w:t xml:space="preserve">Погашенията по емитирани през предходни периоди общински ценни книжа са в размер на </w:t>
      </w:r>
      <w:r w:rsidRPr="0038244C">
        <w:t>12</w:t>
      </w:r>
      <w:r w:rsidRPr="006070E8">
        <w:t xml:space="preserve">,0 млн. лв. и са отчетени от 8 общини. За отчетния период няма емитиран нов общински дълг. </w:t>
      </w:r>
      <w:r w:rsidRPr="00C85F7F">
        <w:rPr>
          <w:color w:val="548DD4" w:themeColor="text2" w:themeTint="99"/>
        </w:rPr>
        <w:t xml:space="preserve"> </w:t>
      </w:r>
    </w:p>
    <w:p w14:paraId="34CF40C1" w14:textId="6A10BDAF" w:rsidR="003A5166" w:rsidRPr="00C85F7F" w:rsidRDefault="003A5166" w:rsidP="00A4451B">
      <w:pPr>
        <w:ind w:firstLine="567"/>
        <w:jc w:val="both"/>
        <w:rPr>
          <w:color w:val="548DD4" w:themeColor="text2" w:themeTint="99"/>
        </w:rPr>
      </w:pPr>
      <w:r w:rsidRPr="006070E8">
        <w:t>Другото финансиране /нето/ по общинските бюджети към 30.09.2021 г. е 20,2 млн. лв., като съществена част от него представлява възстановени отчисления от РИОСВ. Нетният размер за периода на задълженията и погашенията по финансов лизинг и търговски кредити, като форми на дълг, е в размер на (-0,5) млн. л</w:t>
      </w:r>
      <w:r w:rsidR="00717428">
        <w:t>е</w:t>
      </w:r>
      <w:r w:rsidRPr="006070E8">
        <w:t>в</w:t>
      </w:r>
      <w:r w:rsidR="00717428">
        <w:t>а</w:t>
      </w:r>
      <w:r w:rsidRPr="006070E8">
        <w:t>.</w:t>
      </w:r>
      <w:r w:rsidRPr="00C85F7F">
        <w:rPr>
          <w:color w:val="548DD4" w:themeColor="text2" w:themeTint="99"/>
        </w:rPr>
        <w:t xml:space="preserve"> </w:t>
      </w:r>
    </w:p>
    <w:p w14:paraId="0DF40A74" w14:textId="3EFB2830" w:rsidR="003A5166" w:rsidRDefault="003A5166" w:rsidP="00A4451B">
      <w:pPr>
        <w:ind w:firstLine="567"/>
        <w:jc w:val="both"/>
      </w:pPr>
      <w:r w:rsidRPr="006070E8">
        <w:t>Нетният размер на събраните средства и извършени плащания от общините за сметка на други бюджети, сметки и фондов</w:t>
      </w:r>
      <w:r>
        <w:t>е е в размер на (-</w:t>
      </w:r>
      <w:r w:rsidRPr="006070E8">
        <w:t>13,9) млн. л</w:t>
      </w:r>
      <w:r w:rsidR="00717428">
        <w:t>е</w:t>
      </w:r>
      <w:r w:rsidRPr="006070E8">
        <w:t>в</w:t>
      </w:r>
      <w:r w:rsidR="00717428">
        <w:t>а</w:t>
      </w:r>
      <w:r w:rsidRPr="006070E8">
        <w:t>.</w:t>
      </w:r>
    </w:p>
    <w:p w14:paraId="6641C28E" w14:textId="5B8D1D76" w:rsidR="003A5166" w:rsidRPr="00C85F7F" w:rsidRDefault="003A5166" w:rsidP="00A4451B">
      <w:pPr>
        <w:ind w:firstLine="567"/>
        <w:jc w:val="both"/>
        <w:rPr>
          <w:color w:val="548DD4" w:themeColor="text2" w:themeTint="99"/>
        </w:rPr>
      </w:pPr>
      <w:r w:rsidRPr="006070E8">
        <w:t>Към 30.09.2021 г. отчетеният от общините нетен размер на операциите по придобиване на дялове, акции и съучастия е в размер на (-1,2) млн. лв., на предоставената възмездна финансова помощ е (-2,8) млн. лв., а нетният размер на предоставените от общините кредити е (-10,3) млн. л</w:t>
      </w:r>
      <w:r w:rsidR="00717428">
        <w:t>е</w:t>
      </w:r>
      <w:r w:rsidRPr="006070E8">
        <w:t>в</w:t>
      </w:r>
      <w:r w:rsidR="00717428">
        <w:t>а</w:t>
      </w:r>
      <w:r w:rsidRPr="006070E8">
        <w:t>.</w:t>
      </w:r>
      <w:r w:rsidRPr="00C85F7F">
        <w:rPr>
          <w:color w:val="548DD4" w:themeColor="text2" w:themeTint="99"/>
        </w:rPr>
        <w:t xml:space="preserve"> </w:t>
      </w:r>
    </w:p>
    <w:p w14:paraId="03D1A731" w14:textId="4C90DD98" w:rsidR="003A5166" w:rsidRPr="00416271" w:rsidRDefault="003A5166" w:rsidP="00A4451B">
      <w:pPr>
        <w:ind w:firstLine="567"/>
        <w:jc w:val="both"/>
      </w:pPr>
      <w:r w:rsidRPr="006070E8">
        <w:t>Средствата, отчетени по общинските бюджети от приватизация, са в размер на 0,8 млн. л</w:t>
      </w:r>
      <w:r w:rsidR="000076A8">
        <w:t>е</w:t>
      </w:r>
      <w:r w:rsidRPr="006070E8">
        <w:t>в</w:t>
      </w:r>
      <w:r w:rsidR="000076A8">
        <w:t>а</w:t>
      </w:r>
      <w:r w:rsidRPr="006070E8">
        <w:t>.</w:t>
      </w:r>
    </w:p>
    <w:p w14:paraId="1D07C1F8" w14:textId="53E63C79" w:rsidR="003A5166" w:rsidRPr="00416271" w:rsidRDefault="003A5166" w:rsidP="00A4451B">
      <w:pPr>
        <w:ind w:firstLine="567"/>
        <w:jc w:val="both"/>
        <w:rPr>
          <w:lang w:eastAsia="bg-BG"/>
        </w:rPr>
      </w:pPr>
      <w:r w:rsidRPr="00416271">
        <w:rPr>
          <w:lang w:eastAsia="bg-BG"/>
        </w:rPr>
        <w:lastRenderedPageBreak/>
        <w:t xml:space="preserve">Общините приключиха </w:t>
      </w:r>
      <w:r w:rsidR="009B73F9">
        <w:rPr>
          <w:lang w:eastAsia="bg-BG"/>
        </w:rPr>
        <w:t>деветмесечието</w:t>
      </w:r>
      <w:r w:rsidRPr="00416271">
        <w:rPr>
          <w:lang w:eastAsia="bg-BG"/>
        </w:rPr>
        <w:t xml:space="preserve"> на 2021 г. с бюджетни наличности (по банкови сметки и в каса) в размер на </w:t>
      </w:r>
      <w:r w:rsidRPr="00416271">
        <w:t>1 710,4 млн. лв.</w:t>
      </w:r>
      <w:r w:rsidRPr="00416271">
        <w:rPr>
          <w:lang w:eastAsia="bg-BG"/>
        </w:rPr>
        <w:t>, като 709,6 млн. лв. (41,5 %) са отчетени като остатък в делегираните от държавата дейности.</w:t>
      </w:r>
    </w:p>
    <w:p w14:paraId="5EF26E38" w14:textId="77777777" w:rsidR="002C4D33" w:rsidRPr="00C85F7F" w:rsidRDefault="002C4D33" w:rsidP="00FD362E">
      <w:pPr>
        <w:pStyle w:val="BodyText"/>
        <w:spacing w:after="120"/>
        <w:ind w:firstLine="567"/>
        <w:rPr>
          <w:color w:val="548DD4" w:themeColor="text2" w:themeTint="99"/>
          <w:sz w:val="18"/>
          <w:szCs w:val="12"/>
        </w:rPr>
      </w:pPr>
    </w:p>
    <w:p w14:paraId="157B38AE" w14:textId="77777777" w:rsidR="007C1025" w:rsidRPr="00454BF6" w:rsidRDefault="007C1025" w:rsidP="004821BF">
      <w:pPr>
        <w:pStyle w:val="Heading1"/>
        <w:numPr>
          <w:ilvl w:val="1"/>
          <w:numId w:val="10"/>
        </w:numPr>
        <w:spacing w:before="240"/>
        <w:ind w:left="788" w:right="-108" w:hanging="431"/>
        <w:jc w:val="both"/>
        <w:rPr>
          <w:sz w:val="24"/>
        </w:rPr>
      </w:pPr>
      <w:r w:rsidRPr="00454BF6">
        <w:rPr>
          <w:sz w:val="24"/>
        </w:rPr>
        <w:t>Бюджети на Българската национална телевизия (БНТ), Българското национално радио (БНР) и Българската телеграфна агенция (БТА)</w:t>
      </w:r>
    </w:p>
    <w:p w14:paraId="333A38FD" w14:textId="0BD99C5F" w:rsidR="00C42FA8" w:rsidRPr="00C85F7F" w:rsidRDefault="00C42FA8" w:rsidP="00C42FA8">
      <w:pPr>
        <w:spacing w:before="240"/>
        <w:ind w:firstLine="567"/>
        <w:jc w:val="both"/>
        <w:rPr>
          <w:color w:val="548DD4" w:themeColor="text2" w:themeTint="99"/>
          <w:szCs w:val="20"/>
        </w:rPr>
      </w:pPr>
      <w:r w:rsidRPr="007E63F5">
        <w:rPr>
          <w:b/>
        </w:rPr>
        <w:t>Приходите на БНТ</w:t>
      </w:r>
      <w:r w:rsidRPr="007E63F5">
        <w:t xml:space="preserve"> към 30.0</w:t>
      </w:r>
      <w:r w:rsidR="007E63F5" w:rsidRPr="007E63F5">
        <w:t>9</w:t>
      </w:r>
      <w:r w:rsidRPr="007E63F5">
        <w:t xml:space="preserve">.2021 г. са в размер на </w:t>
      </w:r>
      <w:r w:rsidR="007E63F5" w:rsidRPr="007E63F5">
        <w:t>7</w:t>
      </w:r>
      <w:r w:rsidRPr="007E63F5">
        <w:t>,</w:t>
      </w:r>
      <w:r w:rsidR="007E63F5" w:rsidRPr="007E63F5">
        <w:t>8</w:t>
      </w:r>
      <w:r w:rsidRPr="007E63F5">
        <w:t xml:space="preserve"> млн. лв. при планирани за годината 7,5 млн. лв. или за отчетния период са постъпили </w:t>
      </w:r>
      <w:r w:rsidR="007E63F5" w:rsidRPr="007E63F5">
        <w:t>103</w:t>
      </w:r>
      <w:r w:rsidRPr="007E63F5">
        <w:t>,</w:t>
      </w:r>
      <w:r w:rsidR="007E63F5" w:rsidRPr="007E63F5">
        <w:t>5</w:t>
      </w:r>
      <w:r w:rsidRPr="007E63F5">
        <w:t xml:space="preserve"> % от планираните за годината. </w:t>
      </w:r>
      <w:r w:rsidRPr="007E63F5">
        <w:rPr>
          <w:szCs w:val="20"/>
        </w:rPr>
        <w:t>Отчетените неданъчни приходи са постъпления от продажба на услуги, стоки и продукция (реклама, спонсорство, технически услуги, почивно дело, продажба на програми) и</w:t>
      </w:r>
      <w:r w:rsidRPr="007E63F5">
        <w:rPr>
          <w:b/>
          <w:szCs w:val="20"/>
        </w:rPr>
        <w:t xml:space="preserve"> </w:t>
      </w:r>
      <w:r w:rsidRPr="007E63F5">
        <w:rPr>
          <w:szCs w:val="20"/>
        </w:rPr>
        <w:t>наеми на имущество.</w:t>
      </w:r>
      <w:r w:rsidR="007E63F5" w:rsidRPr="007E63F5">
        <w:rPr>
          <w:szCs w:val="20"/>
        </w:rPr>
        <w:t xml:space="preserve"> </w:t>
      </w:r>
      <w:r w:rsidR="007E63F5" w:rsidRPr="00A76F64">
        <w:rPr>
          <w:szCs w:val="20"/>
        </w:rPr>
        <w:t>Преизпълнението на приходите спрямо заложените им стойности в разчетите към ЗДБРБ за 2021 г. се дължи на отчетени по-високи постъпления от рекламна дейност и участия в предизборни форми.</w:t>
      </w:r>
    </w:p>
    <w:p w14:paraId="5BA90A37" w14:textId="7D5EEEC5" w:rsidR="00C42FA8" w:rsidRPr="00C85F7F" w:rsidRDefault="00C42FA8" w:rsidP="00C42FA8">
      <w:pPr>
        <w:ind w:firstLine="567"/>
        <w:jc w:val="both"/>
        <w:rPr>
          <w:color w:val="548DD4" w:themeColor="text2" w:themeTint="99"/>
        </w:rPr>
      </w:pPr>
      <w:r w:rsidRPr="007E63F5">
        <w:t xml:space="preserve">Отчетените </w:t>
      </w:r>
      <w:r w:rsidRPr="00656BCE">
        <w:rPr>
          <w:b/>
        </w:rPr>
        <w:t>разходи</w:t>
      </w:r>
      <w:r w:rsidRPr="00656BCE">
        <w:t xml:space="preserve"> </w:t>
      </w:r>
      <w:r w:rsidRPr="00656BCE">
        <w:rPr>
          <w:b/>
        </w:rPr>
        <w:t>на БНТ</w:t>
      </w:r>
      <w:r w:rsidRPr="00656BCE">
        <w:t xml:space="preserve"> към 30.0</w:t>
      </w:r>
      <w:r w:rsidR="007E63F5" w:rsidRPr="00656BCE">
        <w:t>9</w:t>
      </w:r>
      <w:r w:rsidRPr="00656BCE">
        <w:t xml:space="preserve">.2021 г. са в размер на </w:t>
      </w:r>
      <w:r w:rsidR="007E63F5" w:rsidRPr="00656BCE">
        <w:t>80</w:t>
      </w:r>
      <w:r w:rsidRPr="00656BCE">
        <w:t>,</w:t>
      </w:r>
      <w:r w:rsidR="007E63F5" w:rsidRPr="00656BCE">
        <w:t>0</w:t>
      </w:r>
      <w:r w:rsidRPr="00656BCE">
        <w:t xml:space="preserve"> млн. лв. или </w:t>
      </w:r>
      <w:r w:rsidR="007E63F5" w:rsidRPr="00656BCE">
        <w:t>8</w:t>
      </w:r>
      <w:r w:rsidRPr="00656BCE">
        <w:t>8,</w:t>
      </w:r>
      <w:r w:rsidR="007E63F5" w:rsidRPr="00656BCE">
        <w:t>3</w:t>
      </w:r>
      <w:r w:rsidRPr="00656BCE">
        <w:t xml:space="preserve"> % от предвидените разходи в годишния разчет. </w:t>
      </w:r>
      <w:r w:rsidRPr="00656BCE">
        <w:rPr>
          <w:szCs w:val="20"/>
        </w:rPr>
        <w:t xml:space="preserve">За периода са отчетени </w:t>
      </w:r>
      <w:r w:rsidR="00656BCE" w:rsidRPr="00656BCE">
        <w:rPr>
          <w:szCs w:val="20"/>
        </w:rPr>
        <w:t>72</w:t>
      </w:r>
      <w:r w:rsidRPr="00656BCE">
        <w:rPr>
          <w:szCs w:val="20"/>
        </w:rPr>
        <w:t>,</w:t>
      </w:r>
      <w:r w:rsidR="00656BCE" w:rsidRPr="00656BCE">
        <w:rPr>
          <w:szCs w:val="20"/>
        </w:rPr>
        <w:t>5</w:t>
      </w:r>
      <w:r w:rsidRPr="00656BCE">
        <w:rPr>
          <w:szCs w:val="20"/>
        </w:rPr>
        <w:t xml:space="preserve"> млн. лв. текущи разходи и </w:t>
      </w:r>
      <w:r w:rsidR="00656BCE" w:rsidRPr="00656BCE">
        <w:rPr>
          <w:szCs w:val="20"/>
        </w:rPr>
        <w:t>7</w:t>
      </w:r>
      <w:r w:rsidRPr="00656BCE">
        <w:rPr>
          <w:szCs w:val="20"/>
        </w:rPr>
        <w:t>,</w:t>
      </w:r>
      <w:r w:rsidR="00656BCE" w:rsidRPr="00656BCE">
        <w:rPr>
          <w:szCs w:val="20"/>
        </w:rPr>
        <w:t>5</w:t>
      </w:r>
      <w:r w:rsidRPr="00656BCE">
        <w:rPr>
          <w:szCs w:val="20"/>
        </w:rPr>
        <w:t xml:space="preserve"> млн. лв. капиталови разходи. </w:t>
      </w:r>
      <w:r w:rsidR="00963DFD" w:rsidRPr="00656BCE">
        <w:rPr>
          <w:szCs w:val="20"/>
        </w:rPr>
        <w:t>По бюджета на БНТ, в частта на финансирането, са отчетени погашения по търговски кредит в размер на 1,4 млн. лв. (погашения на задължения по договори от предходната година за отстъпени права за излъчване на чужди програми)</w:t>
      </w:r>
      <w:r w:rsidR="009819DD" w:rsidRPr="00656BCE">
        <w:rPr>
          <w:szCs w:val="20"/>
        </w:rPr>
        <w:t xml:space="preserve">. </w:t>
      </w:r>
      <w:r w:rsidRPr="00656BCE">
        <w:rPr>
          <w:szCs w:val="20"/>
        </w:rPr>
        <w:t xml:space="preserve">В разпределението на разходите по бюджета на обществената медия е включен преходният остатък за 2020 г. (съгл. чл. 70, ал. 6 от Закона за радиото и телевизията) в размер на 1,2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14:paraId="7EF9C4AE" w14:textId="7E7D74F5" w:rsidR="00C6265E" w:rsidRPr="00C85F7F" w:rsidRDefault="00C42FA8" w:rsidP="004C4755">
      <w:pPr>
        <w:ind w:firstLine="567"/>
        <w:jc w:val="both"/>
        <w:rPr>
          <w:color w:val="548DD4" w:themeColor="text2" w:themeTint="99"/>
          <w:szCs w:val="20"/>
        </w:rPr>
      </w:pPr>
      <w:r w:rsidRPr="00F97F50">
        <w:t xml:space="preserve">Общо утвърдените </w:t>
      </w:r>
      <w:r w:rsidRPr="00F97F50">
        <w:rPr>
          <w:b/>
          <w:i/>
        </w:rPr>
        <w:t>бюджетни взаимоотношения на БНТ с централния бюджет</w:t>
      </w:r>
      <w:r w:rsidRPr="00F97F50">
        <w:t xml:space="preserve"> за 2021 г. са в размер на </w:t>
      </w:r>
      <w:r w:rsidR="00DA45C1" w:rsidRPr="00F97F50">
        <w:rPr>
          <w:szCs w:val="20"/>
        </w:rPr>
        <w:t>10</w:t>
      </w:r>
      <w:r w:rsidR="00F97F50" w:rsidRPr="00F97F50">
        <w:rPr>
          <w:szCs w:val="20"/>
        </w:rPr>
        <w:t>3</w:t>
      </w:r>
      <w:r w:rsidR="00DA45C1" w:rsidRPr="00F97F50">
        <w:rPr>
          <w:szCs w:val="20"/>
        </w:rPr>
        <w:t>,</w:t>
      </w:r>
      <w:r w:rsidR="00F97F50" w:rsidRPr="00F97F50">
        <w:rPr>
          <w:szCs w:val="20"/>
        </w:rPr>
        <w:t>4</w:t>
      </w:r>
      <w:r w:rsidR="00DA45C1" w:rsidRPr="00F97F50">
        <w:rPr>
          <w:szCs w:val="20"/>
        </w:rPr>
        <w:t xml:space="preserve"> млн. лв.</w:t>
      </w:r>
      <w:r w:rsidR="0084705A" w:rsidRPr="00F97F50">
        <w:rPr>
          <w:szCs w:val="20"/>
        </w:rPr>
        <w:t>, в т.ч.: 81,</w:t>
      </w:r>
      <w:r w:rsidR="00F97F50" w:rsidRPr="00F97F50">
        <w:rPr>
          <w:szCs w:val="20"/>
        </w:rPr>
        <w:t>0</w:t>
      </w:r>
      <w:r w:rsidR="0084705A" w:rsidRPr="00F97F50">
        <w:rPr>
          <w:szCs w:val="20"/>
        </w:rPr>
        <w:t xml:space="preserve"> млн. лв. по</w:t>
      </w:r>
      <w:r w:rsidR="00DA45C1" w:rsidRPr="00F97F50">
        <w:rPr>
          <w:szCs w:val="20"/>
        </w:rPr>
        <w:t xml:space="preserve"> чл. 48, т. 2 от ЗДБРБ за 2021 г. и одобрени допълнителни трансфери по реда на чл. 109, ал. 3 от Закона за публичните финанси в размер на 2</w:t>
      </w:r>
      <w:r w:rsidR="00F97F50" w:rsidRPr="00F97F50">
        <w:rPr>
          <w:szCs w:val="20"/>
        </w:rPr>
        <w:t>2</w:t>
      </w:r>
      <w:r w:rsidR="00DA45C1" w:rsidRPr="00F97F50">
        <w:rPr>
          <w:szCs w:val="20"/>
        </w:rPr>
        <w:t>,4 млн. лв. съгласно ПМС № 41 от 2021 г.; ПМС № 149 от 2021 г., ПМС № 188 от 2021 г.</w:t>
      </w:r>
      <w:r w:rsidR="00F97F50" w:rsidRPr="00F97F50">
        <w:rPr>
          <w:szCs w:val="20"/>
        </w:rPr>
        <w:t xml:space="preserve">, ПМС № 305 от 2021 г. </w:t>
      </w:r>
      <w:r w:rsidR="00DA45C1" w:rsidRPr="00F97F50">
        <w:rPr>
          <w:szCs w:val="20"/>
        </w:rPr>
        <w:t xml:space="preserve"> и ПМС № 408 от 2020 г. </w:t>
      </w:r>
      <w:r w:rsidR="00C6265E" w:rsidRPr="00F97F50">
        <w:rPr>
          <w:szCs w:val="20"/>
        </w:rPr>
        <w:t xml:space="preserve">За отчетния период е усвоена сума </w:t>
      </w:r>
      <w:r w:rsidR="0084705A" w:rsidRPr="00F97F50">
        <w:rPr>
          <w:szCs w:val="20"/>
        </w:rPr>
        <w:t xml:space="preserve">в размер на </w:t>
      </w:r>
      <w:r w:rsidR="00F97F50" w:rsidRPr="00F97F50">
        <w:rPr>
          <w:szCs w:val="20"/>
        </w:rPr>
        <w:t>8</w:t>
      </w:r>
      <w:r w:rsidR="0084705A" w:rsidRPr="00F97F50">
        <w:rPr>
          <w:szCs w:val="20"/>
        </w:rPr>
        <w:t>0,</w:t>
      </w:r>
      <w:r w:rsidR="00F97F50" w:rsidRPr="00F97F50">
        <w:rPr>
          <w:szCs w:val="20"/>
        </w:rPr>
        <w:t>1</w:t>
      </w:r>
      <w:r w:rsidR="0084705A" w:rsidRPr="00F97F50">
        <w:rPr>
          <w:szCs w:val="20"/>
        </w:rPr>
        <w:t xml:space="preserve"> млн. лв. или </w:t>
      </w:r>
      <w:r w:rsidR="00F97F50" w:rsidRPr="00F97F50">
        <w:rPr>
          <w:szCs w:val="20"/>
        </w:rPr>
        <w:t xml:space="preserve">77,4 % от размера на бюджетните взаимоотношения на БНТ с централния бюджет по уточнен план. </w:t>
      </w:r>
    </w:p>
    <w:p w14:paraId="4EFB4C35" w14:textId="49127F0B" w:rsidR="00C42FA8" w:rsidRPr="00C85F7F" w:rsidRDefault="00C42FA8" w:rsidP="00AE0C3A">
      <w:pPr>
        <w:spacing w:before="240"/>
        <w:ind w:firstLine="567"/>
        <w:jc w:val="both"/>
        <w:rPr>
          <w:color w:val="548DD4" w:themeColor="text2" w:themeTint="99"/>
        </w:rPr>
      </w:pPr>
      <w:r w:rsidRPr="00234B56">
        <w:rPr>
          <w:szCs w:val="20"/>
        </w:rPr>
        <w:t xml:space="preserve">  </w:t>
      </w:r>
      <w:r w:rsidRPr="00234B56">
        <w:rPr>
          <w:b/>
        </w:rPr>
        <w:t>Приходите по бюджета на БНР</w:t>
      </w:r>
      <w:r w:rsidRPr="00234B56">
        <w:t xml:space="preserve"> към 30.0</w:t>
      </w:r>
      <w:r w:rsidR="00234B56" w:rsidRPr="00234B56">
        <w:t>9</w:t>
      </w:r>
      <w:r w:rsidRPr="00234B56">
        <w:t xml:space="preserve">.2021 г. са в размер на </w:t>
      </w:r>
      <w:r w:rsidR="00234B56" w:rsidRPr="00234B56">
        <w:t>1</w:t>
      </w:r>
      <w:r w:rsidRPr="00234B56">
        <w:t>,</w:t>
      </w:r>
      <w:r w:rsidR="00234B56" w:rsidRPr="00234B56">
        <w:t>1</w:t>
      </w:r>
      <w:r w:rsidRPr="00234B56">
        <w:t xml:space="preserve"> млн. лв., което представлява </w:t>
      </w:r>
      <w:r w:rsidR="00234B56" w:rsidRPr="00234B56">
        <w:t>51</w:t>
      </w:r>
      <w:r w:rsidRPr="00234B56">
        <w:t>,</w:t>
      </w:r>
      <w:r w:rsidR="00234B56" w:rsidRPr="00234B56">
        <w:t>5</w:t>
      </w:r>
      <w:r w:rsidRPr="00234B56">
        <w:t xml:space="preserve"> % от планираните за годината 2,1 млн. лв.</w:t>
      </w:r>
      <w:r w:rsidRPr="00234B56">
        <w:rPr>
          <w:szCs w:val="20"/>
        </w:rPr>
        <w:t xml:space="preserve"> Отчетените приходи са постъпления от продажба на услуги, стоки и продукция (реклама, спонсорство, технически услуги, съвместни продукции, приходи от концертна дейност, издателска и лицензионна дейност и др.), наеми на имущество и др.</w:t>
      </w:r>
    </w:p>
    <w:p w14:paraId="19A776FB" w14:textId="11D15774" w:rsidR="00C42FA8" w:rsidRPr="00C66F50" w:rsidRDefault="00C42FA8" w:rsidP="00D7130C">
      <w:pPr>
        <w:ind w:firstLine="567"/>
        <w:jc w:val="both"/>
        <w:rPr>
          <w:szCs w:val="20"/>
        </w:rPr>
      </w:pPr>
      <w:r w:rsidRPr="00234B56">
        <w:rPr>
          <w:szCs w:val="20"/>
        </w:rPr>
        <w:t xml:space="preserve">Изпълнението на </w:t>
      </w:r>
      <w:r w:rsidRPr="00234B56">
        <w:rPr>
          <w:b/>
          <w:szCs w:val="20"/>
        </w:rPr>
        <w:t>разходите</w:t>
      </w:r>
      <w:r w:rsidRPr="00234B56">
        <w:rPr>
          <w:szCs w:val="20"/>
        </w:rPr>
        <w:t xml:space="preserve"> </w:t>
      </w:r>
      <w:r w:rsidRPr="00234B56">
        <w:rPr>
          <w:b/>
          <w:szCs w:val="20"/>
        </w:rPr>
        <w:t>по бюджета на</w:t>
      </w:r>
      <w:r w:rsidRPr="00234B56">
        <w:rPr>
          <w:szCs w:val="20"/>
        </w:rPr>
        <w:t xml:space="preserve"> </w:t>
      </w:r>
      <w:r w:rsidRPr="00234B56">
        <w:rPr>
          <w:b/>
          <w:szCs w:val="20"/>
        </w:rPr>
        <w:t xml:space="preserve">БНР </w:t>
      </w:r>
      <w:r w:rsidRPr="00234B56">
        <w:rPr>
          <w:szCs w:val="20"/>
        </w:rPr>
        <w:t xml:space="preserve">възлиза на </w:t>
      </w:r>
      <w:r w:rsidR="00234B56" w:rsidRPr="00234B56">
        <w:rPr>
          <w:szCs w:val="20"/>
        </w:rPr>
        <w:t>37</w:t>
      </w:r>
      <w:r w:rsidRPr="00234B56">
        <w:rPr>
          <w:szCs w:val="20"/>
        </w:rPr>
        <w:t>,</w:t>
      </w:r>
      <w:r w:rsidR="00234B56" w:rsidRPr="00234B56">
        <w:rPr>
          <w:szCs w:val="20"/>
        </w:rPr>
        <w:t>1</w:t>
      </w:r>
      <w:r w:rsidRPr="00234B56">
        <w:rPr>
          <w:szCs w:val="20"/>
        </w:rPr>
        <w:t xml:space="preserve"> млн. лв. или </w:t>
      </w:r>
      <w:r w:rsidR="00234B56" w:rsidRPr="00234B56">
        <w:rPr>
          <w:szCs w:val="20"/>
        </w:rPr>
        <w:t>65</w:t>
      </w:r>
      <w:r w:rsidRPr="00234B56">
        <w:rPr>
          <w:szCs w:val="20"/>
        </w:rPr>
        <w:t>,</w:t>
      </w:r>
      <w:r w:rsidR="00234B56" w:rsidRPr="00234B56">
        <w:rPr>
          <w:szCs w:val="20"/>
        </w:rPr>
        <w:t>3</w:t>
      </w:r>
      <w:r w:rsidRPr="00234B56">
        <w:rPr>
          <w:szCs w:val="20"/>
        </w:rPr>
        <w:t xml:space="preserve"> % </w:t>
      </w:r>
      <w:r w:rsidRPr="00234B56">
        <w:t xml:space="preserve">от годишния разчет по ЗДБРБ за 2021 г. </w:t>
      </w:r>
      <w:r w:rsidRPr="00234B56">
        <w:rPr>
          <w:szCs w:val="20"/>
        </w:rPr>
        <w:t xml:space="preserve">За периода са отчетени </w:t>
      </w:r>
      <w:r w:rsidR="001E46DF">
        <w:rPr>
          <w:szCs w:val="20"/>
        </w:rPr>
        <w:t>36,0</w:t>
      </w:r>
      <w:r w:rsidRPr="00234B56">
        <w:rPr>
          <w:szCs w:val="20"/>
        </w:rPr>
        <w:t xml:space="preserve"> млн. лв. текущи разходи и </w:t>
      </w:r>
      <w:r w:rsidR="00234B56" w:rsidRPr="00234B56">
        <w:rPr>
          <w:szCs w:val="20"/>
        </w:rPr>
        <w:t>1</w:t>
      </w:r>
      <w:r w:rsidRPr="00234B56">
        <w:rPr>
          <w:szCs w:val="20"/>
        </w:rPr>
        <w:t>,</w:t>
      </w:r>
      <w:r w:rsidR="00234B56" w:rsidRPr="00234B56">
        <w:rPr>
          <w:szCs w:val="20"/>
        </w:rPr>
        <w:t>1</w:t>
      </w:r>
      <w:r w:rsidRPr="00234B56">
        <w:rPr>
          <w:szCs w:val="20"/>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w:t>
      </w:r>
      <w:r w:rsidRPr="00C85F7F">
        <w:rPr>
          <w:color w:val="548DD4" w:themeColor="text2" w:themeTint="99"/>
          <w:szCs w:val="20"/>
        </w:rPr>
        <w:t xml:space="preserve"> </w:t>
      </w:r>
      <w:r w:rsidRPr="00234B56">
        <w:rPr>
          <w:szCs w:val="20"/>
        </w:rPr>
        <w:t xml:space="preserve">В разпределението на разходите по бюджета на БНР е включен преходният остатък за 2020 г. (съгл. чл. 70, ал. 6 от Закона </w:t>
      </w:r>
      <w:r w:rsidRPr="00C66F50">
        <w:rPr>
          <w:szCs w:val="20"/>
        </w:rPr>
        <w:t xml:space="preserve">за радиото и телевизията) в размер на 0,4 млн. лева. </w:t>
      </w:r>
    </w:p>
    <w:p w14:paraId="488C39F9" w14:textId="154C8D92" w:rsidR="00C42FA8" w:rsidRPr="00C85F7F" w:rsidRDefault="00C42FA8" w:rsidP="00104438">
      <w:pPr>
        <w:ind w:firstLine="567"/>
        <w:jc w:val="both"/>
        <w:rPr>
          <w:color w:val="548DD4" w:themeColor="text2" w:themeTint="99"/>
          <w:szCs w:val="20"/>
        </w:rPr>
      </w:pPr>
      <w:r w:rsidRPr="00C66F50">
        <w:t>Общо утвърдените</w:t>
      </w:r>
      <w:r w:rsidRPr="00C66F50">
        <w:rPr>
          <w:b/>
        </w:rPr>
        <w:t xml:space="preserve"> </w:t>
      </w:r>
      <w:r w:rsidRPr="00C66F50">
        <w:rPr>
          <w:b/>
          <w:i/>
          <w:szCs w:val="20"/>
        </w:rPr>
        <w:t>бюджетни взаимоотношения на БНР с централния бюджет</w:t>
      </w:r>
      <w:r w:rsidRPr="00C66F50">
        <w:rPr>
          <w:szCs w:val="20"/>
        </w:rPr>
        <w:t xml:space="preserve"> за 2021 г. са в размер на </w:t>
      </w:r>
      <w:r w:rsidR="002E5788" w:rsidRPr="00C66F50">
        <w:rPr>
          <w:szCs w:val="20"/>
        </w:rPr>
        <w:t>54,4 млн. лв.</w:t>
      </w:r>
      <w:r w:rsidR="0053102C" w:rsidRPr="00C66F50">
        <w:rPr>
          <w:szCs w:val="20"/>
        </w:rPr>
        <w:t>, в т.ч.: 53,2 млн. лв. по</w:t>
      </w:r>
      <w:r w:rsidR="002E5788" w:rsidRPr="00C66F50">
        <w:rPr>
          <w:szCs w:val="20"/>
        </w:rPr>
        <w:t xml:space="preserve"> чл. 48, т. 1 от ЗДБРБ за 2021 г. и одобрени допълнителни трансфери по реда на чл. 109, ал. 3 от Закона за публичните финанси в размер на 1,1 млн. лв. съгласно ПМС № 41 от 2021 г. и ПМС № 188 от 2021 г. </w:t>
      </w:r>
      <w:r w:rsidR="00BD06A9" w:rsidRPr="00C66F50">
        <w:rPr>
          <w:szCs w:val="20"/>
        </w:rPr>
        <w:t xml:space="preserve">За отчетния период е усвоена сума в размер на </w:t>
      </w:r>
      <w:r w:rsidR="00C66F50" w:rsidRPr="00C66F50">
        <w:rPr>
          <w:szCs w:val="20"/>
        </w:rPr>
        <w:t>40</w:t>
      </w:r>
      <w:r w:rsidR="00BD06A9" w:rsidRPr="00C66F50">
        <w:rPr>
          <w:szCs w:val="20"/>
        </w:rPr>
        <w:t>,</w:t>
      </w:r>
      <w:r w:rsidR="00C66F50" w:rsidRPr="00C66F50">
        <w:rPr>
          <w:szCs w:val="20"/>
        </w:rPr>
        <w:t>6</w:t>
      </w:r>
      <w:r w:rsidR="00BD06A9" w:rsidRPr="00C66F50">
        <w:rPr>
          <w:szCs w:val="20"/>
        </w:rPr>
        <w:t xml:space="preserve"> млн. лв. </w:t>
      </w:r>
      <w:r w:rsidR="00C66F50" w:rsidRPr="00C66F50">
        <w:rPr>
          <w:szCs w:val="20"/>
        </w:rPr>
        <w:t xml:space="preserve">или 74,7% от размера на бюджетните взаимоотношения на БНР с централния бюджет по уточнен план. </w:t>
      </w:r>
    </w:p>
    <w:p w14:paraId="4698E78A" w14:textId="055E956A" w:rsidR="00C42FA8" w:rsidRPr="00C85F7F" w:rsidRDefault="00C42FA8" w:rsidP="00C42FA8">
      <w:pPr>
        <w:spacing w:before="240"/>
        <w:ind w:firstLine="567"/>
        <w:jc w:val="both"/>
        <w:rPr>
          <w:b/>
          <w:color w:val="548DD4" w:themeColor="text2" w:themeTint="99"/>
          <w:szCs w:val="20"/>
        </w:rPr>
      </w:pPr>
      <w:r w:rsidRPr="008B6CF2">
        <w:rPr>
          <w:b/>
          <w:szCs w:val="20"/>
        </w:rPr>
        <w:t xml:space="preserve">Приходите на БТА </w:t>
      </w:r>
      <w:r w:rsidRPr="008B6CF2">
        <w:rPr>
          <w:szCs w:val="20"/>
        </w:rPr>
        <w:t>към 30.0</w:t>
      </w:r>
      <w:r w:rsidR="008B6CF2" w:rsidRPr="008B6CF2">
        <w:rPr>
          <w:szCs w:val="20"/>
        </w:rPr>
        <w:t>9.2021 г. са 0,8</w:t>
      </w:r>
      <w:r w:rsidRPr="008B6CF2">
        <w:rPr>
          <w:szCs w:val="20"/>
        </w:rPr>
        <w:t xml:space="preserve"> млн. лв. или </w:t>
      </w:r>
      <w:r w:rsidR="008B6CF2" w:rsidRPr="008B6CF2">
        <w:rPr>
          <w:szCs w:val="20"/>
        </w:rPr>
        <w:t>65</w:t>
      </w:r>
      <w:r w:rsidRPr="008B6CF2">
        <w:rPr>
          <w:szCs w:val="20"/>
        </w:rPr>
        <w:t>,</w:t>
      </w:r>
      <w:r w:rsidR="008B6CF2" w:rsidRPr="008B6CF2">
        <w:rPr>
          <w:szCs w:val="20"/>
        </w:rPr>
        <w:t>6</w:t>
      </w:r>
      <w:r w:rsidRPr="008B6CF2">
        <w:rPr>
          <w:szCs w:val="20"/>
        </w:rPr>
        <w:t xml:space="preserve"> % от предвидените за годината, като това са основно </w:t>
      </w:r>
      <w:r w:rsidR="008B6CF2" w:rsidRPr="008B6CF2">
        <w:t>приходи от продажба на услуги</w:t>
      </w:r>
      <w:r w:rsidR="008B6CF2">
        <w:t>, стоки и продукция.</w:t>
      </w:r>
      <w:r w:rsidRPr="00C85F7F">
        <w:rPr>
          <w:color w:val="548DD4" w:themeColor="text2" w:themeTint="99"/>
          <w:szCs w:val="20"/>
        </w:rPr>
        <w:t xml:space="preserve"> </w:t>
      </w:r>
    </w:p>
    <w:p w14:paraId="72F76A0D" w14:textId="39CF8439" w:rsidR="00C42FA8" w:rsidRPr="00971A6B" w:rsidRDefault="00C42FA8" w:rsidP="00C42FA8">
      <w:pPr>
        <w:ind w:firstLine="567"/>
        <w:jc w:val="both"/>
        <w:rPr>
          <w:szCs w:val="20"/>
        </w:rPr>
      </w:pPr>
      <w:r w:rsidRPr="00971A6B">
        <w:rPr>
          <w:b/>
          <w:szCs w:val="20"/>
        </w:rPr>
        <w:lastRenderedPageBreak/>
        <w:t xml:space="preserve">Отчетените разходи на </w:t>
      </w:r>
      <w:r w:rsidRPr="00971A6B">
        <w:rPr>
          <w:szCs w:val="20"/>
        </w:rPr>
        <w:t xml:space="preserve">БТА за периода са </w:t>
      </w:r>
      <w:r w:rsidR="00971A6B" w:rsidRPr="00971A6B">
        <w:rPr>
          <w:szCs w:val="20"/>
        </w:rPr>
        <w:t>6</w:t>
      </w:r>
      <w:r w:rsidRPr="00971A6B">
        <w:rPr>
          <w:szCs w:val="20"/>
        </w:rPr>
        <w:t>,</w:t>
      </w:r>
      <w:r w:rsidR="00971A6B" w:rsidRPr="00971A6B">
        <w:rPr>
          <w:szCs w:val="20"/>
        </w:rPr>
        <w:t>5</w:t>
      </w:r>
      <w:r w:rsidRPr="00971A6B">
        <w:rPr>
          <w:szCs w:val="20"/>
        </w:rPr>
        <w:t xml:space="preserve"> млн. лв., което е </w:t>
      </w:r>
      <w:r w:rsidR="00971A6B" w:rsidRPr="00971A6B">
        <w:rPr>
          <w:szCs w:val="20"/>
        </w:rPr>
        <w:t>82</w:t>
      </w:r>
      <w:r w:rsidRPr="00971A6B">
        <w:rPr>
          <w:szCs w:val="20"/>
        </w:rPr>
        <w:t>,</w:t>
      </w:r>
      <w:r w:rsidR="00971A6B" w:rsidRPr="00971A6B">
        <w:rPr>
          <w:szCs w:val="20"/>
        </w:rPr>
        <w:t>4</w:t>
      </w:r>
      <w:r w:rsidRPr="00971A6B">
        <w:rPr>
          <w:szCs w:val="20"/>
        </w:rPr>
        <w:t xml:space="preserve"> % от годишния разчет за 2021 г.</w:t>
      </w:r>
      <w:r w:rsidR="00884C5D" w:rsidRPr="00971A6B">
        <w:rPr>
          <w:szCs w:val="20"/>
        </w:rPr>
        <w:t xml:space="preserve">, </w:t>
      </w:r>
      <w:r w:rsidR="00884C5D" w:rsidRPr="00971A6B">
        <w:rPr>
          <w:rFonts w:eastAsia="Batang"/>
          <w:lang w:eastAsia="zh-TW"/>
        </w:rPr>
        <w:t>както основен дял имат разходите за персонал.</w:t>
      </w:r>
    </w:p>
    <w:p w14:paraId="18AC7B85" w14:textId="56756754" w:rsidR="00C42FA8" w:rsidRPr="00C85F7F" w:rsidRDefault="00C42FA8" w:rsidP="00C42FA8">
      <w:pPr>
        <w:ind w:firstLine="567"/>
        <w:jc w:val="both"/>
        <w:rPr>
          <w:color w:val="548DD4" w:themeColor="text2" w:themeTint="99"/>
          <w:szCs w:val="20"/>
        </w:rPr>
      </w:pPr>
      <w:r w:rsidRPr="00971A6B">
        <w:rPr>
          <w:szCs w:val="20"/>
        </w:rPr>
        <w:t>Общо утвърдените</w:t>
      </w:r>
      <w:r w:rsidRPr="00971A6B">
        <w:rPr>
          <w:b/>
          <w:i/>
        </w:rPr>
        <w:t xml:space="preserve"> бюджетни взаимоотношения на БТА с централния бюджет</w:t>
      </w:r>
      <w:r w:rsidRPr="00971A6B">
        <w:rPr>
          <w:szCs w:val="20"/>
        </w:rPr>
        <w:t xml:space="preserve"> за 2021 г. са в размер </w:t>
      </w:r>
      <w:r w:rsidRPr="008E2FA9">
        <w:rPr>
          <w:szCs w:val="20"/>
        </w:rPr>
        <w:t xml:space="preserve">на 6,6 млн. лв. </w:t>
      </w:r>
      <w:r w:rsidR="006F1D20" w:rsidRPr="008E2FA9">
        <w:rPr>
          <w:szCs w:val="20"/>
        </w:rPr>
        <w:t xml:space="preserve">След изменение и допълнение на Закона за БТА, бюджетните взаимоотношение на БТА с централния бюджет са увеличени с 2,8 млн. лв. </w:t>
      </w:r>
      <w:r w:rsidR="008E2FA9" w:rsidRPr="008E2FA9">
        <w:rPr>
          <w:szCs w:val="20"/>
        </w:rPr>
        <w:t xml:space="preserve">С ПМС във връзка с провеждането на предсрочните парламентарни избори на БТА са отпуснати 0,2 млн. лв. </w:t>
      </w:r>
      <w:r w:rsidRPr="008E2FA9">
        <w:rPr>
          <w:szCs w:val="20"/>
        </w:rPr>
        <w:t xml:space="preserve">Отчетените трансфери </w:t>
      </w:r>
      <w:r w:rsidR="008E2FA9" w:rsidRPr="008E2FA9">
        <w:rPr>
          <w:szCs w:val="20"/>
        </w:rPr>
        <w:t xml:space="preserve">за периода </w:t>
      </w:r>
      <w:r w:rsidRPr="008E2FA9">
        <w:rPr>
          <w:szCs w:val="20"/>
        </w:rPr>
        <w:t>са в размер</w:t>
      </w:r>
      <w:r w:rsidRPr="008E2FA9">
        <w:rPr>
          <w:b/>
          <w:szCs w:val="20"/>
        </w:rPr>
        <w:t xml:space="preserve"> </w:t>
      </w:r>
      <w:r w:rsidRPr="008E2FA9">
        <w:rPr>
          <w:szCs w:val="20"/>
        </w:rPr>
        <w:t xml:space="preserve">на </w:t>
      </w:r>
      <w:r w:rsidR="00971A6B" w:rsidRPr="008E2FA9">
        <w:rPr>
          <w:szCs w:val="20"/>
        </w:rPr>
        <w:t>6</w:t>
      </w:r>
      <w:r w:rsidRPr="008E2FA9">
        <w:rPr>
          <w:szCs w:val="20"/>
        </w:rPr>
        <w:t>,</w:t>
      </w:r>
      <w:r w:rsidR="00971A6B" w:rsidRPr="008E2FA9">
        <w:rPr>
          <w:szCs w:val="20"/>
        </w:rPr>
        <w:t>7</w:t>
      </w:r>
      <w:r w:rsidRPr="008E2FA9">
        <w:rPr>
          <w:szCs w:val="20"/>
        </w:rPr>
        <w:t xml:space="preserve"> млн. лв.</w:t>
      </w:r>
    </w:p>
    <w:p w14:paraId="2C0B6E77" w14:textId="77777777" w:rsidR="007C1025" w:rsidRPr="00C85F7F" w:rsidRDefault="007C1025" w:rsidP="007C1025">
      <w:pPr>
        <w:ind w:firstLine="567"/>
        <w:jc w:val="both"/>
        <w:rPr>
          <w:color w:val="548DD4" w:themeColor="text2" w:themeTint="99"/>
          <w:szCs w:val="20"/>
        </w:rPr>
      </w:pPr>
    </w:p>
    <w:p w14:paraId="4D999A34" w14:textId="77777777" w:rsidR="002E5EF1" w:rsidRPr="00C85F7F" w:rsidRDefault="002E5EF1" w:rsidP="007C1025">
      <w:pPr>
        <w:pStyle w:val="Title"/>
        <w:jc w:val="both"/>
        <w:rPr>
          <w:color w:val="548DD4" w:themeColor="text2" w:themeTint="99"/>
        </w:rPr>
      </w:pPr>
    </w:p>
    <w:p w14:paraId="18BDA7F7" w14:textId="77777777" w:rsidR="00001ABF" w:rsidRPr="00C85F7F" w:rsidRDefault="00001ABF" w:rsidP="007C1025">
      <w:pPr>
        <w:pStyle w:val="Title"/>
        <w:jc w:val="both"/>
        <w:rPr>
          <w:color w:val="548DD4" w:themeColor="text2" w:themeTint="99"/>
        </w:rPr>
      </w:pPr>
    </w:p>
    <w:p w14:paraId="3EE177DC" w14:textId="77777777" w:rsidR="00001ABF" w:rsidRPr="00C85F7F" w:rsidRDefault="00001ABF" w:rsidP="007C1025">
      <w:pPr>
        <w:pStyle w:val="Title"/>
        <w:jc w:val="both"/>
        <w:rPr>
          <w:color w:val="548DD4" w:themeColor="text2" w:themeTint="99"/>
        </w:rPr>
      </w:pPr>
    </w:p>
    <w:p w14:paraId="6AC0178C" w14:textId="77777777" w:rsidR="00001ABF" w:rsidRPr="00C85F7F" w:rsidRDefault="00001ABF" w:rsidP="007C1025">
      <w:pPr>
        <w:pStyle w:val="Title"/>
        <w:jc w:val="both"/>
        <w:rPr>
          <w:color w:val="548DD4" w:themeColor="text2" w:themeTint="99"/>
        </w:rPr>
      </w:pPr>
    </w:p>
    <w:p w14:paraId="665453E3" w14:textId="26A4E921" w:rsidR="007C1025" w:rsidRPr="00DF28FB" w:rsidRDefault="007C1025" w:rsidP="007C1025">
      <w:pPr>
        <w:pStyle w:val="Title"/>
        <w:jc w:val="both"/>
      </w:pPr>
      <w:r w:rsidRPr="00DF28FB">
        <w:t xml:space="preserve">Министерство на финансите, </w:t>
      </w:r>
      <w:r w:rsidR="00DF28FB" w:rsidRPr="00DF28FB">
        <w:t>ноември</w:t>
      </w:r>
      <w:r w:rsidRPr="00DF28FB">
        <w:t xml:space="preserve"> 2021 г.</w:t>
      </w:r>
    </w:p>
    <w:p w14:paraId="4C23193C" w14:textId="77777777" w:rsidR="00594E6B" w:rsidRPr="00C85F7F" w:rsidRDefault="00594E6B" w:rsidP="00053B0F">
      <w:pPr>
        <w:pStyle w:val="Title"/>
        <w:jc w:val="both"/>
        <w:rPr>
          <w:color w:val="548DD4" w:themeColor="text2" w:themeTint="99"/>
        </w:rPr>
      </w:pPr>
    </w:p>
    <w:p w14:paraId="68965250" w14:textId="77777777" w:rsidR="00BC6EBC" w:rsidRPr="00C85F7F" w:rsidRDefault="00BC6EBC" w:rsidP="00D2533A">
      <w:pPr>
        <w:tabs>
          <w:tab w:val="left" w:pos="2520"/>
        </w:tabs>
        <w:spacing w:line="480" w:lineRule="auto"/>
        <w:ind w:left="-1134" w:right="-386" w:firstLine="1134"/>
        <w:rPr>
          <w:color w:val="548DD4" w:themeColor="text2" w:themeTint="99"/>
          <w:sz w:val="20"/>
          <w:szCs w:val="20"/>
          <w:lang w:eastAsia="bg-BG"/>
        </w:rPr>
      </w:pPr>
    </w:p>
    <w:p w14:paraId="20079690" w14:textId="77777777" w:rsidR="00BC6EBC" w:rsidRPr="00C85F7F" w:rsidRDefault="00BC6EBC" w:rsidP="00D2533A">
      <w:pPr>
        <w:tabs>
          <w:tab w:val="left" w:pos="2520"/>
        </w:tabs>
        <w:spacing w:line="480" w:lineRule="auto"/>
        <w:ind w:left="-1134" w:right="-386" w:firstLine="1134"/>
        <w:rPr>
          <w:color w:val="548DD4" w:themeColor="text2" w:themeTint="99"/>
          <w:sz w:val="20"/>
          <w:szCs w:val="20"/>
          <w:lang w:eastAsia="bg-BG"/>
        </w:rPr>
      </w:pPr>
    </w:p>
    <w:p w14:paraId="5360E441" w14:textId="77777777" w:rsidR="00D47B68" w:rsidRPr="00731AD6" w:rsidRDefault="00D47B68" w:rsidP="00D47B68">
      <w:pPr>
        <w:jc w:val="both"/>
        <w:rPr>
          <w:b/>
          <w:szCs w:val="20"/>
          <w:lang w:val="en-US"/>
        </w:rPr>
      </w:pPr>
    </w:p>
    <w:p w14:paraId="5F7C3538" w14:textId="77777777" w:rsidR="00BC6EBC" w:rsidRPr="00C85F7F" w:rsidRDefault="00BC6EBC" w:rsidP="00D2533A">
      <w:pPr>
        <w:tabs>
          <w:tab w:val="left" w:pos="2520"/>
        </w:tabs>
        <w:spacing w:line="480" w:lineRule="auto"/>
        <w:ind w:left="-1134" w:right="-386" w:firstLine="1134"/>
        <w:rPr>
          <w:color w:val="548DD4" w:themeColor="text2" w:themeTint="99"/>
          <w:sz w:val="20"/>
          <w:szCs w:val="20"/>
          <w:lang w:eastAsia="bg-BG"/>
        </w:rPr>
      </w:pPr>
    </w:p>
    <w:p w14:paraId="569141BF" w14:textId="77777777" w:rsidR="00D2533A" w:rsidRPr="00C85F7F" w:rsidRDefault="00D2533A" w:rsidP="00D2533A">
      <w:pPr>
        <w:jc w:val="both"/>
        <w:rPr>
          <w:b/>
          <w:color w:val="548DD4" w:themeColor="text2" w:themeTint="99"/>
          <w:szCs w:val="20"/>
        </w:rPr>
      </w:pPr>
    </w:p>
    <w:p w14:paraId="1D942C1B" w14:textId="77777777" w:rsidR="00D2533A" w:rsidRPr="00C85F7F" w:rsidRDefault="00D2533A" w:rsidP="00D2533A">
      <w:pPr>
        <w:rPr>
          <w:color w:val="548DD4" w:themeColor="text2" w:themeTint="99"/>
        </w:rPr>
      </w:pPr>
    </w:p>
    <w:p w14:paraId="798BF09B" w14:textId="77777777" w:rsidR="00001ABF" w:rsidRPr="00C85F7F" w:rsidRDefault="00001ABF" w:rsidP="002E5EF1">
      <w:pPr>
        <w:tabs>
          <w:tab w:val="left" w:pos="2520"/>
        </w:tabs>
        <w:spacing w:line="480" w:lineRule="auto"/>
        <w:ind w:left="-1134" w:right="-386" w:firstLine="1134"/>
        <w:rPr>
          <w:color w:val="548DD4" w:themeColor="text2" w:themeTint="99"/>
          <w:sz w:val="20"/>
          <w:szCs w:val="20"/>
          <w:lang w:eastAsia="bg-BG"/>
        </w:rPr>
      </w:pPr>
    </w:p>
    <w:sectPr w:rsidR="00001ABF" w:rsidRPr="00C85F7F" w:rsidSect="00441E7C">
      <w:footerReference w:type="even" r:id="rId9"/>
      <w:footerReference w:type="default" r:id="rId10"/>
      <w:endnotePr>
        <w:numFmt w:val="decimal"/>
      </w:endnotePr>
      <w:type w:val="continuous"/>
      <w:pgSz w:w="11906" w:h="16838"/>
      <w:pgMar w:top="709" w:right="1106" w:bottom="42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CF1D" w14:textId="77777777" w:rsidR="0050687F" w:rsidRDefault="0050687F">
      <w:r>
        <w:separator/>
      </w:r>
    </w:p>
  </w:endnote>
  <w:endnote w:type="continuationSeparator" w:id="0">
    <w:p w14:paraId="6AE07ED6" w14:textId="77777777" w:rsidR="0050687F" w:rsidRDefault="0050687F">
      <w:r>
        <w:continuationSeparator/>
      </w:r>
    </w:p>
  </w:endnote>
  <w:endnote w:type="continuationNotice" w:id="1">
    <w:p w14:paraId="51EF6CCC" w14:textId="77777777" w:rsidR="0050687F" w:rsidRDefault="005068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Futura Bk">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F5B1C" w14:textId="77777777" w:rsidR="0050687F" w:rsidRDefault="0050687F"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70A9A" w14:textId="77777777" w:rsidR="0050687F" w:rsidRDefault="0050687F" w:rsidP="00A7411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A632C" w14:textId="3422AA19" w:rsidR="0050687F" w:rsidRDefault="0050687F"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0DD3">
      <w:rPr>
        <w:rStyle w:val="PageNumber"/>
        <w:noProof/>
      </w:rPr>
      <w:t>2</w:t>
    </w:r>
    <w:r>
      <w:rPr>
        <w:rStyle w:val="PageNumber"/>
      </w:rPr>
      <w:fldChar w:fldCharType="end"/>
    </w:r>
  </w:p>
  <w:p w14:paraId="7D8B7E40" w14:textId="77777777" w:rsidR="0050687F" w:rsidRDefault="0050687F" w:rsidP="00A7411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33B9" w14:textId="77777777" w:rsidR="0050687F" w:rsidRDefault="0050687F">
      <w:r>
        <w:separator/>
      </w:r>
    </w:p>
  </w:footnote>
  <w:footnote w:type="continuationSeparator" w:id="0">
    <w:p w14:paraId="76AF725F" w14:textId="77777777" w:rsidR="0050687F" w:rsidRDefault="0050687F">
      <w:r>
        <w:continuationSeparator/>
      </w:r>
    </w:p>
  </w:footnote>
  <w:footnote w:type="continuationNotice" w:id="1">
    <w:p w14:paraId="446C65D1" w14:textId="77777777" w:rsidR="0050687F" w:rsidRDefault="0050687F"/>
  </w:footnote>
  <w:footnote w:id="2">
    <w:p w14:paraId="2CF5B9CA" w14:textId="77777777" w:rsidR="0050687F" w:rsidRPr="007D18FE" w:rsidRDefault="0050687F" w:rsidP="00E75C94">
      <w:pPr>
        <w:pStyle w:val="FootnoteText"/>
        <w:jc w:val="both"/>
        <w:rPr>
          <w:sz w:val="18"/>
          <w:szCs w:val="18"/>
          <w:lang w:val="bg-BG"/>
        </w:rPr>
      </w:pPr>
      <w:r w:rsidRPr="007D18FE">
        <w:rPr>
          <w:rStyle w:val="FootnoteReference"/>
          <w:sz w:val="18"/>
          <w:szCs w:val="18"/>
        </w:rPr>
        <w:footnoteRef/>
      </w:r>
      <w:r w:rsidRPr="0019494B">
        <w:rPr>
          <w:sz w:val="18"/>
          <w:szCs w:val="18"/>
          <w:lang w:val="bg-BG"/>
        </w:rPr>
        <w:t xml:space="preserve"> </w:t>
      </w:r>
      <w:r w:rsidRPr="007D18FE">
        <w:rPr>
          <w:sz w:val="18"/>
          <w:szCs w:val="18"/>
          <w:lang w:val="bg-BG"/>
        </w:rPr>
        <w:t>Обхваща държавния бюджет и бюджетите на общините, социалноосигурителните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текущата година са на база месечни отчети, а тези за предходната година - на база тримесечни отчети на ПРБ.</w:t>
      </w:r>
    </w:p>
  </w:footnote>
  <w:footnote w:id="3">
    <w:p w14:paraId="1B561D7B" w14:textId="77777777" w:rsidR="0050687F" w:rsidRPr="007D18FE" w:rsidRDefault="0050687F" w:rsidP="00661BE3">
      <w:pPr>
        <w:pStyle w:val="FootnoteText"/>
        <w:jc w:val="both"/>
        <w:rPr>
          <w:sz w:val="18"/>
          <w:szCs w:val="18"/>
          <w:lang w:val="bg-BG"/>
        </w:rPr>
      </w:pPr>
      <w:r w:rsidRPr="007D18FE">
        <w:rPr>
          <w:rStyle w:val="FootnoteReference"/>
          <w:sz w:val="18"/>
          <w:szCs w:val="18"/>
        </w:rPr>
        <w:footnoteRef/>
      </w:r>
      <w:r w:rsidRPr="007D18FE">
        <w:rPr>
          <w:sz w:val="18"/>
          <w:szCs w:val="18"/>
          <w:lang w:val="bg-BG"/>
        </w:rPr>
        <w:t xml:space="preserve"> Поради извършено закръгление в млн. лв., някои сумарни позиции в Таблица №1, Таблица  №2 и в текста не се изчерпват от съставните им числа.</w:t>
      </w:r>
    </w:p>
  </w:footnote>
  <w:footnote w:id="4">
    <w:p w14:paraId="152EC244" w14:textId="3A387AEE" w:rsidR="0050687F" w:rsidRPr="00D13ABE" w:rsidRDefault="0050687F">
      <w:pPr>
        <w:pStyle w:val="FootnoteText"/>
        <w:rPr>
          <w:lang w:val="bg-BG"/>
        </w:rPr>
      </w:pPr>
      <w:r>
        <w:rPr>
          <w:rStyle w:val="FootnoteReference"/>
        </w:rPr>
        <w:footnoteRef/>
      </w:r>
      <w:r w:rsidRPr="00FC69BD">
        <w:rPr>
          <w:lang w:val="bg-BG"/>
        </w:rPr>
        <w:t xml:space="preserve"> </w:t>
      </w:r>
      <w:r w:rsidRPr="00FC69BD">
        <w:rPr>
          <w:sz w:val="18"/>
          <w:szCs w:val="18"/>
          <w:lang w:val="bg-BG"/>
        </w:rPr>
        <w:t>Разчети към ЗДБРБ за 2021 г. (</w:t>
      </w:r>
      <w:r w:rsidRPr="00511A67">
        <w:rPr>
          <w:sz w:val="18"/>
          <w:szCs w:val="18"/>
        </w:rPr>
        <w:t>o</w:t>
      </w:r>
      <w:r w:rsidRPr="00FC69BD">
        <w:rPr>
          <w:sz w:val="18"/>
          <w:szCs w:val="18"/>
          <w:lang w:val="bg-BG"/>
        </w:rPr>
        <w:t>бн., ДВ, бр. 104 от 08.12.2020 г., изм., бр. 77 от 16.09.2021 г.).</w:t>
      </w:r>
    </w:p>
  </w:footnote>
  <w:footnote w:id="5">
    <w:p w14:paraId="51B5B13A" w14:textId="77777777" w:rsidR="0050687F" w:rsidRPr="00E74802" w:rsidRDefault="0050687F" w:rsidP="00B13128">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14:paraId="425CEB17" w14:textId="77777777" w:rsidR="0050687F" w:rsidRPr="00DF79A3" w:rsidRDefault="0050687F" w:rsidP="006E5E4F">
      <w:pPr>
        <w:pStyle w:val="FootnoteText"/>
        <w:rPr>
          <w:lang w:val="bg-BG"/>
        </w:rPr>
      </w:pPr>
      <w:r w:rsidRPr="00E60ABC">
        <w:rPr>
          <w:rStyle w:val="FootnoteReference"/>
          <w:sz w:val="18"/>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14:paraId="01B3B637" w14:textId="77777777" w:rsidR="0050687F" w:rsidRPr="00BA6AD2" w:rsidRDefault="0050687F" w:rsidP="00B13128">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8">
    <w:p w14:paraId="36690D7D" w14:textId="66310447" w:rsidR="0050687F" w:rsidRPr="00FC69BD" w:rsidRDefault="0050687F" w:rsidP="00317112">
      <w:pPr>
        <w:pStyle w:val="FootnoteText"/>
        <w:rPr>
          <w:color w:val="FF0000"/>
          <w:sz w:val="18"/>
          <w:szCs w:val="18"/>
          <w:lang w:val="bg-BG"/>
        </w:rPr>
      </w:pPr>
      <w:r w:rsidRPr="00024DDA">
        <w:rPr>
          <w:rStyle w:val="FootnoteReference"/>
          <w:sz w:val="18"/>
          <w:szCs w:val="18"/>
        </w:rPr>
        <w:footnoteRef/>
      </w:r>
      <w:r w:rsidRPr="00FC69BD">
        <w:rPr>
          <w:sz w:val="18"/>
          <w:szCs w:val="18"/>
          <w:lang w:val="bg-BG"/>
        </w:rPr>
        <w:t xml:space="preserve"> </w:t>
      </w:r>
      <w:r w:rsidRPr="00317112">
        <w:rPr>
          <w:sz w:val="18"/>
          <w:szCs w:val="18"/>
          <w:lang w:val="bg-BG"/>
        </w:rPr>
        <w:t>Разчети към ЗДБРБ за 2021 г. (oбн., ДВ, бр. 104 от 08.12.2020 г., изм., бр. 77 от 16.09.2021 г.).</w:t>
      </w:r>
    </w:p>
  </w:footnote>
  <w:footnote w:id="9">
    <w:p w14:paraId="77373705" w14:textId="76C3AE63" w:rsidR="0050687F" w:rsidRPr="00EB1981" w:rsidRDefault="0050687F" w:rsidP="00317112">
      <w:pPr>
        <w:pStyle w:val="FootnoteText"/>
        <w:jc w:val="both"/>
        <w:rPr>
          <w:sz w:val="18"/>
          <w:szCs w:val="18"/>
          <w:lang w:val="bg-BG"/>
        </w:rPr>
      </w:pPr>
      <w:r w:rsidRPr="00EB7087">
        <w:rPr>
          <w:rStyle w:val="FootnoteReference"/>
        </w:rPr>
        <w:footnoteRef/>
      </w:r>
      <w:r>
        <w:rPr>
          <w:sz w:val="18"/>
          <w:szCs w:val="18"/>
          <w:lang w:val="bg-BG"/>
        </w:rPr>
        <w:t xml:space="preserve"> </w:t>
      </w:r>
      <w:r w:rsidRPr="00EB1981">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0E0"/>
    <w:multiLevelType w:val="hybridMultilevel"/>
    <w:tmpl w:val="94142DF6"/>
    <w:lvl w:ilvl="0" w:tplc="CA968970">
      <w:start w:val="43"/>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 w15:restartNumberingAfterBreak="0">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843DC3"/>
    <w:multiLevelType w:val="hybridMultilevel"/>
    <w:tmpl w:val="59487C1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9" w15:restartNumberingAfterBreak="0">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0D78F0"/>
    <w:multiLevelType w:val="hybridMultilevel"/>
    <w:tmpl w:val="D7A8E7F6"/>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3" w15:restartNumberingAfterBreak="0">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5" w15:restartNumberingAfterBreak="0">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6" w15:restartNumberingAfterBreak="0">
    <w:nsid w:val="643A5E75"/>
    <w:multiLevelType w:val="hybridMultilevel"/>
    <w:tmpl w:val="B314ADC8"/>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17" w15:restartNumberingAfterBreak="0">
    <w:nsid w:val="65037E1C"/>
    <w:multiLevelType w:val="hybridMultilevel"/>
    <w:tmpl w:val="417A6ED8"/>
    <w:lvl w:ilvl="0" w:tplc="0402000D">
      <w:start w:val="1"/>
      <w:numFmt w:val="bullet"/>
      <w:lvlText w:val=""/>
      <w:lvlJc w:val="left"/>
      <w:pPr>
        <w:ind w:left="1494" w:hanging="360"/>
      </w:pPr>
      <w:rPr>
        <w:rFonts w:ascii="Wingdings" w:hAnsi="Wingdings"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8" w15:restartNumberingAfterBreak="0">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3" w15:restartNumberingAfterBreak="0">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812127"/>
    <w:multiLevelType w:val="multilevel"/>
    <w:tmpl w:val="FDE86A66"/>
    <w:lvl w:ilvl="0">
      <w:start w:val="1"/>
      <w:numFmt w:val="decimal"/>
      <w:lvlText w:val="%1."/>
      <w:lvlJc w:val="left"/>
      <w:pPr>
        <w:tabs>
          <w:tab w:val="num" w:pos="5430"/>
        </w:tabs>
        <w:ind w:left="5430" w:hanging="39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5" w15:restartNumberingAfterBreak="0">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E107AC9"/>
    <w:multiLevelType w:val="hybridMultilevel"/>
    <w:tmpl w:val="9CF03EA8"/>
    <w:lvl w:ilvl="0" w:tplc="04020003">
      <w:start w:val="1"/>
      <w:numFmt w:val="bullet"/>
      <w:lvlText w:val="o"/>
      <w:lvlJc w:val="left"/>
      <w:pPr>
        <w:tabs>
          <w:tab w:val="num" w:pos="1346"/>
        </w:tabs>
        <w:ind w:left="984" w:firstLine="96"/>
      </w:pPr>
      <w:rPr>
        <w:rFonts w:ascii="Courier New" w:hAnsi="Courier New" w:cs="Courier New"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num w:numId="1">
    <w:abstractNumId w:val="2"/>
  </w:num>
  <w:num w:numId="2">
    <w:abstractNumId w:val="8"/>
  </w:num>
  <w:num w:numId="3">
    <w:abstractNumId w:val="20"/>
  </w:num>
  <w:num w:numId="4">
    <w:abstractNumId w:val="5"/>
  </w:num>
  <w:num w:numId="5">
    <w:abstractNumId w:val="23"/>
  </w:num>
  <w:num w:numId="6">
    <w:abstractNumId w:val="13"/>
  </w:num>
  <w:num w:numId="7">
    <w:abstractNumId w:val="18"/>
  </w:num>
  <w:num w:numId="8">
    <w:abstractNumId w:val="6"/>
  </w:num>
  <w:num w:numId="9">
    <w:abstractNumId w:val="11"/>
  </w:num>
  <w:num w:numId="10">
    <w:abstractNumId w:val="24"/>
  </w:num>
  <w:num w:numId="11">
    <w:abstractNumId w:val="19"/>
  </w:num>
  <w:num w:numId="12">
    <w:abstractNumId w:val="16"/>
  </w:num>
  <w:num w:numId="13">
    <w:abstractNumId w:val="26"/>
  </w:num>
  <w:num w:numId="14">
    <w:abstractNumId w:val="25"/>
  </w:num>
  <w:num w:numId="15">
    <w:abstractNumId w:val="1"/>
  </w:num>
  <w:num w:numId="16">
    <w:abstractNumId w:val="21"/>
  </w:num>
  <w:num w:numId="17">
    <w:abstractNumId w:val="9"/>
  </w:num>
  <w:num w:numId="18">
    <w:abstractNumId w:val="3"/>
  </w:num>
  <w:num w:numId="19">
    <w:abstractNumId w:val="12"/>
  </w:num>
  <w:num w:numId="20">
    <w:abstractNumId w:val="4"/>
  </w:num>
  <w:num w:numId="21">
    <w:abstractNumId w:val="10"/>
  </w:num>
  <w:num w:numId="22">
    <w:abstractNumId w:val="14"/>
  </w:num>
  <w:num w:numId="23">
    <w:abstractNumId w:val="22"/>
  </w:num>
  <w:num w:numId="24">
    <w:abstractNumId w:val="15"/>
  </w:num>
  <w:num w:numId="25">
    <w:abstractNumId w:val="0"/>
  </w:num>
  <w:num w:numId="26">
    <w:abstractNumId w:val="17"/>
  </w:num>
  <w:num w:numId="27">
    <w:abstractNumId w:val="7"/>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498"/>
    <w:rsid w:val="000016BE"/>
    <w:rsid w:val="00001ABF"/>
    <w:rsid w:val="00002BD7"/>
    <w:rsid w:val="00002D9C"/>
    <w:rsid w:val="000031E0"/>
    <w:rsid w:val="00003489"/>
    <w:rsid w:val="00003B52"/>
    <w:rsid w:val="00004264"/>
    <w:rsid w:val="000047E9"/>
    <w:rsid w:val="000059CB"/>
    <w:rsid w:val="000063FC"/>
    <w:rsid w:val="000065C6"/>
    <w:rsid w:val="0000691E"/>
    <w:rsid w:val="00006B28"/>
    <w:rsid w:val="00006EBC"/>
    <w:rsid w:val="000076A8"/>
    <w:rsid w:val="00007F94"/>
    <w:rsid w:val="000111D3"/>
    <w:rsid w:val="00011383"/>
    <w:rsid w:val="000119C6"/>
    <w:rsid w:val="000124B9"/>
    <w:rsid w:val="00012533"/>
    <w:rsid w:val="00012AE6"/>
    <w:rsid w:val="00013B93"/>
    <w:rsid w:val="00013C59"/>
    <w:rsid w:val="000146EA"/>
    <w:rsid w:val="000158A2"/>
    <w:rsid w:val="00015C0F"/>
    <w:rsid w:val="00015D5B"/>
    <w:rsid w:val="00017412"/>
    <w:rsid w:val="000175C7"/>
    <w:rsid w:val="000178CA"/>
    <w:rsid w:val="00017EA1"/>
    <w:rsid w:val="0002050E"/>
    <w:rsid w:val="0002090D"/>
    <w:rsid w:val="00020A43"/>
    <w:rsid w:val="000215BD"/>
    <w:rsid w:val="00021A5F"/>
    <w:rsid w:val="000221B7"/>
    <w:rsid w:val="000229E1"/>
    <w:rsid w:val="00022B6F"/>
    <w:rsid w:val="00022CAC"/>
    <w:rsid w:val="00022D9E"/>
    <w:rsid w:val="0002351F"/>
    <w:rsid w:val="0002378C"/>
    <w:rsid w:val="00023BF6"/>
    <w:rsid w:val="00023D31"/>
    <w:rsid w:val="0002444B"/>
    <w:rsid w:val="0002477E"/>
    <w:rsid w:val="000249B9"/>
    <w:rsid w:val="000256B4"/>
    <w:rsid w:val="00025953"/>
    <w:rsid w:val="00025F45"/>
    <w:rsid w:val="00026903"/>
    <w:rsid w:val="0002693A"/>
    <w:rsid w:val="00026AD5"/>
    <w:rsid w:val="0002767C"/>
    <w:rsid w:val="00027951"/>
    <w:rsid w:val="00027B74"/>
    <w:rsid w:val="00030353"/>
    <w:rsid w:val="00030658"/>
    <w:rsid w:val="000307D3"/>
    <w:rsid w:val="000311EA"/>
    <w:rsid w:val="00031377"/>
    <w:rsid w:val="00031593"/>
    <w:rsid w:val="00031710"/>
    <w:rsid w:val="000319CB"/>
    <w:rsid w:val="000320C8"/>
    <w:rsid w:val="00032966"/>
    <w:rsid w:val="000329A6"/>
    <w:rsid w:val="00033ACB"/>
    <w:rsid w:val="00034135"/>
    <w:rsid w:val="00034396"/>
    <w:rsid w:val="00034FE3"/>
    <w:rsid w:val="000359FA"/>
    <w:rsid w:val="0003621F"/>
    <w:rsid w:val="00036A1B"/>
    <w:rsid w:val="00037141"/>
    <w:rsid w:val="000377BC"/>
    <w:rsid w:val="000378DC"/>
    <w:rsid w:val="000403D4"/>
    <w:rsid w:val="0004080C"/>
    <w:rsid w:val="0004098D"/>
    <w:rsid w:val="00040C20"/>
    <w:rsid w:val="000411D9"/>
    <w:rsid w:val="00041338"/>
    <w:rsid w:val="0004157E"/>
    <w:rsid w:val="00042634"/>
    <w:rsid w:val="0004338F"/>
    <w:rsid w:val="000436DD"/>
    <w:rsid w:val="000439F5"/>
    <w:rsid w:val="00043AA0"/>
    <w:rsid w:val="00043AB2"/>
    <w:rsid w:val="00043E35"/>
    <w:rsid w:val="00043E3A"/>
    <w:rsid w:val="0004426E"/>
    <w:rsid w:val="00044273"/>
    <w:rsid w:val="00045116"/>
    <w:rsid w:val="0004521A"/>
    <w:rsid w:val="0004753C"/>
    <w:rsid w:val="00050A1B"/>
    <w:rsid w:val="00051E5E"/>
    <w:rsid w:val="00052449"/>
    <w:rsid w:val="00052C5C"/>
    <w:rsid w:val="00053B0F"/>
    <w:rsid w:val="00053D51"/>
    <w:rsid w:val="000546BF"/>
    <w:rsid w:val="00054E02"/>
    <w:rsid w:val="00055007"/>
    <w:rsid w:val="000551E4"/>
    <w:rsid w:val="00055A61"/>
    <w:rsid w:val="00055DD1"/>
    <w:rsid w:val="00056221"/>
    <w:rsid w:val="00056B58"/>
    <w:rsid w:val="00056C45"/>
    <w:rsid w:val="00056D9D"/>
    <w:rsid w:val="0005737D"/>
    <w:rsid w:val="00057886"/>
    <w:rsid w:val="000579C4"/>
    <w:rsid w:val="00060A02"/>
    <w:rsid w:val="00060B42"/>
    <w:rsid w:val="000613BA"/>
    <w:rsid w:val="0006166E"/>
    <w:rsid w:val="00061758"/>
    <w:rsid w:val="000621DE"/>
    <w:rsid w:val="00062315"/>
    <w:rsid w:val="00062A78"/>
    <w:rsid w:val="00063235"/>
    <w:rsid w:val="00063CF1"/>
    <w:rsid w:val="00063E15"/>
    <w:rsid w:val="000642B9"/>
    <w:rsid w:val="00064472"/>
    <w:rsid w:val="0006477A"/>
    <w:rsid w:val="00064AF3"/>
    <w:rsid w:val="00064C44"/>
    <w:rsid w:val="00064E39"/>
    <w:rsid w:val="00065A46"/>
    <w:rsid w:val="00065DF8"/>
    <w:rsid w:val="000663D1"/>
    <w:rsid w:val="00066A21"/>
    <w:rsid w:val="00066EED"/>
    <w:rsid w:val="00067283"/>
    <w:rsid w:val="0007047E"/>
    <w:rsid w:val="000709C1"/>
    <w:rsid w:val="00070A97"/>
    <w:rsid w:val="00071F12"/>
    <w:rsid w:val="00072D22"/>
    <w:rsid w:val="00073108"/>
    <w:rsid w:val="00073B53"/>
    <w:rsid w:val="00073DF5"/>
    <w:rsid w:val="000751C1"/>
    <w:rsid w:val="00075256"/>
    <w:rsid w:val="0007526B"/>
    <w:rsid w:val="000768B3"/>
    <w:rsid w:val="00080AB2"/>
    <w:rsid w:val="00080EF5"/>
    <w:rsid w:val="0008155D"/>
    <w:rsid w:val="0008165A"/>
    <w:rsid w:val="000819F9"/>
    <w:rsid w:val="00081AFD"/>
    <w:rsid w:val="00082679"/>
    <w:rsid w:val="000827A4"/>
    <w:rsid w:val="000829EB"/>
    <w:rsid w:val="00082BD9"/>
    <w:rsid w:val="0008327E"/>
    <w:rsid w:val="000832E5"/>
    <w:rsid w:val="000833A2"/>
    <w:rsid w:val="0008357F"/>
    <w:rsid w:val="000853B1"/>
    <w:rsid w:val="00085704"/>
    <w:rsid w:val="00085734"/>
    <w:rsid w:val="00085B96"/>
    <w:rsid w:val="00085E01"/>
    <w:rsid w:val="00085E1A"/>
    <w:rsid w:val="00086FA7"/>
    <w:rsid w:val="00087295"/>
    <w:rsid w:val="0008745A"/>
    <w:rsid w:val="000878C4"/>
    <w:rsid w:val="0009002F"/>
    <w:rsid w:val="000900E3"/>
    <w:rsid w:val="000902B5"/>
    <w:rsid w:val="00090565"/>
    <w:rsid w:val="00090BBB"/>
    <w:rsid w:val="00090D1D"/>
    <w:rsid w:val="00091196"/>
    <w:rsid w:val="000915E4"/>
    <w:rsid w:val="00091BCE"/>
    <w:rsid w:val="000931C8"/>
    <w:rsid w:val="000937AB"/>
    <w:rsid w:val="000937E0"/>
    <w:rsid w:val="0009383F"/>
    <w:rsid w:val="00093F6F"/>
    <w:rsid w:val="000943E4"/>
    <w:rsid w:val="000949D3"/>
    <w:rsid w:val="00094A6C"/>
    <w:rsid w:val="00094A78"/>
    <w:rsid w:val="000959DC"/>
    <w:rsid w:val="00095EF0"/>
    <w:rsid w:val="0009743A"/>
    <w:rsid w:val="000A052A"/>
    <w:rsid w:val="000A09BA"/>
    <w:rsid w:val="000A209C"/>
    <w:rsid w:val="000A301B"/>
    <w:rsid w:val="000A3426"/>
    <w:rsid w:val="000A393B"/>
    <w:rsid w:val="000A3F57"/>
    <w:rsid w:val="000A5B32"/>
    <w:rsid w:val="000A5E55"/>
    <w:rsid w:val="000A6E4D"/>
    <w:rsid w:val="000A7841"/>
    <w:rsid w:val="000B0616"/>
    <w:rsid w:val="000B0815"/>
    <w:rsid w:val="000B09E5"/>
    <w:rsid w:val="000B0CE6"/>
    <w:rsid w:val="000B11FB"/>
    <w:rsid w:val="000B175F"/>
    <w:rsid w:val="000B1A24"/>
    <w:rsid w:val="000B1E59"/>
    <w:rsid w:val="000B25CC"/>
    <w:rsid w:val="000B2CBE"/>
    <w:rsid w:val="000B460F"/>
    <w:rsid w:val="000B474D"/>
    <w:rsid w:val="000B49EE"/>
    <w:rsid w:val="000B52FA"/>
    <w:rsid w:val="000B5F1E"/>
    <w:rsid w:val="000B62C7"/>
    <w:rsid w:val="000B6D3A"/>
    <w:rsid w:val="000B7234"/>
    <w:rsid w:val="000B7447"/>
    <w:rsid w:val="000B75C1"/>
    <w:rsid w:val="000B7C4F"/>
    <w:rsid w:val="000B7E66"/>
    <w:rsid w:val="000C06FE"/>
    <w:rsid w:val="000C0A44"/>
    <w:rsid w:val="000C0FA1"/>
    <w:rsid w:val="000C13A5"/>
    <w:rsid w:val="000C244E"/>
    <w:rsid w:val="000C29AF"/>
    <w:rsid w:val="000C2FAC"/>
    <w:rsid w:val="000C3F19"/>
    <w:rsid w:val="000C4CBB"/>
    <w:rsid w:val="000C56B9"/>
    <w:rsid w:val="000C5ACF"/>
    <w:rsid w:val="000C5C6D"/>
    <w:rsid w:val="000C617B"/>
    <w:rsid w:val="000C6742"/>
    <w:rsid w:val="000C69AE"/>
    <w:rsid w:val="000C6CB5"/>
    <w:rsid w:val="000C6CF3"/>
    <w:rsid w:val="000C72DC"/>
    <w:rsid w:val="000C7303"/>
    <w:rsid w:val="000C736E"/>
    <w:rsid w:val="000C75A5"/>
    <w:rsid w:val="000C7BB6"/>
    <w:rsid w:val="000D0519"/>
    <w:rsid w:val="000D0538"/>
    <w:rsid w:val="000D06A6"/>
    <w:rsid w:val="000D0AB1"/>
    <w:rsid w:val="000D23F8"/>
    <w:rsid w:val="000D2516"/>
    <w:rsid w:val="000D26D5"/>
    <w:rsid w:val="000D2B33"/>
    <w:rsid w:val="000D2BE7"/>
    <w:rsid w:val="000D3407"/>
    <w:rsid w:val="000D3942"/>
    <w:rsid w:val="000D3FA7"/>
    <w:rsid w:val="000D4203"/>
    <w:rsid w:val="000D4992"/>
    <w:rsid w:val="000D49F5"/>
    <w:rsid w:val="000D4BEB"/>
    <w:rsid w:val="000D5449"/>
    <w:rsid w:val="000D5EE2"/>
    <w:rsid w:val="000D6D92"/>
    <w:rsid w:val="000D725A"/>
    <w:rsid w:val="000D740D"/>
    <w:rsid w:val="000D78E4"/>
    <w:rsid w:val="000E0B42"/>
    <w:rsid w:val="000E0EBA"/>
    <w:rsid w:val="000E1529"/>
    <w:rsid w:val="000E1C99"/>
    <w:rsid w:val="000E1EAF"/>
    <w:rsid w:val="000E1FB5"/>
    <w:rsid w:val="000E2207"/>
    <w:rsid w:val="000E234B"/>
    <w:rsid w:val="000E2894"/>
    <w:rsid w:val="000E2B21"/>
    <w:rsid w:val="000E39DF"/>
    <w:rsid w:val="000E3BA7"/>
    <w:rsid w:val="000E3CDC"/>
    <w:rsid w:val="000E4599"/>
    <w:rsid w:val="000E4CFE"/>
    <w:rsid w:val="000E5205"/>
    <w:rsid w:val="000E5295"/>
    <w:rsid w:val="000E5483"/>
    <w:rsid w:val="000E5EE9"/>
    <w:rsid w:val="000E61E9"/>
    <w:rsid w:val="000E632B"/>
    <w:rsid w:val="000E6968"/>
    <w:rsid w:val="000E716F"/>
    <w:rsid w:val="000E76B3"/>
    <w:rsid w:val="000F04F4"/>
    <w:rsid w:val="000F26DE"/>
    <w:rsid w:val="000F3534"/>
    <w:rsid w:val="000F3EA1"/>
    <w:rsid w:val="000F47A8"/>
    <w:rsid w:val="000F4DBB"/>
    <w:rsid w:val="000F5080"/>
    <w:rsid w:val="000F52F7"/>
    <w:rsid w:val="000F5EF4"/>
    <w:rsid w:val="000F5F76"/>
    <w:rsid w:val="000F682A"/>
    <w:rsid w:val="000F68AF"/>
    <w:rsid w:val="000F6975"/>
    <w:rsid w:val="000F6B35"/>
    <w:rsid w:val="0010026D"/>
    <w:rsid w:val="0010055E"/>
    <w:rsid w:val="001006E1"/>
    <w:rsid w:val="00100CE5"/>
    <w:rsid w:val="00100D97"/>
    <w:rsid w:val="001011A4"/>
    <w:rsid w:val="00101209"/>
    <w:rsid w:val="001017B7"/>
    <w:rsid w:val="00101B1C"/>
    <w:rsid w:val="00101DCA"/>
    <w:rsid w:val="0010212B"/>
    <w:rsid w:val="00102523"/>
    <w:rsid w:val="0010261A"/>
    <w:rsid w:val="00102869"/>
    <w:rsid w:val="001028F7"/>
    <w:rsid w:val="00102BA6"/>
    <w:rsid w:val="0010358B"/>
    <w:rsid w:val="00103BC3"/>
    <w:rsid w:val="00104438"/>
    <w:rsid w:val="001046B0"/>
    <w:rsid w:val="001046DD"/>
    <w:rsid w:val="00104BB5"/>
    <w:rsid w:val="0010539A"/>
    <w:rsid w:val="001053A6"/>
    <w:rsid w:val="00106081"/>
    <w:rsid w:val="0010649F"/>
    <w:rsid w:val="0010683E"/>
    <w:rsid w:val="00107258"/>
    <w:rsid w:val="0010743D"/>
    <w:rsid w:val="00107498"/>
    <w:rsid w:val="001077FA"/>
    <w:rsid w:val="00107C9F"/>
    <w:rsid w:val="00107F93"/>
    <w:rsid w:val="00110E74"/>
    <w:rsid w:val="001118FD"/>
    <w:rsid w:val="0011244D"/>
    <w:rsid w:val="00112882"/>
    <w:rsid w:val="00112CAC"/>
    <w:rsid w:val="00112E96"/>
    <w:rsid w:val="00113FD8"/>
    <w:rsid w:val="00114DE5"/>
    <w:rsid w:val="00116D77"/>
    <w:rsid w:val="001171AC"/>
    <w:rsid w:val="001173BA"/>
    <w:rsid w:val="001179C1"/>
    <w:rsid w:val="00117C68"/>
    <w:rsid w:val="00117CA6"/>
    <w:rsid w:val="001202E6"/>
    <w:rsid w:val="00120CC7"/>
    <w:rsid w:val="00121626"/>
    <w:rsid w:val="00121946"/>
    <w:rsid w:val="00122F3A"/>
    <w:rsid w:val="00122FCA"/>
    <w:rsid w:val="00123862"/>
    <w:rsid w:val="00123A3B"/>
    <w:rsid w:val="00123B59"/>
    <w:rsid w:val="00123E2A"/>
    <w:rsid w:val="00124777"/>
    <w:rsid w:val="00124CE2"/>
    <w:rsid w:val="00124FB9"/>
    <w:rsid w:val="00125B7A"/>
    <w:rsid w:val="001260AA"/>
    <w:rsid w:val="001264C3"/>
    <w:rsid w:val="00126805"/>
    <w:rsid w:val="001269AE"/>
    <w:rsid w:val="00127D25"/>
    <w:rsid w:val="001301B6"/>
    <w:rsid w:val="001305A6"/>
    <w:rsid w:val="00131B05"/>
    <w:rsid w:val="00132AD1"/>
    <w:rsid w:val="00132DBB"/>
    <w:rsid w:val="00133033"/>
    <w:rsid w:val="0013308F"/>
    <w:rsid w:val="00133478"/>
    <w:rsid w:val="00133644"/>
    <w:rsid w:val="001342F2"/>
    <w:rsid w:val="0013522E"/>
    <w:rsid w:val="0013588C"/>
    <w:rsid w:val="00135A23"/>
    <w:rsid w:val="00135E92"/>
    <w:rsid w:val="00136C08"/>
    <w:rsid w:val="00136D22"/>
    <w:rsid w:val="00136DA4"/>
    <w:rsid w:val="001371FA"/>
    <w:rsid w:val="00137A31"/>
    <w:rsid w:val="00137A9F"/>
    <w:rsid w:val="00140F18"/>
    <w:rsid w:val="00140F61"/>
    <w:rsid w:val="0014108F"/>
    <w:rsid w:val="00141B03"/>
    <w:rsid w:val="00142979"/>
    <w:rsid w:val="00142ABD"/>
    <w:rsid w:val="00142D3D"/>
    <w:rsid w:val="00142EDB"/>
    <w:rsid w:val="001434EA"/>
    <w:rsid w:val="00143814"/>
    <w:rsid w:val="001438EA"/>
    <w:rsid w:val="001445AC"/>
    <w:rsid w:val="00144B67"/>
    <w:rsid w:val="00144BF2"/>
    <w:rsid w:val="0014585D"/>
    <w:rsid w:val="00145944"/>
    <w:rsid w:val="00145AD1"/>
    <w:rsid w:val="00145EA8"/>
    <w:rsid w:val="001462A0"/>
    <w:rsid w:val="00146314"/>
    <w:rsid w:val="001466F3"/>
    <w:rsid w:val="00146C11"/>
    <w:rsid w:val="00147195"/>
    <w:rsid w:val="00150706"/>
    <w:rsid w:val="00150793"/>
    <w:rsid w:val="00150D38"/>
    <w:rsid w:val="00151260"/>
    <w:rsid w:val="001514CB"/>
    <w:rsid w:val="001528EE"/>
    <w:rsid w:val="00152B9C"/>
    <w:rsid w:val="00153077"/>
    <w:rsid w:val="001535F3"/>
    <w:rsid w:val="00153DF3"/>
    <w:rsid w:val="001540A7"/>
    <w:rsid w:val="00154247"/>
    <w:rsid w:val="001545C4"/>
    <w:rsid w:val="00154DE5"/>
    <w:rsid w:val="00154F9A"/>
    <w:rsid w:val="00154FA1"/>
    <w:rsid w:val="00155948"/>
    <w:rsid w:val="00156356"/>
    <w:rsid w:val="00156A3B"/>
    <w:rsid w:val="00156B18"/>
    <w:rsid w:val="00156F40"/>
    <w:rsid w:val="00157673"/>
    <w:rsid w:val="00157B70"/>
    <w:rsid w:val="00157EC4"/>
    <w:rsid w:val="00157EF5"/>
    <w:rsid w:val="001606A4"/>
    <w:rsid w:val="00160A10"/>
    <w:rsid w:val="00160C5B"/>
    <w:rsid w:val="0016116C"/>
    <w:rsid w:val="0016122A"/>
    <w:rsid w:val="00161F90"/>
    <w:rsid w:val="001623A2"/>
    <w:rsid w:val="00162F68"/>
    <w:rsid w:val="00163645"/>
    <w:rsid w:val="001637C9"/>
    <w:rsid w:val="001642C0"/>
    <w:rsid w:val="001643F8"/>
    <w:rsid w:val="00164FAD"/>
    <w:rsid w:val="00165DB5"/>
    <w:rsid w:val="00165FF0"/>
    <w:rsid w:val="00166023"/>
    <w:rsid w:val="001668BD"/>
    <w:rsid w:val="00170EFE"/>
    <w:rsid w:val="00171F8E"/>
    <w:rsid w:val="0017216E"/>
    <w:rsid w:val="0017293F"/>
    <w:rsid w:val="00172AEE"/>
    <w:rsid w:val="00173750"/>
    <w:rsid w:val="00173987"/>
    <w:rsid w:val="001740AD"/>
    <w:rsid w:val="00174708"/>
    <w:rsid w:val="0017483F"/>
    <w:rsid w:val="00174A57"/>
    <w:rsid w:val="00174C24"/>
    <w:rsid w:val="00175539"/>
    <w:rsid w:val="00175890"/>
    <w:rsid w:val="00176340"/>
    <w:rsid w:val="00176AE7"/>
    <w:rsid w:val="00176CB6"/>
    <w:rsid w:val="00176E98"/>
    <w:rsid w:val="00177307"/>
    <w:rsid w:val="00180093"/>
    <w:rsid w:val="00180811"/>
    <w:rsid w:val="001808E6"/>
    <w:rsid w:val="00180AEF"/>
    <w:rsid w:val="0018154E"/>
    <w:rsid w:val="00181FCA"/>
    <w:rsid w:val="001820C4"/>
    <w:rsid w:val="001824F0"/>
    <w:rsid w:val="00182A2B"/>
    <w:rsid w:val="00182A94"/>
    <w:rsid w:val="00182C1A"/>
    <w:rsid w:val="00182D63"/>
    <w:rsid w:val="00182F27"/>
    <w:rsid w:val="00183392"/>
    <w:rsid w:val="0018398A"/>
    <w:rsid w:val="00183D5F"/>
    <w:rsid w:val="00183EA5"/>
    <w:rsid w:val="00183FAF"/>
    <w:rsid w:val="00184502"/>
    <w:rsid w:val="001845D5"/>
    <w:rsid w:val="00184FF1"/>
    <w:rsid w:val="001850C5"/>
    <w:rsid w:val="0018526D"/>
    <w:rsid w:val="00185A12"/>
    <w:rsid w:val="00185BF6"/>
    <w:rsid w:val="00185D08"/>
    <w:rsid w:val="00186C81"/>
    <w:rsid w:val="00186DF9"/>
    <w:rsid w:val="00187588"/>
    <w:rsid w:val="00187C31"/>
    <w:rsid w:val="00190983"/>
    <w:rsid w:val="0019151C"/>
    <w:rsid w:val="00191AA6"/>
    <w:rsid w:val="00191AB6"/>
    <w:rsid w:val="00191F79"/>
    <w:rsid w:val="00192130"/>
    <w:rsid w:val="0019213B"/>
    <w:rsid w:val="0019232E"/>
    <w:rsid w:val="0019239F"/>
    <w:rsid w:val="001924F6"/>
    <w:rsid w:val="00192CDB"/>
    <w:rsid w:val="00193B79"/>
    <w:rsid w:val="00193D9B"/>
    <w:rsid w:val="00193F20"/>
    <w:rsid w:val="0019413C"/>
    <w:rsid w:val="001941E4"/>
    <w:rsid w:val="0019494B"/>
    <w:rsid w:val="00195CF2"/>
    <w:rsid w:val="00195EF2"/>
    <w:rsid w:val="00195FB3"/>
    <w:rsid w:val="001965AA"/>
    <w:rsid w:val="0019667B"/>
    <w:rsid w:val="001968E4"/>
    <w:rsid w:val="001968FA"/>
    <w:rsid w:val="001971AE"/>
    <w:rsid w:val="00197278"/>
    <w:rsid w:val="00197392"/>
    <w:rsid w:val="00197764"/>
    <w:rsid w:val="00197A5C"/>
    <w:rsid w:val="00197EC3"/>
    <w:rsid w:val="00197FB1"/>
    <w:rsid w:val="001A0601"/>
    <w:rsid w:val="001A0BB0"/>
    <w:rsid w:val="001A1837"/>
    <w:rsid w:val="001A1C51"/>
    <w:rsid w:val="001A236F"/>
    <w:rsid w:val="001A28BA"/>
    <w:rsid w:val="001A2E1E"/>
    <w:rsid w:val="001A3051"/>
    <w:rsid w:val="001A3387"/>
    <w:rsid w:val="001A4493"/>
    <w:rsid w:val="001A4589"/>
    <w:rsid w:val="001A5350"/>
    <w:rsid w:val="001A5398"/>
    <w:rsid w:val="001A59AF"/>
    <w:rsid w:val="001A6777"/>
    <w:rsid w:val="001A6F14"/>
    <w:rsid w:val="001A718F"/>
    <w:rsid w:val="001A75B9"/>
    <w:rsid w:val="001B1226"/>
    <w:rsid w:val="001B175D"/>
    <w:rsid w:val="001B18C3"/>
    <w:rsid w:val="001B1C70"/>
    <w:rsid w:val="001B20E4"/>
    <w:rsid w:val="001B2BA9"/>
    <w:rsid w:val="001B2D1F"/>
    <w:rsid w:val="001B2FCD"/>
    <w:rsid w:val="001B3285"/>
    <w:rsid w:val="001B370A"/>
    <w:rsid w:val="001B3BA9"/>
    <w:rsid w:val="001B3E1C"/>
    <w:rsid w:val="001B4165"/>
    <w:rsid w:val="001B44DB"/>
    <w:rsid w:val="001B4692"/>
    <w:rsid w:val="001B5C73"/>
    <w:rsid w:val="001B5EA6"/>
    <w:rsid w:val="001B7D4C"/>
    <w:rsid w:val="001C0F05"/>
    <w:rsid w:val="001C110F"/>
    <w:rsid w:val="001C11E5"/>
    <w:rsid w:val="001C15B0"/>
    <w:rsid w:val="001C239A"/>
    <w:rsid w:val="001C2EE5"/>
    <w:rsid w:val="001C486C"/>
    <w:rsid w:val="001C4B35"/>
    <w:rsid w:val="001C4CCF"/>
    <w:rsid w:val="001C501A"/>
    <w:rsid w:val="001C5CC2"/>
    <w:rsid w:val="001C61DB"/>
    <w:rsid w:val="001C6573"/>
    <w:rsid w:val="001C6709"/>
    <w:rsid w:val="001C6BA6"/>
    <w:rsid w:val="001C6CCD"/>
    <w:rsid w:val="001C726D"/>
    <w:rsid w:val="001C78CA"/>
    <w:rsid w:val="001D01FB"/>
    <w:rsid w:val="001D0221"/>
    <w:rsid w:val="001D13AD"/>
    <w:rsid w:val="001D156F"/>
    <w:rsid w:val="001D15E5"/>
    <w:rsid w:val="001D2381"/>
    <w:rsid w:val="001D2CE9"/>
    <w:rsid w:val="001D34AF"/>
    <w:rsid w:val="001D3E63"/>
    <w:rsid w:val="001D40DA"/>
    <w:rsid w:val="001D419F"/>
    <w:rsid w:val="001D4260"/>
    <w:rsid w:val="001D5D9A"/>
    <w:rsid w:val="001D6081"/>
    <w:rsid w:val="001D6F2E"/>
    <w:rsid w:val="001D71BC"/>
    <w:rsid w:val="001D7230"/>
    <w:rsid w:val="001D755A"/>
    <w:rsid w:val="001E0034"/>
    <w:rsid w:val="001E0367"/>
    <w:rsid w:val="001E11E2"/>
    <w:rsid w:val="001E27FB"/>
    <w:rsid w:val="001E2AC0"/>
    <w:rsid w:val="001E2B1A"/>
    <w:rsid w:val="001E373E"/>
    <w:rsid w:val="001E3753"/>
    <w:rsid w:val="001E383E"/>
    <w:rsid w:val="001E3C3A"/>
    <w:rsid w:val="001E4011"/>
    <w:rsid w:val="001E4456"/>
    <w:rsid w:val="001E44C8"/>
    <w:rsid w:val="001E46DF"/>
    <w:rsid w:val="001E4E88"/>
    <w:rsid w:val="001E4F61"/>
    <w:rsid w:val="001E4FFF"/>
    <w:rsid w:val="001E5BEE"/>
    <w:rsid w:val="001E619D"/>
    <w:rsid w:val="001E66FF"/>
    <w:rsid w:val="001E68EE"/>
    <w:rsid w:val="001E751C"/>
    <w:rsid w:val="001E77C4"/>
    <w:rsid w:val="001E7EA4"/>
    <w:rsid w:val="001F00B7"/>
    <w:rsid w:val="001F1092"/>
    <w:rsid w:val="001F1393"/>
    <w:rsid w:val="001F1E88"/>
    <w:rsid w:val="001F2337"/>
    <w:rsid w:val="001F2FB5"/>
    <w:rsid w:val="001F367C"/>
    <w:rsid w:val="001F39B5"/>
    <w:rsid w:val="001F4EB9"/>
    <w:rsid w:val="001F4FDB"/>
    <w:rsid w:val="001F540A"/>
    <w:rsid w:val="001F550F"/>
    <w:rsid w:val="001F5D2F"/>
    <w:rsid w:val="001F5D9B"/>
    <w:rsid w:val="001F5E01"/>
    <w:rsid w:val="001F5E20"/>
    <w:rsid w:val="001F5FA3"/>
    <w:rsid w:val="001F60AC"/>
    <w:rsid w:val="001F6E1E"/>
    <w:rsid w:val="001F6F0C"/>
    <w:rsid w:val="001F74B9"/>
    <w:rsid w:val="001F7F82"/>
    <w:rsid w:val="002002AA"/>
    <w:rsid w:val="002003C3"/>
    <w:rsid w:val="002019D1"/>
    <w:rsid w:val="00201E8F"/>
    <w:rsid w:val="002023B3"/>
    <w:rsid w:val="002023E6"/>
    <w:rsid w:val="00202CDB"/>
    <w:rsid w:val="00203052"/>
    <w:rsid w:val="00204381"/>
    <w:rsid w:val="00204779"/>
    <w:rsid w:val="00204799"/>
    <w:rsid w:val="00204EBE"/>
    <w:rsid w:val="002051EA"/>
    <w:rsid w:val="00205B05"/>
    <w:rsid w:val="002060C2"/>
    <w:rsid w:val="00207674"/>
    <w:rsid w:val="002076D5"/>
    <w:rsid w:val="0021028A"/>
    <w:rsid w:val="002110A3"/>
    <w:rsid w:val="002111F3"/>
    <w:rsid w:val="002117F4"/>
    <w:rsid w:val="002118E8"/>
    <w:rsid w:val="00211A18"/>
    <w:rsid w:val="00212024"/>
    <w:rsid w:val="00212116"/>
    <w:rsid w:val="00212798"/>
    <w:rsid w:val="00213180"/>
    <w:rsid w:val="002136EF"/>
    <w:rsid w:val="00213A5A"/>
    <w:rsid w:val="00213D58"/>
    <w:rsid w:val="00213EB4"/>
    <w:rsid w:val="002142CA"/>
    <w:rsid w:val="0021481A"/>
    <w:rsid w:val="00214D1A"/>
    <w:rsid w:val="00214DE6"/>
    <w:rsid w:val="00214EEA"/>
    <w:rsid w:val="00214FE1"/>
    <w:rsid w:val="00215254"/>
    <w:rsid w:val="00215ADA"/>
    <w:rsid w:val="00215CB9"/>
    <w:rsid w:val="00216326"/>
    <w:rsid w:val="00216648"/>
    <w:rsid w:val="00216651"/>
    <w:rsid w:val="0021671E"/>
    <w:rsid w:val="00216AAD"/>
    <w:rsid w:val="00216C9A"/>
    <w:rsid w:val="00216D51"/>
    <w:rsid w:val="00217096"/>
    <w:rsid w:val="002174C9"/>
    <w:rsid w:val="00217C7A"/>
    <w:rsid w:val="00217E93"/>
    <w:rsid w:val="00220265"/>
    <w:rsid w:val="0022027B"/>
    <w:rsid w:val="0022064B"/>
    <w:rsid w:val="00220699"/>
    <w:rsid w:val="00220CF8"/>
    <w:rsid w:val="00220D8D"/>
    <w:rsid w:val="0022151A"/>
    <w:rsid w:val="002215FD"/>
    <w:rsid w:val="002216C7"/>
    <w:rsid w:val="00221E48"/>
    <w:rsid w:val="00221E8F"/>
    <w:rsid w:val="00222228"/>
    <w:rsid w:val="00222370"/>
    <w:rsid w:val="00222884"/>
    <w:rsid w:val="00223892"/>
    <w:rsid w:val="00223940"/>
    <w:rsid w:val="00223F09"/>
    <w:rsid w:val="002242DD"/>
    <w:rsid w:val="002245C8"/>
    <w:rsid w:val="0022465E"/>
    <w:rsid w:val="00225164"/>
    <w:rsid w:val="00225168"/>
    <w:rsid w:val="0022617E"/>
    <w:rsid w:val="00227614"/>
    <w:rsid w:val="0023041D"/>
    <w:rsid w:val="00231385"/>
    <w:rsid w:val="002316E9"/>
    <w:rsid w:val="002326C1"/>
    <w:rsid w:val="00232A8A"/>
    <w:rsid w:val="00233032"/>
    <w:rsid w:val="002332F7"/>
    <w:rsid w:val="00233986"/>
    <w:rsid w:val="00233D50"/>
    <w:rsid w:val="00234372"/>
    <w:rsid w:val="00234798"/>
    <w:rsid w:val="00234B56"/>
    <w:rsid w:val="00235472"/>
    <w:rsid w:val="00240C3D"/>
    <w:rsid w:val="00240D9B"/>
    <w:rsid w:val="002413A5"/>
    <w:rsid w:val="002421FC"/>
    <w:rsid w:val="00242676"/>
    <w:rsid w:val="002433B0"/>
    <w:rsid w:val="002433FD"/>
    <w:rsid w:val="00243641"/>
    <w:rsid w:val="0024415B"/>
    <w:rsid w:val="00244642"/>
    <w:rsid w:val="00244D15"/>
    <w:rsid w:val="00244E1B"/>
    <w:rsid w:val="00245474"/>
    <w:rsid w:val="002462FC"/>
    <w:rsid w:val="00246417"/>
    <w:rsid w:val="0024752F"/>
    <w:rsid w:val="00247C3E"/>
    <w:rsid w:val="002500E6"/>
    <w:rsid w:val="00250302"/>
    <w:rsid w:val="002503BA"/>
    <w:rsid w:val="00251005"/>
    <w:rsid w:val="0025173F"/>
    <w:rsid w:val="00251963"/>
    <w:rsid w:val="00251F57"/>
    <w:rsid w:val="0025220D"/>
    <w:rsid w:val="002529E3"/>
    <w:rsid w:val="00252E78"/>
    <w:rsid w:val="0025359A"/>
    <w:rsid w:val="002539F9"/>
    <w:rsid w:val="00253D47"/>
    <w:rsid w:val="002545AB"/>
    <w:rsid w:val="00254667"/>
    <w:rsid w:val="0025469B"/>
    <w:rsid w:val="00254701"/>
    <w:rsid w:val="00254DAC"/>
    <w:rsid w:val="00254F00"/>
    <w:rsid w:val="00255101"/>
    <w:rsid w:val="002553EF"/>
    <w:rsid w:val="0025556C"/>
    <w:rsid w:val="002555A1"/>
    <w:rsid w:val="002557F9"/>
    <w:rsid w:val="002559EF"/>
    <w:rsid w:val="0025637F"/>
    <w:rsid w:val="002567D3"/>
    <w:rsid w:val="00256C8E"/>
    <w:rsid w:val="00256E34"/>
    <w:rsid w:val="002572C6"/>
    <w:rsid w:val="00257669"/>
    <w:rsid w:val="00257837"/>
    <w:rsid w:val="00257A26"/>
    <w:rsid w:val="002605A7"/>
    <w:rsid w:val="00260847"/>
    <w:rsid w:val="00261653"/>
    <w:rsid w:val="0026189C"/>
    <w:rsid w:val="00261CC4"/>
    <w:rsid w:val="00262391"/>
    <w:rsid w:val="0026368D"/>
    <w:rsid w:val="00263A27"/>
    <w:rsid w:val="0026424C"/>
    <w:rsid w:val="002642FC"/>
    <w:rsid w:val="0026495C"/>
    <w:rsid w:val="0026544D"/>
    <w:rsid w:val="00266AF5"/>
    <w:rsid w:val="00266D04"/>
    <w:rsid w:val="002674FC"/>
    <w:rsid w:val="00267867"/>
    <w:rsid w:val="00267BF7"/>
    <w:rsid w:val="002701ED"/>
    <w:rsid w:val="0027076E"/>
    <w:rsid w:val="002715E5"/>
    <w:rsid w:val="00271642"/>
    <w:rsid w:val="00271AF4"/>
    <w:rsid w:val="00272747"/>
    <w:rsid w:val="00272812"/>
    <w:rsid w:val="00272CBF"/>
    <w:rsid w:val="00273557"/>
    <w:rsid w:val="00273AF1"/>
    <w:rsid w:val="00273EB1"/>
    <w:rsid w:val="002742C4"/>
    <w:rsid w:val="0027478C"/>
    <w:rsid w:val="002747FE"/>
    <w:rsid w:val="002748F0"/>
    <w:rsid w:val="002749F4"/>
    <w:rsid w:val="00274CEA"/>
    <w:rsid w:val="00276E87"/>
    <w:rsid w:val="002776C7"/>
    <w:rsid w:val="00280101"/>
    <w:rsid w:val="00280569"/>
    <w:rsid w:val="0028159B"/>
    <w:rsid w:val="00281C9E"/>
    <w:rsid w:val="00282DC0"/>
    <w:rsid w:val="00283343"/>
    <w:rsid w:val="00283475"/>
    <w:rsid w:val="00283A30"/>
    <w:rsid w:val="002841B8"/>
    <w:rsid w:val="002843A3"/>
    <w:rsid w:val="00284488"/>
    <w:rsid w:val="00284996"/>
    <w:rsid w:val="00284D15"/>
    <w:rsid w:val="00285044"/>
    <w:rsid w:val="0028509E"/>
    <w:rsid w:val="002852B7"/>
    <w:rsid w:val="0028534D"/>
    <w:rsid w:val="00285594"/>
    <w:rsid w:val="00285654"/>
    <w:rsid w:val="00285B0D"/>
    <w:rsid w:val="00285BC7"/>
    <w:rsid w:val="0028636E"/>
    <w:rsid w:val="00286740"/>
    <w:rsid w:val="00286AC4"/>
    <w:rsid w:val="00286D83"/>
    <w:rsid w:val="0028710A"/>
    <w:rsid w:val="002873F5"/>
    <w:rsid w:val="002878B9"/>
    <w:rsid w:val="00287E17"/>
    <w:rsid w:val="00287F6C"/>
    <w:rsid w:val="00290163"/>
    <w:rsid w:val="002907AE"/>
    <w:rsid w:val="00290876"/>
    <w:rsid w:val="00290C55"/>
    <w:rsid w:val="00290EE6"/>
    <w:rsid w:val="00292884"/>
    <w:rsid w:val="00292971"/>
    <w:rsid w:val="00292EC1"/>
    <w:rsid w:val="00293051"/>
    <w:rsid w:val="0029338A"/>
    <w:rsid w:val="00293D1E"/>
    <w:rsid w:val="00294726"/>
    <w:rsid w:val="0029481A"/>
    <w:rsid w:val="00294B02"/>
    <w:rsid w:val="00294D83"/>
    <w:rsid w:val="00295917"/>
    <w:rsid w:val="0029593D"/>
    <w:rsid w:val="00295C97"/>
    <w:rsid w:val="002961BB"/>
    <w:rsid w:val="002968B1"/>
    <w:rsid w:val="002968FE"/>
    <w:rsid w:val="00296A66"/>
    <w:rsid w:val="00296F46"/>
    <w:rsid w:val="0029717D"/>
    <w:rsid w:val="00297C07"/>
    <w:rsid w:val="002A1277"/>
    <w:rsid w:val="002A1772"/>
    <w:rsid w:val="002A29F2"/>
    <w:rsid w:val="002A3086"/>
    <w:rsid w:val="002A3C2E"/>
    <w:rsid w:val="002A4706"/>
    <w:rsid w:val="002A4845"/>
    <w:rsid w:val="002A50A9"/>
    <w:rsid w:val="002A5F57"/>
    <w:rsid w:val="002A6CBF"/>
    <w:rsid w:val="002A6D63"/>
    <w:rsid w:val="002A748F"/>
    <w:rsid w:val="002A77C1"/>
    <w:rsid w:val="002A7DAC"/>
    <w:rsid w:val="002B02E8"/>
    <w:rsid w:val="002B0384"/>
    <w:rsid w:val="002B1377"/>
    <w:rsid w:val="002B14CD"/>
    <w:rsid w:val="002B2304"/>
    <w:rsid w:val="002B25B2"/>
    <w:rsid w:val="002B25DE"/>
    <w:rsid w:val="002B2668"/>
    <w:rsid w:val="002B2B10"/>
    <w:rsid w:val="002B2B8E"/>
    <w:rsid w:val="002B2EF8"/>
    <w:rsid w:val="002B3244"/>
    <w:rsid w:val="002B3B20"/>
    <w:rsid w:val="002B3E0D"/>
    <w:rsid w:val="002B3E89"/>
    <w:rsid w:val="002B484C"/>
    <w:rsid w:val="002B4D3E"/>
    <w:rsid w:val="002B5D34"/>
    <w:rsid w:val="002B6133"/>
    <w:rsid w:val="002B695A"/>
    <w:rsid w:val="002B6BB4"/>
    <w:rsid w:val="002B73E2"/>
    <w:rsid w:val="002B7904"/>
    <w:rsid w:val="002B79DA"/>
    <w:rsid w:val="002B7F97"/>
    <w:rsid w:val="002C0110"/>
    <w:rsid w:val="002C079D"/>
    <w:rsid w:val="002C096A"/>
    <w:rsid w:val="002C12D6"/>
    <w:rsid w:val="002C18B7"/>
    <w:rsid w:val="002C1B26"/>
    <w:rsid w:val="002C23BF"/>
    <w:rsid w:val="002C24D7"/>
    <w:rsid w:val="002C286D"/>
    <w:rsid w:val="002C2CAC"/>
    <w:rsid w:val="002C2F4E"/>
    <w:rsid w:val="002C30BA"/>
    <w:rsid w:val="002C33B7"/>
    <w:rsid w:val="002C3578"/>
    <w:rsid w:val="002C3D30"/>
    <w:rsid w:val="002C3ED6"/>
    <w:rsid w:val="002C4104"/>
    <w:rsid w:val="002C418B"/>
    <w:rsid w:val="002C4201"/>
    <w:rsid w:val="002C468E"/>
    <w:rsid w:val="002C4D33"/>
    <w:rsid w:val="002C522A"/>
    <w:rsid w:val="002C64F3"/>
    <w:rsid w:val="002C6996"/>
    <w:rsid w:val="002C69F6"/>
    <w:rsid w:val="002C6C5B"/>
    <w:rsid w:val="002C6EB5"/>
    <w:rsid w:val="002C7537"/>
    <w:rsid w:val="002D00C7"/>
    <w:rsid w:val="002D0399"/>
    <w:rsid w:val="002D0882"/>
    <w:rsid w:val="002D1067"/>
    <w:rsid w:val="002D11C6"/>
    <w:rsid w:val="002D1252"/>
    <w:rsid w:val="002D17E3"/>
    <w:rsid w:val="002D2739"/>
    <w:rsid w:val="002D2B07"/>
    <w:rsid w:val="002D2DC4"/>
    <w:rsid w:val="002D2FA5"/>
    <w:rsid w:val="002D3AE3"/>
    <w:rsid w:val="002D3F6E"/>
    <w:rsid w:val="002D516B"/>
    <w:rsid w:val="002D51C1"/>
    <w:rsid w:val="002D527A"/>
    <w:rsid w:val="002D5811"/>
    <w:rsid w:val="002D5E5D"/>
    <w:rsid w:val="002D6978"/>
    <w:rsid w:val="002D6A0C"/>
    <w:rsid w:val="002D6A9D"/>
    <w:rsid w:val="002D72DE"/>
    <w:rsid w:val="002D7651"/>
    <w:rsid w:val="002D7BAD"/>
    <w:rsid w:val="002D7BFC"/>
    <w:rsid w:val="002E029F"/>
    <w:rsid w:val="002E130D"/>
    <w:rsid w:val="002E1ADD"/>
    <w:rsid w:val="002E1EDB"/>
    <w:rsid w:val="002E20E4"/>
    <w:rsid w:val="002E2255"/>
    <w:rsid w:val="002E2470"/>
    <w:rsid w:val="002E2C27"/>
    <w:rsid w:val="002E2D64"/>
    <w:rsid w:val="002E2F63"/>
    <w:rsid w:val="002E339C"/>
    <w:rsid w:val="002E33CD"/>
    <w:rsid w:val="002E3526"/>
    <w:rsid w:val="002E4150"/>
    <w:rsid w:val="002E43D0"/>
    <w:rsid w:val="002E4899"/>
    <w:rsid w:val="002E49A6"/>
    <w:rsid w:val="002E5788"/>
    <w:rsid w:val="002E5EF1"/>
    <w:rsid w:val="002E6BF7"/>
    <w:rsid w:val="002E6EAB"/>
    <w:rsid w:val="002E7799"/>
    <w:rsid w:val="002E7F57"/>
    <w:rsid w:val="002F013B"/>
    <w:rsid w:val="002F02EF"/>
    <w:rsid w:val="002F0511"/>
    <w:rsid w:val="002F0583"/>
    <w:rsid w:val="002F0637"/>
    <w:rsid w:val="002F094A"/>
    <w:rsid w:val="002F0E98"/>
    <w:rsid w:val="002F209C"/>
    <w:rsid w:val="002F28B4"/>
    <w:rsid w:val="002F2AA4"/>
    <w:rsid w:val="002F37A8"/>
    <w:rsid w:val="002F387E"/>
    <w:rsid w:val="002F3E25"/>
    <w:rsid w:val="002F4E32"/>
    <w:rsid w:val="002F5021"/>
    <w:rsid w:val="002F50A5"/>
    <w:rsid w:val="002F50FC"/>
    <w:rsid w:val="002F5497"/>
    <w:rsid w:val="002F56B6"/>
    <w:rsid w:val="002F6391"/>
    <w:rsid w:val="002F68BA"/>
    <w:rsid w:val="002F6AC3"/>
    <w:rsid w:val="002F6D4A"/>
    <w:rsid w:val="002F748D"/>
    <w:rsid w:val="002F781A"/>
    <w:rsid w:val="002F7EAC"/>
    <w:rsid w:val="00300566"/>
    <w:rsid w:val="003006DA"/>
    <w:rsid w:val="0030071E"/>
    <w:rsid w:val="00300C77"/>
    <w:rsid w:val="00300DE1"/>
    <w:rsid w:val="00300E8B"/>
    <w:rsid w:val="0030108C"/>
    <w:rsid w:val="003015BA"/>
    <w:rsid w:val="00301E6A"/>
    <w:rsid w:val="00302CD2"/>
    <w:rsid w:val="00302DB9"/>
    <w:rsid w:val="0030300D"/>
    <w:rsid w:val="00303208"/>
    <w:rsid w:val="00303427"/>
    <w:rsid w:val="0030350B"/>
    <w:rsid w:val="00303543"/>
    <w:rsid w:val="00303716"/>
    <w:rsid w:val="00303B0B"/>
    <w:rsid w:val="00303BB4"/>
    <w:rsid w:val="00304129"/>
    <w:rsid w:val="00304C0D"/>
    <w:rsid w:val="00304DDA"/>
    <w:rsid w:val="00304EE1"/>
    <w:rsid w:val="0030576D"/>
    <w:rsid w:val="00305CF4"/>
    <w:rsid w:val="00305F56"/>
    <w:rsid w:val="00306797"/>
    <w:rsid w:val="0030730F"/>
    <w:rsid w:val="0030745D"/>
    <w:rsid w:val="00307BFD"/>
    <w:rsid w:val="00307E09"/>
    <w:rsid w:val="00307E4B"/>
    <w:rsid w:val="00307F21"/>
    <w:rsid w:val="00310430"/>
    <w:rsid w:val="003114FA"/>
    <w:rsid w:val="00311BEA"/>
    <w:rsid w:val="00311D3A"/>
    <w:rsid w:val="00311D79"/>
    <w:rsid w:val="00312B38"/>
    <w:rsid w:val="00313567"/>
    <w:rsid w:val="00313799"/>
    <w:rsid w:val="00313907"/>
    <w:rsid w:val="00313A44"/>
    <w:rsid w:val="00313E37"/>
    <w:rsid w:val="00314D1E"/>
    <w:rsid w:val="00314D2D"/>
    <w:rsid w:val="00315241"/>
    <w:rsid w:val="003153BB"/>
    <w:rsid w:val="003159D9"/>
    <w:rsid w:val="00316082"/>
    <w:rsid w:val="00317112"/>
    <w:rsid w:val="0031729F"/>
    <w:rsid w:val="00317453"/>
    <w:rsid w:val="003174F8"/>
    <w:rsid w:val="00317B1C"/>
    <w:rsid w:val="00317FD8"/>
    <w:rsid w:val="00320B2A"/>
    <w:rsid w:val="00320F20"/>
    <w:rsid w:val="00321558"/>
    <w:rsid w:val="00321743"/>
    <w:rsid w:val="00322176"/>
    <w:rsid w:val="00322BE4"/>
    <w:rsid w:val="00322FA8"/>
    <w:rsid w:val="00323085"/>
    <w:rsid w:val="00324DD1"/>
    <w:rsid w:val="00325472"/>
    <w:rsid w:val="00325769"/>
    <w:rsid w:val="00325AC3"/>
    <w:rsid w:val="00326155"/>
    <w:rsid w:val="00326B55"/>
    <w:rsid w:val="00327236"/>
    <w:rsid w:val="00327425"/>
    <w:rsid w:val="00330509"/>
    <w:rsid w:val="003308A9"/>
    <w:rsid w:val="00330C3B"/>
    <w:rsid w:val="0033105F"/>
    <w:rsid w:val="003310A7"/>
    <w:rsid w:val="003311C5"/>
    <w:rsid w:val="00331492"/>
    <w:rsid w:val="00332972"/>
    <w:rsid w:val="0033309B"/>
    <w:rsid w:val="00333789"/>
    <w:rsid w:val="00333B5E"/>
    <w:rsid w:val="00333CDF"/>
    <w:rsid w:val="0033470F"/>
    <w:rsid w:val="00334766"/>
    <w:rsid w:val="00334E1E"/>
    <w:rsid w:val="00335122"/>
    <w:rsid w:val="00335348"/>
    <w:rsid w:val="00335F25"/>
    <w:rsid w:val="00336631"/>
    <w:rsid w:val="003368A9"/>
    <w:rsid w:val="00337244"/>
    <w:rsid w:val="00337793"/>
    <w:rsid w:val="00337863"/>
    <w:rsid w:val="00337CA7"/>
    <w:rsid w:val="00340786"/>
    <w:rsid w:val="00340CE0"/>
    <w:rsid w:val="00340EBD"/>
    <w:rsid w:val="003418A7"/>
    <w:rsid w:val="00342018"/>
    <w:rsid w:val="00342205"/>
    <w:rsid w:val="003423EB"/>
    <w:rsid w:val="003429F1"/>
    <w:rsid w:val="00342B71"/>
    <w:rsid w:val="00342EDD"/>
    <w:rsid w:val="0034309B"/>
    <w:rsid w:val="00343737"/>
    <w:rsid w:val="00344353"/>
    <w:rsid w:val="00344B38"/>
    <w:rsid w:val="003451DF"/>
    <w:rsid w:val="003459AC"/>
    <w:rsid w:val="00345E1A"/>
    <w:rsid w:val="003464BD"/>
    <w:rsid w:val="00346E32"/>
    <w:rsid w:val="0034755B"/>
    <w:rsid w:val="00347A59"/>
    <w:rsid w:val="00350336"/>
    <w:rsid w:val="00351513"/>
    <w:rsid w:val="00351BD9"/>
    <w:rsid w:val="00352C2B"/>
    <w:rsid w:val="00352F76"/>
    <w:rsid w:val="0035338B"/>
    <w:rsid w:val="003533A4"/>
    <w:rsid w:val="0035368F"/>
    <w:rsid w:val="00353843"/>
    <w:rsid w:val="00353979"/>
    <w:rsid w:val="00354E8D"/>
    <w:rsid w:val="0035525B"/>
    <w:rsid w:val="003554A7"/>
    <w:rsid w:val="00355C2D"/>
    <w:rsid w:val="00356575"/>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65D4"/>
    <w:rsid w:val="003674D9"/>
    <w:rsid w:val="00367850"/>
    <w:rsid w:val="0037017F"/>
    <w:rsid w:val="00370377"/>
    <w:rsid w:val="00371384"/>
    <w:rsid w:val="00371EEF"/>
    <w:rsid w:val="00372965"/>
    <w:rsid w:val="00372C6F"/>
    <w:rsid w:val="00372FFF"/>
    <w:rsid w:val="00373E32"/>
    <w:rsid w:val="00373F70"/>
    <w:rsid w:val="003748CB"/>
    <w:rsid w:val="00374CB3"/>
    <w:rsid w:val="00374F93"/>
    <w:rsid w:val="00375136"/>
    <w:rsid w:val="00375629"/>
    <w:rsid w:val="00375C31"/>
    <w:rsid w:val="00376467"/>
    <w:rsid w:val="00376A38"/>
    <w:rsid w:val="00377E04"/>
    <w:rsid w:val="00377FA0"/>
    <w:rsid w:val="00380F3E"/>
    <w:rsid w:val="00380F49"/>
    <w:rsid w:val="003810AB"/>
    <w:rsid w:val="0038150E"/>
    <w:rsid w:val="00381745"/>
    <w:rsid w:val="00381764"/>
    <w:rsid w:val="003818CF"/>
    <w:rsid w:val="0038363F"/>
    <w:rsid w:val="00383E33"/>
    <w:rsid w:val="003849E0"/>
    <w:rsid w:val="00384DDA"/>
    <w:rsid w:val="003854E9"/>
    <w:rsid w:val="0038577D"/>
    <w:rsid w:val="00385C8A"/>
    <w:rsid w:val="00386827"/>
    <w:rsid w:val="0038746F"/>
    <w:rsid w:val="00390575"/>
    <w:rsid w:val="003906CD"/>
    <w:rsid w:val="00391125"/>
    <w:rsid w:val="00391B23"/>
    <w:rsid w:val="00391F0E"/>
    <w:rsid w:val="003922B1"/>
    <w:rsid w:val="0039296F"/>
    <w:rsid w:val="003930B5"/>
    <w:rsid w:val="0039334A"/>
    <w:rsid w:val="00393468"/>
    <w:rsid w:val="00393585"/>
    <w:rsid w:val="003935B9"/>
    <w:rsid w:val="00394D97"/>
    <w:rsid w:val="00395CCF"/>
    <w:rsid w:val="00396338"/>
    <w:rsid w:val="003967B0"/>
    <w:rsid w:val="00396958"/>
    <w:rsid w:val="00396B1E"/>
    <w:rsid w:val="00396BCA"/>
    <w:rsid w:val="00396E17"/>
    <w:rsid w:val="003A06C5"/>
    <w:rsid w:val="003A0890"/>
    <w:rsid w:val="003A0A29"/>
    <w:rsid w:val="003A0C97"/>
    <w:rsid w:val="003A1AF7"/>
    <w:rsid w:val="003A221F"/>
    <w:rsid w:val="003A25F4"/>
    <w:rsid w:val="003A295A"/>
    <w:rsid w:val="003A3159"/>
    <w:rsid w:val="003A39C7"/>
    <w:rsid w:val="003A3AC4"/>
    <w:rsid w:val="003A3D0E"/>
    <w:rsid w:val="003A3D9A"/>
    <w:rsid w:val="003A409D"/>
    <w:rsid w:val="003A4129"/>
    <w:rsid w:val="003A420E"/>
    <w:rsid w:val="003A4801"/>
    <w:rsid w:val="003A48A3"/>
    <w:rsid w:val="003A4AAF"/>
    <w:rsid w:val="003A4B2E"/>
    <w:rsid w:val="003A5166"/>
    <w:rsid w:val="003A54BC"/>
    <w:rsid w:val="003A5737"/>
    <w:rsid w:val="003A58AF"/>
    <w:rsid w:val="003A5A86"/>
    <w:rsid w:val="003B019B"/>
    <w:rsid w:val="003B01E4"/>
    <w:rsid w:val="003B088E"/>
    <w:rsid w:val="003B1F25"/>
    <w:rsid w:val="003B27DF"/>
    <w:rsid w:val="003B2E07"/>
    <w:rsid w:val="003B353C"/>
    <w:rsid w:val="003B3951"/>
    <w:rsid w:val="003B3BDF"/>
    <w:rsid w:val="003B44AF"/>
    <w:rsid w:val="003B4787"/>
    <w:rsid w:val="003B4F0C"/>
    <w:rsid w:val="003B50BA"/>
    <w:rsid w:val="003B5452"/>
    <w:rsid w:val="003B5717"/>
    <w:rsid w:val="003B5B2E"/>
    <w:rsid w:val="003B5CAF"/>
    <w:rsid w:val="003B5E00"/>
    <w:rsid w:val="003B6166"/>
    <w:rsid w:val="003B6534"/>
    <w:rsid w:val="003B6D41"/>
    <w:rsid w:val="003B7593"/>
    <w:rsid w:val="003B7749"/>
    <w:rsid w:val="003B7C7B"/>
    <w:rsid w:val="003C0E58"/>
    <w:rsid w:val="003C14B1"/>
    <w:rsid w:val="003C1591"/>
    <w:rsid w:val="003C199E"/>
    <w:rsid w:val="003C2280"/>
    <w:rsid w:val="003C2AA7"/>
    <w:rsid w:val="003C2F47"/>
    <w:rsid w:val="003C3846"/>
    <w:rsid w:val="003C44D1"/>
    <w:rsid w:val="003C4733"/>
    <w:rsid w:val="003C4F06"/>
    <w:rsid w:val="003C5A14"/>
    <w:rsid w:val="003C5DE7"/>
    <w:rsid w:val="003C6080"/>
    <w:rsid w:val="003C6592"/>
    <w:rsid w:val="003C667C"/>
    <w:rsid w:val="003C7335"/>
    <w:rsid w:val="003C7651"/>
    <w:rsid w:val="003C7820"/>
    <w:rsid w:val="003C7879"/>
    <w:rsid w:val="003C79DB"/>
    <w:rsid w:val="003D067C"/>
    <w:rsid w:val="003D0906"/>
    <w:rsid w:val="003D0D96"/>
    <w:rsid w:val="003D13D8"/>
    <w:rsid w:val="003D15B7"/>
    <w:rsid w:val="003D15ED"/>
    <w:rsid w:val="003D1608"/>
    <w:rsid w:val="003D2486"/>
    <w:rsid w:val="003D2A35"/>
    <w:rsid w:val="003D321B"/>
    <w:rsid w:val="003D35FA"/>
    <w:rsid w:val="003D37E2"/>
    <w:rsid w:val="003D39EF"/>
    <w:rsid w:val="003D419F"/>
    <w:rsid w:val="003D41BA"/>
    <w:rsid w:val="003D41C7"/>
    <w:rsid w:val="003D420B"/>
    <w:rsid w:val="003D45E1"/>
    <w:rsid w:val="003D4CC1"/>
    <w:rsid w:val="003D529E"/>
    <w:rsid w:val="003D6474"/>
    <w:rsid w:val="003D664F"/>
    <w:rsid w:val="003D6670"/>
    <w:rsid w:val="003D6A09"/>
    <w:rsid w:val="003D6F67"/>
    <w:rsid w:val="003D707F"/>
    <w:rsid w:val="003D71D5"/>
    <w:rsid w:val="003D74EF"/>
    <w:rsid w:val="003D7671"/>
    <w:rsid w:val="003E000B"/>
    <w:rsid w:val="003E0CAF"/>
    <w:rsid w:val="003E1122"/>
    <w:rsid w:val="003E12C9"/>
    <w:rsid w:val="003E1604"/>
    <w:rsid w:val="003E1766"/>
    <w:rsid w:val="003E18F5"/>
    <w:rsid w:val="003E1A61"/>
    <w:rsid w:val="003E1AF0"/>
    <w:rsid w:val="003E279B"/>
    <w:rsid w:val="003E2AB7"/>
    <w:rsid w:val="003E2F36"/>
    <w:rsid w:val="003E2FB3"/>
    <w:rsid w:val="003E37A0"/>
    <w:rsid w:val="003E393E"/>
    <w:rsid w:val="003E3CF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2C12"/>
    <w:rsid w:val="003F3195"/>
    <w:rsid w:val="003F32A8"/>
    <w:rsid w:val="003F3673"/>
    <w:rsid w:val="003F3760"/>
    <w:rsid w:val="003F3B7F"/>
    <w:rsid w:val="003F465F"/>
    <w:rsid w:val="003F47AB"/>
    <w:rsid w:val="003F4B6C"/>
    <w:rsid w:val="003F4BC7"/>
    <w:rsid w:val="003F4DAF"/>
    <w:rsid w:val="003F5A39"/>
    <w:rsid w:val="003F6039"/>
    <w:rsid w:val="003F67D7"/>
    <w:rsid w:val="003F7144"/>
    <w:rsid w:val="003F74EF"/>
    <w:rsid w:val="00400758"/>
    <w:rsid w:val="00400A77"/>
    <w:rsid w:val="00401262"/>
    <w:rsid w:val="00401B6E"/>
    <w:rsid w:val="0040281D"/>
    <w:rsid w:val="0040291B"/>
    <w:rsid w:val="00404123"/>
    <w:rsid w:val="00404310"/>
    <w:rsid w:val="0040467E"/>
    <w:rsid w:val="00404B91"/>
    <w:rsid w:val="00404BB2"/>
    <w:rsid w:val="0040513F"/>
    <w:rsid w:val="0040541F"/>
    <w:rsid w:val="00405424"/>
    <w:rsid w:val="004056DC"/>
    <w:rsid w:val="00405C05"/>
    <w:rsid w:val="00405C8A"/>
    <w:rsid w:val="00406889"/>
    <w:rsid w:val="00406DEE"/>
    <w:rsid w:val="004072DC"/>
    <w:rsid w:val="00407C6C"/>
    <w:rsid w:val="00410081"/>
    <w:rsid w:val="00410A2C"/>
    <w:rsid w:val="00410AD6"/>
    <w:rsid w:val="00410E96"/>
    <w:rsid w:val="00411C1D"/>
    <w:rsid w:val="0041242B"/>
    <w:rsid w:val="00412A04"/>
    <w:rsid w:val="00412C22"/>
    <w:rsid w:val="00412C54"/>
    <w:rsid w:val="00412CAE"/>
    <w:rsid w:val="00412DB7"/>
    <w:rsid w:val="0041307A"/>
    <w:rsid w:val="00413397"/>
    <w:rsid w:val="00413D02"/>
    <w:rsid w:val="00413DF7"/>
    <w:rsid w:val="004141EF"/>
    <w:rsid w:val="00414FC0"/>
    <w:rsid w:val="004150A8"/>
    <w:rsid w:val="004158E1"/>
    <w:rsid w:val="00415B20"/>
    <w:rsid w:val="004164FC"/>
    <w:rsid w:val="00417E9B"/>
    <w:rsid w:val="00417ECD"/>
    <w:rsid w:val="00420473"/>
    <w:rsid w:val="00420694"/>
    <w:rsid w:val="00420703"/>
    <w:rsid w:val="0042081E"/>
    <w:rsid w:val="00420E0C"/>
    <w:rsid w:val="00420FA6"/>
    <w:rsid w:val="00421989"/>
    <w:rsid w:val="00421C02"/>
    <w:rsid w:val="00422163"/>
    <w:rsid w:val="004228C3"/>
    <w:rsid w:val="00422B00"/>
    <w:rsid w:val="0042331A"/>
    <w:rsid w:val="0042346D"/>
    <w:rsid w:val="00423479"/>
    <w:rsid w:val="00423CBD"/>
    <w:rsid w:val="004240F4"/>
    <w:rsid w:val="00424B49"/>
    <w:rsid w:val="00424BC0"/>
    <w:rsid w:val="00424CD9"/>
    <w:rsid w:val="00424EE9"/>
    <w:rsid w:val="00425A9F"/>
    <w:rsid w:val="00425C82"/>
    <w:rsid w:val="004267BD"/>
    <w:rsid w:val="004267F4"/>
    <w:rsid w:val="0042687B"/>
    <w:rsid w:val="00426D00"/>
    <w:rsid w:val="00427071"/>
    <w:rsid w:val="0043000A"/>
    <w:rsid w:val="0043033C"/>
    <w:rsid w:val="00430A35"/>
    <w:rsid w:val="004318F3"/>
    <w:rsid w:val="0043232C"/>
    <w:rsid w:val="00432C14"/>
    <w:rsid w:val="00432D80"/>
    <w:rsid w:val="00432EC8"/>
    <w:rsid w:val="00433ACC"/>
    <w:rsid w:val="00433B72"/>
    <w:rsid w:val="004341E9"/>
    <w:rsid w:val="00434323"/>
    <w:rsid w:val="00434720"/>
    <w:rsid w:val="00434C76"/>
    <w:rsid w:val="00434CA4"/>
    <w:rsid w:val="00436AF2"/>
    <w:rsid w:val="00436D44"/>
    <w:rsid w:val="004379FE"/>
    <w:rsid w:val="00440C07"/>
    <w:rsid w:val="00440C48"/>
    <w:rsid w:val="00440E3B"/>
    <w:rsid w:val="0044111B"/>
    <w:rsid w:val="00441B8F"/>
    <w:rsid w:val="00441E7C"/>
    <w:rsid w:val="00441F13"/>
    <w:rsid w:val="00441FF4"/>
    <w:rsid w:val="004423AA"/>
    <w:rsid w:val="00442531"/>
    <w:rsid w:val="004437DC"/>
    <w:rsid w:val="004443AB"/>
    <w:rsid w:val="00444624"/>
    <w:rsid w:val="0044486A"/>
    <w:rsid w:val="004448DB"/>
    <w:rsid w:val="004450D0"/>
    <w:rsid w:val="0044592D"/>
    <w:rsid w:val="00445D17"/>
    <w:rsid w:val="00445E64"/>
    <w:rsid w:val="00445F93"/>
    <w:rsid w:val="0044645D"/>
    <w:rsid w:val="0044656F"/>
    <w:rsid w:val="00446746"/>
    <w:rsid w:val="004473E1"/>
    <w:rsid w:val="00447435"/>
    <w:rsid w:val="00447467"/>
    <w:rsid w:val="00447BE4"/>
    <w:rsid w:val="00447CC7"/>
    <w:rsid w:val="0045035B"/>
    <w:rsid w:val="004504E5"/>
    <w:rsid w:val="0045342A"/>
    <w:rsid w:val="004539F3"/>
    <w:rsid w:val="00453E52"/>
    <w:rsid w:val="00454BF6"/>
    <w:rsid w:val="00454F37"/>
    <w:rsid w:val="004551C5"/>
    <w:rsid w:val="0045536D"/>
    <w:rsid w:val="0045563A"/>
    <w:rsid w:val="00455C0B"/>
    <w:rsid w:val="0045615C"/>
    <w:rsid w:val="00457539"/>
    <w:rsid w:val="00460819"/>
    <w:rsid w:val="00460A2F"/>
    <w:rsid w:val="00460DFC"/>
    <w:rsid w:val="00461027"/>
    <w:rsid w:val="00461473"/>
    <w:rsid w:val="00462344"/>
    <w:rsid w:val="00462792"/>
    <w:rsid w:val="0046292A"/>
    <w:rsid w:val="00462EC3"/>
    <w:rsid w:val="00463713"/>
    <w:rsid w:val="00464A54"/>
    <w:rsid w:val="00464ECA"/>
    <w:rsid w:val="00464F15"/>
    <w:rsid w:val="00465E1C"/>
    <w:rsid w:val="00466917"/>
    <w:rsid w:val="00466A68"/>
    <w:rsid w:val="00466E1F"/>
    <w:rsid w:val="00467A07"/>
    <w:rsid w:val="00467DDF"/>
    <w:rsid w:val="00467E6F"/>
    <w:rsid w:val="0047087C"/>
    <w:rsid w:val="004709CF"/>
    <w:rsid w:val="00470D72"/>
    <w:rsid w:val="0047112E"/>
    <w:rsid w:val="004712BA"/>
    <w:rsid w:val="0047156A"/>
    <w:rsid w:val="004715DB"/>
    <w:rsid w:val="004717FC"/>
    <w:rsid w:val="00471D81"/>
    <w:rsid w:val="00472D57"/>
    <w:rsid w:val="0047319E"/>
    <w:rsid w:val="0047343D"/>
    <w:rsid w:val="004737AB"/>
    <w:rsid w:val="00473C20"/>
    <w:rsid w:val="00474861"/>
    <w:rsid w:val="00475257"/>
    <w:rsid w:val="004756A4"/>
    <w:rsid w:val="004757DD"/>
    <w:rsid w:val="00475A00"/>
    <w:rsid w:val="00475DE8"/>
    <w:rsid w:val="0047620B"/>
    <w:rsid w:val="004765C1"/>
    <w:rsid w:val="00476839"/>
    <w:rsid w:val="00477156"/>
    <w:rsid w:val="00477886"/>
    <w:rsid w:val="00480314"/>
    <w:rsid w:val="00480836"/>
    <w:rsid w:val="0048093C"/>
    <w:rsid w:val="00480C6C"/>
    <w:rsid w:val="00481366"/>
    <w:rsid w:val="00481755"/>
    <w:rsid w:val="004821BF"/>
    <w:rsid w:val="00482420"/>
    <w:rsid w:val="004838B3"/>
    <w:rsid w:val="00483EBC"/>
    <w:rsid w:val="004842F9"/>
    <w:rsid w:val="00484529"/>
    <w:rsid w:val="004847E2"/>
    <w:rsid w:val="0048633C"/>
    <w:rsid w:val="004865CE"/>
    <w:rsid w:val="00487204"/>
    <w:rsid w:val="00487507"/>
    <w:rsid w:val="00487663"/>
    <w:rsid w:val="004877CE"/>
    <w:rsid w:val="00487AA1"/>
    <w:rsid w:val="00487D87"/>
    <w:rsid w:val="0049089F"/>
    <w:rsid w:val="0049099D"/>
    <w:rsid w:val="00490E4A"/>
    <w:rsid w:val="004913DD"/>
    <w:rsid w:val="00491AF2"/>
    <w:rsid w:val="00491FB0"/>
    <w:rsid w:val="00492077"/>
    <w:rsid w:val="004920BE"/>
    <w:rsid w:val="004923E3"/>
    <w:rsid w:val="004930C9"/>
    <w:rsid w:val="00493F13"/>
    <w:rsid w:val="00495607"/>
    <w:rsid w:val="00495774"/>
    <w:rsid w:val="00495F75"/>
    <w:rsid w:val="00496151"/>
    <w:rsid w:val="00496379"/>
    <w:rsid w:val="004969CB"/>
    <w:rsid w:val="004969EA"/>
    <w:rsid w:val="00496CB2"/>
    <w:rsid w:val="00497689"/>
    <w:rsid w:val="00497B8B"/>
    <w:rsid w:val="004A0111"/>
    <w:rsid w:val="004A0A58"/>
    <w:rsid w:val="004A0FBA"/>
    <w:rsid w:val="004A16AC"/>
    <w:rsid w:val="004A1B28"/>
    <w:rsid w:val="004A1C37"/>
    <w:rsid w:val="004A20D4"/>
    <w:rsid w:val="004A2BF9"/>
    <w:rsid w:val="004A2C3A"/>
    <w:rsid w:val="004A2E8D"/>
    <w:rsid w:val="004A39B3"/>
    <w:rsid w:val="004A3A16"/>
    <w:rsid w:val="004A443B"/>
    <w:rsid w:val="004A5BC6"/>
    <w:rsid w:val="004A6087"/>
    <w:rsid w:val="004A67DF"/>
    <w:rsid w:val="004A73AA"/>
    <w:rsid w:val="004B014F"/>
    <w:rsid w:val="004B0840"/>
    <w:rsid w:val="004B0A99"/>
    <w:rsid w:val="004B1433"/>
    <w:rsid w:val="004B14D9"/>
    <w:rsid w:val="004B2450"/>
    <w:rsid w:val="004B32FC"/>
    <w:rsid w:val="004B39AC"/>
    <w:rsid w:val="004B3CA5"/>
    <w:rsid w:val="004B3CEC"/>
    <w:rsid w:val="004B4071"/>
    <w:rsid w:val="004B41CA"/>
    <w:rsid w:val="004B41D3"/>
    <w:rsid w:val="004B4228"/>
    <w:rsid w:val="004B4A3D"/>
    <w:rsid w:val="004B5ADF"/>
    <w:rsid w:val="004B5DC2"/>
    <w:rsid w:val="004B66C4"/>
    <w:rsid w:val="004B67FA"/>
    <w:rsid w:val="004B702C"/>
    <w:rsid w:val="004B7411"/>
    <w:rsid w:val="004B74DA"/>
    <w:rsid w:val="004B7C2B"/>
    <w:rsid w:val="004C009E"/>
    <w:rsid w:val="004C0413"/>
    <w:rsid w:val="004C167C"/>
    <w:rsid w:val="004C1CED"/>
    <w:rsid w:val="004C2707"/>
    <w:rsid w:val="004C343E"/>
    <w:rsid w:val="004C43B3"/>
    <w:rsid w:val="004C458A"/>
    <w:rsid w:val="004C4755"/>
    <w:rsid w:val="004C4C7A"/>
    <w:rsid w:val="004C4E08"/>
    <w:rsid w:val="004C4F65"/>
    <w:rsid w:val="004C5DDA"/>
    <w:rsid w:val="004C5F4E"/>
    <w:rsid w:val="004C60F8"/>
    <w:rsid w:val="004C665A"/>
    <w:rsid w:val="004C6876"/>
    <w:rsid w:val="004C6BE5"/>
    <w:rsid w:val="004C6EDF"/>
    <w:rsid w:val="004C6F08"/>
    <w:rsid w:val="004C75F6"/>
    <w:rsid w:val="004C7DEF"/>
    <w:rsid w:val="004D0314"/>
    <w:rsid w:val="004D054B"/>
    <w:rsid w:val="004D0661"/>
    <w:rsid w:val="004D0892"/>
    <w:rsid w:val="004D1AD3"/>
    <w:rsid w:val="004D311F"/>
    <w:rsid w:val="004D4278"/>
    <w:rsid w:val="004D4AC4"/>
    <w:rsid w:val="004D4B5F"/>
    <w:rsid w:val="004D4BE5"/>
    <w:rsid w:val="004D4EF0"/>
    <w:rsid w:val="004D54BD"/>
    <w:rsid w:val="004D6524"/>
    <w:rsid w:val="004D68BE"/>
    <w:rsid w:val="004D6BD9"/>
    <w:rsid w:val="004D6CE6"/>
    <w:rsid w:val="004D789A"/>
    <w:rsid w:val="004E0134"/>
    <w:rsid w:val="004E0695"/>
    <w:rsid w:val="004E081A"/>
    <w:rsid w:val="004E09D2"/>
    <w:rsid w:val="004E09DC"/>
    <w:rsid w:val="004E1162"/>
    <w:rsid w:val="004E13CC"/>
    <w:rsid w:val="004E1731"/>
    <w:rsid w:val="004E1D47"/>
    <w:rsid w:val="004E20A2"/>
    <w:rsid w:val="004E244C"/>
    <w:rsid w:val="004E2A05"/>
    <w:rsid w:val="004E31BA"/>
    <w:rsid w:val="004E3966"/>
    <w:rsid w:val="004E3AFB"/>
    <w:rsid w:val="004E3D62"/>
    <w:rsid w:val="004E43D2"/>
    <w:rsid w:val="004E45A3"/>
    <w:rsid w:val="004E46DA"/>
    <w:rsid w:val="004E4E83"/>
    <w:rsid w:val="004E59B2"/>
    <w:rsid w:val="004E5E56"/>
    <w:rsid w:val="004E604F"/>
    <w:rsid w:val="004E6D90"/>
    <w:rsid w:val="004E73E8"/>
    <w:rsid w:val="004E74EC"/>
    <w:rsid w:val="004E7BF8"/>
    <w:rsid w:val="004E7DEA"/>
    <w:rsid w:val="004F0914"/>
    <w:rsid w:val="004F141F"/>
    <w:rsid w:val="004F2000"/>
    <w:rsid w:val="004F2318"/>
    <w:rsid w:val="004F24FB"/>
    <w:rsid w:val="004F268B"/>
    <w:rsid w:val="004F2F68"/>
    <w:rsid w:val="004F3176"/>
    <w:rsid w:val="004F3A76"/>
    <w:rsid w:val="004F4735"/>
    <w:rsid w:val="004F5B6B"/>
    <w:rsid w:val="004F5B94"/>
    <w:rsid w:val="004F63B9"/>
    <w:rsid w:val="004F6568"/>
    <w:rsid w:val="004F709F"/>
    <w:rsid w:val="004F767C"/>
    <w:rsid w:val="00500010"/>
    <w:rsid w:val="005001BC"/>
    <w:rsid w:val="00500DD6"/>
    <w:rsid w:val="00501648"/>
    <w:rsid w:val="00501C83"/>
    <w:rsid w:val="0050271A"/>
    <w:rsid w:val="00502E71"/>
    <w:rsid w:val="00503361"/>
    <w:rsid w:val="00503A88"/>
    <w:rsid w:val="005042A1"/>
    <w:rsid w:val="005042BC"/>
    <w:rsid w:val="00504C80"/>
    <w:rsid w:val="005061E5"/>
    <w:rsid w:val="005062B4"/>
    <w:rsid w:val="00506384"/>
    <w:rsid w:val="0050687F"/>
    <w:rsid w:val="00506F08"/>
    <w:rsid w:val="005074FD"/>
    <w:rsid w:val="005104CF"/>
    <w:rsid w:val="00510E7E"/>
    <w:rsid w:val="00510F27"/>
    <w:rsid w:val="00511EE9"/>
    <w:rsid w:val="00512C8D"/>
    <w:rsid w:val="00513759"/>
    <w:rsid w:val="00514262"/>
    <w:rsid w:val="00514327"/>
    <w:rsid w:val="00514D54"/>
    <w:rsid w:val="0051508F"/>
    <w:rsid w:val="005159CD"/>
    <w:rsid w:val="00515C6E"/>
    <w:rsid w:val="005160E2"/>
    <w:rsid w:val="005161AD"/>
    <w:rsid w:val="00516BBA"/>
    <w:rsid w:val="00516CBD"/>
    <w:rsid w:val="00516EB9"/>
    <w:rsid w:val="0051752A"/>
    <w:rsid w:val="00517F39"/>
    <w:rsid w:val="00517FBF"/>
    <w:rsid w:val="005211AC"/>
    <w:rsid w:val="00521371"/>
    <w:rsid w:val="00521617"/>
    <w:rsid w:val="00522945"/>
    <w:rsid w:val="0052314D"/>
    <w:rsid w:val="00523380"/>
    <w:rsid w:val="005239B7"/>
    <w:rsid w:val="00523BD2"/>
    <w:rsid w:val="00523CBE"/>
    <w:rsid w:val="00523FAF"/>
    <w:rsid w:val="00524146"/>
    <w:rsid w:val="00524AB1"/>
    <w:rsid w:val="00524EA5"/>
    <w:rsid w:val="00525257"/>
    <w:rsid w:val="00525A70"/>
    <w:rsid w:val="00525B14"/>
    <w:rsid w:val="00525B7E"/>
    <w:rsid w:val="00525D95"/>
    <w:rsid w:val="005260E6"/>
    <w:rsid w:val="0052633F"/>
    <w:rsid w:val="00526B74"/>
    <w:rsid w:val="00526DB4"/>
    <w:rsid w:val="00527901"/>
    <w:rsid w:val="00527AC5"/>
    <w:rsid w:val="00527EDB"/>
    <w:rsid w:val="00530B61"/>
    <w:rsid w:val="00530FDE"/>
    <w:rsid w:val="0053102C"/>
    <w:rsid w:val="0053152B"/>
    <w:rsid w:val="00531CF0"/>
    <w:rsid w:val="00531E6A"/>
    <w:rsid w:val="0053288C"/>
    <w:rsid w:val="00532B67"/>
    <w:rsid w:val="00532B8D"/>
    <w:rsid w:val="00532E70"/>
    <w:rsid w:val="00533A1F"/>
    <w:rsid w:val="0053415B"/>
    <w:rsid w:val="005342A1"/>
    <w:rsid w:val="0053580A"/>
    <w:rsid w:val="0053590B"/>
    <w:rsid w:val="00535D0B"/>
    <w:rsid w:val="00536119"/>
    <w:rsid w:val="00536390"/>
    <w:rsid w:val="0053646A"/>
    <w:rsid w:val="0053674A"/>
    <w:rsid w:val="00536EB8"/>
    <w:rsid w:val="0053709A"/>
    <w:rsid w:val="00537407"/>
    <w:rsid w:val="00540B24"/>
    <w:rsid w:val="0054134A"/>
    <w:rsid w:val="005415DB"/>
    <w:rsid w:val="005416BB"/>
    <w:rsid w:val="005418E2"/>
    <w:rsid w:val="00541A87"/>
    <w:rsid w:val="00541CC7"/>
    <w:rsid w:val="00541D3C"/>
    <w:rsid w:val="005420B3"/>
    <w:rsid w:val="00542445"/>
    <w:rsid w:val="00542F7E"/>
    <w:rsid w:val="00543ADC"/>
    <w:rsid w:val="00543B10"/>
    <w:rsid w:val="00544D59"/>
    <w:rsid w:val="00545235"/>
    <w:rsid w:val="005452F5"/>
    <w:rsid w:val="00546054"/>
    <w:rsid w:val="005466DD"/>
    <w:rsid w:val="00546765"/>
    <w:rsid w:val="00546871"/>
    <w:rsid w:val="00547879"/>
    <w:rsid w:val="005479F1"/>
    <w:rsid w:val="00547B59"/>
    <w:rsid w:val="00547D22"/>
    <w:rsid w:val="00547E58"/>
    <w:rsid w:val="00547FD8"/>
    <w:rsid w:val="00550288"/>
    <w:rsid w:val="005509A3"/>
    <w:rsid w:val="0055101E"/>
    <w:rsid w:val="005517D2"/>
    <w:rsid w:val="00551840"/>
    <w:rsid w:val="00551D2E"/>
    <w:rsid w:val="005523C9"/>
    <w:rsid w:val="00552767"/>
    <w:rsid w:val="005529F1"/>
    <w:rsid w:val="00552A0E"/>
    <w:rsid w:val="00552DD1"/>
    <w:rsid w:val="00553279"/>
    <w:rsid w:val="0055332C"/>
    <w:rsid w:val="005536CF"/>
    <w:rsid w:val="0055394B"/>
    <w:rsid w:val="00553C93"/>
    <w:rsid w:val="00553FA6"/>
    <w:rsid w:val="0055409C"/>
    <w:rsid w:val="00554124"/>
    <w:rsid w:val="0055413D"/>
    <w:rsid w:val="005544B3"/>
    <w:rsid w:val="00554E40"/>
    <w:rsid w:val="00554F97"/>
    <w:rsid w:val="00554FC6"/>
    <w:rsid w:val="005554C2"/>
    <w:rsid w:val="00555ED2"/>
    <w:rsid w:val="00556C0A"/>
    <w:rsid w:val="00557071"/>
    <w:rsid w:val="0055775F"/>
    <w:rsid w:val="00557E0E"/>
    <w:rsid w:val="00557E48"/>
    <w:rsid w:val="00560BE0"/>
    <w:rsid w:val="005625DF"/>
    <w:rsid w:val="00562A60"/>
    <w:rsid w:val="00562AE4"/>
    <w:rsid w:val="00563FEC"/>
    <w:rsid w:val="00564889"/>
    <w:rsid w:val="00564B27"/>
    <w:rsid w:val="00564C9B"/>
    <w:rsid w:val="00564DE4"/>
    <w:rsid w:val="00564FA7"/>
    <w:rsid w:val="00565386"/>
    <w:rsid w:val="00565A20"/>
    <w:rsid w:val="005661AF"/>
    <w:rsid w:val="0056691D"/>
    <w:rsid w:val="00567574"/>
    <w:rsid w:val="005679D6"/>
    <w:rsid w:val="00567D22"/>
    <w:rsid w:val="00567F9E"/>
    <w:rsid w:val="00567FC1"/>
    <w:rsid w:val="0057038E"/>
    <w:rsid w:val="00570A13"/>
    <w:rsid w:val="00570B11"/>
    <w:rsid w:val="005710C0"/>
    <w:rsid w:val="005718EC"/>
    <w:rsid w:val="00572252"/>
    <w:rsid w:val="00572297"/>
    <w:rsid w:val="00572482"/>
    <w:rsid w:val="005725F0"/>
    <w:rsid w:val="00572966"/>
    <w:rsid w:val="00572C96"/>
    <w:rsid w:val="00572D2C"/>
    <w:rsid w:val="00572F23"/>
    <w:rsid w:val="005730AB"/>
    <w:rsid w:val="005730C8"/>
    <w:rsid w:val="00573521"/>
    <w:rsid w:val="00573774"/>
    <w:rsid w:val="00573EAB"/>
    <w:rsid w:val="005748E5"/>
    <w:rsid w:val="005750C2"/>
    <w:rsid w:val="0057515A"/>
    <w:rsid w:val="0057565D"/>
    <w:rsid w:val="00575BC1"/>
    <w:rsid w:val="00576B32"/>
    <w:rsid w:val="00576DE4"/>
    <w:rsid w:val="00577129"/>
    <w:rsid w:val="0058007A"/>
    <w:rsid w:val="00580CD8"/>
    <w:rsid w:val="00580F93"/>
    <w:rsid w:val="0058144F"/>
    <w:rsid w:val="005828F1"/>
    <w:rsid w:val="00582E20"/>
    <w:rsid w:val="00582E34"/>
    <w:rsid w:val="005830F2"/>
    <w:rsid w:val="005843CD"/>
    <w:rsid w:val="0058442D"/>
    <w:rsid w:val="00585ABE"/>
    <w:rsid w:val="00585DEE"/>
    <w:rsid w:val="00585E2D"/>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2E4"/>
    <w:rsid w:val="0059381A"/>
    <w:rsid w:val="00593C34"/>
    <w:rsid w:val="00594879"/>
    <w:rsid w:val="00594E6B"/>
    <w:rsid w:val="00595AB2"/>
    <w:rsid w:val="00596854"/>
    <w:rsid w:val="0059731C"/>
    <w:rsid w:val="005978A0"/>
    <w:rsid w:val="00597A30"/>
    <w:rsid w:val="00597A74"/>
    <w:rsid w:val="00597DDF"/>
    <w:rsid w:val="00597E5D"/>
    <w:rsid w:val="00597FA3"/>
    <w:rsid w:val="005A0129"/>
    <w:rsid w:val="005A0EFB"/>
    <w:rsid w:val="005A1885"/>
    <w:rsid w:val="005A21BC"/>
    <w:rsid w:val="005A2571"/>
    <w:rsid w:val="005A3963"/>
    <w:rsid w:val="005A3CA5"/>
    <w:rsid w:val="005A4CCA"/>
    <w:rsid w:val="005A5A32"/>
    <w:rsid w:val="005A5A5A"/>
    <w:rsid w:val="005A5C9B"/>
    <w:rsid w:val="005A6AE8"/>
    <w:rsid w:val="005A6E14"/>
    <w:rsid w:val="005A7007"/>
    <w:rsid w:val="005A72D7"/>
    <w:rsid w:val="005A73B5"/>
    <w:rsid w:val="005A7911"/>
    <w:rsid w:val="005A7BE4"/>
    <w:rsid w:val="005B035A"/>
    <w:rsid w:val="005B0468"/>
    <w:rsid w:val="005B077A"/>
    <w:rsid w:val="005B0BCF"/>
    <w:rsid w:val="005B197F"/>
    <w:rsid w:val="005B1C5D"/>
    <w:rsid w:val="005B2B3E"/>
    <w:rsid w:val="005B32E1"/>
    <w:rsid w:val="005B3401"/>
    <w:rsid w:val="005B3653"/>
    <w:rsid w:val="005B3700"/>
    <w:rsid w:val="005B372F"/>
    <w:rsid w:val="005B4024"/>
    <w:rsid w:val="005B4374"/>
    <w:rsid w:val="005B4559"/>
    <w:rsid w:val="005B4689"/>
    <w:rsid w:val="005B5237"/>
    <w:rsid w:val="005B54E9"/>
    <w:rsid w:val="005B5773"/>
    <w:rsid w:val="005B6604"/>
    <w:rsid w:val="005B7212"/>
    <w:rsid w:val="005B77C7"/>
    <w:rsid w:val="005B79D1"/>
    <w:rsid w:val="005B7B29"/>
    <w:rsid w:val="005B7BF4"/>
    <w:rsid w:val="005C0F0A"/>
    <w:rsid w:val="005C109C"/>
    <w:rsid w:val="005C1D39"/>
    <w:rsid w:val="005C1D42"/>
    <w:rsid w:val="005C2439"/>
    <w:rsid w:val="005C2746"/>
    <w:rsid w:val="005C2B9F"/>
    <w:rsid w:val="005C2F7B"/>
    <w:rsid w:val="005C3FEE"/>
    <w:rsid w:val="005C401B"/>
    <w:rsid w:val="005C4796"/>
    <w:rsid w:val="005C4E3B"/>
    <w:rsid w:val="005C5AE4"/>
    <w:rsid w:val="005C5C59"/>
    <w:rsid w:val="005C5F0E"/>
    <w:rsid w:val="005C71AA"/>
    <w:rsid w:val="005C73FB"/>
    <w:rsid w:val="005C7C55"/>
    <w:rsid w:val="005C7FB2"/>
    <w:rsid w:val="005D058A"/>
    <w:rsid w:val="005D0A1C"/>
    <w:rsid w:val="005D114B"/>
    <w:rsid w:val="005D2250"/>
    <w:rsid w:val="005D30DB"/>
    <w:rsid w:val="005D3640"/>
    <w:rsid w:val="005D3712"/>
    <w:rsid w:val="005D3747"/>
    <w:rsid w:val="005D4088"/>
    <w:rsid w:val="005D43CB"/>
    <w:rsid w:val="005D4524"/>
    <w:rsid w:val="005D4951"/>
    <w:rsid w:val="005D6209"/>
    <w:rsid w:val="005D6312"/>
    <w:rsid w:val="005D707E"/>
    <w:rsid w:val="005D7574"/>
    <w:rsid w:val="005D7617"/>
    <w:rsid w:val="005D7867"/>
    <w:rsid w:val="005D7EEA"/>
    <w:rsid w:val="005D7F1C"/>
    <w:rsid w:val="005E0989"/>
    <w:rsid w:val="005E0A3F"/>
    <w:rsid w:val="005E0F68"/>
    <w:rsid w:val="005E0FB0"/>
    <w:rsid w:val="005E12E0"/>
    <w:rsid w:val="005E1717"/>
    <w:rsid w:val="005E1A9F"/>
    <w:rsid w:val="005E1E33"/>
    <w:rsid w:val="005E2907"/>
    <w:rsid w:val="005E3057"/>
    <w:rsid w:val="005E3375"/>
    <w:rsid w:val="005E3957"/>
    <w:rsid w:val="005E3EA2"/>
    <w:rsid w:val="005E50DF"/>
    <w:rsid w:val="005E53B2"/>
    <w:rsid w:val="005E5D7B"/>
    <w:rsid w:val="005E6143"/>
    <w:rsid w:val="005E618A"/>
    <w:rsid w:val="005E6419"/>
    <w:rsid w:val="005E670D"/>
    <w:rsid w:val="005E6B8D"/>
    <w:rsid w:val="005E6F26"/>
    <w:rsid w:val="005E7BE5"/>
    <w:rsid w:val="005E7E1E"/>
    <w:rsid w:val="005F0E48"/>
    <w:rsid w:val="005F0F93"/>
    <w:rsid w:val="005F1247"/>
    <w:rsid w:val="005F12B4"/>
    <w:rsid w:val="005F2F6E"/>
    <w:rsid w:val="005F32FC"/>
    <w:rsid w:val="005F374A"/>
    <w:rsid w:val="005F3781"/>
    <w:rsid w:val="005F3C83"/>
    <w:rsid w:val="005F4066"/>
    <w:rsid w:val="005F4EE3"/>
    <w:rsid w:val="005F5068"/>
    <w:rsid w:val="005F585D"/>
    <w:rsid w:val="005F5AD1"/>
    <w:rsid w:val="005F5CEE"/>
    <w:rsid w:val="005F5EE6"/>
    <w:rsid w:val="005F5F63"/>
    <w:rsid w:val="005F6133"/>
    <w:rsid w:val="005F65F9"/>
    <w:rsid w:val="005F661F"/>
    <w:rsid w:val="005F6D10"/>
    <w:rsid w:val="005F6E29"/>
    <w:rsid w:val="005F7245"/>
    <w:rsid w:val="005F770F"/>
    <w:rsid w:val="006004E2"/>
    <w:rsid w:val="006006E5"/>
    <w:rsid w:val="00600C91"/>
    <w:rsid w:val="00601B4A"/>
    <w:rsid w:val="00601C10"/>
    <w:rsid w:val="00601C6D"/>
    <w:rsid w:val="00601E59"/>
    <w:rsid w:val="00601E79"/>
    <w:rsid w:val="00601F31"/>
    <w:rsid w:val="006029EF"/>
    <w:rsid w:val="006031AD"/>
    <w:rsid w:val="00603524"/>
    <w:rsid w:val="00603C32"/>
    <w:rsid w:val="006040AB"/>
    <w:rsid w:val="00604699"/>
    <w:rsid w:val="006046D4"/>
    <w:rsid w:val="0060482E"/>
    <w:rsid w:val="006051A0"/>
    <w:rsid w:val="00605D5C"/>
    <w:rsid w:val="00606840"/>
    <w:rsid w:val="00606A97"/>
    <w:rsid w:val="006073CE"/>
    <w:rsid w:val="0060764B"/>
    <w:rsid w:val="00607658"/>
    <w:rsid w:val="00610BF6"/>
    <w:rsid w:val="00610E61"/>
    <w:rsid w:val="00611140"/>
    <w:rsid w:val="006114AE"/>
    <w:rsid w:val="00611D2D"/>
    <w:rsid w:val="00612214"/>
    <w:rsid w:val="006124DD"/>
    <w:rsid w:val="006127AB"/>
    <w:rsid w:val="0061290D"/>
    <w:rsid w:val="00612DE7"/>
    <w:rsid w:val="006130EE"/>
    <w:rsid w:val="006131CE"/>
    <w:rsid w:val="006132E4"/>
    <w:rsid w:val="006138C0"/>
    <w:rsid w:val="00613A29"/>
    <w:rsid w:val="00613EF5"/>
    <w:rsid w:val="0061441E"/>
    <w:rsid w:val="00614750"/>
    <w:rsid w:val="006147E5"/>
    <w:rsid w:val="006149DB"/>
    <w:rsid w:val="00615836"/>
    <w:rsid w:val="00615D2C"/>
    <w:rsid w:val="00615DFD"/>
    <w:rsid w:val="00616104"/>
    <w:rsid w:val="00616AAF"/>
    <w:rsid w:val="00616AC0"/>
    <w:rsid w:val="006173C1"/>
    <w:rsid w:val="00617584"/>
    <w:rsid w:val="006176D9"/>
    <w:rsid w:val="00617838"/>
    <w:rsid w:val="00617B03"/>
    <w:rsid w:val="00617E61"/>
    <w:rsid w:val="0062059F"/>
    <w:rsid w:val="00620605"/>
    <w:rsid w:val="006211CD"/>
    <w:rsid w:val="006211EB"/>
    <w:rsid w:val="00621247"/>
    <w:rsid w:val="00622246"/>
    <w:rsid w:val="006226A2"/>
    <w:rsid w:val="00622E44"/>
    <w:rsid w:val="00623453"/>
    <w:rsid w:val="00623C52"/>
    <w:rsid w:val="006240F1"/>
    <w:rsid w:val="00624692"/>
    <w:rsid w:val="00624A61"/>
    <w:rsid w:val="00624A65"/>
    <w:rsid w:val="00624C42"/>
    <w:rsid w:val="00625445"/>
    <w:rsid w:val="0062612B"/>
    <w:rsid w:val="006266A5"/>
    <w:rsid w:val="006267F7"/>
    <w:rsid w:val="0062731C"/>
    <w:rsid w:val="006311F1"/>
    <w:rsid w:val="006314C2"/>
    <w:rsid w:val="00631843"/>
    <w:rsid w:val="00631F2F"/>
    <w:rsid w:val="0063209E"/>
    <w:rsid w:val="006320EC"/>
    <w:rsid w:val="0063233E"/>
    <w:rsid w:val="006326C5"/>
    <w:rsid w:val="00632A6F"/>
    <w:rsid w:val="00632AF3"/>
    <w:rsid w:val="00633754"/>
    <w:rsid w:val="0063405A"/>
    <w:rsid w:val="006357DE"/>
    <w:rsid w:val="00635AD4"/>
    <w:rsid w:val="00636B48"/>
    <w:rsid w:val="00636CD7"/>
    <w:rsid w:val="00636CE4"/>
    <w:rsid w:val="00636E71"/>
    <w:rsid w:val="006373DD"/>
    <w:rsid w:val="0063794E"/>
    <w:rsid w:val="006379DC"/>
    <w:rsid w:val="00637AF9"/>
    <w:rsid w:val="00640454"/>
    <w:rsid w:val="0064100E"/>
    <w:rsid w:val="00641023"/>
    <w:rsid w:val="00641482"/>
    <w:rsid w:val="00641A26"/>
    <w:rsid w:val="0064274E"/>
    <w:rsid w:val="00642AF6"/>
    <w:rsid w:val="00642EEF"/>
    <w:rsid w:val="0064302D"/>
    <w:rsid w:val="006438FE"/>
    <w:rsid w:val="00644D2E"/>
    <w:rsid w:val="006459AD"/>
    <w:rsid w:val="006464AC"/>
    <w:rsid w:val="006469C2"/>
    <w:rsid w:val="00646A3A"/>
    <w:rsid w:val="00646F69"/>
    <w:rsid w:val="00647013"/>
    <w:rsid w:val="00647972"/>
    <w:rsid w:val="00647C7E"/>
    <w:rsid w:val="006502ED"/>
    <w:rsid w:val="00650C67"/>
    <w:rsid w:val="006512F0"/>
    <w:rsid w:val="0065135E"/>
    <w:rsid w:val="006517D3"/>
    <w:rsid w:val="00651ADF"/>
    <w:rsid w:val="00651FFE"/>
    <w:rsid w:val="00652861"/>
    <w:rsid w:val="00652B05"/>
    <w:rsid w:val="00652BF0"/>
    <w:rsid w:val="00652F60"/>
    <w:rsid w:val="00652FB4"/>
    <w:rsid w:val="006531A3"/>
    <w:rsid w:val="00653B3C"/>
    <w:rsid w:val="00653F1C"/>
    <w:rsid w:val="0065423E"/>
    <w:rsid w:val="00654637"/>
    <w:rsid w:val="0065486D"/>
    <w:rsid w:val="00654CF7"/>
    <w:rsid w:val="00654D82"/>
    <w:rsid w:val="0065544D"/>
    <w:rsid w:val="006554E5"/>
    <w:rsid w:val="00656AE0"/>
    <w:rsid w:val="00656BCE"/>
    <w:rsid w:val="00656BDE"/>
    <w:rsid w:val="00656DBF"/>
    <w:rsid w:val="00657160"/>
    <w:rsid w:val="006573F5"/>
    <w:rsid w:val="006577FA"/>
    <w:rsid w:val="006600B7"/>
    <w:rsid w:val="00660629"/>
    <w:rsid w:val="006608F8"/>
    <w:rsid w:val="00660C93"/>
    <w:rsid w:val="00661B4C"/>
    <w:rsid w:val="00661BE3"/>
    <w:rsid w:val="00662282"/>
    <w:rsid w:val="00662787"/>
    <w:rsid w:val="006629AB"/>
    <w:rsid w:val="0066339D"/>
    <w:rsid w:val="006637F7"/>
    <w:rsid w:val="00664474"/>
    <w:rsid w:val="0066448E"/>
    <w:rsid w:val="00664601"/>
    <w:rsid w:val="006647E7"/>
    <w:rsid w:val="00664D95"/>
    <w:rsid w:val="00664FC5"/>
    <w:rsid w:val="00665569"/>
    <w:rsid w:val="00665594"/>
    <w:rsid w:val="006658F0"/>
    <w:rsid w:val="00665F0E"/>
    <w:rsid w:val="006662BA"/>
    <w:rsid w:val="00666332"/>
    <w:rsid w:val="0066642F"/>
    <w:rsid w:val="006666FD"/>
    <w:rsid w:val="00666DDF"/>
    <w:rsid w:val="006673D9"/>
    <w:rsid w:val="006678C9"/>
    <w:rsid w:val="00667D51"/>
    <w:rsid w:val="00670491"/>
    <w:rsid w:val="00670F01"/>
    <w:rsid w:val="00670F08"/>
    <w:rsid w:val="00671112"/>
    <w:rsid w:val="006711CD"/>
    <w:rsid w:val="00671274"/>
    <w:rsid w:val="006714CE"/>
    <w:rsid w:val="00672021"/>
    <w:rsid w:val="00672626"/>
    <w:rsid w:val="00672876"/>
    <w:rsid w:val="00672DD5"/>
    <w:rsid w:val="00672F78"/>
    <w:rsid w:val="0067339C"/>
    <w:rsid w:val="006734BE"/>
    <w:rsid w:val="00673D32"/>
    <w:rsid w:val="00675366"/>
    <w:rsid w:val="006759CB"/>
    <w:rsid w:val="00675D32"/>
    <w:rsid w:val="00675E99"/>
    <w:rsid w:val="006760DF"/>
    <w:rsid w:val="0067611A"/>
    <w:rsid w:val="0067642C"/>
    <w:rsid w:val="00676A74"/>
    <w:rsid w:val="00676B58"/>
    <w:rsid w:val="00676D5D"/>
    <w:rsid w:val="00680148"/>
    <w:rsid w:val="00680F5B"/>
    <w:rsid w:val="00682164"/>
    <w:rsid w:val="006821A3"/>
    <w:rsid w:val="0068230C"/>
    <w:rsid w:val="00682BA5"/>
    <w:rsid w:val="00682FA5"/>
    <w:rsid w:val="0068316A"/>
    <w:rsid w:val="0068330F"/>
    <w:rsid w:val="006834D8"/>
    <w:rsid w:val="00683AC0"/>
    <w:rsid w:val="00683CCE"/>
    <w:rsid w:val="00683DEA"/>
    <w:rsid w:val="00683F05"/>
    <w:rsid w:val="006843EE"/>
    <w:rsid w:val="00684B43"/>
    <w:rsid w:val="00684D70"/>
    <w:rsid w:val="00685089"/>
    <w:rsid w:val="006858F0"/>
    <w:rsid w:val="00685937"/>
    <w:rsid w:val="00685DBD"/>
    <w:rsid w:val="0068612F"/>
    <w:rsid w:val="00686800"/>
    <w:rsid w:val="00686EF0"/>
    <w:rsid w:val="00687B93"/>
    <w:rsid w:val="00687E4C"/>
    <w:rsid w:val="00690A36"/>
    <w:rsid w:val="00690C85"/>
    <w:rsid w:val="0069106C"/>
    <w:rsid w:val="00691433"/>
    <w:rsid w:val="006914E7"/>
    <w:rsid w:val="006916AA"/>
    <w:rsid w:val="00691D6E"/>
    <w:rsid w:val="00692436"/>
    <w:rsid w:val="00692D16"/>
    <w:rsid w:val="00692FF7"/>
    <w:rsid w:val="006930BD"/>
    <w:rsid w:val="0069324C"/>
    <w:rsid w:val="00694761"/>
    <w:rsid w:val="00694840"/>
    <w:rsid w:val="0069509B"/>
    <w:rsid w:val="006951E2"/>
    <w:rsid w:val="006960FC"/>
    <w:rsid w:val="006964C6"/>
    <w:rsid w:val="00696852"/>
    <w:rsid w:val="00697379"/>
    <w:rsid w:val="006976BB"/>
    <w:rsid w:val="006978ED"/>
    <w:rsid w:val="00697AF3"/>
    <w:rsid w:val="006A015F"/>
    <w:rsid w:val="006A114F"/>
    <w:rsid w:val="006A184C"/>
    <w:rsid w:val="006A2896"/>
    <w:rsid w:val="006A2ADD"/>
    <w:rsid w:val="006A2C78"/>
    <w:rsid w:val="006A3481"/>
    <w:rsid w:val="006A361D"/>
    <w:rsid w:val="006A38DF"/>
    <w:rsid w:val="006A3AF9"/>
    <w:rsid w:val="006A433E"/>
    <w:rsid w:val="006A44F3"/>
    <w:rsid w:val="006A454B"/>
    <w:rsid w:val="006A46C0"/>
    <w:rsid w:val="006A4F97"/>
    <w:rsid w:val="006A52EE"/>
    <w:rsid w:val="006A6E5D"/>
    <w:rsid w:val="006B1105"/>
    <w:rsid w:val="006B1158"/>
    <w:rsid w:val="006B15AD"/>
    <w:rsid w:val="006B2F98"/>
    <w:rsid w:val="006B3446"/>
    <w:rsid w:val="006B3921"/>
    <w:rsid w:val="006B4618"/>
    <w:rsid w:val="006B4AFB"/>
    <w:rsid w:val="006B4F01"/>
    <w:rsid w:val="006B5187"/>
    <w:rsid w:val="006B58A1"/>
    <w:rsid w:val="006B74D3"/>
    <w:rsid w:val="006B7656"/>
    <w:rsid w:val="006B7810"/>
    <w:rsid w:val="006B7845"/>
    <w:rsid w:val="006B7867"/>
    <w:rsid w:val="006B7F1C"/>
    <w:rsid w:val="006C0638"/>
    <w:rsid w:val="006C09E4"/>
    <w:rsid w:val="006C0ED8"/>
    <w:rsid w:val="006C102B"/>
    <w:rsid w:val="006C1144"/>
    <w:rsid w:val="006C1185"/>
    <w:rsid w:val="006C16F4"/>
    <w:rsid w:val="006C1B63"/>
    <w:rsid w:val="006C1F97"/>
    <w:rsid w:val="006C2872"/>
    <w:rsid w:val="006C3181"/>
    <w:rsid w:val="006C3DDE"/>
    <w:rsid w:val="006C57B2"/>
    <w:rsid w:val="006C6B6F"/>
    <w:rsid w:val="006C7528"/>
    <w:rsid w:val="006C77ED"/>
    <w:rsid w:val="006C783F"/>
    <w:rsid w:val="006C798A"/>
    <w:rsid w:val="006C7A48"/>
    <w:rsid w:val="006C7E40"/>
    <w:rsid w:val="006D05DB"/>
    <w:rsid w:val="006D179A"/>
    <w:rsid w:val="006D21E9"/>
    <w:rsid w:val="006D22F6"/>
    <w:rsid w:val="006D257F"/>
    <w:rsid w:val="006D2CA3"/>
    <w:rsid w:val="006D2FC4"/>
    <w:rsid w:val="006D311A"/>
    <w:rsid w:val="006D341F"/>
    <w:rsid w:val="006D37AF"/>
    <w:rsid w:val="006D3A1F"/>
    <w:rsid w:val="006D4196"/>
    <w:rsid w:val="006D43E3"/>
    <w:rsid w:val="006D4403"/>
    <w:rsid w:val="006D4720"/>
    <w:rsid w:val="006D4748"/>
    <w:rsid w:val="006D4DF2"/>
    <w:rsid w:val="006D4FA9"/>
    <w:rsid w:val="006D5019"/>
    <w:rsid w:val="006D501E"/>
    <w:rsid w:val="006D5274"/>
    <w:rsid w:val="006D56DB"/>
    <w:rsid w:val="006D5953"/>
    <w:rsid w:val="006D5B26"/>
    <w:rsid w:val="006D5D56"/>
    <w:rsid w:val="006D6D49"/>
    <w:rsid w:val="006D6DB7"/>
    <w:rsid w:val="006D70E0"/>
    <w:rsid w:val="006E0181"/>
    <w:rsid w:val="006E0AAE"/>
    <w:rsid w:val="006E0F71"/>
    <w:rsid w:val="006E13AE"/>
    <w:rsid w:val="006E16AA"/>
    <w:rsid w:val="006E3498"/>
    <w:rsid w:val="006E3D8A"/>
    <w:rsid w:val="006E4199"/>
    <w:rsid w:val="006E43F6"/>
    <w:rsid w:val="006E4426"/>
    <w:rsid w:val="006E44C3"/>
    <w:rsid w:val="006E450A"/>
    <w:rsid w:val="006E46D5"/>
    <w:rsid w:val="006E4CA2"/>
    <w:rsid w:val="006E4D80"/>
    <w:rsid w:val="006E4E3E"/>
    <w:rsid w:val="006E532B"/>
    <w:rsid w:val="006E5464"/>
    <w:rsid w:val="006E5E4F"/>
    <w:rsid w:val="006E5EE8"/>
    <w:rsid w:val="006E63D2"/>
    <w:rsid w:val="006E6D55"/>
    <w:rsid w:val="006E718A"/>
    <w:rsid w:val="006E71F1"/>
    <w:rsid w:val="006E78A2"/>
    <w:rsid w:val="006E7AAD"/>
    <w:rsid w:val="006E7D1E"/>
    <w:rsid w:val="006F0766"/>
    <w:rsid w:val="006F0B1D"/>
    <w:rsid w:val="006F0F53"/>
    <w:rsid w:val="006F195F"/>
    <w:rsid w:val="006F1CEE"/>
    <w:rsid w:val="006F1D20"/>
    <w:rsid w:val="006F1F96"/>
    <w:rsid w:val="006F21DA"/>
    <w:rsid w:val="006F2870"/>
    <w:rsid w:val="006F28CA"/>
    <w:rsid w:val="006F2D05"/>
    <w:rsid w:val="006F2DD0"/>
    <w:rsid w:val="006F2DF3"/>
    <w:rsid w:val="006F3AED"/>
    <w:rsid w:val="006F4B24"/>
    <w:rsid w:val="006F54D8"/>
    <w:rsid w:val="006F5A43"/>
    <w:rsid w:val="006F618D"/>
    <w:rsid w:val="006F61DF"/>
    <w:rsid w:val="006F650B"/>
    <w:rsid w:val="006F67AF"/>
    <w:rsid w:val="006F69CF"/>
    <w:rsid w:val="006F70EF"/>
    <w:rsid w:val="007014EC"/>
    <w:rsid w:val="007018F0"/>
    <w:rsid w:val="007019F6"/>
    <w:rsid w:val="00701F04"/>
    <w:rsid w:val="0070267F"/>
    <w:rsid w:val="00702733"/>
    <w:rsid w:val="00702CAB"/>
    <w:rsid w:val="00703521"/>
    <w:rsid w:val="0070383F"/>
    <w:rsid w:val="00703DA0"/>
    <w:rsid w:val="0070438D"/>
    <w:rsid w:val="00704407"/>
    <w:rsid w:val="00704ABE"/>
    <w:rsid w:val="00704FF7"/>
    <w:rsid w:val="00705558"/>
    <w:rsid w:val="00705B86"/>
    <w:rsid w:val="00705E27"/>
    <w:rsid w:val="00705F5D"/>
    <w:rsid w:val="007064D2"/>
    <w:rsid w:val="00706583"/>
    <w:rsid w:val="00706BEF"/>
    <w:rsid w:val="00707944"/>
    <w:rsid w:val="007103DD"/>
    <w:rsid w:val="007107DF"/>
    <w:rsid w:val="007108F1"/>
    <w:rsid w:val="00710FA6"/>
    <w:rsid w:val="00710FBC"/>
    <w:rsid w:val="007110D8"/>
    <w:rsid w:val="00711275"/>
    <w:rsid w:val="007125DE"/>
    <w:rsid w:val="00712750"/>
    <w:rsid w:val="00712967"/>
    <w:rsid w:val="0071312F"/>
    <w:rsid w:val="0071384D"/>
    <w:rsid w:val="00713A49"/>
    <w:rsid w:val="00713A52"/>
    <w:rsid w:val="00713B49"/>
    <w:rsid w:val="00713CCA"/>
    <w:rsid w:val="00713E7C"/>
    <w:rsid w:val="00713ED4"/>
    <w:rsid w:val="00713EF8"/>
    <w:rsid w:val="00714741"/>
    <w:rsid w:val="00714C37"/>
    <w:rsid w:val="00714C8E"/>
    <w:rsid w:val="0071560E"/>
    <w:rsid w:val="007156A6"/>
    <w:rsid w:val="0071574D"/>
    <w:rsid w:val="00715DF7"/>
    <w:rsid w:val="00716567"/>
    <w:rsid w:val="00716847"/>
    <w:rsid w:val="00716F33"/>
    <w:rsid w:val="00716FE7"/>
    <w:rsid w:val="00717428"/>
    <w:rsid w:val="0071747F"/>
    <w:rsid w:val="007174F0"/>
    <w:rsid w:val="00717754"/>
    <w:rsid w:val="00717B7A"/>
    <w:rsid w:val="00717DA6"/>
    <w:rsid w:val="00720BDD"/>
    <w:rsid w:val="0072101F"/>
    <w:rsid w:val="007212CB"/>
    <w:rsid w:val="0072166A"/>
    <w:rsid w:val="00721EE9"/>
    <w:rsid w:val="007230DB"/>
    <w:rsid w:val="0072369E"/>
    <w:rsid w:val="007238A9"/>
    <w:rsid w:val="007240EE"/>
    <w:rsid w:val="007243FC"/>
    <w:rsid w:val="00724512"/>
    <w:rsid w:val="00724D36"/>
    <w:rsid w:val="00724E80"/>
    <w:rsid w:val="00724F48"/>
    <w:rsid w:val="00724FD0"/>
    <w:rsid w:val="00725400"/>
    <w:rsid w:val="0072604F"/>
    <w:rsid w:val="00726240"/>
    <w:rsid w:val="00726BFF"/>
    <w:rsid w:val="0072742F"/>
    <w:rsid w:val="0073154D"/>
    <w:rsid w:val="0073162B"/>
    <w:rsid w:val="00731913"/>
    <w:rsid w:val="00731DB2"/>
    <w:rsid w:val="007321D1"/>
    <w:rsid w:val="0073226A"/>
    <w:rsid w:val="007326BB"/>
    <w:rsid w:val="00732B3D"/>
    <w:rsid w:val="00733045"/>
    <w:rsid w:val="0073326B"/>
    <w:rsid w:val="007337E1"/>
    <w:rsid w:val="00733F24"/>
    <w:rsid w:val="00733FA3"/>
    <w:rsid w:val="007342AC"/>
    <w:rsid w:val="00734713"/>
    <w:rsid w:val="00734F0F"/>
    <w:rsid w:val="0073510D"/>
    <w:rsid w:val="00736743"/>
    <w:rsid w:val="007373FD"/>
    <w:rsid w:val="00737A7A"/>
    <w:rsid w:val="00737CAA"/>
    <w:rsid w:val="00737FE5"/>
    <w:rsid w:val="007401D9"/>
    <w:rsid w:val="00740460"/>
    <w:rsid w:val="0074051D"/>
    <w:rsid w:val="00740F24"/>
    <w:rsid w:val="00741B45"/>
    <w:rsid w:val="00741E2F"/>
    <w:rsid w:val="00741EC9"/>
    <w:rsid w:val="0074246F"/>
    <w:rsid w:val="007429ED"/>
    <w:rsid w:val="00742A67"/>
    <w:rsid w:val="00742E9E"/>
    <w:rsid w:val="00743DC3"/>
    <w:rsid w:val="00743F94"/>
    <w:rsid w:val="00744E39"/>
    <w:rsid w:val="007450A7"/>
    <w:rsid w:val="00745692"/>
    <w:rsid w:val="00745DC9"/>
    <w:rsid w:val="007463C0"/>
    <w:rsid w:val="007464FB"/>
    <w:rsid w:val="00747741"/>
    <w:rsid w:val="00747D86"/>
    <w:rsid w:val="007501D2"/>
    <w:rsid w:val="00750C6B"/>
    <w:rsid w:val="00750DF9"/>
    <w:rsid w:val="00751163"/>
    <w:rsid w:val="007519FC"/>
    <w:rsid w:val="00752066"/>
    <w:rsid w:val="007529C8"/>
    <w:rsid w:val="00753B48"/>
    <w:rsid w:val="00753EB2"/>
    <w:rsid w:val="0075428E"/>
    <w:rsid w:val="007542B0"/>
    <w:rsid w:val="00754429"/>
    <w:rsid w:val="00754509"/>
    <w:rsid w:val="00754D0A"/>
    <w:rsid w:val="007553B1"/>
    <w:rsid w:val="0075719C"/>
    <w:rsid w:val="007577CE"/>
    <w:rsid w:val="007579E1"/>
    <w:rsid w:val="00757B91"/>
    <w:rsid w:val="007607CE"/>
    <w:rsid w:val="00760AD3"/>
    <w:rsid w:val="00760DF0"/>
    <w:rsid w:val="00760F06"/>
    <w:rsid w:val="007615E4"/>
    <w:rsid w:val="0076186B"/>
    <w:rsid w:val="00761E0D"/>
    <w:rsid w:val="00762133"/>
    <w:rsid w:val="0076230C"/>
    <w:rsid w:val="00762DD6"/>
    <w:rsid w:val="00762FDB"/>
    <w:rsid w:val="00763152"/>
    <w:rsid w:val="00763502"/>
    <w:rsid w:val="00763648"/>
    <w:rsid w:val="00763A62"/>
    <w:rsid w:val="007640A5"/>
    <w:rsid w:val="0076489E"/>
    <w:rsid w:val="007648E6"/>
    <w:rsid w:val="00765995"/>
    <w:rsid w:val="00765E01"/>
    <w:rsid w:val="00765E98"/>
    <w:rsid w:val="00766416"/>
    <w:rsid w:val="00766422"/>
    <w:rsid w:val="00766B23"/>
    <w:rsid w:val="00766B5F"/>
    <w:rsid w:val="00766CA5"/>
    <w:rsid w:val="00767D7B"/>
    <w:rsid w:val="00767F3E"/>
    <w:rsid w:val="00770427"/>
    <w:rsid w:val="0077045B"/>
    <w:rsid w:val="00770887"/>
    <w:rsid w:val="007708DC"/>
    <w:rsid w:val="0077271F"/>
    <w:rsid w:val="007727F1"/>
    <w:rsid w:val="00772CAA"/>
    <w:rsid w:val="007730CC"/>
    <w:rsid w:val="00773772"/>
    <w:rsid w:val="00773913"/>
    <w:rsid w:val="00773E2F"/>
    <w:rsid w:val="00774716"/>
    <w:rsid w:val="0077484D"/>
    <w:rsid w:val="00774DE7"/>
    <w:rsid w:val="007752F8"/>
    <w:rsid w:val="007759E0"/>
    <w:rsid w:val="00775AF6"/>
    <w:rsid w:val="00776409"/>
    <w:rsid w:val="007766A4"/>
    <w:rsid w:val="00776784"/>
    <w:rsid w:val="007767C5"/>
    <w:rsid w:val="00776B05"/>
    <w:rsid w:val="007770A7"/>
    <w:rsid w:val="0077785A"/>
    <w:rsid w:val="00777955"/>
    <w:rsid w:val="00777E17"/>
    <w:rsid w:val="00780319"/>
    <w:rsid w:val="007803D0"/>
    <w:rsid w:val="00780ABC"/>
    <w:rsid w:val="00780EBC"/>
    <w:rsid w:val="007811FA"/>
    <w:rsid w:val="007815EB"/>
    <w:rsid w:val="00781659"/>
    <w:rsid w:val="0078251F"/>
    <w:rsid w:val="00783029"/>
    <w:rsid w:val="007830F5"/>
    <w:rsid w:val="007832BD"/>
    <w:rsid w:val="0078359E"/>
    <w:rsid w:val="007837AB"/>
    <w:rsid w:val="007841D6"/>
    <w:rsid w:val="00784D35"/>
    <w:rsid w:val="00784E3D"/>
    <w:rsid w:val="007850B5"/>
    <w:rsid w:val="007858B4"/>
    <w:rsid w:val="00786515"/>
    <w:rsid w:val="007866E5"/>
    <w:rsid w:val="00786C75"/>
    <w:rsid w:val="0078727E"/>
    <w:rsid w:val="00790251"/>
    <w:rsid w:val="00790C39"/>
    <w:rsid w:val="0079130C"/>
    <w:rsid w:val="007919BA"/>
    <w:rsid w:val="00792348"/>
    <w:rsid w:val="00792BF4"/>
    <w:rsid w:val="00792EF5"/>
    <w:rsid w:val="00792F8D"/>
    <w:rsid w:val="00793281"/>
    <w:rsid w:val="007950CE"/>
    <w:rsid w:val="007957B6"/>
    <w:rsid w:val="0079645D"/>
    <w:rsid w:val="0079673E"/>
    <w:rsid w:val="00796BDD"/>
    <w:rsid w:val="00796C8D"/>
    <w:rsid w:val="00797250"/>
    <w:rsid w:val="007977B0"/>
    <w:rsid w:val="00797848"/>
    <w:rsid w:val="00797A1F"/>
    <w:rsid w:val="007A0A7F"/>
    <w:rsid w:val="007A10A3"/>
    <w:rsid w:val="007A126F"/>
    <w:rsid w:val="007A12F9"/>
    <w:rsid w:val="007A14CA"/>
    <w:rsid w:val="007A1642"/>
    <w:rsid w:val="007A1A82"/>
    <w:rsid w:val="007A2B3E"/>
    <w:rsid w:val="007A3260"/>
    <w:rsid w:val="007A3376"/>
    <w:rsid w:val="007A34B2"/>
    <w:rsid w:val="007A4208"/>
    <w:rsid w:val="007A445E"/>
    <w:rsid w:val="007A4EC2"/>
    <w:rsid w:val="007A50B2"/>
    <w:rsid w:val="007A62E3"/>
    <w:rsid w:val="007A6B37"/>
    <w:rsid w:val="007A7191"/>
    <w:rsid w:val="007A7205"/>
    <w:rsid w:val="007A7314"/>
    <w:rsid w:val="007A78EA"/>
    <w:rsid w:val="007B008F"/>
    <w:rsid w:val="007B045E"/>
    <w:rsid w:val="007B04F5"/>
    <w:rsid w:val="007B0B76"/>
    <w:rsid w:val="007B110E"/>
    <w:rsid w:val="007B3315"/>
    <w:rsid w:val="007B3549"/>
    <w:rsid w:val="007B3621"/>
    <w:rsid w:val="007B4A82"/>
    <w:rsid w:val="007B52A7"/>
    <w:rsid w:val="007B626B"/>
    <w:rsid w:val="007B64AA"/>
    <w:rsid w:val="007B7198"/>
    <w:rsid w:val="007B7302"/>
    <w:rsid w:val="007B7497"/>
    <w:rsid w:val="007B7688"/>
    <w:rsid w:val="007B7D81"/>
    <w:rsid w:val="007B7F69"/>
    <w:rsid w:val="007C1025"/>
    <w:rsid w:val="007C1321"/>
    <w:rsid w:val="007C1790"/>
    <w:rsid w:val="007C18CB"/>
    <w:rsid w:val="007C1FFB"/>
    <w:rsid w:val="007C2392"/>
    <w:rsid w:val="007C24EE"/>
    <w:rsid w:val="007C28BA"/>
    <w:rsid w:val="007C2A25"/>
    <w:rsid w:val="007C2BAA"/>
    <w:rsid w:val="007C3B8A"/>
    <w:rsid w:val="007C4568"/>
    <w:rsid w:val="007C4657"/>
    <w:rsid w:val="007C58C7"/>
    <w:rsid w:val="007C5910"/>
    <w:rsid w:val="007C5951"/>
    <w:rsid w:val="007C59F7"/>
    <w:rsid w:val="007C6DCF"/>
    <w:rsid w:val="007C6E65"/>
    <w:rsid w:val="007C71AF"/>
    <w:rsid w:val="007C75C8"/>
    <w:rsid w:val="007C7BB9"/>
    <w:rsid w:val="007C7C33"/>
    <w:rsid w:val="007C7F1F"/>
    <w:rsid w:val="007D0044"/>
    <w:rsid w:val="007D06F4"/>
    <w:rsid w:val="007D18FE"/>
    <w:rsid w:val="007D2455"/>
    <w:rsid w:val="007D2F8C"/>
    <w:rsid w:val="007D32B4"/>
    <w:rsid w:val="007D3AF7"/>
    <w:rsid w:val="007D434E"/>
    <w:rsid w:val="007D4BA8"/>
    <w:rsid w:val="007D4C28"/>
    <w:rsid w:val="007D4DEE"/>
    <w:rsid w:val="007D569F"/>
    <w:rsid w:val="007D59BC"/>
    <w:rsid w:val="007D5B05"/>
    <w:rsid w:val="007D6F9A"/>
    <w:rsid w:val="007D716C"/>
    <w:rsid w:val="007D79D5"/>
    <w:rsid w:val="007D7C6C"/>
    <w:rsid w:val="007E00E9"/>
    <w:rsid w:val="007E04BF"/>
    <w:rsid w:val="007E0DBB"/>
    <w:rsid w:val="007E0F97"/>
    <w:rsid w:val="007E100E"/>
    <w:rsid w:val="007E127A"/>
    <w:rsid w:val="007E1753"/>
    <w:rsid w:val="007E1904"/>
    <w:rsid w:val="007E1DD6"/>
    <w:rsid w:val="007E1F9F"/>
    <w:rsid w:val="007E2108"/>
    <w:rsid w:val="007E28C4"/>
    <w:rsid w:val="007E2B0A"/>
    <w:rsid w:val="007E2C51"/>
    <w:rsid w:val="007E2F61"/>
    <w:rsid w:val="007E301B"/>
    <w:rsid w:val="007E323F"/>
    <w:rsid w:val="007E35E4"/>
    <w:rsid w:val="007E376B"/>
    <w:rsid w:val="007E3A9E"/>
    <w:rsid w:val="007E3CBB"/>
    <w:rsid w:val="007E413C"/>
    <w:rsid w:val="007E41FB"/>
    <w:rsid w:val="007E4B68"/>
    <w:rsid w:val="007E4CC0"/>
    <w:rsid w:val="007E4DD3"/>
    <w:rsid w:val="007E59CA"/>
    <w:rsid w:val="007E63F5"/>
    <w:rsid w:val="007E704D"/>
    <w:rsid w:val="007E75C0"/>
    <w:rsid w:val="007E786E"/>
    <w:rsid w:val="007E7FBA"/>
    <w:rsid w:val="007F07F3"/>
    <w:rsid w:val="007F1076"/>
    <w:rsid w:val="007F1203"/>
    <w:rsid w:val="007F178D"/>
    <w:rsid w:val="007F1A1F"/>
    <w:rsid w:val="007F1D41"/>
    <w:rsid w:val="007F1F03"/>
    <w:rsid w:val="007F2625"/>
    <w:rsid w:val="007F35DF"/>
    <w:rsid w:val="007F377B"/>
    <w:rsid w:val="007F406A"/>
    <w:rsid w:val="007F45BC"/>
    <w:rsid w:val="007F5114"/>
    <w:rsid w:val="007F54DE"/>
    <w:rsid w:val="007F57D7"/>
    <w:rsid w:val="007F59DB"/>
    <w:rsid w:val="007F65F9"/>
    <w:rsid w:val="007F65FF"/>
    <w:rsid w:val="007F68B7"/>
    <w:rsid w:val="007F6C61"/>
    <w:rsid w:val="007F70F9"/>
    <w:rsid w:val="007F78D5"/>
    <w:rsid w:val="007F7902"/>
    <w:rsid w:val="0080016B"/>
    <w:rsid w:val="008002D7"/>
    <w:rsid w:val="00800BC4"/>
    <w:rsid w:val="00801265"/>
    <w:rsid w:val="00801843"/>
    <w:rsid w:val="00801A73"/>
    <w:rsid w:val="008024AE"/>
    <w:rsid w:val="0080396D"/>
    <w:rsid w:val="00803CEE"/>
    <w:rsid w:val="00803F6D"/>
    <w:rsid w:val="00803F9C"/>
    <w:rsid w:val="00805103"/>
    <w:rsid w:val="00805E97"/>
    <w:rsid w:val="00805FD3"/>
    <w:rsid w:val="00806131"/>
    <w:rsid w:val="008069A6"/>
    <w:rsid w:val="00807560"/>
    <w:rsid w:val="00810546"/>
    <w:rsid w:val="00810653"/>
    <w:rsid w:val="00810935"/>
    <w:rsid w:val="00810B9F"/>
    <w:rsid w:val="00810D7B"/>
    <w:rsid w:val="00810DC0"/>
    <w:rsid w:val="00810E3C"/>
    <w:rsid w:val="00811441"/>
    <w:rsid w:val="00811AA4"/>
    <w:rsid w:val="00812597"/>
    <w:rsid w:val="008128C4"/>
    <w:rsid w:val="00813038"/>
    <w:rsid w:val="008138E4"/>
    <w:rsid w:val="00813BBB"/>
    <w:rsid w:val="00815198"/>
    <w:rsid w:val="00815CEC"/>
    <w:rsid w:val="008168A5"/>
    <w:rsid w:val="00816D7C"/>
    <w:rsid w:val="00817036"/>
    <w:rsid w:val="008170E9"/>
    <w:rsid w:val="00817C76"/>
    <w:rsid w:val="0082004A"/>
    <w:rsid w:val="008202BA"/>
    <w:rsid w:val="008202F3"/>
    <w:rsid w:val="0082037E"/>
    <w:rsid w:val="0082079C"/>
    <w:rsid w:val="00820962"/>
    <w:rsid w:val="00820BE6"/>
    <w:rsid w:val="008210D3"/>
    <w:rsid w:val="008213AF"/>
    <w:rsid w:val="00821444"/>
    <w:rsid w:val="008215B9"/>
    <w:rsid w:val="008216BC"/>
    <w:rsid w:val="00821747"/>
    <w:rsid w:val="00821B89"/>
    <w:rsid w:val="0082235A"/>
    <w:rsid w:val="00822B95"/>
    <w:rsid w:val="00822EDB"/>
    <w:rsid w:val="008234DD"/>
    <w:rsid w:val="00823976"/>
    <w:rsid w:val="00823C82"/>
    <w:rsid w:val="00823E43"/>
    <w:rsid w:val="00823F07"/>
    <w:rsid w:val="008241D8"/>
    <w:rsid w:val="008242AC"/>
    <w:rsid w:val="0082454A"/>
    <w:rsid w:val="00825E83"/>
    <w:rsid w:val="00826475"/>
    <w:rsid w:val="00830423"/>
    <w:rsid w:val="008306CF"/>
    <w:rsid w:val="0083082F"/>
    <w:rsid w:val="00830928"/>
    <w:rsid w:val="00830D15"/>
    <w:rsid w:val="0083107D"/>
    <w:rsid w:val="008314D1"/>
    <w:rsid w:val="0083168F"/>
    <w:rsid w:val="00831EED"/>
    <w:rsid w:val="00832056"/>
    <w:rsid w:val="008326E7"/>
    <w:rsid w:val="008328E3"/>
    <w:rsid w:val="008329D7"/>
    <w:rsid w:val="00833CA9"/>
    <w:rsid w:val="00834161"/>
    <w:rsid w:val="00834BCD"/>
    <w:rsid w:val="00834FB3"/>
    <w:rsid w:val="00835288"/>
    <w:rsid w:val="008354B6"/>
    <w:rsid w:val="00835CC8"/>
    <w:rsid w:val="00835DBD"/>
    <w:rsid w:val="0083601A"/>
    <w:rsid w:val="008360FD"/>
    <w:rsid w:val="00836272"/>
    <w:rsid w:val="008368FE"/>
    <w:rsid w:val="00836D0F"/>
    <w:rsid w:val="008374FC"/>
    <w:rsid w:val="00837BEB"/>
    <w:rsid w:val="00840198"/>
    <w:rsid w:val="00840441"/>
    <w:rsid w:val="008405E0"/>
    <w:rsid w:val="00840BC5"/>
    <w:rsid w:val="00840C3C"/>
    <w:rsid w:val="00840F7F"/>
    <w:rsid w:val="00841150"/>
    <w:rsid w:val="0084199D"/>
    <w:rsid w:val="00841D85"/>
    <w:rsid w:val="00842771"/>
    <w:rsid w:val="00842ECE"/>
    <w:rsid w:val="00843CBA"/>
    <w:rsid w:val="00843EAC"/>
    <w:rsid w:val="0084414E"/>
    <w:rsid w:val="008442D2"/>
    <w:rsid w:val="00844697"/>
    <w:rsid w:val="00844985"/>
    <w:rsid w:val="00844A9F"/>
    <w:rsid w:val="00844D59"/>
    <w:rsid w:val="00844E9A"/>
    <w:rsid w:val="00845606"/>
    <w:rsid w:val="0084568A"/>
    <w:rsid w:val="00845BDB"/>
    <w:rsid w:val="008461C8"/>
    <w:rsid w:val="008469B1"/>
    <w:rsid w:val="00846F2F"/>
    <w:rsid w:val="0084705A"/>
    <w:rsid w:val="00847E54"/>
    <w:rsid w:val="00850AB7"/>
    <w:rsid w:val="00850E23"/>
    <w:rsid w:val="008519BC"/>
    <w:rsid w:val="00851BF8"/>
    <w:rsid w:val="00852638"/>
    <w:rsid w:val="00852D5C"/>
    <w:rsid w:val="00852F05"/>
    <w:rsid w:val="00852F2B"/>
    <w:rsid w:val="00853090"/>
    <w:rsid w:val="00853329"/>
    <w:rsid w:val="00853509"/>
    <w:rsid w:val="00853AF2"/>
    <w:rsid w:val="0085437C"/>
    <w:rsid w:val="00854CCB"/>
    <w:rsid w:val="0085543A"/>
    <w:rsid w:val="0085580B"/>
    <w:rsid w:val="00855C1C"/>
    <w:rsid w:val="008562F6"/>
    <w:rsid w:val="00856595"/>
    <w:rsid w:val="00856D8A"/>
    <w:rsid w:val="008575D8"/>
    <w:rsid w:val="00860156"/>
    <w:rsid w:val="00860F01"/>
    <w:rsid w:val="00860F36"/>
    <w:rsid w:val="008612A8"/>
    <w:rsid w:val="00861D36"/>
    <w:rsid w:val="008625C0"/>
    <w:rsid w:val="00862B00"/>
    <w:rsid w:val="00863FA2"/>
    <w:rsid w:val="00864133"/>
    <w:rsid w:val="0086438C"/>
    <w:rsid w:val="00864BAC"/>
    <w:rsid w:val="00865173"/>
    <w:rsid w:val="00865223"/>
    <w:rsid w:val="00865264"/>
    <w:rsid w:val="00865741"/>
    <w:rsid w:val="0086592B"/>
    <w:rsid w:val="00866142"/>
    <w:rsid w:val="00866972"/>
    <w:rsid w:val="00867198"/>
    <w:rsid w:val="0086751D"/>
    <w:rsid w:val="00867903"/>
    <w:rsid w:val="00867DDB"/>
    <w:rsid w:val="00867EE1"/>
    <w:rsid w:val="00870084"/>
    <w:rsid w:val="00870638"/>
    <w:rsid w:val="00870888"/>
    <w:rsid w:val="00870FA2"/>
    <w:rsid w:val="00871528"/>
    <w:rsid w:val="008715A1"/>
    <w:rsid w:val="0087193A"/>
    <w:rsid w:val="00871B9F"/>
    <w:rsid w:val="008722DD"/>
    <w:rsid w:val="00872D49"/>
    <w:rsid w:val="00873214"/>
    <w:rsid w:val="008734C1"/>
    <w:rsid w:val="00874500"/>
    <w:rsid w:val="0087488B"/>
    <w:rsid w:val="00874B1E"/>
    <w:rsid w:val="00874BAA"/>
    <w:rsid w:val="00875608"/>
    <w:rsid w:val="00875CB8"/>
    <w:rsid w:val="00876987"/>
    <w:rsid w:val="008777AC"/>
    <w:rsid w:val="00877A4E"/>
    <w:rsid w:val="00880721"/>
    <w:rsid w:val="00880CE6"/>
    <w:rsid w:val="008811AC"/>
    <w:rsid w:val="0088133E"/>
    <w:rsid w:val="00881978"/>
    <w:rsid w:val="00881DA0"/>
    <w:rsid w:val="00882DCD"/>
    <w:rsid w:val="00883399"/>
    <w:rsid w:val="0088368D"/>
    <w:rsid w:val="00883A3D"/>
    <w:rsid w:val="00883A43"/>
    <w:rsid w:val="00884394"/>
    <w:rsid w:val="0088475C"/>
    <w:rsid w:val="00884C5D"/>
    <w:rsid w:val="00884DE1"/>
    <w:rsid w:val="00885C38"/>
    <w:rsid w:val="00886715"/>
    <w:rsid w:val="00886D08"/>
    <w:rsid w:val="00887157"/>
    <w:rsid w:val="00887FDF"/>
    <w:rsid w:val="008903DE"/>
    <w:rsid w:val="00890704"/>
    <w:rsid w:val="00890FF7"/>
    <w:rsid w:val="00891B29"/>
    <w:rsid w:val="0089296D"/>
    <w:rsid w:val="008930F0"/>
    <w:rsid w:val="00893D2C"/>
    <w:rsid w:val="00893F6D"/>
    <w:rsid w:val="008947AD"/>
    <w:rsid w:val="00896A61"/>
    <w:rsid w:val="00896D37"/>
    <w:rsid w:val="008972F2"/>
    <w:rsid w:val="00897432"/>
    <w:rsid w:val="00897E53"/>
    <w:rsid w:val="008A0A31"/>
    <w:rsid w:val="008A0DA6"/>
    <w:rsid w:val="008A1FA2"/>
    <w:rsid w:val="008A24A8"/>
    <w:rsid w:val="008A29EC"/>
    <w:rsid w:val="008A3143"/>
    <w:rsid w:val="008A3859"/>
    <w:rsid w:val="008A40CE"/>
    <w:rsid w:val="008A443A"/>
    <w:rsid w:val="008A4C9D"/>
    <w:rsid w:val="008A4FD2"/>
    <w:rsid w:val="008A50AB"/>
    <w:rsid w:val="008A5701"/>
    <w:rsid w:val="008A5DC0"/>
    <w:rsid w:val="008A680B"/>
    <w:rsid w:val="008A68CE"/>
    <w:rsid w:val="008A7090"/>
    <w:rsid w:val="008A7694"/>
    <w:rsid w:val="008B0629"/>
    <w:rsid w:val="008B07BC"/>
    <w:rsid w:val="008B1242"/>
    <w:rsid w:val="008B165E"/>
    <w:rsid w:val="008B19FD"/>
    <w:rsid w:val="008B21AD"/>
    <w:rsid w:val="008B2795"/>
    <w:rsid w:val="008B2B3C"/>
    <w:rsid w:val="008B2BE9"/>
    <w:rsid w:val="008B327D"/>
    <w:rsid w:val="008B3C26"/>
    <w:rsid w:val="008B4705"/>
    <w:rsid w:val="008B5553"/>
    <w:rsid w:val="008B5D4B"/>
    <w:rsid w:val="008B61CA"/>
    <w:rsid w:val="008B6AF8"/>
    <w:rsid w:val="008B6CF2"/>
    <w:rsid w:val="008B70EF"/>
    <w:rsid w:val="008B7125"/>
    <w:rsid w:val="008B718F"/>
    <w:rsid w:val="008B78C0"/>
    <w:rsid w:val="008B7B15"/>
    <w:rsid w:val="008B7E80"/>
    <w:rsid w:val="008C01D1"/>
    <w:rsid w:val="008C022C"/>
    <w:rsid w:val="008C0A2D"/>
    <w:rsid w:val="008C298A"/>
    <w:rsid w:val="008C30EB"/>
    <w:rsid w:val="008C3115"/>
    <w:rsid w:val="008C326F"/>
    <w:rsid w:val="008C34B2"/>
    <w:rsid w:val="008C3751"/>
    <w:rsid w:val="008C3788"/>
    <w:rsid w:val="008C3C39"/>
    <w:rsid w:val="008C48B0"/>
    <w:rsid w:val="008C4EFA"/>
    <w:rsid w:val="008C541E"/>
    <w:rsid w:val="008C635B"/>
    <w:rsid w:val="008C6976"/>
    <w:rsid w:val="008C6B7D"/>
    <w:rsid w:val="008C7074"/>
    <w:rsid w:val="008C73F7"/>
    <w:rsid w:val="008C750D"/>
    <w:rsid w:val="008C7604"/>
    <w:rsid w:val="008D006B"/>
    <w:rsid w:val="008D0A33"/>
    <w:rsid w:val="008D0DFE"/>
    <w:rsid w:val="008D1112"/>
    <w:rsid w:val="008D14BB"/>
    <w:rsid w:val="008D176B"/>
    <w:rsid w:val="008D196A"/>
    <w:rsid w:val="008D1A01"/>
    <w:rsid w:val="008D1F29"/>
    <w:rsid w:val="008D2835"/>
    <w:rsid w:val="008D3DDA"/>
    <w:rsid w:val="008D3FF4"/>
    <w:rsid w:val="008D4678"/>
    <w:rsid w:val="008D4831"/>
    <w:rsid w:val="008D48C6"/>
    <w:rsid w:val="008D53C2"/>
    <w:rsid w:val="008D53D8"/>
    <w:rsid w:val="008D5A65"/>
    <w:rsid w:val="008D5C9C"/>
    <w:rsid w:val="008D60BA"/>
    <w:rsid w:val="008D653F"/>
    <w:rsid w:val="008D73C3"/>
    <w:rsid w:val="008D73D2"/>
    <w:rsid w:val="008D78AA"/>
    <w:rsid w:val="008D7B9C"/>
    <w:rsid w:val="008E09C3"/>
    <w:rsid w:val="008E0ACA"/>
    <w:rsid w:val="008E1192"/>
    <w:rsid w:val="008E13BD"/>
    <w:rsid w:val="008E16D1"/>
    <w:rsid w:val="008E182C"/>
    <w:rsid w:val="008E20FF"/>
    <w:rsid w:val="008E272A"/>
    <w:rsid w:val="008E2FA9"/>
    <w:rsid w:val="008E3521"/>
    <w:rsid w:val="008E3A2F"/>
    <w:rsid w:val="008E3AED"/>
    <w:rsid w:val="008E3C48"/>
    <w:rsid w:val="008E3DEE"/>
    <w:rsid w:val="008E4C75"/>
    <w:rsid w:val="008E513C"/>
    <w:rsid w:val="008E56F4"/>
    <w:rsid w:val="008E6253"/>
    <w:rsid w:val="008E7038"/>
    <w:rsid w:val="008E72DC"/>
    <w:rsid w:val="008E75BF"/>
    <w:rsid w:val="008F0805"/>
    <w:rsid w:val="008F0837"/>
    <w:rsid w:val="008F086C"/>
    <w:rsid w:val="008F0D04"/>
    <w:rsid w:val="008F0DD5"/>
    <w:rsid w:val="008F1581"/>
    <w:rsid w:val="008F15D8"/>
    <w:rsid w:val="008F1B20"/>
    <w:rsid w:val="008F1D9B"/>
    <w:rsid w:val="008F1EA8"/>
    <w:rsid w:val="008F1EB5"/>
    <w:rsid w:val="008F209F"/>
    <w:rsid w:val="008F21BA"/>
    <w:rsid w:val="008F2B13"/>
    <w:rsid w:val="008F2C55"/>
    <w:rsid w:val="008F3684"/>
    <w:rsid w:val="008F4019"/>
    <w:rsid w:val="008F4940"/>
    <w:rsid w:val="008F4D07"/>
    <w:rsid w:val="008F4F70"/>
    <w:rsid w:val="008F57F6"/>
    <w:rsid w:val="008F5D76"/>
    <w:rsid w:val="008F5E15"/>
    <w:rsid w:val="008F62EF"/>
    <w:rsid w:val="008F6D8B"/>
    <w:rsid w:val="008F7938"/>
    <w:rsid w:val="009006AA"/>
    <w:rsid w:val="009012FB"/>
    <w:rsid w:val="009020AD"/>
    <w:rsid w:val="0090215C"/>
    <w:rsid w:val="0090310A"/>
    <w:rsid w:val="009039C4"/>
    <w:rsid w:val="00903E34"/>
    <w:rsid w:val="0090512C"/>
    <w:rsid w:val="009051FB"/>
    <w:rsid w:val="0090557C"/>
    <w:rsid w:val="0090562D"/>
    <w:rsid w:val="0090633F"/>
    <w:rsid w:val="0090641A"/>
    <w:rsid w:val="0090737E"/>
    <w:rsid w:val="00907E49"/>
    <w:rsid w:val="009108E1"/>
    <w:rsid w:val="00910E84"/>
    <w:rsid w:val="00911411"/>
    <w:rsid w:val="009119EC"/>
    <w:rsid w:val="00911B8C"/>
    <w:rsid w:val="00911DA0"/>
    <w:rsid w:val="0091226D"/>
    <w:rsid w:val="0091353B"/>
    <w:rsid w:val="0091366D"/>
    <w:rsid w:val="0091379C"/>
    <w:rsid w:val="00913C26"/>
    <w:rsid w:val="00914399"/>
    <w:rsid w:val="009145A3"/>
    <w:rsid w:val="0091562C"/>
    <w:rsid w:val="009160C9"/>
    <w:rsid w:val="0091667E"/>
    <w:rsid w:val="009167E2"/>
    <w:rsid w:val="0091680A"/>
    <w:rsid w:val="00916F6B"/>
    <w:rsid w:val="00917990"/>
    <w:rsid w:val="009179E9"/>
    <w:rsid w:val="00917A63"/>
    <w:rsid w:val="00917BC5"/>
    <w:rsid w:val="00921262"/>
    <w:rsid w:val="00921588"/>
    <w:rsid w:val="009223FB"/>
    <w:rsid w:val="009225E5"/>
    <w:rsid w:val="00922FE6"/>
    <w:rsid w:val="009231A5"/>
    <w:rsid w:val="00923559"/>
    <w:rsid w:val="009236A4"/>
    <w:rsid w:val="009240F6"/>
    <w:rsid w:val="0092429A"/>
    <w:rsid w:val="00924C97"/>
    <w:rsid w:val="00925C80"/>
    <w:rsid w:val="00925E60"/>
    <w:rsid w:val="009265EE"/>
    <w:rsid w:val="00926944"/>
    <w:rsid w:val="009269F4"/>
    <w:rsid w:val="009272C0"/>
    <w:rsid w:val="00927717"/>
    <w:rsid w:val="009277E3"/>
    <w:rsid w:val="00927E90"/>
    <w:rsid w:val="00927EF1"/>
    <w:rsid w:val="0093004F"/>
    <w:rsid w:val="0093040B"/>
    <w:rsid w:val="00930DB4"/>
    <w:rsid w:val="00930E6C"/>
    <w:rsid w:val="0093211F"/>
    <w:rsid w:val="00932186"/>
    <w:rsid w:val="009325A8"/>
    <w:rsid w:val="0093296D"/>
    <w:rsid w:val="00933BBE"/>
    <w:rsid w:val="00934030"/>
    <w:rsid w:val="009343A4"/>
    <w:rsid w:val="009344DC"/>
    <w:rsid w:val="00934F91"/>
    <w:rsid w:val="00935767"/>
    <w:rsid w:val="00935852"/>
    <w:rsid w:val="00935D46"/>
    <w:rsid w:val="009366D4"/>
    <w:rsid w:val="009367C4"/>
    <w:rsid w:val="00937178"/>
    <w:rsid w:val="00937331"/>
    <w:rsid w:val="00937702"/>
    <w:rsid w:val="00937A89"/>
    <w:rsid w:val="00937E06"/>
    <w:rsid w:val="00937F0C"/>
    <w:rsid w:val="00940328"/>
    <w:rsid w:val="009403AD"/>
    <w:rsid w:val="00940EA8"/>
    <w:rsid w:val="00940FE5"/>
    <w:rsid w:val="00941E99"/>
    <w:rsid w:val="009420B2"/>
    <w:rsid w:val="009426F7"/>
    <w:rsid w:val="009427EB"/>
    <w:rsid w:val="00942C9B"/>
    <w:rsid w:val="0094308D"/>
    <w:rsid w:val="009439A9"/>
    <w:rsid w:val="00943ADC"/>
    <w:rsid w:val="009441B8"/>
    <w:rsid w:val="00944627"/>
    <w:rsid w:val="00944890"/>
    <w:rsid w:val="009448F8"/>
    <w:rsid w:val="00944B8F"/>
    <w:rsid w:val="00945F1C"/>
    <w:rsid w:val="0094633A"/>
    <w:rsid w:val="009463C3"/>
    <w:rsid w:val="00946883"/>
    <w:rsid w:val="00947167"/>
    <w:rsid w:val="00947D06"/>
    <w:rsid w:val="009501B4"/>
    <w:rsid w:val="0095090A"/>
    <w:rsid w:val="00950C17"/>
    <w:rsid w:val="00950CAC"/>
    <w:rsid w:val="00951176"/>
    <w:rsid w:val="00951C14"/>
    <w:rsid w:val="00951D98"/>
    <w:rsid w:val="00951E83"/>
    <w:rsid w:val="0095270C"/>
    <w:rsid w:val="00952D62"/>
    <w:rsid w:val="00953728"/>
    <w:rsid w:val="00953E5F"/>
    <w:rsid w:val="009544DF"/>
    <w:rsid w:val="00954BBF"/>
    <w:rsid w:val="00954C9C"/>
    <w:rsid w:val="00954CE2"/>
    <w:rsid w:val="009551C6"/>
    <w:rsid w:val="009556AA"/>
    <w:rsid w:val="009557EA"/>
    <w:rsid w:val="00955A05"/>
    <w:rsid w:val="00955DC8"/>
    <w:rsid w:val="009567AC"/>
    <w:rsid w:val="00956CC1"/>
    <w:rsid w:val="00956E59"/>
    <w:rsid w:val="0096006A"/>
    <w:rsid w:val="009606FD"/>
    <w:rsid w:val="00960E05"/>
    <w:rsid w:val="00961073"/>
    <w:rsid w:val="009611C5"/>
    <w:rsid w:val="009619E6"/>
    <w:rsid w:val="00961D25"/>
    <w:rsid w:val="00962004"/>
    <w:rsid w:val="00962749"/>
    <w:rsid w:val="00962F63"/>
    <w:rsid w:val="00962FD6"/>
    <w:rsid w:val="009635FF"/>
    <w:rsid w:val="00963799"/>
    <w:rsid w:val="00963DFD"/>
    <w:rsid w:val="00963E5A"/>
    <w:rsid w:val="0096612D"/>
    <w:rsid w:val="009661FC"/>
    <w:rsid w:val="0096631B"/>
    <w:rsid w:val="00966977"/>
    <w:rsid w:val="009672EC"/>
    <w:rsid w:val="0096758C"/>
    <w:rsid w:val="00967BB9"/>
    <w:rsid w:val="00967E84"/>
    <w:rsid w:val="00970EB8"/>
    <w:rsid w:val="00970FB3"/>
    <w:rsid w:val="00971228"/>
    <w:rsid w:val="00971857"/>
    <w:rsid w:val="009718F3"/>
    <w:rsid w:val="00971A6B"/>
    <w:rsid w:val="00971C40"/>
    <w:rsid w:val="009724F6"/>
    <w:rsid w:val="0097264F"/>
    <w:rsid w:val="00973445"/>
    <w:rsid w:val="0097384D"/>
    <w:rsid w:val="009749AD"/>
    <w:rsid w:val="009750CE"/>
    <w:rsid w:val="00975816"/>
    <w:rsid w:val="00975E09"/>
    <w:rsid w:val="00976910"/>
    <w:rsid w:val="00976DCD"/>
    <w:rsid w:val="009772CA"/>
    <w:rsid w:val="009772D1"/>
    <w:rsid w:val="009810FB"/>
    <w:rsid w:val="009819DD"/>
    <w:rsid w:val="00981DB5"/>
    <w:rsid w:val="00982E94"/>
    <w:rsid w:val="0098306A"/>
    <w:rsid w:val="00983265"/>
    <w:rsid w:val="00983505"/>
    <w:rsid w:val="0098490F"/>
    <w:rsid w:val="0098552E"/>
    <w:rsid w:val="00985622"/>
    <w:rsid w:val="00986786"/>
    <w:rsid w:val="00986FE2"/>
    <w:rsid w:val="009875A2"/>
    <w:rsid w:val="00987A25"/>
    <w:rsid w:val="00987A4B"/>
    <w:rsid w:val="00987AE4"/>
    <w:rsid w:val="00987CE4"/>
    <w:rsid w:val="00987D06"/>
    <w:rsid w:val="00987F6E"/>
    <w:rsid w:val="00990212"/>
    <w:rsid w:val="0099022D"/>
    <w:rsid w:val="00990A2E"/>
    <w:rsid w:val="00990D38"/>
    <w:rsid w:val="00991234"/>
    <w:rsid w:val="0099170F"/>
    <w:rsid w:val="00991AB2"/>
    <w:rsid w:val="0099209A"/>
    <w:rsid w:val="009926DE"/>
    <w:rsid w:val="0099311B"/>
    <w:rsid w:val="009931B5"/>
    <w:rsid w:val="0099382C"/>
    <w:rsid w:val="00993A21"/>
    <w:rsid w:val="00994293"/>
    <w:rsid w:val="009947C7"/>
    <w:rsid w:val="00994F58"/>
    <w:rsid w:val="009955F2"/>
    <w:rsid w:val="00995EA7"/>
    <w:rsid w:val="00996230"/>
    <w:rsid w:val="00996BA8"/>
    <w:rsid w:val="00996E5B"/>
    <w:rsid w:val="00996FC9"/>
    <w:rsid w:val="00997295"/>
    <w:rsid w:val="009973BB"/>
    <w:rsid w:val="009975EC"/>
    <w:rsid w:val="00997A43"/>
    <w:rsid w:val="00997C45"/>
    <w:rsid w:val="009A001A"/>
    <w:rsid w:val="009A044E"/>
    <w:rsid w:val="009A067C"/>
    <w:rsid w:val="009A09A5"/>
    <w:rsid w:val="009A1227"/>
    <w:rsid w:val="009A1307"/>
    <w:rsid w:val="009A158A"/>
    <w:rsid w:val="009A20AD"/>
    <w:rsid w:val="009A2AD3"/>
    <w:rsid w:val="009A2D3C"/>
    <w:rsid w:val="009A3637"/>
    <w:rsid w:val="009A38EA"/>
    <w:rsid w:val="009A3E8B"/>
    <w:rsid w:val="009A3FA1"/>
    <w:rsid w:val="009A4971"/>
    <w:rsid w:val="009A4AC9"/>
    <w:rsid w:val="009A4BCF"/>
    <w:rsid w:val="009A50B6"/>
    <w:rsid w:val="009A52F8"/>
    <w:rsid w:val="009A5BBF"/>
    <w:rsid w:val="009A5BCC"/>
    <w:rsid w:val="009A5E4F"/>
    <w:rsid w:val="009A6453"/>
    <w:rsid w:val="009A7350"/>
    <w:rsid w:val="009A76FE"/>
    <w:rsid w:val="009A77A2"/>
    <w:rsid w:val="009A7BBC"/>
    <w:rsid w:val="009B0036"/>
    <w:rsid w:val="009B051D"/>
    <w:rsid w:val="009B0738"/>
    <w:rsid w:val="009B08E4"/>
    <w:rsid w:val="009B0977"/>
    <w:rsid w:val="009B09EA"/>
    <w:rsid w:val="009B11F4"/>
    <w:rsid w:val="009B15F6"/>
    <w:rsid w:val="009B1713"/>
    <w:rsid w:val="009B1721"/>
    <w:rsid w:val="009B1E96"/>
    <w:rsid w:val="009B235E"/>
    <w:rsid w:val="009B2E77"/>
    <w:rsid w:val="009B3F96"/>
    <w:rsid w:val="009B45A3"/>
    <w:rsid w:val="009B46C0"/>
    <w:rsid w:val="009B4DFD"/>
    <w:rsid w:val="009B50FB"/>
    <w:rsid w:val="009B536C"/>
    <w:rsid w:val="009B62F2"/>
    <w:rsid w:val="009B6D9A"/>
    <w:rsid w:val="009B73F9"/>
    <w:rsid w:val="009B753E"/>
    <w:rsid w:val="009B78BC"/>
    <w:rsid w:val="009B7A0E"/>
    <w:rsid w:val="009C0765"/>
    <w:rsid w:val="009C2054"/>
    <w:rsid w:val="009C24EB"/>
    <w:rsid w:val="009C2594"/>
    <w:rsid w:val="009C2A6B"/>
    <w:rsid w:val="009C2B65"/>
    <w:rsid w:val="009C2C3F"/>
    <w:rsid w:val="009C2E5A"/>
    <w:rsid w:val="009C30A3"/>
    <w:rsid w:val="009C318D"/>
    <w:rsid w:val="009C341D"/>
    <w:rsid w:val="009C3B26"/>
    <w:rsid w:val="009C3FD0"/>
    <w:rsid w:val="009C475E"/>
    <w:rsid w:val="009C547C"/>
    <w:rsid w:val="009C5D1B"/>
    <w:rsid w:val="009C5F2F"/>
    <w:rsid w:val="009C6341"/>
    <w:rsid w:val="009C653D"/>
    <w:rsid w:val="009C6CA6"/>
    <w:rsid w:val="009C6F72"/>
    <w:rsid w:val="009C721E"/>
    <w:rsid w:val="009C7281"/>
    <w:rsid w:val="009C7B7E"/>
    <w:rsid w:val="009C7BEE"/>
    <w:rsid w:val="009C7E43"/>
    <w:rsid w:val="009C7E97"/>
    <w:rsid w:val="009D00BF"/>
    <w:rsid w:val="009D05F9"/>
    <w:rsid w:val="009D06E2"/>
    <w:rsid w:val="009D0A3B"/>
    <w:rsid w:val="009D0ADA"/>
    <w:rsid w:val="009D0CF2"/>
    <w:rsid w:val="009D130A"/>
    <w:rsid w:val="009D1F8D"/>
    <w:rsid w:val="009D1FAB"/>
    <w:rsid w:val="009D2C24"/>
    <w:rsid w:val="009D3E39"/>
    <w:rsid w:val="009D4399"/>
    <w:rsid w:val="009D451A"/>
    <w:rsid w:val="009D4E74"/>
    <w:rsid w:val="009D4F20"/>
    <w:rsid w:val="009D4F9E"/>
    <w:rsid w:val="009D56E3"/>
    <w:rsid w:val="009D5B81"/>
    <w:rsid w:val="009D62F2"/>
    <w:rsid w:val="009E05D6"/>
    <w:rsid w:val="009E0997"/>
    <w:rsid w:val="009E1B7C"/>
    <w:rsid w:val="009E1E3D"/>
    <w:rsid w:val="009E202C"/>
    <w:rsid w:val="009E28B9"/>
    <w:rsid w:val="009E2E3B"/>
    <w:rsid w:val="009E2E84"/>
    <w:rsid w:val="009E3980"/>
    <w:rsid w:val="009E3B55"/>
    <w:rsid w:val="009E43F8"/>
    <w:rsid w:val="009E4599"/>
    <w:rsid w:val="009E469A"/>
    <w:rsid w:val="009E5682"/>
    <w:rsid w:val="009E5806"/>
    <w:rsid w:val="009E6012"/>
    <w:rsid w:val="009E6B24"/>
    <w:rsid w:val="009E7C7C"/>
    <w:rsid w:val="009E7EDD"/>
    <w:rsid w:val="009F0AA2"/>
    <w:rsid w:val="009F1097"/>
    <w:rsid w:val="009F1983"/>
    <w:rsid w:val="009F23BD"/>
    <w:rsid w:val="009F2403"/>
    <w:rsid w:val="009F28DA"/>
    <w:rsid w:val="009F2913"/>
    <w:rsid w:val="009F38CE"/>
    <w:rsid w:val="009F3C50"/>
    <w:rsid w:val="009F3FDB"/>
    <w:rsid w:val="009F425D"/>
    <w:rsid w:val="009F42B3"/>
    <w:rsid w:val="009F4332"/>
    <w:rsid w:val="009F48AA"/>
    <w:rsid w:val="009F4E34"/>
    <w:rsid w:val="009F5197"/>
    <w:rsid w:val="009F532D"/>
    <w:rsid w:val="009F583B"/>
    <w:rsid w:val="009F5ABB"/>
    <w:rsid w:val="009F5E45"/>
    <w:rsid w:val="009F6253"/>
    <w:rsid w:val="009F6ACC"/>
    <w:rsid w:val="009F7087"/>
    <w:rsid w:val="009F7DA5"/>
    <w:rsid w:val="009F7F00"/>
    <w:rsid w:val="00A00672"/>
    <w:rsid w:val="00A00F9E"/>
    <w:rsid w:val="00A012DB"/>
    <w:rsid w:val="00A01594"/>
    <w:rsid w:val="00A01A2C"/>
    <w:rsid w:val="00A01B11"/>
    <w:rsid w:val="00A0283A"/>
    <w:rsid w:val="00A02887"/>
    <w:rsid w:val="00A02FCC"/>
    <w:rsid w:val="00A03F4D"/>
    <w:rsid w:val="00A04318"/>
    <w:rsid w:val="00A04927"/>
    <w:rsid w:val="00A0497C"/>
    <w:rsid w:val="00A04F4B"/>
    <w:rsid w:val="00A04FFB"/>
    <w:rsid w:val="00A0585A"/>
    <w:rsid w:val="00A0695D"/>
    <w:rsid w:val="00A06E12"/>
    <w:rsid w:val="00A10AC7"/>
    <w:rsid w:val="00A10D44"/>
    <w:rsid w:val="00A10DA5"/>
    <w:rsid w:val="00A11319"/>
    <w:rsid w:val="00A11A60"/>
    <w:rsid w:val="00A12A2D"/>
    <w:rsid w:val="00A13915"/>
    <w:rsid w:val="00A13C4E"/>
    <w:rsid w:val="00A13F87"/>
    <w:rsid w:val="00A14560"/>
    <w:rsid w:val="00A14628"/>
    <w:rsid w:val="00A14D7C"/>
    <w:rsid w:val="00A14E53"/>
    <w:rsid w:val="00A15418"/>
    <w:rsid w:val="00A159FB"/>
    <w:rsid w:val="00A162ED"/>
    <w:rsid w:val="00A16B7B"/>
    <w:rsid w:val="00A178E7"/>
    <w:rsid w:val="00A17AEE"/>
    <w:rsid w:val="00A17F7B"/>
    <w:rsid w:val="00A20195"/>
    <w:rsid w:val="00A20303"/>
    <w:rsid w:val="00A2032E"/>
    <w:rsid w:val="00A20829"/>
    <w:rsid w:val="00A23F13"/>
    <w:rsid w:val="00A240BF"/>
    <w:rsid w:val="00A241A8"/>
    <w:rsid w:val="00A242E1"/>
    <w:rsid w:val="00A24643"/>
    <w:rsid w:val="00A2465F"/>
    <w:rsid w:val="00A249A0"/>
    <w:rsid w:val="00A249F7"/>
    <w:rsid w:val="00A24B24"/>
    <w:rsid w:val="00A24B51"/>
    <w:rsid w:val="00A24C80"/>
    <w:rsid w:val="00A24E4F"/>
    <w:rsid w:val="00A252C3"/>
    <w:rsid w:val="00A2728D"/>
    <w:rsid w:val="00A3027C"/>
    <w:rsid w:val="00A30A76"/>
    <w:rsid w:val="00A30EB9"/>
    <w:rsid w:val="00A31367"/>
    <w:rsid w:val="00A32CAE"/>
    <w:rsid w:val="00A3371D"/>
    <w:rsid w:val="00A33C2B"/>
    <w:rsid w:val="00A341C0"/>
    <w:rsid w:val="00A348D3"/>
    <w:rsid w:val="00A3523E"/>
    <w:rsid w:val="00A352BC"/>
    <w:rsid w:val="00A3673A"/>
    <w:rsid w:val="00A36D77"/>
    <w:rsid w:val="00A3707D"/>
    <w:rsid w:val="00A377B6"/>
    <w:rsid w:val="00A37822"/>
    <w:rsid w:val="00A37C8C"/>
    <w:rsid w:val="00A37DB5"/>
    <w:rsid w:val="00A37E17"/>
    <w:rsid w:val="00A37E59"/>
    <w:rsid w:val="00A4079A"/>
    <w:rsid w:val="00A40A62"/>
    <w:rsid w:val="00A40C5B"/>
    <w:rsid w:val="00A40D9E"/>
    <w:rsid w:val="00A40E17"/>
    <w:rsid w:val="00A412B4"/>
    <w:rsid w:val="00A415A9"/>
    <w:rsid w:val="00A41767"/>
    <w:rsid w:val="00A42538"/>
    <w:rsid w:val="00A42AAE"/>
    <w:rsid w:val="00A43680"/>
    <w:rsid w:val="00A43ECC"/>
    <w:rsid w:val="00A44286"/>
    <w:rsid w:val="00A4451B"/>
    <w:rsid w:val="00A4460E"/>
    <w:rsid w:val="00A446ED"/>
    <w:rsid w:val="00A44794"/>
    <w:rsid w:val="00A44E0A"/>
    <w:rsid w:val="00A44F16"/>
    <w:rsid w:val="00A4514A"/>
    <w:rsid w:val="00A4544B"/>
    <w:rsid w:val="00A45793"/>
    <w:rsid w:val="00A4612A"/>
    <w:rsid w:val="00A461A9"/>
    <w:rsid w:val="00A463B8"/>
    <w:rsid w:val="00A46541"/>
    <w:rsid w:val="00A473A0"/>
    <w:rsid w:val="00A47613"/>
    <w:rsid w:val="00A50017"/>
    <w:rsid w:val="00A5097F"/>
    <w:rsid w:val="00A50A2F"/>
    <w:rsid w:val="00A51A64"/>
    <w:rsid w:val="00A51A85"/>
    <w:rsid w:val="00A52726"/>
    <w:rsid w:val="00A53E27"/>
    <w:rsid w:val="00A54707"/>
    <w:rsid w:val="00A555A6"/>
    <w:rsid w:val="00A555DC"/>
    <w:rsid w:val="00A556DE"/>
    <w:rsid w:val="00A55789"/>
    <w:rsid w:val="00A55B03"/>
    <w:rsid w:val="00A55DC7"/>
    <w:rsid w:val="00A56DCA"/>
    <w:rsid w:val="00A57514"/>
    <w:rsid w:val="00A57824"/>
    <w:rsid w:val="00A608D2"/>
    <w:rsid w:val="00A60A7C"/>
    <w:rsid w:val="00A60DB5"/>
    <w:rsid w:val="00A62647"/>
    <w:rsid w:val="00A63118"/>
    <w:rsid w:val="00A63563"/>
    <w:rsid w:val="00A63947"/>
    <w:rsid w:val="00A64063"/>
    <w:rsid w:val="00A64DD4"/>
    <w:rsid w:val="00A6526E"/>
    <w:rsid w:val="00A6574A"/>
    <w:rsid w:val="00A66962"/>
    <w:rsid w:val="00A66B54"/>
    <w:rsid w:val="00A66E49"/>
    <w:rsid w:val="00A67BA0"/>
    <w:rsid w:val="00A70049"/>
    <w:rsid w:val="00A700D2"/>
    <w:rsid w:val="00A702F1"/>
    <w:rsid w:val="00A71831"/>
    <w:rsid w:val="00A72295"/>
    <w:rsid w:val="00A72310"/>
    <w:rsid w:val="00A72611"/>
    <w:rsid w:val="00A72FE5"/>
    <w:rsid w:val="00A73091"/>
    <w:rsid w:val="00A730A0"/>
    <w:rsid w:val="00A7328B"/>
    <w:rsid w:val="00A73DA1"/>
    <w:rsid w:val="00A73EF0"/>
    <w:rsid w:val="00A74112"/>
    <w:rsid w:val="00A7415E"/>
    <w:rsid w:val="00A74B3D"/>
    <w:rsid w:val="00A7504B"/>
    <w:rsid w:val="00A750C5"/>
    <w:rsid w:val="00A76160"/>
    <w:rsid w:val="00A76521"/>
    <w:rsid w:val="00A76A5D"/>
    <w:rsid w:val="00A77154"/>
    <w:rsid w:val="00A77462"/>
    <w:rsid w:val="00A775F1"/>
    <w:rsid w:val="00A7792B"/>
    <w:rsid w:val="00A8034E"/>
    <w:rsid w:val="00A80774"/>
    <w:rsid w:val="00A81005"/>
    <w:rsid w:val="00A81543"/>
    <w:rsid w:val="00A81A39"/>
    <w:rsid w:val="00A81CE4"/>
    <w:rsid w:val="00A825FF"/>
    <w:rsid w:val="00A8265D"/>
    <w:rsid w:val="00A8294F"/>
    <w:rsid w:val="00A8297B"/>
    <w:rsid w:val="00A83612"/>
    <w:rsid w:val="00A8413F"/>
    <w:rsid w:val="00A841C9"/>
    <w:rsid w:val="00A8449F"/>
    <w:rsid w:val="00A84BFD"/>
    <w:rsid w:val="00A84E08"/>
    <w:rsid w:val="00A851FA"/>
    <w:rsid w:val="00A85602"/>
    <w:rsid w:val="00A85A19"/>
    <w:rsid w:val="00A8631F"/>
    <w:rsid w:val="00A87D49"/>
    <w:rsid w:val="00A90046"/>
    <w:rsid w:val="00A90542"/>
    <w:rsid w:val="00A90A3E"/>
    <w:rsid w:val="00A90EDC"/>
    <w:rsid w:val="00A9101B"/>
    <w:rsid w:val="00A91662"/>
    <w:rsid w:val="00A9174F"/>
    <w:rsid w:val="00A91A56"/>
    <w:rsid w:val="00A91A5F"/>
    <w:rsid w:val="00A91FD2"/>
    <w:rsid w:val="00A93845"/>
    <w:rsid w:val="00A94ED5"/>
    <w:rsid w:val="00A953AC"/>
    <w:rsid w:val="00A95437"/>
    <w:rsid w:val="00A95523"/>
    <w:rsid w:val="00A96705"/>
    <w:rsid w:val="00A968C9"/>
    <w:rsid w:val="00A9696C"/>
    <w:rsid w:val="00A977AE"/>
    <w:rsid w:val="00A977B0"/>
    <w:rsid w:val="00AA07C3"/>
    <w:rsid w:val="00AA0987"/>
    <w:rsid w:val="00AA1E72"/>
    <w:rsid w:val="00AA274A"/>
    <w:rsid w:val="00AA3595"/>
    <w:rsid w:val="00AA3F6D"/>
    <w:rsid w:val="00AA3FD0"/>
    <w:rsid w:val="00AA4582"/>
    <w:rsid w:val="00AA5177"/>
    <w:rsid w:val="00AA54D3"/>
    <w:rsid w:val="00AA55C7"/>
    <w:rsid w:val="00AA6367"/>
    <w:rsid w:val="00AA67FF"/>
    <w:rsid w:val="00AA7215"/>
    <w:rsid w:val="00AA7CAF"/>
    <w:rsid w:val="00AB0046"/>
    <w:rsid w:val="00AB08CE"/>
    <w:rsid w:val="00AB0C38"/>
    <w:rsid w:val="00AB0F98"/>
    <w:rsid w:val="00AB1273"/>
    <w:rsid w:val="00AB1490"/>
    <w:rsid w:val="00AB1750"/>
    <w:rsid w:val="00AB1878"/>
    <w:rsid w:val="00AB1C75"/>
    <w:rsid w:val="00AB24F1"/>
    <w:rsid w:val="00AB365E"/>
    <w:rsid w:val="00AB382C"/>
    <w:rsid w:val="00AB443B"/>
    <w:rsid w:val="00AB44CD"/>
    <w:rsid w:val="00AB4667"/>
    <w:rsid w:val="00AB4E1B"/>
    <w:rsid w:val="00AB4EA7"/>
    <w:rsid w:val="00AB57F6"/>
    <w:rsid w:val="00AB5878"/>
    <w:rsid w:val="00AB5AF3"/>
    <w:rsid w:val="00AB6B43"/>
    <w:rsid w:val="00AB6E51"/>
    <w:rsid w:val="00AB76E0"/>
    <w:rsid w:val="00AB7A71"/>
    <w:rsid w:val="00AB7C65"/>
    <w:rsid w:val="00AC07D0"/>
    <w:rsid w:val="00AC0A98"/>
    <w:rsid w:val="00AC0FDB"/>
    <w:rsid w:val="00AC1729"/>
    <w:rsid w:val="00AC2954"/>
    <w:rsid w:val="00AC2E5B"/>
    <w:rsid w:val="00AC3200"/>
    <w:rsid w:val="00AC3300"/>
    <w:rsid w:val="00AC37E8"/>
    <w:rsid w:val="00AC41AA"/>
    <w:rsid w:val="00AC420C"/>
    <w:rsid w:val="00AC4605"/>
    <w:rsid w:val="00AC4972"/>
    <w:rsid w:val="00AC50F2"/>
    <w:rsid w:val="00AC5C38"/>
    <w:rsid w:val="00AC6147"/>
    <w:rsid w:val="00AC6261"/>
    <w:rsid w:val="00AC63A4"/>
    <w:rsid w:val="00AC645F"/>
    <w:rsid w:val="00AC6DDB"/>
    <w:rsid w:val="00AC6E59"/>
    <w:rsid w:val="00AC779C"/>
    <w:rsid w:val="00AD06C1"/>
    <w:rsid w:val="00AD0B87"/>
    <w:rsid w:val="00AD0EE6"/>
    <w:rsid w:val="00AD12AC"/>
    <w:rsid w:val="00AD1536"/>
    <w:rsid w:val="00AD1BC9"/>
    <w:rsid w:val="00AD1C9E"/>
    <w:rsid w:val="00AD27B4"/>
    <w:rsid w:val="00AD302B"/>
    <w:rsid w:val="00AD32F7"/>
    <w:rsid w:val="00AD3A95"/>
    <w:rsid w:val="00AD3DB0"/>
    <w:rsid w:val="00AD44E5"/>
    <w:rsid w:val="00AD4519"/>
    <w:rsid w:val="00AD481E"/>
    <w:rsid w:val="00AD584B"/>
    <w:rsid w:val="00AD5DC0"/>
    <w:rsid w:val="00AD5E84"/>
    <w:rsid w:val="00AD5FD7"/>
    <w:rsid w:val="00AD63D3"/>
    <w:rsid w:val="00AD65BA"/>
    <w:rsid w:val="00AD6851"/>
    <w:rsid w:val="00AD6B5D"/>
    <w:rsid w:val="00AD7027"/>
    <w:rsid w:val="00AD76D6"/>
    <w:rsid w:val="00AE0C3A"/>
    <w:rsid w:val="00AE120E"/>
    <w:rsid w:val="00AE17A1"/>
    <w:rsid w:val="00AE22BE"/>
    <w:rsid w:val="00AE244F"/>
    <w:rsid w:val="00AE423B"/>
    <w:rsid w:val="00AE51E3"/>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2730"/>
    <w:rsid w:val="00AF2D89"/>
    <w:rsid w:val="00AF3022"/>
    <w:rsid w:val="00AF312A"/>
    <w:rsid w:val="00AF3241"/>
    <w:rsid w:val="00AF38D8"/>
    <w:rsid w:val="00AF4235"/>
    <w:rsid w:val="00AF489E"/>
    <w:rsid w:val="00AF5E98"/>
    <w:rsid w:val="00AF5ED0"/>
    <w:rsid w:val="00AF66EE"/>
    <w:rsid w:val="00AF68D2"/>
    <w:rsid w:val="00AF6A84"/>
    <w:rsid w:val="00AF6C5A"/>
    <w:rsid w:val="00AF732C"/>
    <w:rsid w:val="00AF74C8"/>
    <w:rsid w:val="00AF7B4A"/>
    <w:rsid w:val="00AF7DE7"/>
    <w:rsid w:val="00AF7E04"/>
    <w:rsid w:val="00B00085"/>
    <w:rsid w:val="00B00740"/>
    <w:rsid w:val="00B00966"/>
    <w:rsid w:val="00B00DE8"/>
    <w:rsid w:val="00B011F2"/>
    <w:rsid w:val="00B01AD3"/>
    <w:rsid w:val="00B0228F"/>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952"/>
    <w:rsid w:val="00B06E02"/>
    <w:rsid w:val="00B07348"/>
    <w:rsid w:val="00B07CFD"/>
    <w:rsid w:val="00B100AC"/>
    <w:rsid w:val="00B103A6"/>
    <w:rsid w:val="00B1053E"/>
    <w:rsid w:val="00B10A61"/>
    <w:rsid w:val="00B110AB"/>
    <w:rsid w:val="00B110C1"/>
    <w:rsid w:val="00B12935"/>
    <w:rsid w:val="00B129B7"/>
    <w:rsid w:val="00B12B2D"/>
    <w:rsid w:val="00B13128"/>
    <w:rsid w:val="00B13721"/>
    <w:rsid w:val="00B13C4B"/>
    <w:rsid w:val="00B14D59"/>
    <w:rsid w:val="00B155BE"/>
    <w:rsid w:val="00B16262"/>
    <w:rsid w:val="00B16A1D"/>
    <w:rsid w:val="00B16BE0"/>
    <w:rsid w:val="00B16C80"/>
    <w:rsid w:val="00B170A3"/>
    <w:rsid w:val="00B1783A"/>
    <w:rsid w:val="00B17ADD"/>
    <w:rsid w:val="00B17B02"/>
    <w:rsid w:val="00B20173"/>
    <w:rsid w:val="00B201FA"/>
    <w:rsid w:val="00B20366"/>
    <w:rsid w:val="00B209F4"/>
    <w:rsid w:val="00B20BB9"/>
    <w:rsid w:val="00B20F01"/>
    <w:rsid w:val="00B2122C"/>
    <w:rsid w:val="00B21242"/>
    <w:rsid w:val="00B223D6"/>
    <w:rsid w:val="00B22D04"/>
    <w:rsid w:val="00B23068"/>
    <w:rsid w:val="00B2314B"/>
    <w:rsid w:val="00B237FA"/>
    <w:rsid w:val="00B2387C"/>
    <w:rsid w:val="00B23925"/>
    <w:rsid w:val="00B23FEF"/>
    <w:rsid w:val="00B24250"/>
    <w:rsid w:val="00B2429A"/>
    <w:rsid w:val="00B24950"/>
    <w:rsid w:val="00B24D9B"/>
    <w:rsid w:val="00B24E45"/>
    <w:rsid w:val="00B24EA2"/>
    <w:rsid w:val="00B2623A"/>
    <w:rsid w:val="00B26519"/>
    <w:rsid w:val="00B26E23"/>
    <w:rsid w:val="00B27223"/>
    <w:rsid w:val="00B27B66"/>
    <w:rsid w:val="00B3002A"/>
    <w:rsid w:val="00B30A94"/>
    <w:rsid w:val="00B30B56"/>
    <w:rsid w:val="00B30CDD"/>
    <w:rsid w:val="00B30D6F"/>
    <w:rsid w:val="00B31322"/>
    <w:rsid w:val="00B31A88"/>
    <w:rsid w:val="00B31D49"/>
    <w:rsid w:val="00B32032"/>
    <w:rsid w:val="00B32126"/>
    <w:rsid w:val="00B329C7"/>
    <w:rsid w:val="00B334EB"/>
    <w:rsid w:val="00B33729"/>
    <w:rsid w:val="00B34F16"/>
    <w:rsid w:val="00B35DC3"/>
    <w:rsid w:val="00B3677B"/>
    <w:rsid w:val="00B36A14"/>
    <w:rsid w:val="00B3738D"/>
    <w:rsid w:val="00B378BA"/>
    <w:rsid w:val="00B37E05"/>
    <w:rsid w:val="00B37E10"/>
    <w:rsid w:val="00B37F65"/>
    <w:rsid w:val="00B37F8A"/>
    <w:rsid w:val="00B40B39"/>
    <w:rsid w:val="00B40C9B"/>
    <w:rsid w:val="00B40E83"/>
    <w:rsid w:val="00B414B6"/>
    <w:rsid w:val="00B4152F"/>
    <w:rsid w:val="00B417F7"/>
    <w:rsid w:val="00B418FB"/>
    <w:rsid w:val="00B41A74"/>
    <w:rsid w:val="00B41DDD"/>
    <w:rsid w:val="00B41FED"/>
    <w:rsid w:val="00B421CC"/>
    <w:rsid w:val="00B42914"/>
    <w:rsid w:val="00B429BD"/>
    <w:rsid w:val="00B42F86"/>
    <w:rsid w:val="00B432B9"/>
    <w:rsid w:val="00B43742"/>
    <w:rsid w:val="00B43A5C"/>
    <w:rsid w:val="00B44C1C"/>
    <w:rsid w:val="00B450B0"/>
    <w:rsid w:val="00B45BCB"/>
    <w:rsid w:val="00B45C7E"/>
    <w:rsid w:val="00B45D1C"/>
    <w:rsid w:val="00B46240"/>
    <w:rsid w:val="00B4647C"/>
    <w:rsid w:val="00B466BC"/>
    <w:rsid w:val="00B47730"/>
    <w:rsid w:val="00B50E5D"/>
    <w:rsid w:val="00B51846"/>
    <w:rsid w:val="00B5196B"/>
    <w:rsid w:val="00B5197A"/>
    <w:rsid w:val="00B52123"/>
    <w:rsid w:val="00B52192"/>
    <w:rsid w:val="00B529DF"/>
    <w:rsid w:val="00B52E1C"/>
    <w:rsid w:val="00B53232"/>
    <w:rsid w:val="00B534FA"/>
    <w:rsid w:val="00B537EC"/>
    <w:rsid w:val="00B538A7"/>
    <w:rsid w:val="00B53EDF"/>
    <w:rsid w:val="00B542CF"/>
    <w:rsid w:val="00B5559A"/>
    <w:rsid w:val="00B55E9E"/>
    <w:rsid w:val="00B566E2"/>
    <w:rsid w:val="00B56E2A"/>
    <w:rsid w:val="00B56FBB"/>
    <w:rsid w:val="00B5703E"/>
    <w:rsid w:val="00B573FE"/>
    <w:rsid w:val="00B57DC1"/>
    <w:rsid w:val="00B57F5F"/>
    <w:rsid w:val="00B602EC"/>
    <w:rsid w:val="00B6079A"/>
    <w:rsid w:val="00B608A3"/>
    <w:rsid w:val="00B60F02"/>
    <w:rsid w:val="00B60FE8"/>
    <w:rsid w:val="00B6108F"/>
    <w:rsid w:val="00B6120B"/>
    <w:rsid w:val="00B61869"/>
    <w:rsid w:val="00B61A6A"/>
    <w:rsid w:val="00B61C85"/>
    <w:rsid w:val="00B620CE"/>
    <w:rsid w:val="00B625C3"/>
    <w:rsid w:val="00B62756"/>
    <w:rsid w:val="00B63FEA"/>
    <w:rsid w:val="00B64205"/>
    <w:rsid w:val="00B64340"/>
    <w:rsid w:val="00B64364"/>
    <w:rsid w:val="00B646BF"/>
    <w:rsid w:val="00B64941"/>
    <w:rsid w:val="00B654DB"/>
    <w:rsid w:val="00B657E8"/>
    <w:rsid w:val="00B65833"/>
    <w:rsid w:val="00B65A2D"/>
    <w:rsid w:val="00B65BBE"/>
    <w:rsid w:val="00B66261"/>
    <w:rsid w:val="00B66672"/>
    <w:rsid w:val="00B669A6"/>
    <w:rsid w:val="00B67B77"/>
    <w:rsid w:val="00B703AF"/>
    <w:rsid w:val="00B708FB"/>
    <w:rsid w:val="00B70BA5"/>
    <w:rsid w:val="00B711C3"/>
    <w:rsid w:val="00B71625"/>
    <w:rsid w:val="00B716C8"/>
    <w:rsid w:val="00B71E97"/>
    <w:rsid w:val="00B721C7"/>
    <w:rsid w:val="00B72BCF"/>
    <w:rsid w:val="00B72E9D"/>
    <w:rsid w:val="00B73395"/>
    <w:rsid w:val="00B738DC"/>
    <w:rsid w:val="00B7424D"/>
    <w:rsid w:val="00B74475"/>
    <w:rsid w:val="00B74858"/>
    <w:rsid w:val="00B74A09"/>
    <w:rsid w:val="00B74A3A"/>
    <w:rsid w:val="00B74D9E"/>
    <w:rsid w:val="00B75087"/>
    <w:rsid w:val="00B75DEF"/>
    <w:rsid w:val="00B76064"/>
    <w:rsid w:val="00B77876"/>
    <w:rsid w:val="00B80307"/>
    <w:rsid w:val="00B809F2"/>
    <w:rsid w:val="00B80E88"/>
    <w:rsid w:val="00B81142"/>
    <w:rsid w:val="00B816B8"/>
    <w:rsid w:val="00B82272"/>
    <w:rsid w:val="00B82360"/>
    <w:rsid w:val="00B82B78"/>
    <w:rsid w:val="00B832B4"/>
    <w:rsid w:val="00B834AF"/>
    <w:rsid w:val="00B83D67"/>
    <w:rsid w:val="00B83D77"/>
    <w:rsid w:val="00B843FE"/>
    <w:rsid w:val="00B84D8D"/>
    <w:rsid w:val="00B84E02"/>
    <w:rsid w:val="00B85F9A"/>
    <w:rsid w:val="00B8608B"/>
    <w:rsid w:val="00B86279"/>
    <w:rsid w:val="00B86568"/>
    <w:rsid w:val="00B86928"/>
    <w:rsid w:val="00B86B13"/>
    <w:rsid w:val="00B87435"/>
    <w:rsid w:val="00B87481"/>
    <w:rsid w:val="00B87995"/>
    <w:rsid w:val="00B906CA"/>
    <w:rsid w:val="00B907BB"/>
    <w:rsid w:val="00B90A20"/>
    <w:rsid w:val="00B90E95"/>
    <w:rsid w:val="00B9144F"/>
    <w:rsid w:val="00B91B09"/>
    <w:rsid w:val="00B924EC"/>
    <w:rsid w:val="00B93219"/>
    <w:rsid w:val="00B93271"/>
    <w:rsid w:val="00B9341C"/>
    <w:rsid w:val="00B9348B"/>
    <w:rsid w:val="00B9351A"/>
    <w:rsid w:val="00B93839"/>
    <w:rsid w:val="00B93911"/>
    <w:rsid w:val="00B93FD2"/>
    <w:rsid w:val="00B942AC"/>
    <w:rsid w:val="00B95110"/>
    <w:rsid w:val="00B95876"/>
    <w:rsid w:val="00B96172"/>
    <w:rsid w:val="00B9621C"/>
    <w:rsid w:val="00B9632D"/>
    <w:rsid w:val="00B9667A"/>
    <w:rsid w:val="00B97227"/>
    <w:rsid w:val="00B976B5"/>
    <w:rsid w:val="00BA099B"/>
    <w:rsid w:val="00BA0C6C"/>
    <w:rsid w:val="00BA1B27"/>
    <w:rsid w:val="00BA1E27"/>
    <w:rsid w:val="00BA2285"/>
    <w:rsid w:val="00BA288F"/>
    <w:rsid w:val="00BA28CC"/>
    <w:rsid w:val="00BA2FDE"/>
    <w:rsid w:val="00BA376D"/>
    <w:rsid w:val="00BA39C4"/>
    <w:rsid w:val="00BA5399"/>
    <w:rsid w:val="00BA5F4E"/>
    <w:rsid w:val="00BA5FDD"/>
    <w:rsid w:val="00BA6673"/>
    <w:rsid w:val="00BA6AD2"/>
    <w:rsid w:val="00BA6B11"/>
    <w:rsid w:val="00BA6D69"/>
    <w:rsid w:val="00BA6F24"/>
    <w:rsid w:val="00BA707E"/>
    <w:rsid w:val="00BA7B75"/>
    <w:rsid w:val="00BA7B94"/>
    <w:rsid w:val="00BA7BF5"/>
    <w:rsid w:val="00BA7E6D"/>
    <w:rsid w:val="00BB059C"/>
    <w:rsid w:val="00BB0DAE"/>
    <w:rsid w:val="00BB0DBD"/>
    <w:rsid w:val="00BB0FA6"/>
    <w:rsid w:val="00BB1069"/>
    <w:rsid w:val="00BB106E"/>
    <w:rsid w:val="00BB11E9"/>
    <w:rsid w:val="00BB14D2"/>
    <w:rsid w:val="00BB1601"/>
    <w:rsid w:val="00BB1BC3"/>
    <w:rsid w:val="00BB27DB"/>
    <w:rsid w:val="00BB2AD2"/>
    <w:rsid w:val="00BB3D38"/>
    <w:rsid w:val="00BB3D3C"/>
    <w:rsid w:val="00BB45A9"/>
    <w:rsid w:val="00BB4A49"/>
    <w:rsid w:val="00BB4F85"/>
    <w:rsid w:val="00BB5024"/>
    <w:rsid w:val="00BB5551"/>
    <w:rsid w:val="00BB55DF"/>
    <w:rsid w:val="00BB5FA3"/>
    <w:rsid w:val="00BB76BF"/>
    <w:rsid w:val="00BC02C9"/>
    <w:rsid w:val="00BC1E67"/>
    <w:rsid w:val="00BC222B"/>
    <w:rsid w:val="00BC2554"/>
    <w:rsid w:val="00BC2583"/>
    <w:rsid w:val="00BC2620"/>
    <w:rsid w:val="00BC280E"/>
    <w:rsid w:val="00BC2D54"/>
    <w:rsid w:val="00BC3134"/>
    <w:rsid w:val="00BC376A"/>
    <w:rsid w:val="00BC392D"/>
    <w:rsid w:val="00BC4CB2"/>
    <w:rsid w:val="00BC4EBA"/>
    <w:rsid w:val="00BC6426"/>
    <w:rsid w:val="00BC6B51"/>
    <w:rsid w:val="00BC6EBC"/>
    <w:rsid w:val="00BC7265"/>
    <w:rsid w:val="00BC7C00"/>
    <w:rsid w:val="00BD01E6"/>
    <w:rsid w:val="00BD0223"/>
    <w:rsid w:val="00BD0265"/>
    <w:rsid w:val="00BD06A9"/>
    <w:rsid w:val="00BD0C34"/>
    <w:rsid w:val="00BD0DFE"/>
    <w:rsid w:val="00BD174A"/>
    <w:rsid w:val="00BD1F2A"/>
    <w:rsid w:val="00BD209D"/>
    <w:rsid w:val="00BD25FB"/>
    <w:rsid w:val="00BD2711"/>
    <w:rsid w:val="00BD369D"/>
    <w:rsid w:val="00BD3834"/>
    <w:rsid w:val="00BD3B54"/>
    <w:rsid w:val="00BD3B97"/>
    <w:rsid w:val="00BD3E27"/>
    <w:rsid w:val="00BD45DF"/>
    <w:rsid w:val="00BD462D"/>
    <w:rsid w:val="00BD4784"/>
    <w:rsid w:val="00BD4A93"/>
    <w:rsid w:val="00BD4E44"/>
    <w:rsid w:val="00BD62D4"/>
    <w:rsid w:val="00BD6A65"/>
    <w:rsid w:val="00BD6C15"/>
    <w:rsid w:val="00BD745B"/>
    <w:rsid w:val="00BD756E"/>
    <w:rsid w:val="00BD76D4"/>
    <w:rsid w:val="00BD7A60"/>
    <w:rsid w:val="00BE153D"/>
    <w:rsid w:val="00BE16B2"/>
    <w:rsid w:val="00BE1C49"/>
    <w:rsid w:val="00BE1D66"/>
    <w:rsid w:val="00BE1F9B"/>
    <w:rsid w:val="00BE2100"/>
    <w:rsid w:val="00BE2721"/>
    <w:rsid w:val="00BE3398"/>
    <w:rsid w:val="00BE3676"/>
    <w:rsid w:val="00BE44BE"/>
    <w:rsid w:val="00BE4710"/>
    <w:rsid w:val="00BE52A7"/>
    <w:rsid w:val="00BE573B"/>
    <w:rsid w:val="00BE58FC"/>
    <w:rsid w:val="00BE5A27"/>
    <w:rsid w:val="00BE5C73"/>
    <w:rsid w:val="00BE5F35"/>
    <w:rsid w:val="00BE6677"/>
    <w:rsid w:val="00BE7049"/>
    <w:rsid w:val="00BE708F"/>
    <w:rsid w:val="00BE7723"/>
    <w:rsid w:val="00BF10F5"/>
    <w:rsid w:val="00BF1593"/>
    <w:rsid w:val="00BF196E"/>
    <w:rsid w:val="00BF3625"/>
    <w:rsid w:val="00BF3781"/>
    <w:rsid w:val="00BF3966"/>
    <w:rsid w:val="00BF3A53"/>
    <w:rsid w:val="00BF3B6B"/>
    <w:rsid w:val="00BF41E2"/>
    <w:rsid w:val="00BF466D"/>
    <w:rsid w:val="00BF5443"/>
    <w:rsid w:val="00BF5936"/>
    <w:rsid w:val="00BF59E6"/>
    <w:rsid w:val="00BF5EAB"/>
    <w:rsid w:val="00BF6259"/>
    <w:rsid w:val="00BF62D3"/>
    <w:rsid w:val="00BF662F"/>
    <w:rsid w:val="00BF7316"/>
    <w:rsid w:val="00BF7630"/>
    <w:rsid w:val="00BF7BDD"/>
    <w:rsid w:val="00BF7DD9"/>
    <w:rsid w:val="00C0025C"/>
    <w:rsid w:val="00C0099A"/>
    <w:rsid w:val="00C00B59"/>
    <w:rsid w:val="00C0108E"/>
    <w:rsid w:val="00C012E6"/>
    <w:rsid w:val="00C01CB4"/>
    <w:rsid w:val="00C02276"/>
    <w:rsid w:val="00C024A9"/>
    <w:rsid w:val="00C02536"/>
    <w:rsid w:val="00C025CA"/>
    <w:rsid w:val="00C02A6E"/>
    <w:rsid w:val="00C02C91"/>
    <w:rsid w:val="00C032BF"/>
    <w:rsid w:val="00C0398A"/>
    <w:rsid w:val="00C03A0A"/>
    <w:rsid w:val="00C03B14"/>
    <w:rsid w:val="00C04181"/>
    <w:rsid w:val="00C0418A"/>
    <w:rsid w:val="00C0419A"/>
    <w:rsid w:val="00C04331"/>
    <w:rsid w:val="00C04B0A"/>
    <w:rsid w:val="00C05184"/>
    <w:rsid w:val="00C06F91"/>
    <w:rsid w:val="00C07085"/>
    <w:rsid w:val="00C07293"/>
    <w:rsid w:val="00C07C2B"/>
    <w:rsid w:val="00C1022A"/>
    <w:rsid w:val="00C10F9E"/>
    <w:rsid w:val="00C12A73"/>
    <w:rsid w:val="00C12E7A"/>
    <w:rsid w:val="00C13515"/>
    <w:rsid w:val="00C14078"/>
    <w:rsid w:val="00C14CAF"/>
    <w:rsid w:val="00C1518C"/>
    <w:rsid w:val="00C156DF"/>
    <w:rsid w:val="00C157CD"/>
    <w:rsid w:val="00C15AEF"/>
    <w:rsid w:val="00C16110"/>
    <w:rsid w:val="00C1636B"/>
    <w:rsid w:val="00C16E82"/>
    <w:rsid w:val="00C17244"/>
    <w:rsid w:val="00C173DC"/>
    <w:rsid w:val="00C17491"/>
    <w:rsid w:val="00C17CD6"/>
    <w:rsid w:val="00C20200"/>
    <w:rsid w:val="00C2042B"/>
    <w:rsid w:val="00C205BF"/>
    <w:rsid w:val="00C20631"/>
    <w:rsid w:val="00C20868"/>
    <w:rsid w:val="00C209CD"/>
    <w:rsid w:val="00C22592"/>
    <w:rsid w:val="00C22672"/>
    <w:rsid w:val="00C2270F"/>
    <w:rsid w:val="00C22C28"/>
    <w:rsid w:val="00C23B2D"/>
    <w:rsid w:val="00C2406A"/>
    <w:rsid w:val="00C2409D"/>
    <w:rsid w:val="00C248F3"/>
    <w:rsid w:val="00C24A17"/>
    <w:rsid w:val="00C24AE4"/>
    <w:rsid w:val="00C24DBE"/>
    <w:rsid w:val="00C25683"/>
    <w:rsid w:val="00C25DCB"/>
    <w:rsid w:val="00C25FA5"/>
    <w:rsid w:val="00C26351"/>
    <w:rsid w:val="00C26FED"/>
    <w:rsid w:val="00C27662"/>
    <w:rsid w:val="00C27DB0"/>
    <w:rsid w:val="00C27E86"/>
    <w:rsid w:val="00C304B9"/>
    <w:rsid w:val="00C3061E"/>
    <w:rsid w:val="00C30D70"/>
    <w:rsid w:val="00C30F29"/>
    <w:rsid w:val="00C311D2"/>
    <w:rsid w:val="00C315A1"/>
    <w:rsid w:val="00C3169F"/>
    <w:rsid w:val="00C31729"/>
    <w:rsid w:val="00C31A7B"/>
    <w:rsid w:val="00C31DA6"/>
    <w:rsid w:val="00C320D1"/>
    <w:rsid w:val="00C32154"/>
    <w:rsid w:val="00C331F6"/>
    <w:rsid w:val="00C3320C"/>
    <w:rsid w:val="00C33489"/>
    <w:rsid w:val="00C346C5"/>
    <w:rsid w:val="00C34BD6"/>
    <w:rsid w:val="00C34BF2"/>
    <w:rsid w:val="00C34E44"/>
    <w:rsid w:val="00C34EE9"/>
    <w:rsid w:val="00C34F1E"/>
    <w:rsid w:val="00C35849"/>
    <w:rsid w:val="00C35C17"/>
    <w:rsid w:val="00C36431"/>
    <w:rsid w:val="00C3669A"/>
    <w:rsid w:val="00C36718"/>
    <w:rsid w:val="00C3675D"/>
    <w:rsid w:val="00C370BE"/>
    <w:rsid w:val="00C370E6"/>
    <w:rsid w:val="00C3726E"/>
    <w:rsid w:val="00C373E3"/>
    <w:rsid w:val="00C3755D"/>
    <w:rsid w:val="00C37918"/>
    <w:rsid w:val="00C3796D"/>
    <w:rsid w:val="00C4018A"/>
    <w:rsid w:val="00C40557"/>
    <w:rsid w:val="00C41216"/>
    <w:rsid w:val="00C418B3"/>
    <w:rsid w:val="00C41F11"/>
    <w:rsid w:val="00C422BA"/>
    <w:rsid w:val="00C424D6"/>
    <w:rsid w:val="00C4277C"/>
    <w:rsid w:val="00C42992"/>
    <w:rsid w:val="00C42B66"/>
    <w:rsid w:val="00C42FA8"/>
    <w:rsid w:val="00C431F9"/>
    <w:rsid w:val="00C4338C"/>
    <w:rsid w:val="00C4395A"/>
    <w:rsid w:val="00C43EE2"/>
    <w:rsid w:val="00C445D2"/>
    <w:rsid w:val="00C44EEA"/>
    <w:rsid w:val="00C454D3"/>
    <w:rsid w:val="00C4733D"/>
    <w:rsid w:val="00C474EF"/>
    <w:rsid w:val="00C47A40"/>
    <w:rsid w:val="00C47D8D"/>
    <w:rsid w:val="00C47F34"/>
    <w:rsid w:val="00C50227"/>
    <w:rsid w:val="00C50296"/>
    <w:rsid w:val="00C50631"/>
    <w:rsid w:val="00C5090E"/>
    <w:rsid w:val="00C50B51"/>
    <w:rsid w:val="00C50B99"/>
    <w:rsid w:val="00C514DD"/>
    <w:rsid w:val="00C522AE"/>
    <w:rsid w:val="00C52625"/>
    <w:rsid w:val="00C52B8B"/>
    <w:rsid w:val="00C52C8E"/>
    <w:rsid w:val="00C53535"/>
    <w:rsid w:val="00C536AD"/>
    <w:rsid w:val="00C53B42"/>
    <w:rsid w:val="00C53FE2"/>
    <w:rsid w:val="00C54440"/>
    <w:rsid w:val="00C544EB"/>
    <w:rsid w:val="00C54573"/>
    <w:rsid w:val="00C54A11"/>
    <w:rsid w:val="00C54BB2"/>
    <w:rsid w:val="00C54FCA"/>
    <w:rsid w:val="00C55A10"/>
    <w:rsid w:val="00C560E1"/>
    <w:rsid w:val="00C5705A"/>
    <w:rsid w:val="00C570F8"/>
    <w:rsid w:val="00C571FE"/>
    <w:rsid w:val="00C5757B"/>
    <w:rsid w:val="00C57E84"/>
    <w:rsid w:val="00C60387"/>
    <w:rsid w:val="00C60682"/>
    <w:rsid w:val="00C6093E"/>
    <w:rsid w:val="00C61620"/>
    <w:rsid w:val="00C6163A"/>
    <w:rsid w:val="00C61C61"/>
    <w:rsid w:val="00C61CDC"/>
    <w:rsid w:val="00C6265E"/>
    <w:rsid w:val="00C62849"/>
    <w:rsid w:val="00C62B54"/>
    <w:rsid w:val="00C636C9"/>
    <w:rsid w:val="00C63BFF"/>
    <w:rsid w:val="00C63E05"/>
    <w:rsid w:val="00C646C2"/>
    <w:rsid w:val="00C647A9"/>
    <w:rsid w:val="00C652D4"/>
    <w:rsid w:val="00C65416"/>
    <w:rsid w:val="00C65450"/>
    <w:rsid w:val="00C659A2"/>
    <w:rsid w:val="00C660F5"/>
    <w:rsid w:val="00C664A3"/>
    <w:rsid w:val="00C66B1D"/>
    <w:rsid w:val="00C66F48"/>
    <w:rsid w:val="00C66F50"/>
    <w:rsid w:val="00C66F7C"/>
    <w:rsid w:val="00C6736E"/>
    <w:rsid w:val="00C67DE6"/>
    <w:rsid w:val="00C70400"/>
    <w:rsid w:val="00C70992"/>
    <w:rsid w:val="00C70DD2"/>
    <w:rsid w:val="00C70E7B"/>
    <w:rsid w:val="00C70FB7"/>
    <w:rsid w:val="00C71A83"/>
    <w:rsid w:val="00C71ECC"/>
    <w:rsid w:val="00C72624"/>
    <w:rsid w:val="00C72B02"/>
    <w:rsid w:val="00C73808"/>
    <w:rsid w:val="00C7384F"/>
    <w:rsid w:val="00C73984"/>
    <w:rsid w:val="00C747F6"/>
    <w:rsid w:val="00C74DAC"/>
    <w:rsid w:val="00C75F99"/>
    <w:rsid w:val="00C76712"/>
    <w:rsid w:val="00C76F0B"/>
    <w:rsid w:val="00C77324"/>
    <w:rsid w:val="00C77A13"/>
    <w:rsid w:val="00C77B27"/>
    <w:rsid w:val="00C80BC1"/>
    <w:rsid w:val="00C80C93"/>
    <w:rsid w:val="00C80F1A"/>
    <w:rsid w:val="00C81886"/>
    <w:rsid w:val="00C818E7"/>
    <w:rsid w:val="00C81BD0"/>
    <w:rsid w:val="00C81F7E"/>
    <w:rsid w:val="00C823FA"/>
    <w:rsid w:val="00C828FC"/>
    <w:rsid w:val="00C82AD3"/>
    <w:rsid w:val="00C83494"/>
    <w:rsid w:val="00C83498"/>
    <w:rsid w:val="00C846DA"/>
    <w:rsid w:val="00C84919"/>
    <w:rsid w:val="00C853E8"/>
    <w:rsid w:val="00C85452"/>
    <w:rsid w:val="00C85F7F"/>
    <w:rsid w:val="00C860D0"/>
    <w:rsid w:val="00C86251"/>
    <w:rsid w:val="00C8695C"/>
    <w:rsid w:val="00C86D44"/>
    <w:rsid w:val="00C8701E"/>
    <w:rsid w:val="00C873BC"/>
    <w:rsid w:val="00C87725"/>
    <w:rsid w:val="00C87E68"/>
    <w:rsid w:val="00C87F8A"/>
    <w:rsid w:val="00C9046A"/>
    <w:rsid w:val="00C9048F"/>
    <w:rsid w:val="00C90F2E"/>
    <w:rsid w:val="00C91166"/>
    <w:rsid w:val="00C9192D"/>
    <w:rsid w:val="00C91A45"/>
    <w:rsid w:val="00C92174"/>
    <w:rsid w:val="00C92E91"/>
    <w:rsid w:val="00C9329E"/>
    <w:rsid w:val="00C93859"/>
    <w:rsid w:val="00C93B71"/>
    <w:rsid w:val="00C942FA"/>
    <w:rsid w:val="00C94BBF"/>
    <w:rsid w:val="00C956DB"/>
    <w:rsid w:val="00C95C27"/>
    <w:rsid w:val="00C95DF8"/>
    <w:rsid w:val="00C9617A"/>
    <w:rsid w:val="00C96244"/>
    <w:rsid w:val="00C9678B"/>
    <w:rsid w:val="00C9680B"/>
    <w:rsid w:val="00C96FF7"/>
    <w:rsid w:val="00C971D8"/>
    <w:rsid w:val="00C977E8"/>
    <w:rsid w:val="00CA0B2C"/>
    <w:rsid w:val="00CA0F20"/>
    <w:rsid w:val="00CA17BD"/>
    <w:rsid w:val="00CA1A2A"/>
    <w:rsid w:val="00CA1DC5"/>
    <w:rsid w:val="00CA22C4"/>
    <w:rsid w:val="00CA2753"/>
    <w:rsid w:val="00CA27EB"/>
    <w:rsid w:val="00CA2BE7"/>
    <w:rsid w:val="00CA2D3F"/>
    <w:rsid w:val="00CA2F18"/>
    <w:rsid w:val="00CA2FBA"/>
    <w:rsid w:val="00CA34ED"/>
    <w:rsid w:val="00CA3F79"/>
    <w:rsid w:val="00CA413E"/>
    <w:rsid w:val="00CA4187"/>
    <w:rsid w:val="00CA41AB"/>
    <w:rsid w:val="00CA45AD"/>
    <w:rsid w:val="00CA46B8"/>
    <w:rsid w:val="00CA4B97"/>
    <w:rsid w:val="00CA4D46"/>
    <w:rsid w:val="00CA5AF2"/>
    <w:rsid w:val="00CA5E8D"/>
    <w:rsid w:val="00CA6464"/>
    <w:rsid w:val="00CA68C9"/>
    <w:rsid w:val="00CA69AE"/>
    <w:rsid w:val="00CA7C01"/>
    <w:rsid w:val="00CA7CA8"/>
    <w:rsid w:val="00CA7EB4"/>
    <w:rsid w:val="00CB019A"/>
    <w:rsid w:val="00CB0ED7"/>
    <w:rsid w:val="00CB1106"/>
    <w:rsid w:val="00CB15CA"/>
    <w:rsid w:val="00CB19A5"/>
    <w:rsid w:val="00CB1C7E"/>
    <w:rsid w:val="00CB1E79"/>
    <w:rsid w:val="00CB2E15"/>
    <w:rsid w:val="00CB2E79"/>
    <w:rsid w:val="00CB2FA2"/>
    <w:rsid w:val="00CB3013"/>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0D88"/>
    <w:rsid w:val="00CC1AAA"/>
    <w:rsid w:val="00CC1E51"/>
    <w:rsid w:val="00CC3186"/>
    <w:rsid w:val="00CC4022"/>
    <w:rsid w:val="00CC404A"/>
    <w:rsid w:val="00CC4216"/>
    <w:rsid w:val="00CC449A"/>
    <w:rsid w:val="00CC4BE9"/>
    <w:rsid w:val="00CC4D42"/>
    <w:rsid w:val="00CC51BE"/>
    <w:rsid w:val="00CC52AC"/>
    <w:rsid w:val="00CC561C"/>
    <w:rsid w:val="00CC5B57"/>
    <w:rsid w:val="00CC5BFC"/>
    <w:rsid w:val="00CC5F6E"/>
    <w:rsid w:val="00CC75BE"/>
    <w:rsid w:val="00CC75D4"/>
    <w:rsid w:val="00CC79D5"/>
    <w:rsid w:val="00CC7D7B"/>
    <w:rsid w:val="00CC7D8F"/>
    <w:rsid w:val="00CD031C"/>
    <w:rsid w:val="00CD03D6"/>
    <w:rsid w:val="00CD070B"/>
    <w:rsid w:val="00CD1994"/>
    <w:rsid w:val="00CD2A1F"/>
    <w:rsid w:val="00CD2F95"/>
    <w:rsid w:val="00CD3064"/>
    <w:rsid w:val="00CD3441"/>
    <w:rsid w:val="00CD390B"/>
    <w:rsid w:val="00CD394B"/>
    <w:rsid w:val="00CD4152"/>
    <w:rsid w:val="00CD4483"/>
    <w:rsid w:val="00CD46ED"/>
    <w:rsid w:val="00CD477E"/>
    <w:rsid w:val="00CD4B7F"/>
    <w:rsid w:val="00CD4C41"/>
    <w:rsid w:val="00CD4DC9"/>
    <w:rsid w:val="00CD5032"/>
    <w:rsid w:val="00CD5CE1"/>
    <w:rsid w:val="00CD628F"/>
    <w:rsid w:val="00CD62FE"/>
    <w:rsid w:val="00CD70D5"/>
    <w:rsid w:val="00CD766B"/>
    <w:rsid w:val="00CD7D58"/>
    <w:rsid w:val="00CD7EB6"/>
    <w:rsid w:val="00CD7FBB"/>
    <w:rsid w:val="00CE04DE"/>
    <w:rsid w:val="00CE0960"/>
    <w:rsid w:val="00CE0E84"/>
    <w:rsid w:val="00CE10B1"/>
    <w:rsid w:val="00CE14D6"/>
    <w:rsid w:val="00CE153D"/>
    <w:rsid w:val="00CE1902"/>
    <w:rsid w:val="00CE1D7B"/>
    <w:rsid w:val="00CE2118"/>
    <w:rsid w:val="00CE243F"/>
    <w:rsid w:val="00CE3175"/>
    <w:rsid w:val="00CE3293"/>
    <w:rsid w:val="00CE3C6D"/>
    <w:rsid w:val="00CE3C82"/>
    <w:rsid w:val="00CE43B1"/>
    <w:rsid w:val="00CE45DB"/>
    <w:rsid w:val="00CE537D"/>
    <w:rsid w:val="00CE55AA"/>
    <w:rsid w:val="00CE59E6"/>
    <w:rsid w:val="00CE6D9E"/>
    <w:rsid w:val="00CE794B"/>
    <w:rsid w:val="00CE7C39"/>
    <w:rsid w:val="00CE7D28"/>
    <w:rsid w:val="00CF05EA"/>
    <w:rsid w:val="00CF088B"/>
    <w:rsid w:val="00CF0FB9"/>
    <w:rsid w:val="00CF248F"/>
    <w:rsid w:val="00CF2761"/>
    <w:rsid w:val="00CF3394"/>
    <w:rsid w:val="00CF3522"/>
    <w:rsid w:val="00CF3F37"/>
    <w:rsid w:val="00CF4A46"/>
    <w:rsid w:val="00CF4BD8"/>
    <w:rsid w:val="00CF581A"/>
    <w:rsid w:val="00CF5F73"/>
    <w:rsid w:val="00CF6248"/>
    <w:rsid w:val="00CF63D1"/>
    <w:rsid w:val="00CF714F"/>
    <w:rsid w:val="00CF74C0"/>
    <w:rsid w:val="00CF7897"/>
    <w:rsid w:val="00CF7997"/>
    <w:rsid w:val="00D0080A"/>
    <w:rsid w:val="00D009E0"/>
    <w:rsid w:val="00D00DD6"/>
    <w:rsid w:val="00D013D9"/>
    <w:rsid w:val="00D01E38"/>
    <w:rsid w:val="00D026AB"/>
    <w:rsid w:val="00D0283B"/>
    <w:rsid w:val="00D02ABB"/>
    <w:rsid w:val="00D03A98"/>
    <w:rsid w:val="00D03BB9"/>
    <w:rsid w:val="00D03D4D"/>
    <w:rsid w:val="00D03E69"/>
    <w:rsid w:val="00D03F6C"/>
    <w:rsid w:val="00D0415C"/>
    <w:rsid w:val="00D04983"/>
    <w:rsid w:val="00D05778"/>
    <w:rsid w:val="00D070FF"/>
    <w:rsid w:val="00D075A4"/>
    <w:rsid w:val="00D07D94"/>
    <w:rsid w:val="00D1058E"/>
    <w:rsid w:val="00D10AA6"/>
    <w:rsid w:val="00D11257"/>
    <w:rsid w:val="00D12059"/>
    <w:rsid w:val="00D1239D"/>
    <w:rsid w:val="00D125DE"/>
    <w:rsid w:val="00D12DF5"/>
    <w:rsid w:val="00D13777"/>
    <w:rsid w:val="00D13ABE"/>
    <w:rsid w:val="00D13BB6"/>
    <w:rsid w:val="00D13C2D"/>
    <w:rsid w:val="00D1459C"/>
    <w:rsid w:val="00D145A6"/>
    <w:rsid w:val="00D151F0"/>
    <w:rsid w:val="00D15F8E"/>
    <w:rsid w:val="00D15F9A"/>
    <w:rsid w:val="00D16081"/>
    <w:rsid w:val="00D1690E"/>
    <w:rsid w:val="00D172D8"/>
    <w:rsid w:val="00D173A5"/>
    <w:rsid w:val="00D178E9"/>
    <w:rsid w:val="00D17B3F"/>
    <w:rsid w:val="00D17F1D"/>
    <w:rsid w:val="00D211E2"/>
    <w:rsid w:val="00D219D5"/>
    <w:rsid w:val="00D2203E"/>
    <w:rsid w:val="00D2231C"/>
    <w:rsid w:val="00D22704"/>
    <w:rsid w:val="00D23513"/>
    <w:rsid w:val="00D237C9"/>
    <w:rsid w:val="00D2439E"/>
    <w:rsid w:val="00D24573"/>
    <w:rsid w:val="00D245E2"/>
    <w:rsid w:val="00D24A53"/>
    <w:rsid w:val="00D24C69"/>
    <w:rsid w:val="00D251CF"/>
    <w:rsid w:val="00D252B8"/>
    <w:rsid w:val="00D2533A"/>
    <w:rsid w:val="00D267D6"/>
    <w:rsid w:val="00D26BEC"/>
    <w:rsid w:val="00D2729A"/>
    <w:rsid w:val="00D27506"/>
    <w:rsid w:val="00D27E6C"/>
    <w:rsid w:val="00D30F5A"/>
    <w:rsid w:val="00D3198D"/>
    <w:rsid w:val="00D324B8"/>
    <w:rsid w:val="00D32EAB"/>
    <w:rsid w:val="00D3357B"/>
    <w:rsid w:val="00D34338"/>
    <w:rsid w:val="00D34688"/>
    <w:rsid w:val="00D3474B"/>
    <w:rsid w:val="00D35601"/>
    <w:rsid w:val="00D35F3B"/>
    <w:rsid w:val="00D36027"/>
    <w:rsid w:val="00D36337"/>
    <w:rsid w:val="00D36522"/>
    <w:rsid w:val="00D366B7"/>
    <w:rsid w:val="00D367F5"/>
    <w:rsid w:val="00D36C23"/>
    <w:rsid w:val="00D36FB2"/>
    <w:rsid w:val="00D375C7"/>
    <w:rsid w:val="00D3769E"/>
    <w:rsid w:val="00D40081"/>
    <w:rsid w:val="00D407D8"/>
    <w:rsid w:val="00D40BD2"/>
    <w:rsid w:val="00D40EAF"/>
    <w:rsid w:val="00D41034"/>
    <w:rsid w:val="00D411A8"/>
    <w:rsid w:val="00D413DA"/>
    <w:rsid w:val="00D41B99"/>
    <w:rsid w:val="00D42249"/>
    <w:rsid w:val="00D4244A"/>
    <w:rsid w:val="00D42487"/>
    <w:rsid w:val="00D4341B"/>
    <w:rsid w:val="00D4344F"/>
    <w:rsid w:val="00D44522"/>
    <w:rsid w:val="00D44CC7"/>
    <w:rsid w:val="00D45867"/>
    <w:rsid w:val="00D4595F"/>
    <w:rsid w:val="00D45CE3"/>
    <w:rsid w:val="00D45EEE"/>
    <w:rsid w:val="00D46157"/>
    <w:rsid w:val="00D4646A"/>
    <w:rsid w:val="00D466A8"/>
    <w:rsid w:val="00D46A18"/>
    <w:rsid w:val="00D46BEF"/>
    <w:rsid w:val="00D47187"/>
    <w:rsid w:val="00D4751A"/>
    <w:rsid w:val="00D47669"/>
    <w:rsid w:val="00D47B68"/>
    <w:rsid w:val="00D50011"/>
    <w:rsid w:val="00D500F2"/>
    <w:rsid w:val="00D5017E"/>
    <w:rsid w:val="00D508E4"/>
    <w:rsid w:val="00D50A0E"/>
    <w:rsid w:val="00D50B2C"/>
    <w:rsid w:val="00D50EB3"/>
    <w:rsid w:val="00D519D2"/>
    <w:rsid w:val="00D52284"/>
    <w:rsid w:val="00D5322C"/>
    <w:rsid w:val="00D533BF"/>
    <w:rsid w:val="00D53841"/>
    <w:rsid w:val="00D53C05"/>
    <w:rsid w:val="00D546B8"/>
    <w:rsid w:val="00D55294"/>
    <w:rsid w:val="00D552F7"/>
    <w:rsid w:val="00D554DB"/>
    <w:rsid w:val="00D56ACF"/>
    <w:rsid w:val="00D56BDE"/>
    <w:rsid w:val="00D57152"/>
    <w:rsid w:val="00D57692"/>
    <w:rsid w:val="00D57AF1"/>
    <w:rsid w:val="00D57CBB"/>
    <w:rsid w:val="00D60236"/>
    <w:rsid w:val="00D60B43"/>
    <w:rsid w:val="00D60C45"/>
    <w:rsid w:val="00D614C7"/>
    <w:rsid w:val="00D61E9C"/>
    <w:rsid w:val="00D61F3D"/>
    <w:rsid w:val="00D61F93"/>
    <w:rsid w:val="00D623A8"/>
    <w:rsid w:val="00D62545"/>
    <w:rsid w:val="00D62EEF"/>
    <w:rsid w:val="00D6312F"/>
    <w:rsid w:val="00D633BB"/>
    <w:rsid w:val="00D63798"/>
    <w:rsid w:val="00D63A3E"/>
    <w:rsid w:val="00D63D69"/>
    <w:rsid w:val="00D640F2"/>
    <w:rsid w:val="00D64236"/>
    <w:rsid w:val="00D642AD"/>
    <w:rsid w:val="00D64A40"/>
    <w:rsid w:val="00D64BD4"/>
    <w:rsid w:val="00D64E02"/>
    <w:rsid w:val="00D654E8"/>
    <w:rsid w:val="00D654FB"/>
    <w:rsid w:val="00D65619"/>
    <w:rsid w:val="00D66AAB"/>
    <w:rsid w:val="00D66C42"/>
    <w:rsid w:val="00D67216"/>
    <w:rsid w:val="00D67780"/>
    <w:rsid w:val="00D701C2"/>
    <w:rsid w:val="00D7055C"/>
    <w:rsid w:val="00D709B0"/>
    <w:rsid w:val="00D70D3E"/>
    <w:rsid w:val="00D7130C"/>
    <w:rsid w:val="00D71468"/>
    <w:rsid w:val="00D7160C"/>
    <w:rsid w:val="00D71741"/>
    <w:rsid w:val="00D71C1F"/>
    <w:rsid w:val="00D71CE6"/>
    <w:rsid w:val="00D72304"/>
    <w:rsid w:val="00D727B3"/>
    <w:rsid w:val="00D73210"/>
    <w:rsid w:val="00D73AD4"/>
    <w:rsid w:val="00D73C8C"/>
    <w:rsid w:val="00D744AF"/>
    <w:rsid w:val="00D74862"/>
    <w:rsid w:val="00D756D2"/>
    <w:rsid w:val="00D75879"/>
    <w:rsid w:val="00D75908"/>
    <w:rsid w:val="00D75ECA"/>
    <w:rsid w:val="00D766A9"/>
    <w:rsid w:val="00D775CD"/>
    <w:rsid w:val="00D7762B"/>
    <w:rsid w:val="00D8005C"/>
    <w:rsid w:val="00D80A72"/>
    <w:rsid w:val="00D80BC7"/>
    <w:rsid w:val="00D81003"/>
    <w:rsid w:val="00D810D4"/>
    <w:rsid w:val="00D81129"/>
    <w:rsid w:val="00D818D0"/>
    <w:rsid w:val="00D81A7D"/>
    <w:rsid w:val="00D8202C"/>
    <w:rsid w:val="00D82F39"/>
    <w:rsid w:val="00D8378B"/>
    <w:rsid w:val="00D846D9"/>
    <w:rsid w:val="00D84B62"/>
    <w:rsid w:val="00D84CF1"/>
    <w:rsid w:val="00D84F1E"/>
    <w:rsid w:val="00D859E0"/>
    <w:rsid w:val="00D85CF7"/>
    <w:rsid w:val="00D863B6"/>
    <w:rsid w:val="00D863F7"/>
    <w:rsid w:val="00D86FAC"/>
    <w:rsid w:val="00D87225"/>
    <w:rsid w:val="00D87307"/>
    <w:rsid w:val="00D87322"/>
    <w:rsid w:val="00D8792C"/>
    <w:rsid w:val="00D87974"/>
    <w:rsid w:val="00D87B4D"/>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21"/>
    <w:rsid w:val="00D93CB4"/>
    <w:rsid w:val="00D93CB6"/>
    <w:rsid w:val="00D94506"/>
    <w:rsid w:val="00D94C19"/>
    <w:rsid w:val="00D94FA6"/>
    <w:rsid w:val="00D95910"/>
    <w:rsid w:val="00D95DD1"/>
    <w:rsid w:val="00D96A20"/>
    <w:rsid w:val="00D97020"/>
    <w:rsid w:val="00DA123A"/>
    <w:rsid w:val="00DA2813"/>
    <w:rsid w:val="00DA2C32"/>
    <w:rsid w:val="00DA2DF2"/>
    <w:rsid w:val="00DA31ED"/>
    <w:rsid w:val="00DA36B3"/>
    <w:rsid w:val="00DA400C"/>
    <w:rsid w:val="00DA45C1"/>
    <w:rsid w:val="00DA467B"/>
    <w:rsid w:val="00DA4DDB"/>
    <w:rsid w:val="00DA53B9"/>
    <w:rsid w:val="00DA64C9"/>
    <w:rsid w:val="00DA6B67"/>
    <w:rsid w:val="00DA7371"/>
    <w:rsid w:val="00DA74CE"/>
    <w:rsid w:val="00DA7705"/>
    <w:rsid w:val="00DA7878"/>
    <w:rsid w:val="00DA7D78"/>
    <w:rsid w:val="00DA7F35"/>
    <w:rsid w:val="00DB005E"/>
    <w:rsid w:val="00DB0592"/>
    <w:rsid w:val="00DB0B44"/>
    <w:rsid w:val="00DB3023"/>
    <w:rsid w:val="00DB3562"/>
    <w:rsid w:val="00DB3613"/>
    <w:rsid w:val="00DB3DB1"/>
    <w:rsid w:val="00DB3E6A"/>
    <w:rsid w:val="00DB3FDB"/>
    <w:rsid w:val="00DB4D86"/>
    <w:rsid w:val="00DB514B"/>
    <w:rsid w:val="00DB5712"/>
    <w:rsid w:val="00DB5790"/>
    <w:rsid w:val="00DB5C0E"/>
    <w:rsid w:val="00DB5E0E"/>
    <w:rsid w:val="00DB6379"/>
    <w:rsid w:val="00DB64AA"/>
    <w:rsid w:val="00DB657F"/>
    <w:rsid w:val="00DB65C2"/>
    <w:rsid w:val="00DB6D9C"/>
    <w:rsid w:val="00DB70EE"/>
    <w:rsid w:val="00DB75A4"/>
    <w:rsid w:val="00DB7827"/>
    <w:rsid w:val="00DB7BF9"/>
    <w:rsid w:val="00DB7D10"/>
    <w:rsid w:val="00DC00C7"/>
    <w:rsid w:val="00DC0554"/>
    <w:rsid w:val="00DC07F1"/>
    <w:rsid w:val="00DC0907"/>
    <w:rsid w:val="00DC1828"/>
    <w:rsid w:val="00DC1A6F"/>
    <w:rsid w:val="00DC2DC5"/>
    <w:rsid w:val="00DC309B"/>
    <w:rsid w:val="00DC30EA"/>
    <w:rsid w:val="00DC33EC"/>
    <w:rsid w:val="00DC3F9B"/>
    <w:rsid w:val="00DC433F"/>
    <w:rsid w:val="00DC4D22"/>
    <w:rsid w:val="00DC5B2D"/>
    <w:rsid w:val="00DC6491"/>
    <w:rsid w:val="00DC70CD"/>
    <w:rsid w:val="00DC7E6F"/>
    <w:rsid w:val="00DD00EA"/>
    <w:rsid w:val="00DD1BD3"/>
    <w:rsid w:val="00DD1EFE"/>
    <w:rsid w:val="00DD20DE"/>
    <w:rsid w:val="00DD3850"/>
    <w:rsid w:val="00DD3B6A"/>
    <w:rsid w:val="00DD3C87"/>
    <w:rsid w:val="00DD405B"/>
    <w:rsid w:val="00DD4856"/>
    <w:rsid w:val="00DD4974"/>
    <w:rsid w:val="00DD54D1"/>
    <w:rsid w:val="00DD553E"/>
    <w:rsid w:val="00DD638A"/>
    <w:rsid w:val="00DD64CB"/>
    <w:rsid w:val="00DD6531"/>
    <w:rsid w:val="00DD6E0E"/>
    <w:rsid w:val="00DD6F13"/>
    <w:rsid w:val="00DD7BF9"/>
    <w:rsid w:val="00DD7C13"/>
    <w:rsid w:val="00DD7C7A"/>
    <w:rsid w:val="00DE037E"/>
    <w:rsid w:val="00DE0759"/>
    <w:rsid w:val="00DE0DFB"/>
    <w:rsid w:val="00DE1550"/>
    <w:rsid w:val="00DE176E"/>
    <w:rsid w:val="00DE1EC9"/>
    <w:rsid w:val="00DE23F2"/>
    <w:rsid w:val="00DE28B1"/>
    <w:rsid w:val="00DE38AA"/>
    <w:rsid w:val="00DE4CB8"/>
    <w:rsid w:val="00DE53F2"/>
    <w:rsid w:val="00DE5A1E"/>
    <w:rsid w:val="00DE5EEE"/>
    <w:rsid w:val="00DE6680"/>
    <w:rsid w:val="00DE6721"/>
    <w:rsid w:val="00DE6912"/>
    <w:rsid w:val="00DE6F95"/>
    <w:rsid w:val="00DE7355"/>
    <w:rsid w:val="00DE77E7"/>
    <w:rsid w:val="00DE7E8B"/>
    <w:rsid w:val="00DF04A6"/>
    <w:rsid w:val="00DF0745"/>
    <w:rsid w:val="00DF0790"/>
    <w:rsid w:val="00DF083B"/>
    <w:rsid w:val="00DF0F72"/>
    <w:rsid w:val="00DF15B6"/>
    <w:rsid w:val="00DF15EC"/>
    <w:rsid w:val="00DF1806"/>
    <w:rsid w:val="00DF1BF7"/>
    <w:rsid w:val="00DF1C2D"/>
    <w:rsid w:val="00DF1F85"/>
    <w:rsid w:val="00DF20CE"/>
    <w:rsid w:val="00DF20EA"/>
    <w:rsid w:val="00DF2425"/>
    <w:rsid w:val="00DF28FB"/>
    <w:rsid w:val="00DF2974"/>
    <w:rsid w:val="00DF3235"/>
    <w:rsid w:val="00DF3422"/>
    <w:rsid w:val="00DF3E3B"/>
    <w:rsid w:val="00DF45FF"/>
    <w:rsid w:val="00DF4CEB"/>
    <w:rsid w:val="00DF6AC1"/>
    <w:rsid w:val="00DF745D"/>
    <w:rsid w:val="00DF79A3"/>
    <w:rsid w:val="00E00282"/>
    <w:rsid w:val="00E0043E"/>
    <w:rsid w:val="00E00A75"/>
    <w:rsid w:val="00E00C22"/>
    <w:rsid w:val="00E0156F"/>
    <w:rsid w:val="00E01C97"/>
    <w:rsid w:val="00E027C2"/>
    <w:rsid w:val="00E02F4E"/>
    <w:rsid w:val="00E0357E"/>
    <w:rsid w:val="00E045EF"/>
    <w:rsid w:val="00E04E2B"/>
    <w:rsid w:val="00E052C4"/>
    <w:rsid w:val="00E05CBA"/>
    <w:rsid w:val="00E06166"/>
    <w:rsid w:val="00E0621A"/>
    <w:rsid w:val="00E063EC"/>
    <w:rsid w:val="00E06561"/>
    <w:rsid w:val="00E06583"/>
    <w:rsid w:val="00E06588"/>
    <w:rsid w:val="00E0766D"/>
    <w:rsid w:val="00E10090"/>
    <w:rsid w:val="00E102DD"/>
    <w:rsid w:val="00E10331"/>
    <w:rsid w:val="00E10935"/>
    <w:rsid w:val="00E10B43"/>
    <w:rsid w:val="00E10C1D"/>
    <w:rsid w:val="00E10D76"/>
    <w:rsid w:val="00E11A6C"/>
    <w:rsid w:val="00E11AE0"/>
    <w:rsid w:val="00E12585"/>
    <w:rsid w:val="00E126E5"/>
    <w:rsid w:val="00E13325"/>
    <w:rsid w:val="00E1421F"/>
    <w:rsid w:val="00E14A2C"/>
    <w:rsid w:val="00E14C3C"/>
    <w:rsid w:val="00E15157"/>
    <w:rsid w:val="00E15680"/>
    <w:rsid w:val="00E15BCB"/>
    <w:rsid w:val="00E1644C"/>
    <w:rsid w:val="00E16730"/>
    <w:rsid w:val="00E16852"/>
    <w:rsid w:val="00E16DB7"/>
    <w:rsid w:val="00E177F1"/>
    <w:rsid w:val="00E17D33"/>
    <w:rsid w:val="00E203ED"/>
    <w:rsid w:val="00E20A8B"/>
    <w:rsid w:val="00E20CD7"/>
    <w:rsid w:val="00E20D09"/>
    <w:rsid w:val="00E2106E"/>
    <w:rsid w:val="00E21495"/>
    <w:rsid w:val="00E21AD7"/>
    <w:rsid w:val="00E226D9"/>
    <w:rsid w:val="00E22D0F"/>
    <w:rsid w:val="00E23557"/>
    <w:rsid w:val="00E23E7D"/>
    <w:rsid w:val="00E24B81"/>
    <w:rsid w:val="00E24C2A"/>
    <w:rsid w:val="00E250A2"/>
    <w:rsid w:val="00E251C3"/>
    <w:rsid w:val="00E252E5"/>
    <w:rsid w:val="00E25EB1"/>
    <w:rsid w:val="00E26382"/>
    <w:rsid w:val="00E264C0"/>
    <w:rsid w:val="00E267AA"/>
    <w:rsid w:val="00E26870"/>
    <w:rsid w:val="00E273E5"/>
    <w:rsid w:val="00E27FB8"/>
    <w:rsid w:val="00E30064"/>
    <w:rsid w:val="00E301E4"/>
    <w:rsid w:val="00E3078A"/>
    <w:rsid w:val="00E30DD3"/>
    <w:rsid w:val="00E319E0"/>
    <w:rsid w:val="00E32209"/>
    <w:rsid w:val="00E3275C"/>
    <w:rsid w:val="00E327B1"/>
    <w:rsid w:val="00E327B9"/>
    <w:rsid w:val="00E32A5E"/>
    <w:rsid w:val="00E32E66"/>
    <w:rsid w:val="00E331E4"/>
    <w:rsid w:val="00E3328F"/>
    <w:rsid w:val="00E3413D"/>
    <w:rsid w:val="00E34633"/>
    <w:rsid w:val="00E3470A"/>
    <w:rsid w:val="00E34CED"/>
    <w:rsid w:val="00E35CBE"/>
    <w:rsid w:val="00E35CE6"/>
    <w:rsid w:val="00E35DC5"/>
    <w:rsid w:val="00E36239"/>
    <w:rsid w:val="00E367CC"/>
    <w:rsid w:val="00E36C10"/>
    <w:rsid w:val="00E374E2"/>
    <w:rsid w:val="00E37695"/>
    <w:rsid w:val="00E37830"/>
    <w:rsid w:val="00E37F55"/>
    <w:rsid w:val="00E40453"/>
    <w:rsid w:val="00E4059C"/>
    <w:rsid w:val="00E405F0"/>
    <w:rsid w:val="00E40680"/>
    <w:rsid w:val="00E40C1A"/>
    <w:rsid w:val="00E41014"/>
    <w:rsid w:val="00E417E6"/>
    <w:rsid w:val="00E421F2"/>
    <w:rsid w:val="00E428CB"/>
    <w:rsid w:val="00E4423D"/>
    <w:rsid w:val="00E449C3"/>
    <w:rsid w:val="00E45020"/>
    <w:rsid w:val="00E450D8"/>
    <w:rsid w:val="00E4528A"/>
    <w:rsid w:val="00E456B6"/>
    <w:rsid w:val="00E45C08"/>
    <w:rsid w:val="00E464DF"/>
    <w:rsid w:val="00E46502"/>
    <w:rsid w:val="00E46F6A"/>
    <w:rsid w:val="00E471E6"/>
    <w:rsid w:val="00E476E0"/>
    <w:rsid w:val="00E47DDE"/>
    <w:rsid w:val="00E50124"/>
    <w:rsid w:val="00E519D8"/>
    <w:rsid w:val="00E51B87"/>
    <w:rsid w:val="00E51DD3"/>
    <w:rsid w:val="00E5209E"/>
    <w:rsid w:val="00E5241D"/>
    <w:rsid w:val="00E5271E"/>
    <w:rsid w:val="00E52BC4"/>
    <w:rsid w:val="00E53315"/>
    <w:rsid w:val="00E5334A"/>
    <w:rsid w:val="00E536C6"/>
    <w:rsid w:val="00E53B8E"/>
    <w:rsid w:val="00E53E3A"/>
    <w:rsid w:val="00E543EE"/>
    <w:rsid w:val="00E548D1"/>
    <w:rsid w:val="00E54C25"/>
    <w:rsid w:val="00E54D9C"/>
    <w:rsid w:val="00E54E59"/>
    <w:rsid w:val="00E55EA3"/>
    <w:rsid w:val="00E55FAC"/>
    <w:rsid w:val="00E56130"/>
    <w:rsid w:val="00E563CF"/>
    <w:rsid w:val="00E56574"/>
    <w:rsid w:val="00E56D19"/>
    <w:rsid w:val="00E56D77"/>
    <w:rsid w:val="00E5737A"/>
    <w:rsid w:val="00E57704"/>
    <w:rsid w:val="00E5776E"/>
    <w:rsid w:val="00E57954"/>
    <w:rsid w:val="00E57AA2"/>
    <w:rsid w:val="00E57C07"/>
    <w:rsid w:val="00E57D82"/>
    <w:rsid w:val="00E57EE7"/>
    <w:rsid w:val="00E60D04"/>
    <w:rsid w:val="00E60F91"/>
    <w:rsid w:val="00E612CC"/>
    <w:rsid w:val="00E617FF"/>
    <w:rsid w:val="00E62268"/>
    <w:rsid w:val="00E6294C"/>
    <w:rsid w:val="00E62B0B"/>
    <w:rsid w:val="00E63305"/>
    <w:rsid w:val="00E63504"/>
    <w:rsid w:val="00E638BA"/>
    <w:rsid w:val="00E64509"/>
    <w:rsid w:val="00E649FC"/>
    <w:rsid w:val="00E64AAF"/>
    <w:rsid w:val="00E652D3"/>
    <w:rsid w:val="00E65DDD"/>
    <w:rsid w:val="00E65EFB"/>
    <w:rsid w:val="00E6668F"/>
    <w:rsid w:val="00E666DD"/>
    <w:rsid w:val="00E66B4A"/>
    <w:rsid w:val="00E671F0"/>
    <w:rsid w:val="00E67C01"/>
    <w:rsid w:val="00E70359"/>
    <w:rsid w:val="00E70402"/>
    <w:rsid w:val="00E707EA"/>
    <w:rsid w:val="00E70A48"/>
    <w:rsid w:val="00E7123B"/>
    <w:rsid w:val="00E712EA"/>
    <w:rsid w:val="00E722A5"/>
    <w:rsid w:val="00E7292C"/>
    <w:rsid w:val="00E73482"/>
    <w:rsid w:val="00E73537"/>
    <w:rsid w:val="00E740DA"/>
    <w:rsid w:val="00E741FB"/>
    <w:rsid w:val="00E7455D"/>
    <w:rsid w:val="00E747EE"/>
    <w:rsid w:val="00E74802"/>
    <w:rsid w:val="00E74B06"/>
    <w:rsid w:val="00E74D9F"/>
    <w:rsid w:val="00E75036"/>
    <w:rsid w:val="00E75AAC"/>
    <w:rsid w:val="00E75C94"/>
    <w:rsid w:val="00E75D1F"/>
    <w:rsid w:val="00E76625"/>
    <w:rsid w:val="00E76C41"/>
    <w:rsid w:val="00E76F7A"/>
    <w:rsid w:val="00E775FB"/>
    <w:rsid w:val="00E77687"/>
    <w:rsid w:val="00E776F4"/>
    <w:rsid w:val="00E77DAA"/>
    <w:rsid w:val="00E804A3"/>
    <w:rsid w:val="00E80681"/>
    <w:rsid w:val="00E8086C"/>
    <w:rsid w:val="00E808FE"/>
    <w:rsid w:val="00E813F4"/>
    <w:rsid w:val="00E819A8"/>
    <w:rsid w:val="00E81A7F"/>
    <w:rsid w:val="00E81D5C"/>
    <w:rsid w:val="00E826D1"/>
    <w:rsid w:val="00E828CB"/>
    <w:rsid w:val="00E83AFD"/>
    <w:rsid w:val="00E844C3"/>
    <w:rsid w:val="00E845F8"/>
    <w:rsid w:val="00E846DB"/>
    <w:rsid w:val="00E85157"/>
    <w:rsid w:val="00E86555"/>
    <w:rsid w:val="00E8695C"/>
    <w:rsid w:val="00E86FEA"/>
    <w:rsid w:val="00E87559"/>
    <w:rsid w:val="00E87DDD"/>
    <w:rsid w:val="00E9006C"/>
    <w:rsid w:val="00E9023B"/>
    <w:rsid w:val="00E9047A"/>
    <w:rsid w:val="00E90609"/>
    <w:rsid w:val="00E913B3"/>
    <w:rsid w:val="00E91578"/>
    <w:rsid w:val="00E918B7"/>
    <w:rsid w:val="00E92565"/>
    <w:rsid w:val="00E9260C"/>
    <w:rsid w:val="00E9266C"/>
    <w:rsid w:val="00E92A2C"/>
    <w:rsid w:val="00E932D1"/>
    <w:rsid w:val="00E93698"/>
    <w:rsid w:val="00E93C7E"/>
    <w:rsid w:val="00E93EB9"/>
    <w:rsid w:val="00E94DAA"/>
    <w:rsid w:val="00E9526E"/>
    <w:rsid w:val="00E96468"/>
    <w:rsid w:val="00E96F68"/>
    <w:rsid w:val="00E970D7"/>
    <w:rsid w:val="00E972EE"/>
    <w:rsid w:val="00E978CC"/>
    <w:rsid w:val="00E97B84"/>
    <w:rsid w:val="00E97D00"/>
    <w:rsid w:val="00E97F38"/>
    <w:rsid w:val="00EA0289"/>
    <w:rsid w:val="00EA0C73"/>
    <w:rsid w:val="00EA0FCE"/>
    <w:rsid w:val="00EA18A8"/>
    <w:rsid w:val="00EA2142"/>
    <w:rsid w:val="00EA2D29"/>
    <w:rsid w:val="00EA3749"/>
    <w:rsid w:val="00EA3CF5"/>
    <w:rsid w:val="00EA444E"/>
    <w:rsid w:val="00EA4BB6"/>
    <w:rsid w:val="00EA59B0"/>
    <w:rsid w:val="00EA59FB"/>
    <w:rsid w:val="00EA5D93"/>
    <w:rsid w:val="00EA6094"/>
    <w:rsid w:val="00EA6123"/>
    <w:rsid w:val="00EA6224"/>
    <w:rsid w:val="00EA6D93"/>
    <w:rsid w:val="00EA70F7"/>
    <w:rsid w:val="00EA7446"/>
    <w:rsid w:val="00EB004D"/>
    <w:rsid w:val="00EB0146"/>
    <w:rsid w:val="00EB02C1"/>
    <w:rsid w:val="00EB0322"/>
    <w:rsid w:val="00EB05F5"/>
    <w:rsid w:val="00EB0ACA"/>
    <w:rsid w:val="00EB153B"/>
    <w:rsid w:val="00EB159C"/>
    <w:rsid w:val="00EB16A3"/>
    <w:rsid w:val="00EB1820"/>
    <w:rsid w:val="00EB1981"/>
    <w:rsid w:val="00EB1BE8"/>
    <w:rsid w:val="00EB2D5C"/>
    <w:rsid w:val="00EB3802"/>
    <w:rsid w:val="00EB3C37"/>
    <w:rsid w:val="00EB46FA"/>
    <w:rsid w:val="00EB48F6"/>
    <w:rsid w:val="00EB4BEB"/>
    <w:rsid w:val="00EB5287"/>
    <w:rsid w:val="00EB6405"/>
    <w:rsid w:val="00EB6587"/>
    <w:rsid w:val="00EB66AC"/>
    <w:rsid w:val="00EB69B4"/>
    <w:rsid w:val="00EB7059"/>
    <w:rsid w:val="00EB7932"/>
    <w:rsid w:val="00EB7E38"/>
    <w:rsid w:val="00EC0214"/>
    <w:rsid w:val="00EC0492"/>
    <w:rsid w:val="00EC05BA"/>
    <w:rsid w:val="00EC178C"/>
    <w:rsid w:val="00EC1A16"/>
    <w:rsid w:val="00EC1D75"/>
    <w:rsid w:val="00EC20DA"/>
    <w:rsid w:val="00EC2127"/>
    <w:rsid w:val="00EC238B"/>
    <w:rsid w:val="00EC3117"/>
    <w:rsid w:val="00EC3329"/>
    <w:rsid w:val="00EC3C44"/>
    <w:rsid w:val="00EC478C"/>
    <w:rsid w:val="00EC517B"/>
    <w:rsid w:val="00EC5B0D"/>
    <w:rsid w:val="00EC6364"/>
    <w:rsid w:val="00EC7114"/>
    <w:rsid w:val="00EC7D15"/>
    <w:rsid w:val="00EC7DAA"/>
    <w:rsid w:val="00EC7DB0"/>
    <w:rsid w:val="00EC7EDB"/>
    <w:rsid w:val="00ED024A"/>
    <w:rsid w:val="00ED12B0"/>
    <w:rsid w:val="00ED1F83"/>
    <w:rsid w:val="00ED213F"/>
    <w:rsid w:val="00ED2540"/>
    <w:rsid w:val="00ED2DB8"/>
    <w:rsid w:val="00ED379B"/>
    <w:rsid w:val="00ED45E3"/>
    <w:rsid w:val="00ED4783"/>
    <w:rsid w:val="00ED49B3"/>
    <w:rsid w:val="00ED51C6"/>
    <w:rsid w:val="00ED51DE"/>
    <w:rsid w:val="00ED53CB"/>
    <w:rsid w:val="00ED54B4"/>
    <w:rsid w:val="00ED5993"/>
    <w:rsid w:val="00ED5A24"/>
    <w:rsid w:val="00ED6222"/>
    <w:rsid w:val="00ED6F3C"/>
    <w:rsid w:val="00ED74B3"/>
    <w:rsid w:val="00ED74C3"/>
    <w:rsid w:val="00ED79B4"/>
    <w:rsid w:val="00ED7E44"/>
    <w:rsid w:val="00EE009B"/>
    <w:rsid w:val="00EE0A57"/>
    <w:rsid w:val="00EE1B4A"/>
    <w:rsid w:val="00EE1C17"/>
    <w:rsid w:val="00EE1D56"/>
    <w:rsid w:val="00EE235A"/>
    <w:rsid w:val="00EE294E"/>
    <w:rsid w:val="00EE35B8"/>
    <w:rsid w:val="00EE3EC0"/>
    <w:rsid w:val="00EE427C"/>
    <w:rsid w:val="00EE4392"/>
    <w:rsid w:val="00EE4B3F"/>
    <w:rsid w:val="00EE4DCC"/>
    <w:rsid w:val="00EE5425"/>
    <w:rsid w:val="00EE5BB3"/>
    <w:rsid w:val="00EE715D"/>
    <w:rsid w:val="00EE7273"/>
    <w:rsid w:val="00EE74FC"/>
    <w:rsid w:val="00EE7916"/>
    <w:rsid w:val="00EE793A"/>
    <w:rsid w:val="00EE7A69"/>
    <w:rsid w:val="00EE7C99"/>
    <w:rsid w:val="00EF00A6"/>
    <w:rsid w:val="00EF0A64"/>
    <w:rsid w:val="00EF132F"/>
    <w:rsid w:val="00EF1392"/>
    <w:rsid w:val="00EF19D9"/>
    <w:rsid w:val="00EF2467"/>
    <w:rsid w:val="00EF4844"/>
    <w:rsid w:val="00EF4853"/>
    <w:rsid w:val="00EF4A5A"/>
    <w:rsid w:val="00EF4E5E"/>
    <w:rsid w:val="00EF5667"/>
    <w:rsid w:val="00EF5D5A"/>
    <w:rsid w:val="00EF5D5C"/>
    <w:rsid w:val="00EF5D91"/>
    <w:rsid w:val="00EF6786"/>
    <w:rsid w:val="00EF6D04"/>
    <w:rsid w:val="00EF6D93"/>
    <w:rsid w:val="00EF6EEB"/>
    <w:rsid w:val="00EF7278"/>
    <w:rsid w:val="00EF760F"/>
    <w:rsid w:val="00EF7671"/>
    <w:rsid w:val="00EF79AA"/>
    <w:rsid w:val="00EF7B7D"/>
    <w:rsid w:val="00F00002"/>
    <w:rsid w:val="00F003C1"/>
    <w:rsid w:val="00F00557"/>
    <w:rsid w:val="00F00918"/>
    <w:rsid w:val="00F009C1"/>
    <w:rsid w:val="00F00EA8"/>
    <w:rsid w:val="00F011DB"/>
    <w:rsid w:val="00F01A4D"/>
    <w:rsid w:val="00F01EB1"/>
    <w:rsid w:val="00F021AC"/>
    <w:rsid w:val="00F0223F"/>
    <w:rsid w:val="00F029BC"/>
    <w:rsid w:val="00F02BBD"/>
    <w:rsid w:val="00F02C66"/>
    <w:rsid w:val="00F031F5"/>
    <w:rsid w:val="00F036A3"/>
    <w:rsid w:val="00F0373C"/>
    <w:rsid w:val="00F03B42"/>
    <w:rsid w:val="00F04921"/>
    <w:rsid w:val="00F05D9F"/>
    <w:rsid w:val="00F06854"/>
    <w:rsid w:val="00F07604"/>
    <w:rsid w:val="00F07613"/>
    <w:rsid w:val="00F0767F"/>
    <w:rsid w:val="00F0785A"/>
    <w:rsid w:val="00F078EC"/>
    <w:rsid w:val="00F07B9B"/>
    <w:rsid w:val="00F07C18"/>
    <w:rsid w:val="00F11356"/>
    <w:rsid w:val="00F11778"/>
    <w:rsid w:val="00F12629"/>
    <w:rsid w:val="00F12B69"/>
    <w:rsid w:val="00F1308B"/>
    <w:rsid w:val="00F13503"/>
    <w:rsid w:val="00F143DE"/>
    <w:rsid w:val="00F1440B"/>
    <w:rsid w:val="00F14777"/>
    <w:rsid w:val="00F147E6"/>
    <w:rsid w:val="00F14FD5"/>
    <w:rsid w:val="00F15DA8"/>
    <w:rsid w:val="00F15E67"/>
    <w:rsid w:val="00F15EFD"/>
    <w:rsid w:val="00F15EFE"/>
    <w:rsid w:val="00F164DE"/>
    <w:rsid w:val="00F16634"/>
    <w:rsid w:val="00F1730F"/>
    <w:rsid w:val="00F178D2"/>
    <w:rsid w:val="00F17A79"/>
    <w:rsid w:val="00F17C66"/>
    <w:rsid w:val="00F17CE0"/>
    <w:rsid w:val="00F202DD"/>
    <w:rsid w:val="00F20837"/>
    <w:rsid w:val="00F20C34"/>
    <w:rsid w:val="00F21609"/>
    <w:rsid w:val="00F21A45"/>
    <w:rsid w:val="00F21B53"/>
    <w:rsid w:val="00F2201B"/>
    <w:rsid w:val="00F22343"/>
    <w:rsid w:val="00F22404"/>
    <w:rsid w:val="00F226B6"/>
    <w:rsid w:val="00F2270B"/>
    <w:rsid w:val="00F22D6E"/>
    <w:rsid w:val="00F236D5"/>
    <w:rsid w:val="00F238EF"/>
    <w:rsid w:val="00F24B8E"/>
    <w:rsid w:val="00F24D6A"/>
    <w:rsid w:val="00F2574A"/>
    <w:rsid w:val="00F25763"/>
    <w:rsid w:val="00F2594A"/>
    <w:rsid w:val="00F25CA3"/>
    <w:rsid w:val="00F25FC7"/>
    <w:rsid w:val="00F2630A"/>
    <w:rsid w:val="00F263AD"/>
    <w:rsid w:val="00F264B8"/>
    <w:rsid w:val="00F26A5A"/>
    <w:rsid w:val="00F26D06"/>
    <w:rsid w:val="00F26D38"/>
    <w:rsid w:val="00F27627"/>
    <w:rsid w:val="00F3040E"/>
    <w:rsid w:val="00F304A8"/>
    <w:rsid w:val="00F309CA"/>
    <w:rsid w:val="00F30B91"/>
    <w:rsid w:val="00F30F5D"/>
    <w:rsid w:val="00F31206"/>
    <w:rsid w:val="00F3173A"/>
    <w:rsid w:val="00F31861"/>
    <w:rsid w:val="00F32088"/>
    <w:rsid w:val="00F327FB"/>
    <w:rsid w:val="00F32913"/>
    <w:rsid w:val="00F32A66"/>
    <w:rsid w:val="00F34B6F"/>
    <w:rsid w:val="00F350C6"/>
    <w:rsid w:val="00F366FB"/>
    <w:rsid w:val="00F36C9F"/>
    <w:rsid w:val="00F3706E"/>
    <w:rsid w:val="00F375F4"/>
    <w:rsid w:val="00F378A6"/>
    <w:rsid w:val="00F3796D"/>
    <w:rsid w:val="00F40202"/>
    <w:rsid w:val="00F40BE9"/>
    <w:rsid w:val="00F40ECF"/>
    <w:rsid w:val="00F411C1"/>
    <w:rsid w:val="00F4123C"/>
    <w:rsid w:val="00F4131E"/>
    <w:rsid w:val="00F41596"/>
    <w:rsid w:val="00F4201B"/>
    <w:rsid w:val="00F42164"/>
    <w:rsid w:val="00F42AC0"/>
    <w:rsid w:val="00F43192"/>
    <w:rsid w:val="00F44203"/>
    <w:rsid w:val="00F445FF"/>
    <w:rsid w:val="00F4463B"/>
    <w:rsid w:val="00F451D4"/>
    <w:rsid w:val="00F4541A"/>
    <w:rsid w:val="00F45BD4"/>
    <w:rsid w:val="00F45EDF"/>
    <w:rsid w:val="00F46184"/>
    <w:rsid w:val="00F4625D"/>
    <w:rsid w:val="00F4638F"/>
    <w:rsid w:val="00F468E9"/>
    <w:rsid w:val="00F473D8"/>
    <w:rsid w:val="00F473F4"/>
    <w:rsid w:val="00F47788"/>
    <w:rsid w:val="00F47849"/>
    <w:rsid w:val="00F50BF8"/>
    <w:rsid w:val="00F51106"/>
    <w:rsid w:val="00F514E3"/>
    <w:rsid w:val="00F51A14"/>
    <w:rsid w:val="00F521AA"/>
    <w:rsid w:val="00F52501"/>
    <w:rsid w:val="00F52838"/>
    <w:rsid w:val="00F53B78"/>
    <w:rsid w:val="00F54251"/>
    <w:rsid w:val="00F5455E"/>
    <w:rsid w:val="00F547A4"/>
    <w:rsid w:val="00F54897"/>
    <w:rsid w:val="00F54D38"/>
    <w:rsid w:val="00F55082"/>
    <w:rsid w:val="00F553BF"/>
    <w:rsid w:val="00F5579B"/>
    <w:rsid w:val="00F55EAA"/>
    <w:rsid w:val="00F5629A"/>
    <w:rsid w:val="00F562A2"/>
    <w:rsid w:val="00F5647B"/>
    <w:rsid w:val="00F57054"/>
    <w:rsid w:val="00F571DB"/>
    <w:rsid w:val="00F572FE"/>
    <w:rsid w:val="00F5774F"/>
    <w:rsid w:val="00F579D5"/>
    <w:rsid w:val="00F57E50"/>
    <w:rsid w:val="00F57F20"/>
    <w:rsid w:val="00F60617"/>
    <w:rsid w:val="00F60639"/>
    <w:rsid w:val="00F60862"/>
    <w:rsid w:val="00F60F0A"/>
    <w:rsid w:val="00F6140D"/>
    <w:rsid w:val="00F61C2B"/>
    <w:rsid w:val="00F61F54"/>
    <w:rsid w:val="00F61F7C"/>
    <w:rsid w:val="00F62348"/>
    <w:rsid w:val="00F625E6"/>
    <w:rsid w:val="00F62660"/>
    <w:rsid w:val="00F62FEE"/>
    <w:rsid w:val="00F630ED"/>
    <w:rsid w:val="00F6367D"/>
    <w:rsid w:val="00F6436A"/>
    <w:rsid w:val="00F6480B"/>
    <w:rsid w:val="00F64A00"/>
    <w:rsid w:val="00F64B26"/>
    <w:rsid w:val="00F64BC9"/>
    <w:rsid w:val="00F651EC"/>
    <w:rsid w:val="00F651FB"/>
    <w:rsid w:val="00F655F5"/>
    <w:rsid w:val="00F657F0"/>
    <w:rsid w:val="00F65A67"/>
    <w:rsid w:val="00F66042"/>
    <w:rsid w:val="00F663E4"/>
    <w:rsid w:val="00F66822"/>
    <w:rsid w:val="00F66A6E"/>
    <w:rsid w:val="00F66D44"/>
    <w:rsid w:val="00F674DA"/>
    <w:rsid w:val="00F67D3F"/>
    <w:rsid w:val="00F700D8"/>
    <w:rsid w:val="00F708F1"/>
    <w:rsid w:val="00F70FDD"/>
    <w:rsid w:val="00F715E5"/>
    <w:rsid w:val="00F729F1"/>
    <w:rsid w:val="00F72B73"/>
    <w:rsid w:val="00F73BCF"/>
    <w:rsid w:val="00F752A2"/>
    <w:rsid w:val="00F75776"/>
    <w:rsid w:val="00F75AC3"/>
    <w:rsid w:val="00F75ADB"/>
    <w:rsid w:val="00F75EF5"/>
    <w:rsid w:val="00F76363"/>
    <w:rsid w:val="00F7685D"/>
    <w:rsid w:val="00F76C6C"/>
    <w:rsid w:val="00F76D4A"/>
    <w:rsid w:val="00F77119"/>
    <w:rsid w:val="00F77E63"/>
    <w:rsid w:val="00F8037E"/>
    <w:rsid w:val="00F803B7"/>
    <w:rsid w:val="00F806C9"/>
    <w:rsid w:val="00F807F7"/>
    <w:rsid w:val="00F80AE2"/>
    <w:rsid w:val="00F816F6"/>
    <w:rsid w:val="00F81989"/>
    <w:rsid w:val="00F838A8"/>
    <w:rsid w:val="00F83A8A"/>
    <w:rsid w:val="00F84A5A"/>
    <w:rsid w:val="00F85A9D"/>
    <w:rsid w:val="00F85B83"/>
    <w:rsid w:val="00F85D64"/>
    <w:rsid w:val="00F860D8"/>
    <w:rsid w:val="00F86914"/>
    <w:rsid w:val="00F86B73"/>
    <w:rsid w:val="00F870BF"/>
    <w:rsid w:val="00F8754B"/>
    <w:rsid w:val="00F90377"/>
    <w:rsid w:val="00F90ADE"/>
    <w:rsid w:val="00F9176D"/>
    <w:rsid w:val="00F919D1"/>
    <w:rsid w:val="00F91D3B"/>
    <w:rsid w:val="00F91D8E"/>
    <w:rsid w:val="00F923B9"/>
    <w:rsid w:val="00F9257D"/>
    <w:rsid w:val="00F925D6"/>
    <w:rsid w:val="00F927E3"/>
    <w:rsid w:val="00F92F2C"/>
    <w:rsid w:val="00F934BB"/>
    <w:rsid w:val="00F939B6"/>
    <w:rsid w:val="00F9440D"/>
    <w:rsid w:val="00F94A68"/>
    <w:rsid w:val="00F94BC8"/>
    <w:rsid w:val="00F9640C"/>
    <w:rsid w:val="00F97BCC"/>
    <w:rsid w:val="00F97F50"/>
    <w:rsid w:val="00FA057A"/>
    <w:rsid w:val="00FA0665"/>
    <w:rsid w:val="00FA189A"/>
    <w:rsid w:val="00FA1A50"/>
    <w:rsid w:val="00FA1D9A"/>
    <w:rsid w:val="00FA1F76"/>
    <w:rsid w:val="00FA26F8"/>
    <w:rsid w:val="00FA276F"/>
    <w:rsid w:val="00FA3509"/>
    <w:rsid w:val="00FA357D"/>
    <w:rsid w:val="00FA3AE6"/>
    <w:rsid w:val="00FA3E60"/>
    <w:rsid w:val="00FA3EC1"/>
    <w:rsid w:val="00FA40E6"/>
    <w:rsid w:val="00FA49E0"/>
    <w:rsid w:val="00FA5819"/>
    <w:rsid w:val="00FA5C9E"/>
    <w:rsid w:val="00FA6F3D"/>
    <w:rsid w:val="00FA77FB"/>
    <w:rsid w:val="00FB016A"/>
    <w:rsid w:val="00FB055C"/>
    <w:rsid w:val="00FB0D77"/>
    <w:rsid w:val="00FB0D91"/>
    <w:rsid w:val="00FB0E86"/>
    <w:rsid w:val="00FB0F89"/>
    <w:rsid w:val="00FB1657"/>
    <w:rsid w:val="00FB274B"/>
    <w:rsid w:val="00FB351A"/>
    <w:rsid w:val="00FB39F2"/>
    <w:rsid w:val="00FB53F0"/>
    <w:rsid w:val="00FB5B5B"/>
    <w:rsid w:val="00FB6CE2"/>
    <w:rsid w:val="00FB7A8F"/>
    <w:rsid w:val="00FC01EC"/>
    <w:rsid w:val="00FC051A"/>
    <w:rsid w:val="00FC0FC3"/>
    <w:rsid w:val="00FC1402"/>
    <w:rsid w:val="00FC15F6"/>
    <w:rsid w:val="00FC194F"/>
    <w:rsid w:val="00FC1B18"/>
    <w:rsid w:val="00FC2295"/>
    <w:rsid w:val="00FC35FA"/>
    <w:rsid w:val="00FC370E"/>
    <w:rsid w:val="00FC3D4C"/>
    <w:rsid w:val="00FC3F9C"/>
    <w:rsid w:val="00FC40E0"/>
    <w:rsid w:val="00FC4846"/>
    <w:rsid w:val="00FC4E2A"/>
    <w:rsid w:val="00FC5486"/>
    <w:rsid w:val="00FC58D3"/>
    <w:rsid w:val="00FC69BD"/>
    <w:rsid w:val="00FC7770"/>
    <w:rsid w:val="00FC7C2C"/>
    <w:rsid w:val="00FC7F65"/>
    <w:rsid w:val="00FD0D3F"/>
    <w:rsid w:val="00FD1298"/>
    <w:rsid w:val="00FD1CCA"/>
    <w:rsid w:val="00FD277B"/>
    <w:rsid w:val="00FD2CBA"/>
    <w:rsid w:val="00FD33FE"/>
    <w:rsid w:val="00FD362E"/>
    <w:rsid w:val="00FD3816"/>
    <w:rsid w:val="00FD3AEE"/>
    <w:rsid w:val="00FD4281"/>
    <w:rsid w:val="00FD5DF2"/>
    <w:rsid w:val="00FD5E9E"/>
    <w:rsid w:val="00FD675A"/>
    <w:rsid w:val="00FD6EA3"/>
    <w:rsid w:val="00FD7514"/>
    <w:rsid w:val="00FD7B96"/>
    <w:rsid w:val="00FD7D96"/>
    <w:rsid w:val="00FE02DD"/>
    <w:rsid w:val="00FE0940"/>
    <w:rsid w:val="00FE0E36"/>
    <w:rsid w:val="00FE1A57"/>
    <w:rsid w:val="00FE28C4"/>
    <w:rsid w:val="00FE34DC"/>
    <w:rsid w:val="00FE354B"/>
    <w:rsid w:val="00FE37E9"/>
    <w:rsid w:val="00FE3D93"/>
    <w:rsid w:val="00FE44CB"/>
    <w:rsid w:val="00FE45BD"/>
    <w:rsid w:val="00FE4D06"/>
    <w:rsid w:val="00FE62B1"/>
    <w:rsid w:val="00FE6632"/>
    <w:rsid w:val="00FE66ED"/>
    <w:rsid w:val="00FE6C64"/>
    <w:rsid w:val="00FE76FA"/>
    <w:rsid w:val="00FE77D3"/>
    <w:rsid w:val="00FF02F7"/>
    <w:rsid w:val="00FF0B47"/>
    <w:rsid w:val="00FF1329"/>
    <w:rsid w:val="00FF1B15"/>
    <w:rsid w:val="00FF1CE1"/>
    <w:rsid w:val="00FF1E0B"/>
    <w:rsid w:val="00FF2021"/>
    <w:rsid w:val="00FF2247"/>
    <w:rsid w:val="00FF24A7"/>
    <w:rsid w:val="00FF2A25"/>
    <w:rsid w:val="00FF2F44"/>
    <w:rsid w:val="00FF352D"/>
    <w:rsid w:val="00FF360F"/>
    <w:rsid w:val="00FF396F"/>
    <w:rsid w:val="00FF3AA1"/>
    <w:rsid w:val="00FF3D42"/>
    <w:rsid w:val="00FF4397"/>
    <w:rsid w:val="00FF463E"/>
    <w:rsid w:val="00FF4BAF"/>
    <w:rsid w:val="00FF4ED3"/>
    <w:rsid w:val="00FF537D"/>
    <w:rsid w:val="00FF6008"/>
    <w:rsid w:val="00FF61EA"/>
    <w:rsid w:val="00FF64E9"/>
    <w:rsid w:val="00FF6C82"/>
    <w:rsid w:val="00FF7965"/>
    <w:rsid w:val="00FF799E"/>
    <w:rsid w:val="00FF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E4588"/>
  <w15:docId w15:val="{6E121BA7-F4E5-4D14-A226-15586CD0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15"/>
    <w:rPr>
      <w:sz w:val="24"/>
      <w:szCs w:val="24"/>
      <w:lang w:val="bg-BG"/>
    </w:rPr>
  </w:style>
  <w:style w:type="paragraph" w:styleId="Heading1">
    <w:name w:val="heading 1"/>
    <w:basedOn w:val="Normal"/>
    <w:next w:val="Normal"/>
    <w:link w:val="Heading1Char"/>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aliases w:val="Recommendatio,Párrafo de lista,Recommendation,OBC Bullet,Dot pt,F5 List Paragraph,No Spacing1,List Paragraph Char Char Char,Indicator Text,Numbered Para 1,Bullet 1,Bullet Points,List Paragraph2,L,3,References,Colorful List - Accent 11"/>
    <w:basedOn w:val="Normal"/>
    <w:link w:val="ListParagraphChar"/>
    <w:uiPriority w:val="34"/>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 w:type="character" w:customStyle="1" w:styleId="Heading1Char">
    <w:name w:val="Heading 1 Char"/>
    <w:basedOn w:val="DefaultParagraphFont"/>
    <w:link w:val="Heading1"/>
    <w:rsid w:val="002E2C27"/>
    <w:rPr>
      <w:b/>
      <w:bCs/>
      <w:sz w:val="28"/>
      <w:szCs w:val="24"/>
      <w:lang w:val="bg-BG"/>
    </w:rPr>
  </w:style>
  <w:style w:type="character" w:customStyle="1" w:styleId="ListParagraphChar">
    <w:name w:val="List Paragraph Char"/>
    <w:aliases w:val="Recommendatio Char,Párrafo de lista Char,Recommendation Char,OBC Bullet Char,Dot pt Char,F5 List Paragraph Char,No Spacing1 Char,List Paragraph Char Char Char Char,Indicator Text Char,Numbered Para 1 Char,Bullet 1 Char,L Char,3 Char"/>
    <w:link w:val="ListParagraph"/>
    <w:uiPriority w:val="34"/>
    <w:qFormat/>
    <w:rsid w:val="009C6F72"/>
    <w:rPr>
      <w:rFonts w:ascii="Arial" w:hAnsi="Arial"/>
      <w:sz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129785754">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893932612">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615969">
      <w:bodyDiv w:val="1"/>
      <w:marLeft w:val="0"/>
      <w:marRight w:val="0"/>
      <w:marTop w:val="0"/>
      <w:marBottom w:val="0"/>
      <w:divBdr>
        <w:top w:val="none" w:sz="0" w:space="0" w:color="auto"/>
        <w:left w:val="none" w:sz="0" w:space="0" w:color="auto"/>
        <w:bottom w:val="none" w:sz="0" w:space="0" w:color="auto"/>
        <w:right w:val="none" w:sz="0" w:space="0" w:color="auto"/>
      </w:divBdr>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465393858">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821458686">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2146161">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12E-2"/>
          <c:w val="0.90305106959238579"/>
          <c:h val="0.74626404458063433"/>
        </c:manualLayout>
      </c:layout>
      <c:barChart>
        <c:barDir val="col"/>
        <c:grouping val="clustered"/>
        <c:varyColors val="0"/>
        <c:ser>
          <c:idx val="0"/>
          <c:order val="0"/>
          <c:tx>
            <c:strRef>
              <c:f>Sheet1!$B$36</c:f>
              <c:strCache>
                <c:ptCount val="1"/>
                <c:pt idx="0">
                  <c:v>към септември 2020 г.</c:v>
                </c:pt>
              </c:strCache>
            </c:strRef>
          </c:tx>
          <c:spPr>
            <a:pattFill prst="pct5">
              <a:fgClr>
                <a:srgbClr val="FFFFFF"/>
              </a:fgClr>
              <a:bgClr>
                <a:srgbClr val="000000"/>
              </a:bgClr>
            </a:pattFill>
            <a:ln w="12683">
              <a:solidFill>
                <a:srgbClr val="000000"/>
              </a:solidFill>
              <a:prstDash val="solid"/>
            </a:ln>
          </c:spPr>
          <c:invertIfNegative val="0"/>
          <c:dLbls>
            <c:dLbl>
              <c:idx val="0"/>
              <c:layout>
                <c:manualLayout>
                  <c:x val="-1.1911120203121311E-3"/>
                  <c:y val="0.2823426664277806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0FA-40E8-B268-BFE511F9D8C9}"/>
                </c:ext>
              </c:extLst>
            </c:dLbl>
            <c:dLbl>
              <c:idx val="1"/>
              <c:layout>
                <c:manualLayout>
                  <c:x val="-8.5984112728614507E-3"/>
                  <c:y val="-3.724642178348409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0FA-40E8-B268-BFE511F9D8C9}"/>
                </c:ext>
              </c:extLst>
            </c:dLbl>
            <c:dLbl>
              <c:idx val="2"/>
              <c:layout>
                <c:manualLayout>
                  <c:x val="-4.0234036459434923E-3"/>
                  <c:y val="3.7105729237608418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70FA-40E8-B268-BFE511F9D8C9}"/>
                </c:ext>
              </c:extLst>
            </c:dLbl>
            <c:dLbl>
              <c:idx val="3"/>
              <c:layout>
                <c:manualLayout>
                  <c:x val="1.6411410112197621E-3"/>
                  <c:y val="-6.528788331838268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0FA-40E8-B268-BFE511F9D8C9}"/>
                </c:ext>
              </c:extLst>
            </c:dLbl>
            <c:dLbl>
              <c:idx val="4"/>
              <c:layout>
                <c:manualLayout>
                  <c:x val="-1.6232910645205774E-4"/>
                  <c:y val="0.16554406139115321"/>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0FA-40E8-B268-BFE511F9D8C9}"/>
                </c:ext>
              </c:extLst>
            </c:dLbl>
            <c:dLbl>
              <c:idx val="5"/>
              <c:layout>
                <c:manualLayout>
                  <c:x val="2.2153355328576469E-4"/>
                  <c:y val="4.5165908513635214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0FA-40E8-B268-BFE511F9D8C9}"/>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7075.6801090000008</c:v>
                </c:pt>
                <c:pt idx="1">
                  <c:v>17.276747</c:v>
                </c:pt>
                <c:pt idx="2">
                  <c:v>900.63667300000009</c:v>
                </c:pt>
                <c:pt idx="3">
                  <c:v>525.88373299999989</c:v>
                </c:pt>
                <c:pt idx="4">
                  <c:v>9772.0693280000032</c:v>
                </c:pt>
                <c:pt idx="5">
                  <c:v>890.93411300000002</c:v>
                </c:pt>
              </c:numCache>
            </c:numRef>
          </c:val>
          <c:extLst>
            <c:ext xmlns:c16="http://schemas.microsoft.com/office/drawing/2014/chart" uri="{C3380CC4-5D6E-409C-BE32-E72D297353CC}">
              <c16:uniqueId val="{00000006-70FA-40E8-B268-BFE511F9D8C9}"/>
            </c:ext>
          </c:extLst>
        </c:ser>
        <c:ser>
          <c:idx val="1"/>
          <c:order val="1"/>
          <c:tx>
            <c:strRef>
              <c:f>Sheet1!$C$36</c:f>
              <c:strCache>
                <c:ptCount val="1"/>
                <c:pt idx="0">
                  <c:v>към септември  2021 г.</c:v>
                </c:pt>
              </c:strCache>
            </c:strRef>
          </c:tx>
          <c:spPr>
            <a:pattFill prst="smConfetti">
              <a:fgClr>
                <a:srgbClr val="333333"/>
              </a:fgClr>
              <a:bgClr>
                <a:srgbClr val="FFFFFF"/>
              </a:bgClr>
            </a:pattFill>
            <a:ln w="12683">
              <a:solidFill>
                <a:srgbClr val="000000"/>
              </a:solidFill>
              <a:prstDash val="solid"/>
            </a:ln>
          </c:spPr>
          <c:invertIfNegative val="0"/>
          <c:dLbls>
            <c:dLbl>
              <c:idx val="0"/>
              <c:layout>
                <c:manualLayout>
                  <c:x val="-1.5957659542556281E-3"/>
                  <c:y val="0.29509151360843117"/>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0FA-40E8-B268-BFE511F9D8C9}"/>
                </c:ext>
              </c:extLst>
            </c:dLbl>
            <c:dLbl>
              <c:idx val="1"/>
              <c:layout>
                <c:manualLayout>
                  <c:x val="-1.3777787060437303E-3"/>
                  <c:y val="-2.2458399596602201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70FA-40E8-B268-BFE511F9D8C9}"/>
                </c:ext>
              </c:extLst>
            </c:dLbl>
            <c:dLbl>
              <c:idx val="2"/>
              <c:layout>
                <c:manualLayout>
                  <c:x val="-3.8937440512244375E-5"/>
                  <c:y val="2.2060533572544304E-4"/>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70FA-40E8-B268-BFE511F9D8C9}"/>
                </c:ext>
              </c:extLst>
            </c:dLbl>
            <c:dLbl>
              <c:idx val="3"/>
              <c:layout>
                <c:manualLayout>
                  <c:x val="4.7141342909059365E-3"/>
                  <c:y val="-1.23333001096382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70FA-40E8-B268-BFE511F9D8C9}"/>
                </c:ext>
              </c:extLst>
            </c:dLbl>
            <c:dLbl>
              <c:idx val="4"/>
              <c:layout>
                <c:manualLayout>
                  <c:x val="2.5961277386746255E-3"/>
                  <c:y val="0.1626427084545466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70FA-40E8-B268-BFE511F9D8C9}"/>
                </c:ext>
              </c:extLst>
            </c:dLbl>
            <c:dLbl>
              <c:idx val="5"/>
              <c:layout>
                <c:manualLayout>
                  <c:x val="1.9210939978656521E-3"/>
                  <c:y val="5.6948735838400722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70FA-40E8-B268-BFE511F9D8C9}"/>
                </c:ext>
              </c:extLst>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Sheet1!$A$38:$A$43</c:f>
              <c:strCache>
                <c:ptCount val="6"/>
                <c:pt idx="0">
                  <c:v>Текущи нелихвени разходи</c:v>
                </c:pt>
                <c:pt idx="1">
                  <c:v>Предост. тек. и кап. трансф.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8141.9778470000001</c:v>
                </c:pt>
                <c:pt idx="1">
                  <c:v>10.456887999999999</c:v>
                </c:pt>
                <c:pt idx="2">
                  <c:v>171.18669700000004</c:v>
                </c:pt>
                <c:pt idx="3">
                  <c:v>522.75191399999994</c:v>
                </c:pt>
                <c:pt idx="4">
                  <c:v>12197.768291</c:v>
                </c:pt>
                <c:pt idx="5">
                  <c:v>1094.0113899999999</c:v>
                </c:pt>
              </c:numCache>
            </c:numRef>
          </c:val>
          <c:extLst>
            <c:ext xmlns:c16="http://schemas.microsoft.com/office/drawing/2014/chart" uri="{C3380CC4-5D6E-409C-BE32-E72D297353CC}">
              <c16:uniqueId val="{0000000D-70FA-40E8-B268-BFE511F9D8C9}"/>
            </c:ext>
          </c:extLst>
        </c:ser>
        <c:dLbls>
          <c:showLegendKey val="0"/>
          <c:showVal val="0"/>
          <c:showCatName val="0"/>
          <c:showSerName val="0"/>
          <c:showPercent val="0"/>
          <c:showBubbleSize val="0"/>
        </c:dLbls>
        <c:gapWidth val="150"/>
        <c:axId val="257021440"/>
        <c:axId val="257022976"/>
      </c:barChart>
      <c:catAx>
        <c:axId val="257021440"/>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257022976"/>
        <c:crosses val="autoZero"/>
        <c:auto val="1"/>
        <c:lblAlgn val="ctr"/>
        <c:lblOffset val="100"/>
        <c:tickLblSkip val="1"/>
        <c:tickMarkSkip val="1"/>
        <c:noMultiLvlLbl val="0"/>
      </c:catAx>
      <c:valAx>
        <c:axId val="257022976"/>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25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257021440"/>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331"/>
          <c:w val="0.40878464462499231"/>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36F78-B459-4DE5-964D-AE1E6103F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4181</TotalTime>
  <Pages>32</Pages>
  <Words>16208</Words>
  <Characters>92391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1171</cp:revision>
  <cp:lastPrinted>2021-11-03T08:04:00Z</cp:lastPrinted>
  <dcterms:created xsi:type="dcterms:W3CDTF">2020-05-08T08:39:00Z</dcterms:created>
  <dcterms:modified xsi:type="dcterms:W3CDTF">2021-11-04T15:34:00Z</dcterms:modified>
</cp:coreProperties>
</file>