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15" w:rsidRPr="0067032B" w:rsidRDefault="00063E15" w:rsidP="008314D1">
      <w:pPr>
        <w:pStyle w:val="Title"/>
        <w:pBdr>
          <w:bottom w:val="double" w:sz="6" w:space="0" w:color="auto"/>
        </w:pBdr>
      </w:pPr>
      <w:bookmarkStart w:id="0" w:name="_GoBack"/>
      <w:bookmarkEnd w:id="0"/>
      <w:r w:rsidRPr="0067032B">
        <w:t>М И Н И С Т Е Р С Т В О   Н А   Ф И Н А Н С И Т Е</w:t>
      </w:r>
    </w:p>
    <w:p w:rsidR="005F7245" w:rsidRPr="0067032B" w:rsidRDefault="005F7245" w:rsidP="00063E15">
      <w:pPr>
        <w:rPr>
          <w:sz w:val="16"/>
          <w:szCs w:val="16"/>
        </w:rPr>
      </w:pPr>
    </w:p>
    <w:p w:rsidR="002734B2" w:rsidRDefault="002734B2" w:rsidP="009B536C">
      <w:pPr>
        <w:pStyle w:val="Heading1"/>
        <w:rPr>
          <w:sz w:val="24"/>
        </w:rPr>
      </w:pPr>
    </w:p>
    <w:p w:rsidR="002734B2" w:rsidRDefault="002734B2" w:rsidP="009B536C">
      <w:pPr>
        <w:pStyle w:val="Heading1"/>
        <w:rPr>
          <w:sz w:val="24"/>
        </w:rPr>
      </w:pPr>
    </w:p>
    <w:p w:rsidR="00E9260C" w:rsidRPr="0067032B" w:rsidRDefault="00E9260C" w:rsidP="009B536C">
      <w:pPr>
        <w:pStyle w:val="Heading1"/>
        <w:rPr>
          <w:sz w:val="24"/>
        </w:rPr>
      </w:pPr>
      <w:r w:rsidRPr="0067032B">
        <w:rPr>
          <w:sz w:val="24"/>
        </w:rPr>
        <w:t>ИНФОРМАЦИЯ</w:t>
      </w:r>
    </w:p>
    <w:p w:rsidR="00E9260C" w:rsidRPr="0067032B" w:rsidRDefault="00E9260C" w:rsidP="009B536C">
      <w:pPr>
        <w:jc w:val="center"/>
        <w:rPr>
          <w:b/>
          <w:bCs/>
        </w:rPr>
      </w:pPr>
      <w:r w:rsidRPr="0067032B">
        <w:rPr>
          <w:b/>
          <w:bCs/>
        </w:rPr>
        <w:t xml:space="preserve">ЗА </w:t>
      </w:r>
      <w:r w:rsidR="004E7BF8" w:rsidRPr="0067032B">
        <w:rPr>
          <w:b/>
          <w:bCs/>
        </w:rPr>
        <w:t xml:space="preserve">КАСОВОТО </w:t>
      </w:r>
      <w:r w:rsidRPr="0067032B">
        <w:rPr>
          <w:b/>
          <w:bCs/>
        </w:rPr>
        <w:t xml:space="preserve">ИЗПЪЛНЕНИЕ НА </w:t>
      </w:r>
      <w:r w:rsidR="004E7BF8" w:rsidRPr="0067032B">
        <w:rPr>
          <w:b/>
          <w:bCs/>
        </w:rPr>
        <w:t>ДЪРЖАВНИЯ</w:t>
      </w:r>
      <w:r w:rsidRPr="0067032B">
        <w:rPr>
          <w:b/>
          <w:bCs/>
        </w:rPr>
        <w:t xml:space="preserve"> БЮДЖЕТ</w:t>
      </w:r>
      <w:r w:rsidR="004E7BF8" w:rsidRPr="0067032B">
        <w:rPr>
          <w:b/>
          <w:bCs/>
        </w:rPr>
        <w:t xml:space="preserve"> И НА ОСНОВНИТЕ ПОКАЗАТЕЛИ НА КОНСОЛИДИРАНАТА ФИСКАЛНА ПРОГРАМА </w:t>
      </w:r>
    </w:p>
    <w:p w:rsidR="003F47AB" w:rsidRDefault="003F47AB" w:rsidP="003F47AB">
      <w:pPr>
        <w:jc w:val="center"/>
        <w:rPr>
          <w:b/>
          <w:bCs/>
        </w:rPr>
      </w:pPr>
      <w:r w:rsidRPr="0067032B">
        <w:rPr>
          <w:b/>
          <w:bCs/>
        </w:rPr>
        <w:t xml:space="preserve">ЗА </w:t>
      </w:r>
      <w:r w:rsidR="004A3BEC">
        <w:rPr>
          <w:b/>
          <w:bCs/>
        </w:rPr>
        <w:t>ДЕВЕТМЕСЕЧИЕТО</w:t>
      </w:r>
      <w:r w:rsidR="0067032B" w:rsidRPr="0067032B">
        <w:rPr>
          <w:b/>
          <w:bCs/>
        </w:rPr>
        <w:t xml:space="preserve"> </w:t>
      </w:r>
      <w:r w:rsidRPr="0067032B">
        <w:rPr>
          <w:b/>
          <w:bCs/>
        </w:rPr>
        <w:t>НА 20</w:t>
      </w:r>
      <w:r w:rsidR="00DB65C2" w:rsidRPr="0067032B">
        <w:rPr>
          <w:b/>
          <w:bCs/>
          <w:lang w:val="en-US"/>
        </w:rPr>
        <w:t>20</w:t>
      </w:r>
      <w:r w:rsidRPr="0067032B">
        <w:rPr>
          <w:b/>
          <w:bCs/>
        </w:rPr>
        <w:t xml:space="preserve"> ГОДИНА</w:t>
      </w:r>
    </w:p>
    <w:p w:rsidR="002734B2" w:rsidRPr="0067032B" w:rsidRDefault="002734B2" w:rsidP="0065462C">
      <w:pPr>
        <w:rPr>
          <w:b/>
          <w:bCs/>
        </w:rPr>
      </w:pPr>
    </w:p>
    <w:p w:rsidR="00430A35" w:rsidRPr="0067032B" w:rsidRDefault="00430A35" w:rsidP="003A06C5">
      <w:pPr>
        <w:rPr>
          <w:b/>
          <w:bCs/>
        </w:rPr>
      </w:pPr>
    </w:p>
    <w:p w:rsidR="005750C2" w:rsidRPr="00840F91" w:rsidRDefault="005750C2" w:rsidP="005750C2">
      <w:pPr>
        <w:spacing w:after="120"/>
        <w:ind w:firstLine="709"/>
        <w:jc w:val="both"/>
        <w:rPr>
          <w:lang w:val="en-US" w:eastAsia="bg-BG"/>
        </w:rPr>
      </w:pPr>
      <w:r w:rsidRPr="00840F91">
        <w:rPr>
          <w:b/>
          <w:bCs/>
          <w:u w:val="single"/>
          <w:lang w:eastAsia="bg-BG"/>
        </w:rPr>
        <w:t>Развитие на икономическата среда</w:t>
      </w:r>
    </w:p>
    <w:p w:rsidR="00E10331" w:rsidRPr="004A3BEC" w:rsidRDefault="00E10331" w:rsidP="00AA67FF">
      <w:pPr>
        <w:spacing w:before="120" w:after="120"/>
        <w:jc w:val="both"/>
        <w:rPr>
          <w:color w:val="4F81BD" w:themeColor="accent1"/>
          <w:sz w:val="8"/>
          <w:szCs w:val="8"/>
        </w:rPr>
      </w:pPr>
    </w:p>
    <w:p w:rsidR="008E1F58" w:rsidRPr="008E1F58" w:rsidRDefault="008E1F58" w:rsidP="008E1F58">
      <w:pPr>
        <w:ind w:firstLine="708"/>
        <w:jc w:val="both"/>
        <w:rPr>
          <w:rFonts w:eastAsia="Calibri"/>
          <w:lang w:eastAsia="bg-BG"/>
        </w:rPr>
      </w:pPr>
      <w:r w:rsidRPr="008E1F58">
        <w:rPr>
          <w:rFonts w:eastAsia="Calibri"/>
          <w:lang w:eastAsia="bg-BG"/>
        </w:rPr>
        <w:t>През първото полугодие на 2020 г. брутният вътрешен продукт на страната спадна с 3,8</w:t>
      </w:r>
      <w:r w:rsidR="00B169E2">
        <w:rPr>
          <w:rFonts w:eastAsia="Calibri"/>
          <w:lang w:eastAsia="bg-BG"/>
        </w:rPr>
        <w:t> </w:t>
      </w:r>
      <w:r w:rsidRPr="008E1F58">
        <w:rPr>
          <w:rFonts w:eastAsia="Calibri"/>
          <w:lang w:eastAsia="bg-BG"/>
        </w:rPr>
        <w:t>%. Крайното  потребление  нарасна с 0,6</w:t>
      </w:r>
      <w:r w:rsidR="00930460">
        <w:rPr>
          <w:rFonts w:eastAsia="Calibri"/>
          <w:lang w:eastAsia="bg-BG"/>
        </w:rPr>
        <w:t xml:space="preserve"> </w:t>
      </w:r>
      <w:r w:rsidRPr="008E1F58">
        <w:rPr>
          <w:rFonts w:eastAsia="Calibri"/>
          <w:lang w:eastAsia="bg-BG"/>
        </w:rPr>
        <w:t>%. Растежът бе движен от публичното потребление, докато потребителските разходи на домакинствата спаднаха поради наложените ограничителни мерки срещу COVID-19 през второ тримесечие и повишената несигурност. Инвестициите в основен капитал спаднаха с 11,2</w:t>
      </w:r>
      <w:r w:rsidR="00930460">
        <w:rPr>
          <w:rFonts w:eastAsia="Calibri"/>
          <w:lang w:eastAsia="bg-BG"/>
        </w:rPr>
        <w:t xml:space="preserve"> </w:t>
      </w:r>
      <w:r w:rsidRPr="008E1F58">
        <w:rPr>
          <w:rFonts w:eastAsia="Calibri"/>
          <w:lang w:eastAsia="bg-BG"/>
        </w:rPr>
        <w:t>% поради слаба частна инвестиционна активност. Износът на стоки и услуги намаля с 8,3</w:t>
      </w:r>
      <w:r w:rsidR="00930460">
        <w:rPr>
          <w:rFonts w:eastAsia="Calibri"/>
          <w:lang w:eastAsia="bg-BG"/>
        </w:rPr>
        <w:t xml:space="preserve"> </w:t>
      </w:r>
      <w:r w:rsidRPr="008E1F58">
        <w:rPr>
          <w:rFonts w:eastAsia="Calibri"/>
          <w:lang w:eastAsia="bg-BG"/>
        </w:rPr>
        <w:t>% за полугодието поради спад през второ тримесечие дължащ се на намаленото търсене на стоки сред основни търговски партньори и ограничения износ на транспортни и туристически услуги. Вносът на стоки и услуги спадна с 9,8</w:t>
      </w:r>
      <w:r w:rsidR="00930460">
        <w:rPr>
          <w:rFonts w:eastAsia="Calibri"/>
          <w:lang w:eastAsia="bg-BG"/>
        </w:rPr>
        <w:t xml:space="preserve"> </w:t>
      </w:r>
      <w:r w:rsidRPr="008E1F58">
        <w:rPr>
          <w:rFonts w:eastAsia="Calibri"/>
          <w:lang w:eastAsia="bg-BG"/>
        </w:rPr>
        <w:t>%.</w:t>
      </w:r>
    </w:p>
    <w:p w:rsidR="008E1F58" w:rsidRPr="008E1F58" w:rsidRDefault="008E1F58" w:rsidP="008E1F58">
      <w:pPr>
        <w:ind w:firstLine="708"/>
        <w:jc w:val="both"/>
        <w:rPr>
          <w:rFonts w:eastAsia="Calibri"/>
          <w:lang w:eastAsia="bg-BG"/>
        </w:rPr>
      </w:pPr>
      <w:r w:rsidRPr="008E1F58">
        <w:rPr>
          <w:rFonts w:eastAsia="Calibri"/>
          <w:lang w:eastAsia="bg-BG"/>
        </w:rPr>
        <w:t>Краткосрочните индикатори за трето тримесечие сочат известно възстановяване на икономиката. Индикаторът за бизнес климата продължи да нараства като се подобриха оценките за текущата ситуация в услугите. За периода юли-август промишленото производство и строителната продукция спаднаха съответно с 6,</w:t>
      </w:r>
      <w:proofErr w:type="spellStart"/>
      <w:r w:rsidRPr="008E1F58">
        <w:rPr>
          <w:rFonts w:eastAsia="Calibri"/>
          <w:lang w:eastAsia="bg-BG"/>
        </w:rPr>
        <w:t>6</w:t>
      </w:r>
      <w:proofErr w:type="spellEnd"/>
      <w:r w:rsidR="009C1D50">
        <w:rPr>
          <w:rFonts w:eastAsia="Calibri"/>
          <w:lang w:eastAsia="bg-BG"/>
        </w:rPr>
        <w:t xml:space="preserve"> </w:t>
      </w:r>
      <w:r w:rsidRPr="008E1F58">
        <w:rPr>
          <w:rFonts w:eastAsia="Calibri"/>
          <w:lang w:eastAsia="bg-BG"/>
        </w:rPr>
        <w:t>% и 5,6</w:t>
      </w:r>
      <w:r w:rsidR="009C1D50">
        <w:rPr>
          <w:rFonts w:eastAsia="Calibri"/>
          <w:lang w:eastAsia="bg-BG"/>
        </w:rPr>
        <w:t xml:space="preserve"> </w:t>
      </w:r>
      <w:r w:rsidRPr="008E1F58">
        <w:rPr>
          <w:rFonts w:eastAsia="Calibri"/>
          <w:lang w:eastAsia="bg-BG"/>
        </w:rPr>
        <w:t>% при намаление от над 10</w:t>
      </w:r>
      <w:r w:rsidR="009C1D50">
        <w:rPr>
          <w:rFonts w:eastAsia="Calibri"/>
          <w:lang w:eastAsia="bg-BG"/>
        </w:rPr>
        <w:t xml:space="preserve"> </w:t>
      </w:r>
      <w:r w:rsidRPr="008E1F58">
        <w:rPr>
          <w:rFonts w:eastAsia="Calibri"/>
          <w:lang w:eastAsia="bg-BG"/>
        </w:rPr>
        <w:t>% през второ тримесечие. Доверието на потребителите се подобри през трето тримесечие, но оборотите в търговията на дребно продължиха да спадат с двуцифрени темпове през юли и август.</w:t>
      </w:r>
    </w:p>
    <w:p w:rsidR="008E1F58" w:rsidRPr="008E1F58" w:rsidRDefault="008E1F58" w:rsidP="008E1F58">
      <w:pPr>
        <w:ind w:firstLine="708"/>
        <w:jc w:val="both"/>
        <w:rPr>
          <w:rFonts w:eastAsia="Calibri"/>
          <w:lang w:eastAsia="bg-BG"/>
        </w:rPr>
      </w:pPr>
      <w:r w:rsidRPr="008E1F58">
        <w:rPr>
          <w:rFonts w:eastAsia="Calibri"/>
          <w:lang w:eastAsia="bg-BG"/>
        </w:rPr>
        <w:t>Основните показатели на пазара на труда се характеризираха с влошаване през първата половина на 2020 г. През второто тримесечие коефициентът на икономическа активност на населението (15-64 г.) отчете намаление на годишна база от 2,1 пр.п. до 71,7</w:t>
      </w:r>
      <w:r w:rsidR="00695B98">
        <w:rPr>
          <w:rFonts w:eastAsia="Calibri"/>
          <w:lang w:eastAsia="bg-BG"/>
        </w:rPr>
        <w:t xml:space="preserve"> </w:t>
      </w:r>
      <w:r w:rsidRPr="008E1F58">
        <w:rPr>
          <w:rFonts w:eastAsia="Calibri"/>
          <w:lang w:eastAsia="bg-BG"/>
        </w:rPr>
        <w:t>%, а коефициентът на безработица нарасна до 6,0</w:t>
      </w:r>
      <w:r w:rsidR="00695B98">
        <w:rPr>
          <w:rFonts w:eastAsia="Calibri"/>
          <w:lang w:eastAsia="bg-BG"/>
        </w:rPr>
        <w:t xml:space="preserve"> </w:t>
      </w:r>
      <w:r w:rsidRPr="008E1F58">
        <w:rPr>
          <w:rFonts w:eastAsia="Calibri"/>
          <w:lang w:eastAsia="bg-BG"/>
        </w:rPr>
        <w:t xml:space="preserve">%. По-детайлните данни на Агенция по заетостта показват, че тенденцията на повишаване на безработните е започнала веднага след обявяването на извънредното положение в средата на март и е продължила до средата на май, след което е започнал процес на постепенно намаляване, който продължава почти без прекъсване и до края на септември. Съществен принос за ограничаване на броя на </w:t>
      </w:r>
      <w:proofErr w:type="spellStart"/>
      <w:r w:rsidRPr="008E1F58">
        <w:rPr>
          <w:rFonts w:eastAsia="Calibri"/>
          <w:lang w:eastAsia="bg-BG"/>
        </w:rPr>
        <w:t>новорегистрираните</w:t>
      </w:r>
      <w:proofErr w:type="spellEnd"/>
      <w:r w:rsidRPr="008E1F58">
        <w:rPr>
          <w:rFonts w:eastAsia="Calibri"/>
          <w:lang w:eastAsia="bg-BG"/>
        </w:rPr>
        <w:t xml:space="preserve"> безработни оказа предприетата мярка от правителството в областта на пазара на труда за подкрепа на заетостта т.н. мярка 60/40, при която правителството субсидира 60% от дължимите плащания на работодателите за работни заплати и свързаните с тях осигурителни плащания. За намаляването на броя на регистрираните безработни принос имаше относително високият брой на започналите работа на първичния пазар на труда.</w:t>
      </w:r>
    </w:p>
    <w:p w:rsidR="008E1F58" w:rsidRPr="008E1F58" w:rsidRDefault="008E1F58" w:rsidP="008E1F58">
      <w:pPr>
        <w:ind w:firstLine="708"/>
        <w:jc w:val="both"/>
        <w:rPr>
          <w:rFonts w:eastAsia="Calibri"/>
          <w:lang w:eastAsia="bg-BG"/>
        </w:rPr>
      </w:pPr>
      <w:r w:rsidRPr="008E1F58">
        <w:rPr>
          <w:rFonts w:eastAsia="Calibri"/>
          <w:lang w:eastAsia="bg-BG"/>
        </w:rPr>
        <w:t>Инфлацията през третото тримесечие на 2020 г., спрямо същия период на 2019 г. се сви до 0,6</w:t>
      </w:r>
      <w:r w:rsidR="00B54324">
        <w:rPr>
          <w:rFonts w:eastAsia="Calibri"/>
          <w:lang w:eastAsia="bg-BG"/>
        </w:rPr>
        <w:t xml:space="preserve"> </w:t>
      </w:r>
      <w:r w:rsidRPr="008E1F58">
        <w:rPr>
          <w:rFonts w:eastAsia="Calibri"/>
          <w:lang w:eastAsia="bg-BG"/>
        </w:rPr>
        <w:t>%, при 1,</w:t>
      </w:r>
      <w:proofErr w:type="spellStart"/>
      <w:r w:rsidRPr="008E1F58">
        <w:rPr>
          <w:rFonts w:eastAsia="Calibri"/>
          <w:lang w:eastAsia="bg-BG"/>
        </w:rPr>
        <w:t>1</w:t>
      </w:r>
      <w:proofErr w:type="spellEnd"/>
      <w:r w:rsidR="00B54324">
        <w:rPr>
          <w:rFonts w:eastAsia="Calibri"/>
          <w:lang w:eastAsia="bg-BG"/>
        </w:rPr>
        <w:t xml:space="preserve"> </w:t>
      </w:r>
      <w:r w:rsidRPr="008E1F58">
        <w:rPr>
          <w:rFonts w:eastAsia="Calibri"/>
          <w:lang w:eastAsia="bg-BG"/>
        </w:rPr>
        <w:t>% през второ тримесечие. Инфлацията за септември, спрямо съответния месец на предходната година беше 0,6</w:t>
      </w:r>
      <w:r w:rsidR="00B54324">
        <w:rPr>
          <w:rFonts w:eastAsia="Calibri"/>
          <w:lang w:eastAsia="bg-BG"/>
        </w:rPr>
        <w:t xml:space="preserve"> </w:t>
      </w:r>
      <w:r w:rsidRPr="008E1F58">
        <w:rPr>
          <w:rFonts w:eastAsia="Calibri"/>
          <w:lang w:eastAsia="bg-BG"/>
        </w:rPr>
        <w:t>%. Поскъпването при храните достигна 4</w:t>
      </w:r>
      <w:r w:rsidR="00B54324">
        <w:rPr>
          <w:rFonts w:eastAsia="Calibri"/>
          <w:lang w:eastAsia="bg-BG"/>
        </w:rPr>
        <w:t xml:space="preserve"> </w:t>
      </w:r>
      <w:r w:rsidRPr="008E1F58">
        <w:rPr>
          <w:rFonts w:eastAsia="Calibri"/>
          <w:lang w:eastAsia="bg-BG"/>
        </w:rPr>
        <w:t>%, а спадът в цените на енергийните стоки 8,2</w:t>
      </w:r>
      <w:r w:rsidR="00B54324">
        <w:rPr>
          <w:rFonts w:eastAsia="Calibri"/>
          <w:lang w:eastAsia="bg-BG"/>
        </w:rPr>
        <w:t xml:space="preserve"> </w:t>
      </w:r>
      <w:r w:rsidRPr="008E1F58">
        <w:rPr>
          <w:rFonts w:eastAsia="Calibri"/>
          <w:lang w:eastAsia="bg-BG"/>
        </w:rPr>
        <w:t>%. Базисната инфлация през септември на годишна база беше 1,8</w:t>
      </w:r>
      <w:r w:rsidR="00B54324">
        <w:rPr>
          <w:rFonts w:eastAsia="Calibri"/>
          <w:lang w:eastAsia="bg-BG"/>
        </w:rPr>
        <w:t xml:space="preserve"> </w:t>
      </w:r>
      <w:r w:rsidRPr="008E1F58">
        <w:rPr>
          <w:rFonts w:eastAsia="Calibri"/>
          <w:lang w:eastAsia="bg-BG"/>
        </w:rPr>
        <w:t>%.</w:t>
      </w:r>
    </w:p>
    <w:p w:rsidR="008E1F58" w:rsidRPr="008E1F58" w:rsidRDefault="008E1F58" w:rsidP="008E1F58">
      <w:pPr>
        <w:ind w:firstLine="708"/>
        <w:jc w:val="both"/>
        <w:rPr>
          <w:rFonts w:eastAsia="Calibri"/>
          <w:lang w:eastAsia="bg-BG"/>
        </w:rPr>
      </w:pPr>
      <w:r w:rsidRPr="008E1F58">
        <w:rPr>
          <w:rFonts w:eastAsia="Calibri"/>
          <w:lang w:eastAsia="bg-BG"/>
        </w:rPr>
        <w:t xml:space="preserve">Въпреки нестабилната икономическа среда, в периода януари-август 2020 г. външната позиция на страната остана стабилна. По текущата и капиталовата сметка бяха отчетени входящи парични потоци в размер на 1,8 млрд. евро, а финансовата бе балансирана при </w:t>
      </w:r>
      <w:proofErr w:type="spellStart"/>
      <w:r w:rsidRPr="008E1F58">
        <w:rPr>
          <w:rFonts w:eastAsia="Calibri"/>
          <w:lang w:eastAsia="bg-BG"/>
        </w:rPr>
        <w:t>еквивалетно</w:t>
      </w:r>
      <w:proofErr w:type="spellEnd"/>
      <w:r w:rsidRPr="008E1F58">
        <w:rPr>
          <w:rFonts w:eastAsia="Calibri"/>
          <w:lang w:eastAsia="bg-BG"/>
        </w:rPr>
        <w:t xml:space="preserve"> нарастване на активи и пасиви. През осемте месеца излишъкът по текущата сметка достигна 1,9</w:t>
      </w:r>
      <w:r w:rsidR="00544A89">
        <w:rPr>
          <w:rFonts w:eastAsia="Calibri"/>
          <w:lang w:eastAsia="bg-BG"/>
        </w:rPr>
        <w:t xml:space="preserve"> </w:t>
      </w:r>
      <w:r w:rsidRPr="008E1F58">
        <w:rPr>
          <w:rFonts w:eastAsia="Calibri"/>
          <w:lang w:eastAsia="bg-BG"/>
        </w:rPr>
        <w:t>% от прогнозния БВП, при 2,8</w:t>
      </w:r>
      <w:r w:rsidR="00544A89">
        <w:rPr>
          <w:rFonts w:eastAsia="Calibri"/>
          <w:lang w:eastAsia="bg-BG"/>
        </w:rPr>
        <w:t xml:space="preserve"> </w:t>
      </w:r>
      <w:r w:rsidRPr="008E1F58">
        <w:rPr>
          <w:rFonts w:eastAsia="Calibri"/>
          <w:lang w:eastAsia="bg-BG"/>
        </w:rPr>
        <w:t xml:space="preserve">% през предходната година. До юли натрупаното салдо превишаваше баланса от съответния период на 2019 г., тъй като номиналният спад на вноса изпреварваше този на износа. В резултат се наблюдаваше подобрение на търговския баланс, което предопределяше общата динамика на текущата сметка. Същевременно, поради отрицателния ефект, който ограничителните мерки имаха върху международните пътувания и транспорт, от месец март бяха регистрирани двуцифрени </w:t>
      </w:r>
      <w:r w:rsidRPr="008E1F58">
        <w:rPr>
          <w:rFonts w:eastAsia="Calibri"/>
          <w:lang w:eastAsia="bg-BG"/>
        </w:rPr>
        <w:lastRenderedPageBreak/>
        <w:t>спадове в износа и вноса на тези услуги. Това се отрази в понижение на баланса по статията услуги. Поради високия дял на излишъка на услугите в текущата сметка през летните месеци, влошаването на баланса им имаше отрицателен ефект върху салдото по текущата сметка. Към август отрицателният принос на услугите превиши положителния от търговията със стоки, и излишъкът по текущата сметка се понижи спрямо януари-август 2019 г.</w:t>
      </w:r>
    </w:p>
    <w:p w:rsidR="008E1F58" w:rsidRPr="008E1F58" w:rsidRDefault="008E1F58" w:rsidP="008E1F58">
      <w:pPr>
        <w:spacing w:after="120"/>
        <w:ind w:firstLine="706"/>
        <w:jc w:val="both"/>
        <w:rPr>
          <w:rFonts w:eastAsia="Calibri"/>
          <w:color w:val="000000"/>
          <w:lang w:eastAsia="bg-BG"/>
        </w:rPr>
      </w:pPr>
      <w:r w:rsidRPr="008E1F58">
        <w:rPr>
          <w:rFonts w:eastAsia="Calibri"/>
          <w:color w:val="000000"/>
          <w:lang w:eastAsia="bg-BG"/>
        </w:rPr>
        <w:t>Растежът на кредита за частния сектор започна да се забавя от март, в резултат на въведените ограничителни мерки поради пандемията с COVID-19, като забавянето в края на първото тримесечие на 2020 г. беше все още слабо изразено. Кредитът за частния сектор продължи да понижава темпа си на растеж и през второ и трето тримесечие на годината. Към края на септември растежът му бе 5,9</w:t>
      </w:r>
      <w:r w:rsidR="00544A89">
        <w:rPr>
          <w:rFonts w:eastAsia="Calibri"/>
          <w:color w:val="000000"/>
          <w:lang w:eastAsia="bg-BG"/>
        </w:rPr>
        <w:t xml:space="preserve"> </w:t>
      </w:r>
      <w:r w:rsidRPr="008E1F58">
        <w:rPr>
          <w:rFonts w:eastAsia="Calibri"/>
          <w:color w:val="000000"/>
          <w:lang w:eastAsia="bg-BG"/>
        </w:rPr>
        <w:t>% при 9,3</w:t>
      </w:r>
      <w:r w:rsidR="00544A89">
        <w:rPr>
          <w:rFonts w:eastAsia="Calibri"/>
          <w:color w:val="000000"/>
          <w:lang w:eastAsia="bg-BG"/>
        </w:rPr>
        <w:t xml:space="preserve"> </w:t>
      </w:r>
      <w:r w:rsidRPr="008E1F58">
        <w:rPr>
          <w:rFonts w:eastAsia="Calibri"/>
          <w:color w:val="000000"/>
          <w:lang w:eastAsia="bg-BG"/>
        </w:rPr>
        <w:t>% в края на 2019 г. Растежът на кредита за нефинансови предприятия се забави до 2</w:t>
      </w:r>
      <w:r w:rsidR="00544A89">
        <w:rPr>
          <w:rFonts w:eastAsia="Calibri"/>
          <w:color w:val="000000"/>
          <w:lang w:eastAsia="bg-BG"/>
        </w:rPr>
        <w:t xml:space="preserve"> </w:t>
      </w:r>
      <w:r w:rsidRPr="008E1F58">
        <w:rPr>
          <w:rFonts w:eastAsia="Calibri"/>
          <w:color w:val="000000"/>
          <w:lang w:eastAsia="bg-BG"/>
        </w:rPr>
        <w:t>% при 5,9</w:t>
      </w:r>
      <w:r w:rsidR="00544A89">
        <w:rPr>
          <w:rFonts w:eastAsia="Calibri"/>
          <w:color w:val="000000"/>
          <w:lang w:eastAsia="bg-BG"/>
        </w:rPr>
        <w:t xml:space="preserve"> </w:t>
      </w:r>
      <w:r w:rsidRPr="008E1F58">
        <w:rPr>
          <w:rFonts w:eastAsia="Calibri"/>
          <w:color w:val="000000"/>
          <w:lang w:eastAsia="bg-BG"/>
        </w:rPr>
        <w:t>% в края на предходната година. Забавянето при кредитите за домакинства беше по-слабо изразено, а през септември дори беше отчетено ускорение на растежа спрямо август и той достигна 7,5</w:t>
      </w:r>
      <w:r w:rsidR="00544A89">
        <w:rPr>
          <w:rFonts w:eastAsia="Calibri"/>
          <w:color w:val="000000"/>
          <w:lang w:eastAsia="bg-BG"/>
        </w:rPr>
        <w:t xml:space="preserve"> </w:t>
      </w:r>
      <w:r w:rsidRPr="008E1F58">
        <w:rPr>
          <w:rFonts w:eastAsia="Calibri"/>
          <w:color w:val="000000"/>
          <w:lang w:eastAsia="bg-BG"/>
        </w:rPr>
        <w:t>% на годишна база. Потребителските кредити бяха по-засегнатият сегмент, след като темпът им на увеличение се понижи до 6,2</w:t>
      </w:r>
      <w:r w:rsidR="00544A89">
        <w:rPr>
          <w:rFonts w:eastAsia="Calibri"/>
          <w:color w:val="000000"/>
          <w:lang w:eastAsia="bg-BG"/>
        </w:rPr>
        <w:t xml:space="preserve"> </w:t>
      </w:r>
      <w:r w:rsidRPr="008E1F58">
        <w:rPr>
          <w:rFonts w:eastAsia="Calibri"/>
          <w:color w:val="000000"/>
          <w:lang w:eastAsia="bg-BG"/>
        </w:rPr>
        <w:t>%. При жилищните кредити ефектите от влошената икономическа среда и повишената несигурност продължават да бъдат слаби. Към септември годишното нарастване остава двуцифрено – 12,3</w:t>
      </w:r>
      <w:r w:rsidR="00544A89">
        <w:rPr>
          <w:rFonts w:eastAsia="Calibri"/>
          <w:color w:val="000000"/>
          <w:lang w:eastAsia="bg-BG"/>
        </w:rPr>
        <w:t xml:space="preserve"> </w:t>
      </w:r>
      <w:r w:rsidRPr="008E1F58">
        <w:rPr>
          <w:rFonts w:eastAsia="Calibri"/>
          <w:color w:val="000000"/>
          <w:lang w:eastAsia="bg-BG"/>
        </w:rPr>
        <w:t>%, като спря забавянето си и запази темпа си от предходния месец при годишно нарастване от 14,5</w:t>
      </w:r>
      <w:r w:rsidR="00544A89">
        <w:rPr>
          <w:rFonts w:eastAsia="Calibri"/>
          <w:color w:val="000000"/>
          <w:lang w:eastAsia="bg-BG"/>
        </w:rPr>
        <w:t xml:space="preserve"> </w:t>
      </w:r>
      <w:r w:rsidRPr="008E1F58">
        <w:rPr>
          <w:rFonts w:eastAsia="Calibri"/>
          <w:color w:val="000000"/>
          <w:lang w:eastAsia="bg-BG"/>
        </w:rPr>
        <w:t xml:space="preserve">% в края на 2019 г. </w:t>
      </w:r>
    </w:p>
    <w:p w:rsidR="00936734" w:rsidRPr="00475A00" w:rsidRDefault="00936734" w:rsidP="00936734">
      <w:pPr>
        <w:jc w:val="both"/>
        <w:rPr>
          <w:b/>
          <w:u w:val="single"/>
          <w:lang w:val="en-US"/>
        </w:rPr>
      </w:pPr>
      <w:r>
        <w:rPr>
          <w:b/>
          <w:u w:val="single"/>
        </w:rPr>
        <w:t>Предизвикателства в хода</w:t>
      </w:r>
      <w:r w:rsidRPr="00475A00">
        <w:rPr>
          <w:b/>
          <w:u w:val="single"/>
        </w:rPr>
        <w:t xml:space="preserve"> на изпълнението на консолидираната фискал</w:t>
      </w:r>
      <w:r>
        <w:rPr>
          <w:b/>
          <w:u w:val="single"/>
        </w:rPr>
        <w:t>на програма към</w:t>
      </w:r>
      <w:r w:rsidRPr="00475A00">
        <w:rPr>
          <w:b/>
          <w:u w:val="single"/>
        </w:rPr>
        <w:t xml:space="preserve"> деветмесечието на 20</w:t>
      </w:r>
      <w:r w:rsidR="00C85E6E">
        <w:rPr>
          <w:b/>
          <w:u w:val="single"/>
          <w:lang w:val="en-US"/>
        </w:rPr>
        <w:t>20</w:t>
      </w:r>
      <w:r w:rsidRPr="00475A00">
        <w:rPr>
          <w:b/>
          <w:u w:val="single"/>
        </w:rPr>
        <w:t xml:space="preserve"> г.</w:t>
      </w:r>
    </w:p>
    <w:p w:rsidR="00936734" w:rsidRPr="00EE7273" w:rsidRDefault="00936734" w:rsidP="00936734">
      <w:pPr>
        <w:ind w:firstLine="709"/>
        <w:jc w:val="both"/>
        <w:rPr>
          <w:b/>
          <w:color w:val="4F81BD" w:themeColor="accent1"/>
          <w:u w:val="single"/>
          <w:lang w:val="en-US"/>
        </w:rPr>
      </w:pPr>
    </w:p>
    <w:p w:rsidR="00936734" w:rsidRPr="0078150D" w:rsidRDefault="00936734" w:rsidP="00936734">
      <w:pPr>
        <w:ind w:firstLine="708"/>
        <w:jc w:val="both"/>
        <w:rPr>
          <w:rFonts w:eastAsia="Batang"/>
          <w:bCs/>
          <w:color w:val="000000" w:themeColor="text1"/>
        </w:rPr>
      </w:pPr>
      <w:r w:rsidRPr="0078150D">
        <w:rPr>
          <w:rFonts w:eastAsia="Batang"/>
          <w:bCs/>
          <w:color w:val="000000" w:themeColor="text1"/>
        </w:rPr>
        <w:t xml:space="preserve">Огромните предизвикателства, които поставя развитието на кризата с пандемията от COVID-19 през настоящата година, са безпрецедентни и комплексни. Голяма част от водещите икономики отчитат спадове на реалния БВП за второто тримесечие на 2020 г. в размери без аналог за последните двадесет и пет години, откогато се води динамичен ред за показателя за ЕС. Средно за Европейския съюз, по данни на </w:t>
      </w:r>
      <w:proofErr w:type="spellStart"/>
      <w:r w:rsidRPr="0078150D">
        <w:rPr>
          <w:rFonts w:eastAsia="Batang"/>
          <w:bCs/>
          <w:color w:val="000000" w:themeColor="text1"/>
        </w:rPr>
        <w:t>Евростат</w:t>
      </w:r>
      <w:proofErr w:type="spellEnd"/>
      <w:r w:rsidRPr="0078150D">
        <w:rPr>
          <w:rFonts w:eastAsia="Batang"/>
          <w:bCs/>
          <w:color w:val="000000" w:themeColor="text1"/>
        </w:rPr>
        <w:t xml:space="preserve">, спадът на икономиките на държавните членки за второто тримесечие на 2020 г. на годишна база спрямо второто тримесечие на 2019 г. е 13,9 на сто (сезонно изгладени данни), а за страните от еврозоната – 14,7 на сто. Всички страни от еврозоната отчитат спад в икономическото си производство, но на национално ниво той се проявява с различна сила. Според данните на </w:t>
      </w:r>
      <w:proofErr w:type="spellStart"/>
      <w:r w:rsidRPr="0078150D">
        <w:rPr>
          <w:rFonts w:eastAsia="Batang"/>
          <w:bCs/>
          <w:color w:val="000000" w:themeColor="text1"/>
        </w:rPr>
        <w:t>Евростат</w:t>
      </w:r>
      <w:proofErr w:type="spellEnd"/>
      <w:r w:rsidRPr="0078150D">
        <w:rPr>
          <w:rFonts w:eastAsia="Batang"/>
          <w:bCs/>
          <w:color w:val="000000" w:themeColor="text1"/>
        </w:rPr>
        <w:t>, публикувани в началото на септември, икономиката на България отчита относително умерен спад за второто тримесечие на годишна база с 8,5 на сто. Очаква се през третото тримесечие да започне постепенно възстановяване, подкрепено от смекчаването на карантинните мерки и очаквано постепенно подобряване при потреблението, износа и вноса. От друга страна все още крехкото възстановяване може да бъде сериозно подкопано от евентуална втора вълна на пандемията и въвеждането на нови строги карантинни ограничения. Именно поради тази причина на този етап прогнозите за икономическото възстановяване са съпроводени с висока степен на неопределеност.</w:t>
      </w:r>
    </w:p>
    <w:p w:rsidR="00936734" w:rsidRPr="0078150D" w:rsidRDefault="00936734" w:rsidP="00936734">
      <w:pPr>
        <w:ind w:firstLine="708"/>
        <w:jc w:val="both"/>
        <w:rPr>
          <w:rFonts w:eastAsia="Batang"/>
          <w:bCs/>
          <w:color w:val="000000" w:themeColor="text1"/>
        </w:rPr>
      </w:pPr>
      <w:r w:rsidRPr="0078150D">
        <w:rPr>
          <w:rFonts w:eastAsia="Batang"/>
          <w:bCs/>
          <w:color w:val="000000" w:themeColor="text1"/>
        </w:rPr>
        <w:t>България работи в координация с Европейската комисия и другите държави членки за преодоляване на последствията от кризата, породена от пандемията, като във фокуса на предприетите мерки неизменно са предизвикателствата за секторите и политиките</w:t>
      </w:r>
      <w:r w:rsidR="000B0659">
        <w:rPr>
          <w:rFonts w:eastAsia="Batang"/>
          <w:bCs/>
          <w:color w:val="000000" w:themeColor="text1"/>
        </w:rPr>
        <w:t>,</w:t>
      </w:r>
      <w:r w:rsidRPr="0078150D">
        <w:rPr>
          <w:rFonts w:eastAsia="Batang"/>
          <w:bCs/>
          <w:color w:val="000000" w:themeColor="text1"/>
        </w:rPr>
        <w:t xml:space="preserve"> пряко насочени за борба и контрол на разпространението на заразата, както и такива, насочени към </w:t>
      </w:r>
      <w:r w:rsidR="000B0659" w:rsidRPr="00F37AEB">
        <w:rPr>
          <w:rFonts w:eastAsia="Batang"/>
          <w:bCs/>
          <w:color w:val="000000" w:themeColor="text1"/>
        </w:rPr>
        <w:t xml:space="preserve">облекчаване на </w:t>
      </w:r>
      <w:r w:rsidRPr="00F37AEB">
        <w:rPr>
          <w:rFonts w:eastAsia="Batang"/>
          <w:bCs/>
          <w:color w:val="000000" w:themeColor="text1"/>
        </w:rPr>
        <w:t>социално-икономическите последици за икономиката и уязвими групи на</w:t>
      </w:r>
      <w:r w:rsidRPr="0078150D">
        <w:rPr>
          <w:rFonts w:eastAsia="Batang"/>
          <w:bCs/>
          <w:color w:val="000000" w:themeColor="text1"/>
        </w:rPr>
        <w:t xml:space="preserve"> населението. Укрепването на звената, непосредствено ангажирани с борбата с разпространението на пандемията, е първостепенен приоритет и цели максимално засилване на капацитета и недопускане на претоварване на здравната система. Успешното адресиране на предизвикателствата, свързани със здравните аспекти на кризата, налага мобилизиране на всички налични ресурси. Въпреки огромните усилия за разработването на терапевтични медикаменти и ваксини за борба с вируса, все още няма яснота кога ще могат да бъдат на разположение ефективни медикаменти, което да измести фокуса от медицинската част на кризата към преодоляване на последствията за икономиката.</w:t>
      </w:r>
    </w:p>
    <w:p w:rsidR="00936734" w:rsidRPr="0078150D" w:rsidRDefault="00936734" w:rsidP="00936734">
      <w:pPr>
        <w:ind w:firstLine="708"/>
        <w:jc w:val="both"/>
        <w:rPr>
          <w:rFonts w:eastAsia="Batang"/>
          <w:bCs/>
          <w:color w:val="000000" w:themeColor="text1"/>
        </w:rPr>
      </w:pPr>
      <w:r w:rsidRPr="0078150D">
        <w:rPr>
          <w:rFonts w:eastAsia="Batang"/>
          <w:bCs/>
          <w:color w:val="000000" w:themeColor="text1"/>
        </w:rPr>
        <w:t xml:space="preserve">Усилията в контекста на овладяването на социално-икономическия аспект на кризата също нямат аналог. България мобилизира значителни ресурси за реализирането на първия и втория пакет от социално-икономически мерки. Още от самото избухване на пандемията </w:t>
      </w:r>
      <w:r w:rsidRPr="0078150D">
        <w:rPr>
          <w:rFonts w:eastAsia="Batang"/>
          <w:bCs/>
          <w:color w:val="000000" w:themeColor="text1"/>
        </w:rPr>
        <w:lastRenderedPageBreak/>
        <w:t>мерките за подкрепа на бизнеса и заетостта са едни от основните приоритети във водените разходни политики. Мерките за субсидирана заетост, временното намаляване на данъчни ставки и осигуряването на подкрепа за най-засегнатите от кризата сектори, увеличаването на публичните инвестиции за компенсиране на отлива при частните, социалната подкрепа за най-уязвимите групи от населението са само част от усилията за намаляване на икономическите последици от кризата. Това от своя страна поставя предизвикателства пред бюджета, с оглед обезпечаване на необходимите значител</w:t>
      </w:r>
      <w:r w:rsidR="008D57C7">
        <w:rPr>
          <w:rFonts w:eastAsia="Batang"/>
          <w:bCs/>
          <w:color w:val="000000" w:themeColor="text1"/>
        </w:rPr>
        <w:t>н</w:t>
      </w:r>
      <w:r w:rsidRPr="0078150D">
        <w:rPr>
          <w:rFonts w:eastAsia="Batang"/>
          <w:bCs/>
          <w:color w:val="000000" w:themeColor="text1"/>
        </w:rPr>
        <w:t xml:space="preserve">и ресурси за реализиране на тези политики. </w:t>
      </w:r>
    </w:p>
    <w:p w:rsidR="00936734" w:rsidRPr="0078150D" w:rsidRDefault="00936734" w:rsidP="00936734">
      <w:pPr>
        <w:ind w:firstLine="708"/>
        <w:jc w:val="both"/>
        <w:rPr>
          <w:rFonts w:eastAsia="Batang"/>
          <w:bCs/>
          <w:color w:val="000000" w:themeColor="text1"/>
        </w:rPr>
      </w:pPr>
      <w:r w:rsidRPr="0078150D">
        <w:rPr>
          <w:rFonts w:eastAsia="Batang"/>
          <w:bCs/>
          <w:color w:val="000000" w:themeColor="text1"/>
        </w:rPr>
        <w:t>В изключително кратки срокове след обявяването с Решение на Народното събрание от 13 март на извънредно положение на територията на цялата страна правителството изготви и внесе за одобряване спешен законопроект за изменение и допълнение на ЗДБРБ за 2020 г., който имаше за цел да посрещне и отрази най-неотложните и преки негативни ефекти от кризата в бюджетната рамка. В законопроекта бяха залегнали допускания по отношение на развитието на основните макроикономически индикатори, като прогнозите бяха изготвени при много висока степен на неопределеност по отношение мащабите и продължителността на кризата. Спешният порядък на предложените промени в разходната част позволи да бъде обезпечен ресурс за финансиране единствено на първия</w:t>
      </w:r>
      <w:r w:rsidR="00BF4B27">
        <w:rPr>
          <w:rFonts w:eastAsia="Batang"/>
          <w:bCs/>
          <w:color w:val="000000" w:themeColor="text1"/>
        </w:rPr>
        <w:t>,</w:t>
      </w:r>
      <w:r w:rsidRPr="0078150D">
        <w:rPr>
          <w:rFonts w:eastAsia="Batang"/>
          <w:bCs/>
          <w:color w:val="000000" w:themeColor="text1"/>
        </w:rPr>
        <w:t xml:space="preserve"> най-неотложен пакет социално-икономически мерки и да се мобилизират преките ресурси, свързани със системите на първа линия в борбата с разпространението на пандемията. Мерките, планирани за реализиране чрез разходната част на бюджета и разработените финансови инструменти за финансиране чрез Българската банка за развитие, включително и ефектите от мултиплицирането на инструментите, осигуриха до 4,5 млрд. лв. за социално-икономически мерки. Заедно с това бе направен и анализ на възможностите за пренасочване на ресурс по Оперативните програми и фондовете на ЕС, който да подпомогне и допълни националните политики и мерки за преодоляване на последствията от пандемията.</w:t>
      </w:r>
    </w:p>
    <w:p w:rsidR="00936734" w:rsidRPr="0078150D" w:rsidRDefault="00936734" w:rsidP="00936734">
      <w:pPr>
        <w:ind w:firstLine="708"/>
        <w:jc w:val="both"/>
        <w:rPr>
          <w:rFonts w:eastAsia="Batang"/>
          <w:bCs/>
          <w:color w:val="000000" w:themeColor="text1"/>
        </w:rPr>
      </w:pPr>
      <w:r w:rsidRPr="0078150D">
        <w:rPr>
          <w:rFonts w:eastAsia="Batang"/>
          <w:bCs/>
          <w:color w:val="000000" w:themeColor="text1"/>
        </w:rPr>
        <w:t xml:space="preserve">Въпреки насочените безпрецедентни по размер ресурси, развитието на икономическата среда в хода на кризата очерта необходимост от спешни действия в редица сектори на икономиката и допълнителни мерки за подпомагане на най-засегнатите групи от населението. През месец юли правителството одобри втори пакет социално-икономически мерки, включително увеличение с 30 на сто на заплатите на служители, ангажирани </w:t>
      </w:r>
      <w:r w:rsidR="00365F5D">
        <w:rPr>
          <w:rFonts w:eastAsia="Batang"/>
          <w:bCs/>
          <w:color w:val="000000" w:themeColor="text1"/>
        </w:rPr>
        <w:t>в</w:t>
      </w:r>
      <w:r w:rsidRPr="0078150D">
        <w:rPr>
          <w:rFonts w:eastAsia="Batang"/>
          <w:bCs/>
          <w:color w:val="000000" w:themeColor="text1"/>
        </w:rPr>
        <w:t xml:space="preserve"> борбата с пандемията и администрации с ниски възнаграждения, изплащане на добавки в размер на 50 лева към пенсиите на всички пенсионери за месеците от август до октомври (в последствие бе решено мярката да бъде продължена до края на 2020 г.), насочване на разходи на НЗОК към дейностите, свързани с превенция и лечение на последствията от COVID-19, мерки за насърчаване на инвестициите, за подпомагане на туризма, за инфраструктурни обекти и други. Необходимият ресурс за обезпечаване на тези мерки в размер на около 1,2 млрд. лв. бе осигурен изцяло за сметка на преструктуриране и оптимизиране на разходите по държавния бюджет в рамките на одобрените от Народното събрание разходни ограничители в закона за бюджета за настоящата година. Поради тази причина на етапа на одобряване на мерките не се наложи изготвяне на актуализация на бюджета.</w:t>
      </w:r>
    </w:p>
    <w:p w:rsidR="00936734" w:rsidRDefault="008C18E3" w:rsidP="00936734">
      <w:pPr>
        <w:ind w:firstLine="708"/>
        <w:jc w:val="both"/>
        <w:rPr>
          <w:rFonts w:eastAsia="Batang"/>
          <w:bCs/>
          <w:color w:val="000000" w:themeColor="text1"/>
        </w:rPr>
      </w:pPr>
      <w:r w:rsidRPr="006E2C59">
        <w:rPr>
          <w:rFonts w:eastAsia="Batang"/>
          <w:bCs/>
          <w:color w:val="000000" w:themeColor="text1"/>
        </w:rPr>
        <w:t xml:space="preserve">На база на наличните към месец септември 2020 г. отчетни данни и изготвени оценки за размера на усвоените средства за 2020 г. по мерките, свързани с усилията на ограничаване и овладяване на пандемията от COVID-19, както и социалните и икономическите мерки за намаляване на последствията за населението и бизнеса може да се обобщи, че по линия на националния бюджет са мобилизирани безпрецедентни по размер ресурси. Оценките сочат, че за 6-те месеца след въвеждането на извънредното положение в България и последвалата го извънредна </w:t>
      </w:r>
      <w:proofErr w:type="spellStart"/>
      <w:r w:rsidRPr="006E2C59">
        <w:rPr>
          <w:rFonts w:eastAsia="Batang"/>
          <w:bCs/>
          <w:color w:val="000000" w:themeColor="text1"/>
        </w:rPr>
        <w:t>eпидемична</w:t>
      </w:r>
      <w:proofErr w:type="spellEnd"/>
      <w:r w:rsidRPr="006E2C59">
        <w:rPr>
          <w:rFonts w:eastAsia="Batang"/>
          <w:bCs/>
          <w:color w:val="000000" w:themeColor="text1"/>
        </w:rPr>
        <w:t xml:space="preserve"> ситуация, и за оставащите три месеца до края на годината, са одобрени или се предвижда да бъдат одобрени мерки и фискални стимули за овладяване на пандемията от COVID-19 и последствията от нея, вкл</w:t>
      </w:r>
      <w:r w:rsidR="0036700F" w:rsidRPr="006E2C59">
        <w:rPr>
          <w:rFonts w:eastAsia="Batang"/>
          <w:bCs/>
          <w:color w:val="000000" w:themeColor="text1"/>
        </w:rPr>
        <w:t>.</w:t>
      </w:r>
      <w:r w:rsidR="008038FB" w:rsidRPr="006E2C59">
        <w:rPr>
          <w:rFonts w:eastAsia="Batang"/>
          <w:bCs/>
          <w:color w:val="000000" w:themeColor="text1"/>
        </w:rPr>
        <w:t xml:space="preserve"> по линия н</w:t>
      </w:r>
      <w:r w:rsidR="00365F5D">
        <w:rPr>
          <w:rFonts w:eastAsia="Batang"/>
          <w:bCs/>
          <w:color w:val="000000" w:themeColor="text1"/>
        </w:rPr>
        <w:t>а</w:t>
      </w:r>
      <w:r w:rsidR="008038FB" w:rsidRPr="006E2C59">
        <w:rPr>
          <w:rFonts w:eastAsia="Batang"/>
          <w:bCs/>
          <w:color w:val="000000" w:themeColor="text1"/>
        </w:rPr>
        <w:t xml:space="preserve"> средствата от ЕС в </w:t>
      </w:r>
      <w:r w:rsidRPr="006E2C59">
        <w:rPr>
          <w:rFonts w:eastAsia="Batang"/>
          <w:bCs/>
          <w:color w:val="000000" w:themeColor="text1"/>
        </w:rPr>
        <w:t>общ размер на 2,8</w:t>
      </w:r>
      <w:r w:rsidR="006A2148" w:rsidRPr="006E2C59">
        <w:rPr>
          <w:rFonts w:eastAsia="Batang"/>
          <w:bCs/>
          <w:color w:val="000000" w:themeColor="text1"/>
        </w:rPr>
        <w:t> </w:t>
      </w:r>
      <w:r w:rsidRPr="006E2C59">
        <w:rPr>
          <w:rFonts w:eastAsia="Batang"/>
          <w:bCs/>
          <w:color w:val="000000" w:themeColor="text1"/>
        </w:rPr>
        <w:t>млрд. лв. (2,4</w:t>
      </w:r>
      <w:r w:rsidR="00F937B9" w:rsidRPr="006E2C59">
        <w:rPr>
          <w:rFonts w:eastAsia="Batang"/>
          <w:bCs/>
          <w:color w:val="000000" w:themeColor="text1"/>
        </w:rPr>
        <w:t xml:space="preserve"> </w:t>
      </w:r>
      <w:r w:rsidRPr="006E2C59">
        <w:rPr>
          <w:rFonts w:eastAsia="Batang"/>
          <w:bCs/>
          <w:color w:val="000000" w:themeColor="text1"/>
        </w:rPr>
        <w:t>% от прогнозния БВП)</w:t>
      </w:r>
      <w:r w:rsidR="00F47ECA">
        <w:rPr>
          <w:rFonts w:eastAsia="Batang"/>
          <w:bCs/>
          <w:color w:val="000000" w:themeColor="text1"/>
        </w:rPr>
        <w:t>, като</w:t>
      </w:r>
      <w:r w:rsidR="00384B03" w:rsidRPr="006E2C59">
        <w:rPr>
          <w:rFonts w:eastAsia="Batang"/>
          <w:bCs/>
          <w:color w:val="000000" w:themeColor="text1"/>
        </w:rPr>
        <w:t xml:space="preserve"> </w:t>
      </w:r>
      <w:r w:rsidRPr="006E2C59">
        <w:rPr>
          <w:rFonts w:eastAsia="Batang"/>
          <w:bCs/>
          <w:color w:val="000000" w:themeColor="text1"/>
        </w:rPr>
        <w:t>за обезпечаване на финансовите инструменти, предоставени от Българската банка за развитие</w:t>
      </w:r>
      <w:r w:rsidR="00BA01C9">
        <w:rPr>
          <w:rFonts w:eastAsia="Batang"/>
          <w:bCs/>
          <w:color w:val="000000" w:themeColor="text1"/>
        </w:rPr>
        <w:t>,</w:t>
      </w:r>
      <w:r w:rsidRPr="006E2C59">
        <w:rPr>
          <w:rFonts w:eastAsia="Batang"/>
          <w:bCs/>
          <w:color w:val="000000" w:themeColor="text1"/>
        </w:rPr>
        <w:t xml:space="preserve"> бяха </w:t>
      </w:r>
      <w:r w:rsidR="00F47ECA">
        <w:rPr>
          <w:rFonts w:eastAsia="Batang"/>
          <w:bCs/>
          <w:color w:val="000000" w:themeColor="text1"/>
        </w:rPr>
        <w:t>осигурени</w:t>
      </w:r>
      <w:r w:rsidRPr="006E2C59">
        <w:rPr>
          <w:rFonts w:eastAsia="Batang"/>
          <w:bCs/>
          <w:color w:val="000000" w:themeColor="text1"/>
        </w:rPr>
        <w:t xml:space="preserve"> средства под формата на увеличение на капитала на банката в размер на 0,7 млрд. лв. (0,6</w:t>
      </w:r>
      <w:r w:rsidR="00F937B9" w:rsidRPr="006E2C59">
        <w:rPr>
          <w:rFonts w:eastAsia="Batang"/>
          <w:bCs/>
          <w:color w:val="000000" w:themeColor="text1"/>
        </w:rPr>
        <w:t xml:space="preserve"> </w:t>
      </w:r>
      <w:r w:rsidRPr="006E2C59">
        <w:rPr>
          <w:rFonts w:eastAsia="Batang"/>
          <w:bCs/>
          <w:color w:val="000000" w:themeColor="text1"/>
        </w:rPr>
        <w:t>% от БВП)</w:t>
      </w:r>
      <w:r w:rsidR="00936734" w:rsidRPr="006E2C59">
        <w:rPr>
          <w:rFonts w:eastAsia="Batang"/>
          <w:bCs/>
          <w:color w:val="000000" w:themeColor="text1"/>
        </w:rPr>
        <w:t>.</w:t>
      </w:r>
      <w:r w:rsidR="00936734" w:rsidRPr="0078150D">
        <w:rPr>
          <w:rFonts w:eastAsia="Batang"/>
          <w:bCs/>
          <w:color w:val="000000" w:themeColor="text1"/>
        </w:rPr>
        <w:t xml:space="preserve"> </w:t>
      </w:r>
    </w:p>
    <w:p w:rsidR="006367A8" w:rsidRDefault="006367A8" w:rsidP="00936734">
      <w:pPr>
        <w:ind w:firstLine="708"/>
        <w:jc w:val="both"/>
        <w:rPr>
          <w:rFonts w:eastAsia="Batang"/>
          <w:bCs/>
          <w:color w:val="000000" w:themeColor="text1"/>
        </w:rPr>
      </w:pPr>
    </w:p>
    <w:p w:rsidR="006367A8" w:rsidRDefault="006367A8" w:rsidP="00936734">
      <w:pPr>
        <w:ind w:firstLine="708"/>
        <w:jc w:val="both"/>
        <w:rPr>
          <w:rFonts w:eastAsia="Batang"/>
          <w:bCs/>
          <w:color w:val="000000" w:themeColor="text1"/>
        </w:rPr>
      </w:pPr>
    </w:p>
    <w:p w:rsidR="00936734" w:rsidRDefault="00936734" w:rsidP="00936734">
      <w:pPr>
        <w:ind w:firstLine="708"/>
        <w:jc w:val="both"/>
        <w:rPr>
          <w:rFonts w:eastAsia="Batang"/>
          <w:bCs/>
          <w:color w:val="000000" w:themeColor="text1"/>
        </w:rPr>
      </w:pPr>
    </w:p>
    <w:p w:rsidR="00936734" w:rsidRPr="001D6330" w:rsidRDefault="00936734" w:rsidP="00936734">
      <w:pPr>
        <w:jc w:val="both"/>
        <w:rPr>
          <w:b/>
          <w:u w:val="single"/>
        </w:rPr>
      </w:pPr>
      <w:r w:rsidRPr="001D6330">
        <w:rPr>
          <w:b/>
          <w:u w:val="single"/>
        </w:rPr>
        <w:lastRenderedPageBreak/>
        <w:t>Необходимост от нова актуализация на ЗДБРБ за 2020 г.</w:t>
      </w:r>
    </w:p>
    <w:p w:rsidR="00936734" w:rsidRDefault="00936734" w:rsidP="00936734">
      <w:pPr>
        <w:ind w:firstLine="708"/>
        <w:jc w:val="both"/>
        <w:rPr>
          <w:rFonts w:eastAsia="Batang"/>
          <w:bCs/>
          <w:color w:val="000000" w:themeColor="text1"/>
        </w:rPr>
      </w:pPr>
    </w:p>
    <w:p w:rsidR="00936734" w:rsidRPr="0078150D" w:rsidRDefault="00936734" w:rsidP="00936734">
      <w:pPr>
        <w:ind w:firstLine="708"/>
        <w:jc w:val="both"/>
        <w:rPr>
          <w:rFonts w:eastAsia="Batang"/>
          <w:bCs/>
          <w:color w:val="000000" w:themeColor="text1"/>
        </w:rPr>
      </w:pPr>
      <w:r w:rsidRPr="0078150D">
        <w:rPr>
          <w:rFonts w:eastAsia="Batang"/>
          <w:bCs/>
          <w:color w:val="000000" w:themeColor="text1"/>
        </w:rPr>
        <w:t>Важен приоритет, допълващ мерките, свързани с усилията за борба с пандемията и за намаляване на негативните социално-икономически последствия, са инвестициите в публична инфраструктура, които имат за цел, от една страна, да компенсират частично очертаващия се спад при инвестициите в останалите сектори на икономиката, и от друга - целят запазване на работни места. При прогнозираното рязко забавяне на икономиката през настоящата година и потенциално навлизане в рецесия поради ефектите от кризата с пандемията в България, повишаването на публичните инвестиции ще окаже положителен ефект върху растежа по канала на разходите за крайното потребление, който допълнително ще</w:t>
      </w:r>
      <w:r w:rsidR="00F32B61">
        <w:rPr>
          <w:rFonts w:eastAsia="Batang"/>
          <w:bCs/>
          <w:color w:val="000000" w:themeColor="text1"/>
        </w:rPr>
        <w:t xml:space="preserve"> се подсили от мултипликаторите </w:t>
      </w:r>
      <w:r w:rsidRPr="0078150D">
        <w:rPr>
          <w:rFonts w:eastAsia="Batang"/>
          <w:bCs/>
          <w:color w:val="000000" w:themeColor="text1"/>
        </w:rPr>
        <w:t>чрез веригата от изпълнители, доставчици на материали и работници, които са предимно местни за икономиката субекти. В тази връзка правителството е поело ясен ангажимент, че в условията на криза няма по никакъв начин да намали планираните разходи за строителство на инфраструктурни проекти. В продължение на тази политика се предвижда и осигуряването на допълнителен ресурс за капиталови разходи за настоящата година, което да надгради одобрените вече пакети социално-икономически мерки за преодоляване на последствията от пандемията и да ускори строителството на ключови инфраструктурни обекти и съоръжения.</w:t>
      </w:r>
    </w:p>
    <w:p w:rsidR="00936734" w:rsidRPr="001D6330" w:rsidRDefault="00936734" w:rsidP="00936734">
      <w:pPr>
        <w:ind w:firstLine="708"/>
        <w:jc w:val="both"/>
        <w:rPr>
          <w:rFonts w:eastAsia="Batang"/>
          <w:bCs/>
          <w:color w:val="000000" w:themeColor="text1"/>
        </w:rPr>
      </w:pPr>
      <w:r w:rsidRPr="001D6330">
        <w:rPr>
          <w:rFonts w:eastAsia="Batang"/>
          <w:bCs/>
          <w:color w:val="000000" w:themeColor="text1"/>
        </w:rPr>
        <w:t xml:space="preserve">От страна на приходите към деветмесечието на 2020 г. не се наблюдава изоставане спрямо актуализираните разчети от април при основните данъци. </w:t>
      </w:r>
      <w:r w:rsidR="002F68B7" w:rsidRPr="002F68B7">
        <w:rPr>
          <w:rFonts w:eastAsia="Batang"/>
          <w:bCs/>
          <w:color w:val="000000" w:themeColor="text1"/>
        </w:rPr>
        <w:t xml:space="preserve">Тук следва да уточним, че за последното тримесечие на годината оценките са изготвени при допускане за запазване на по-меки мерки за борба с пандемията и липса на втора за годината строга карантина. </w:t>
      </w:r>
      <w:r w:rsidRPr="001D6330">
        <w:rPr>
          <w:rFonts w:eastAsia="Batang"/>
          <w:bCs/>
          <w:color w:val="000000" w:themeColor="text1"/>
        </w:rPr>
        <w:t>След периода на изразен спад при постъпленията в частта на ДДС и акцизи през второто тримесечие последваха месеци на постепенно възстановяване, като в годишен план се очаква постъпленията да бъдат близки до планираните в разчетите от пролетта. В частта на преките данъци постъпленията от ДДФЛ бяха по-слабо засегнати от негативните ефекти от пандемията, като към края на деветмесечието те дори отчитат минимален ръст спрямо същия период на 2019 г. Положителен ефект върху постъпленията от тези данъци оказа и приложената веднага след избухването на пандемията мярка за субсидирана заетост</w:t>
      </w:r>
      <w:r w:rsidR="00E33DEF">
        <w:rPr>
          <w:rFonts w:eastAsia="Batang"/>
          <w:bCs/>
          <w:color w:val="000000" w:themeColor="text1"/>
        </w:rPr>
        <w:t>,</w:t>
      </w:r>
      <w:r w:rsidRPr="001D6330">
        <w:rPr>
          <w:rFonts w:eastAsia="Batang"/>
          <w:bCs/>
          <w:color w:val="000000" w:themeColor="text1"/>
        </w:rPr>
        <w:t xml:space="preserve"> придобила популярност като „60/40“, която спомогна голяма част от работодателите да задържат своите служители и работници. </w:t>
      </w:r>
      <w:r w:rsidRPr="001D6330">
        <w:rPr>
          <w:rFonts w:eastAsia="Batang"/>
          <w:b/>
          <w:bCs/>
          <w:i/>
          <w:color w:val="000000" w:themeColor="text1"/>
        </w:rPr>
        <w:t>При неданъчните приходи към момента се прогнозира неизпълнение на годишните разчети в общ размер на около 0,9 млрд. лв</w:t>
      </w:r>
      <w:r w:rsidRPr="001D6330">
        <w:rPr>
          <w:rFonts w:eastAsia="Batang"/>
          <w:bCs/>
          <w:color w:val="000000" w:themeColor="text1"/>
        </w:rPr>
        <w:t xml:space="preserve">., като основната част от него се дължи на изместването за 2021 г. на заплащането на еднократно първоначално концесионно възнаграждение за възлагане на концесия за </w:t>
      </w:r>
      <w:r>
        <w:rPr>
          <w:rFonts w:eastAsia="Batang"/>
          <w:bCs/>
          <w:color w:val="000000" w:themeColor="text1"/>
        </w:rPr>
        <w:t xml:space="preserve">„Летище - </w:t>
      </w:r>
      <w:r w:rsidRPr="001D6330">
        <w:rPr>
          <w:rFonts w:eastAsia="Batang"/>
          <w:bCs/>
          <w:color w:val="000000" w:themeColor="text1"/>
        </w:rPr>
        <w:t>София“</w:t>
      </w:r>
      <w:r>
        <w:rPr>
          <w:rFonts w:eastAsia="Batang"/>
          <w:bCs/>
          <w:color w:val="000000" w:themeColor="text1"/>
        </w:rPr>
        <w:t xml:space="preserve"> ЕАД</w:t>
      </w:r>
      <w:r w:rsidRPr="001D6330">
        <w:rPr>
          <w:rFonts w:eastAsia="Batang"/>
          <w:bCs/>
          <w:color w:val="000000" w:themeColor="text1"/>
        </w:rPr>
        <w:t xml:space="preserve">. Съгласно подписания договор </w:t>
      </w:r>
      <w:r w:rsidR="00D32414">
        <w:rPr>
          <w:rFonts w:eastAsia="Batang"/>
          <w:bCs/>
          <w:color w:val="000000" w:themeColor="text1"/>
        </w:rPr>
        <w:t>със спечелилия</w:t>
      </w:r>
      <w:r w:rsidRPr="001D6330">
        <w:rPr>
          <w:rFonts w:eastAsia="Batang"/>
          <w:bCs/>
          <w:color w:val="000000" w:themeColor="text1"/>
        </w:rPr>
        <w:t xml:space="preserve"> процедурата оператор се очаква сумата от еднократното първоначално концесионно възнаграждение в размер на 660,</w:t>
      </w:r>
      <w:r>
        <w:rPr>
          <w:rFonts w:eastAsia="Batang"/>
          <w:bCs/>
          <w:color w:val="000000" w:themeColor="text1"/>
        </w:rPr>
        <w:t>0 млн. лв. да постъпи през 2021 </w:t>
      </w:r>
      <w:r w:rsidRPr="001D6330">
        <w:rPr>
          <w:rFonts w:eastAsia="Batang"/>
          <w:bCs/>
          <w:color w:val="000000" w:themeColor="text1"/>
        </w:rPr>
        <w:t xml:space="preserve">г., </w:t>
      </w:r>
      <w:r w:rsidR="00F15497" w:rsidRPr="001D6330">
        <w:rPr>
          <w:rFonts w:eastAsia="Batang"/>
          <w:bCs/>
          <w:color w:val="000000" w:themeColor="text1"/>
        </w:rPr>
        <w:t>с което в същия размер няма да бъдат изпълнени планираните постъпления по държавния бюджет за 2020 г.</w:t>
      </w:r>
      <w:r w:rsidRPr="001D6330">
        <w:rPr>
          <w:rFonts w:eastAsia="Batang"/>
          <w:bCs/>
          <w:color w:val="000000" w:themeColor="text1"/>
        </w:rPr>
        <w:t xml:space="preserve"> Освен това, на база на изготвени разчети се прогнозира и неизпълнение на приходите в частта на постъпленията от такси по държавния бюджет, което се дължи на по-ниски от планираните постъпления от ТОЛ такси за годината. </w:t>
      </w:r>
      <w:r w:rsidRPr="001D6330">
        <w:rPr>
          <w:rFonts w:eastAsia="Batang"/>
          <w:b/>
          <w:bCs/>
          <w:i/>
          <w:color w:val="000000" w:themeColor="text1"/>
        </w:rPr>
        <w:t>Предвид значителния размер на прогнозираното неизпълнение на постъпленията в частта на неданъчните приходи и липсата на възможност за предприемане на компенсиращи мерки в изпълнение на чл. 27, ал. 2 на ЗПФ в такъв размер, се налага да бъде предложена промяна в разчетите по ЗДБРБ за 2020 г.</w:t>
      </w:r>
    </w:p>
    <w:p w:rsidR="00936734" w:rsidRDefault="00936734" w:rsidP="00936734">
      <w:pPr>
        <w:ind w:firstLine="708"/>
        <w:jc w:val="both"/>
        <w:rPr>
          <w:rFonts w:eastAsia="Batang"/>
          <w:bCs/>
          <w:color w:val="000000" w:themeColor="text1"/>
        </w:rPr>
      </w:pPr>
      <w:r w:rsidRPr="001D6330">
        <w:rPr>
          <w:rFonts w:eastAsia="Batang"/>
          <w:bCs/>
          <w:color w:val="000000" w:themeColor="text1"/>
        </w:rPr>
        <w:t xml:space="preserve">Значителните по размер ресурси, насочени за преодоляване на негативните последствия от пандемията, изчерпаха наличните възможности за преструктуриране и обезпечаване на приоритетни разходи в рамките на утвърдените разходни тавани с актуализираните разчети към ЗДБРБ за 2020 г. от пролетта. Поради тази причина, отчитайки прогнозираното неизпълнение на неданъчните приходи по държавния бюджет и следвайки стратегията за подкрепа на икономиката чрез ръст на публичните инвестиции и потребление, правителството предлага да бъде направена нова актуализация на разчетите по приходите и разходите по държавния бюджет за 2020 г., която да бъде обсъдена в контекста и на планираните политики с проекта на Актуализираната средносрочна бюджетна прогноза 2021-2023 г. </w:t>
      </w:r>
    </w:p>
    <w:p w:rsidR="00E66038" w:rsidRDefault="00E66038" w:rsidP="00936734">
      <w:pPr>
        <w:ind w:firstLine="708"/>
        <w:jc w:val="both"/>
        <w:rPr>
          <w:rFonts w:eastAsia="Batang"/>
          <w:bCs/>
          <w:color w:val="000000" w:themeColor="text1"/>
        </w:rPr>
      </w:pPr>
    </w:p>
    <w:p w:rsidR="00936734" w:rsidRPr="00352794" w:rsidRDefault="00936734" w:rsidP="00936734">
      <w:pPr>
        <w:jc w:val="both"/>
        <w:rPr>
          <w:b/>
          <w:u w:val="single"/>
        </w:rPr>
      </w:pPr>
      <w:r w:rsidRPr="00352794">
        <w:rPr>
          <w:b/>
          <w:u w:val="single"/>
        </w:rPr>
        <w:lastRenderedPageBreak/>
        <w:t>Проект на актуализация на ЗДБРБ за 2020 г., внесен с Актуализираната средносрочна бюджетна прогноза 2021-2023 г.</w:t>
      </w:r>
    </w:p>
    <w:p w:rsidR="00936734" w:rsidRDefault="00936734" w:rsidP="00936734">
      <w:pPr>
        <w:jc w:val="both"/>
        <w:rPr>
          <w:color w:val="4F81BD" w:themeColor="accent1"/>
          <w:highlight w:val="yellow"/>
        </w:rPr>
      </w:pPr>
    </w:p>
    <w:p w:rsidR="00936734" w:rsidRPr="00AB7CDA" w:rsidRDefault="00936734" w:rsidP="00936734">
      <w:pPr>
        <w:jc w:val="both"/>
      </w:pPr>
      <w:r>
        <w:t>С Решение на Министерския съвет №778 от 29 октомври 2020 г. п</w:t>
      </w:r>
      <w:r w:rsidRPr="00352794">
        <w:t>равителството одобри и внесе за разглеждане в Народното събрание</w:t>
      </w:r>
      <w:r>
        <w:t xml:space="preserve"> проекта </w:t>
      </w:r>
      <w:r w:rsidR="00CF55E0">
        <w:t xml:space="preserve">на </w:t>
      </w:r>
      <w:r>
        <w:t>ЗДБРБ за 2021 г., както и</w:t>
      </w:r>
      <w:r w:rsidRPr="00352794">
        <w:t xml:space="preserve"> Актуализирана средносрочн</w:t>
      </w:r>
      <w:r>
        <w:t>а бюджетна прогноза 2021-2023 г. В преходните и заключителните разпоредби на законопроекта са предложени промени в разчетите по ЗДБРБ за 2020 г.</w:t>
      </w:r>
      <w:r w:rsidR="00F25226">
        <w:t>,</w:t>
      </w:r>
      <w:r>
        <w:t xml:space="preserve"> с които</w:t>
      </w:r>
      <w:r w:rsidRPr="00674616">
        <w:rPr>
          <w:color w:val="000000"/>
        </w:rPr>
        <w:t xml:space="preserve"> се предвижда</w:t>
      </w:r>
      <w:r w:rsidRPr="00493C45">
        <w:rPr>
          <w:color w:val="000000"/>
        </w:rPr>
        <w:t>,</w:t>
      </w:r>
      <w:r w:rsidRPr="00674616">
        <w:rPr>
          <w:color w:val="000000"/>
        </w:rPr>
        <w:t xml:space="preserve"> от една страна</w:t>
      </w:r>
      <w:r w:rsidRPr="00493C45">
        <w:rPr>
          <w:color w:val="000000"/>
        </w:rPr>
        <w:t>,</w:t>
      </w:r>
      <w:r w:rsidRPr="00674616">
        <w:rPr>
          <w:color w:val="000000"/>
        </w:rPr>
        <w:t xml:space="preserve"> намаление на </w:t>
      </w:r>
      <w:r w:rsidR="009E3ED7">
        <w:rPr>
          <w:color w:val="000000"/>
        </w:rPr>
        <w:t>неданъчните приходи</w:t>
      </w:r>
      <w:r w:rsidRPr="00674616">
        <w:rPr>
          <w:color w:val="000000"/>
        </w:rPr>
        <w:t xml:space="preserve"> по държавния бюджет в нетен размер на </w:t>
      </w:r>
      <w:r w:rsidRPr="00493C45">
        <w:rPr>
          <w:color w:val="000000"/>
        </w:rPr>
        <w:t>895 млн. лв.</w:t>
      </w:r>
      <w:r w:rsidRPr="00674616">
        <w:rPr>
          <w:color w:val="000000"/>
        </w:rPr>
        <w:t xml:space="preserve">, и от друга, увеличение на разходите по държавния бюджет в размер на </w:t>
      </w:r>
      <w:r w:rsidRPr="00493C45">
        <w:rPr>
          <w:color w:val="000000"/>
        </w:rPr>
        <w:t>840,7 млн. лв.</w:t>
      </w:r>
      <w:r w:rsidRPr="00674616">
        <w:rPr>
          <w:b/>
          <w:i/>
          <w:color w:val="000000"/>
        </w:rPr>
        <w:t xml:space="preserve">, с което бюджетното салдо по държавния бюджет за годината се предвижда да бъде отрицателно в размер на </w:t>
      </w:r>
      <w:r w:rsidRPr="00493C45">
        <w:rPr>
          <w:b/>
          <w:i/>
          <w:color w:val="000000"/>
        </w:rPr>
        <w:t>5 187,2 млн</w:t>
      </w:r>
      <w:r w:rsidRPr="00674616">
        <w:rPr>
          <w:b/>
          <w:i/>
          <w:color w:val="000000"/>
        </w:rPr>
        <w:t>. лв. (4,</w:t>
      </w:r>
      <w:proofErr w:type="spellStart"/>
      <w:r w:rsidRPr="00674616">
        <w:rPr>
          <w:b/>
          <w:i/>
          <w:color w:val="000000"/>
        </w:rPr>
        <w:t>4</w:t>
      </w:r>
      <w:proofErr w:type="spellEnd"/>
      <w:r w:rsidR="00556267">
        <w:rPr>
          <w:b/>
          <w:i/>
          <w:color w:val="000000"/>
        </w:rPr>
        <w:t xml:space="preserve"> </w:t>
      </w:r>
      <w:r w:rsidRPr="00674616">
        <w:rPr>
          <w:b/>
          <w:i/>
          <w:color w:val="000000"/>
        </w:rPr>
        <w:t xml:space="preserve">% от прогнозния БВП). </w:t>
      </w:r>
      <w:r w:rsidRPr="00674616">
        <w:rPr>
          <w:color w:val="000000"/>
        </w:rPr>
        <w:t>Изготвените р</w:t>
      </w:r>
      <w:r w:rsidRPr="002B69F4">
        <w:rPr>
          <w:color w:val="000000"/>
        </w:rPr>
        <w:t xml:space="preserve">азчети за основните параметри по консолидираната фискална програма предвиждат бюджетното салдо по консолидираната фискална програма да бъде отрицателно в размер на </w:t>
      </w:r>
      <w:r w:rsidRPr="00493C45">
        <w:rPr>
          <w:b/>
          <w:color w:val="000000"/>
        </w:rPr>
        <w:t>5 249,5 млн. лв.</w:t>
      </w:r>
      <w:r w:rsidRPr="00493C45">
        <w:rPr>
          <w:color w:val="000000"/>
        </w:rPr>
        <w:t xml:space="preserve"> или </w:t>
      </w:r>
      <w:r w:rsidRPr="00493C45">
        <w:rPr>
          <w:b/>
          <w:color w:val="000000"/>
        </w:rPr>
        <w:t>4,</w:t>
      </w:r>
      <w:proofErr w:type="spellStart"/>
      <w:r w:rsidRPr="00493C45">
        <w:rPr>
          <w:b/>
          <w:color w:val="000000"/>
        </w:rPr>
        <w:t>4</w:t>
      </w:r>
      <w:proofErr w:type="spellEnd"/>
      <w:r w:rsidRPr="00493C45">
        <w:rPr>
          <w:b/>
          <w:color w:val="000000"/>
        </w:rPr>
        <w:t xml:space="preserve"> на сто от прогнозния БВП</w:t>
      </w:r>
      <w:r w:rsidRPr="00674616">
        <w:rPr>
          <w:color w:val="000000"/>
        </w:rPr>
        <w:t>.</w:t>
      </w:r>
      <w:r w:rsidRPr="001B0CFF">
        <w:t xml:space="preserve"> </w:t>
      </w:r>
    </w:p>
    <w:p w:rsidR="00944338" w:rsidRPr="004A3BEC" w:rsidRDefault="00944338" w:rsidP="004815E1">
      <w:pPr>
        <w:autoSpaceDE w:val="0"/>
        <w:autoSpaceDN w:val="0"/>
        <w:adjustRightInd w:val="0"/>
        <w:spacing w:before="120" w:after="120"/>
        <w:ind w:firstLine="567"/>
        <w:jc w:val="both"/>
        <w:rPr>
          <w:noProof/>
          <w:color w:val="4F81BD" w:themeColor="accent1"/>
        </w:rPr>
      </w:pPr>
    </w:p>
    <w:p w:rsidR="00774DE7" w:rsidRPr="004A3BEC" w:rsidRDefault="00774DE7">
      <w:pPr>
        <w:rPr>
          <w:color w:val="4F81BD" w:themeColor="accent1"/>
        </w:rPr>
      </w:pPr>
      <w:r w:rsidRPr="004A3BEC">
        <w:rPr>
          <w:color w:val="4F81BD" w:themeColor="accent1"/>
        </w:rPr>
        <w:br w:type="page"/>
      </w:r>
    </w:p>
    <w:p w:rsidR="00D00AB4" w:rsidRPr="006D3CC8" w:rsidRDefault="00D00AB4" w:rsidP="00D00AB4">
      <w:pPr>
        <w:pStyle w:val="Heading1"/>
        <w:numPr>
          <w:ilvl w:val="0"/>
          <w:numId w:val="10"/>
        </w:numPr>
        <w:ind w:right="-108"/>
        <w:jc w:val="both"/>
        <w:rPr>
          <w:sz w:val="24"/>
        </w:rPr>
      </w:pPr>
      <w:r w:rsidRPr="006D3CC8">
        <w:rPr>
          <w:sz w:val="24"/>
        </w:rPr>
        <w:lastRenderedPageBreak/>
        <w:t>Основни показатели по консолидираната фискална програма</w:t>
      </w:r>
      <w:r w:rsidRPr="006D3CC8">
        <w:rPr>
          <w:rStyle w:val="FootnoteReference"/>
          <w:sz w:val="24"/>
        </w:rPr>
        <w:footnoteReference w:id="2"/>
      </w:r>
      <w:r w:rsidRPr="006D3CC8">
        <w:rPr>
          <w:sz w:val="24"/>
        </w:rPr>
        <w:t xml:space="preserve"> за </w:t>
      </w:r>
      <w:r w:rsidR="006D3CC8" w:rsidRPr="006D3CC8">
        <w:rPr>
          <w:sz w:val="24"/>
        </w:rPr>
        <w:t xml:space="preserve">деветмесечието </w:t>
      </w:r>
      <w:r w:rsidRPr="006D3CC8">
        <w:rPr>
          <w:sz w:val="24"/>
        </w:rPr>
        <w:t>на 20</w:t>
      </w:r>
      <w:r w:rsidRPr="006D3CC8">
        <w:rPr>
          <w:sz w:val="24"/>
          <w:lang w:val="en-US"/>
        </w:rPr>
        <w:t>20</w:t>
      </w:r>
      <w:r w:rsidRPr="006D3CC8">
        <w:rPr>
          <w:sz w:val="24"/>
        </w:rPr>
        <w:t> г.</w:t>
      </w:r>
    </w:p>
    <w:p w:rsidR="00D00AB4" w:rsidRPr="004A3BEC" w:rsidRDefault="00D00AB4" w:rsidP="00D00AB4">
      <w:pPr>
        <w:rPr>
          <w:color w:val="4F81BD" w:themeColor="accent1"/>
          <w:sz w:val="6"/>
          <w:szCs w:val="12"/>
        </w:rPr>
      </w:pPr>
    </w:p>
    <w:p w:rsidR="00103EDE" w:rsidRPr="00781340" w:rsidRDefault="00103EDE" w:rsidP="00103EDE">
      <w:pPr>
        <w:jc w:val="both"/>
      </w:pPr>
      <w:r w:rsidRPr="00781340">
        <w:t>Изпълнението на основните показатели по консолидираната фискална програма за деветмесечието на 20</w:t>
      </w:r>
      <w:r w:rsidRPr="00781340">
        <w:rPr>
          <w:lang w:val="en-US"/>
        </w:rPr>
        <w:t>20</w:t>
      </w:r>
      <w:r w:rsidRPr="00781340">
        <w:t xml:space="preserve"> г. е представено в следната таблица:</w:t>
      </w:r>
    </w:p>
    <w:p w:rsidR="00103EDE" w:rsidRPr="004A3BEC" w:rsidRDefault="00103EDE" w:rsidP="00103EDE">
      <w:pPr>
        <w:jc w:val="both"/>
        <w:rPr>
          <w:color w:val="4F81BD" w:themeColor="accent1"/>
          <w:sz w:val="4"/>
          <w:szCs w:val="4"/>
        </w:rPr>
      </w:pPr>
    </w:p>
    <w:p w:rsidR="00103EDE" w:rsidRPr="0068294C" w:rsidRDefault="00103EDE" w:rsidP="00103EDE">
      <w:pPr>
        <w:spacing w:before="120"/>
        <w:rPr>
          <w:b/>
          <w:i/>
          <w:sz w:val="18"/>
          <w:szCs w:val="18"/>
        </w:rPr>
      </w:pPr>
      <w:r w:rsidRPr="0068294C">
        <w:rPr>
          <w:b/>
          <w:i/>
          <w:sz w:val="22"/>
          <w:szCs w:val="22"/>
        </w:rPr>
        <w:t>Таблица</w:t>
      </w:r>
      <w:r w:rsidRPr="0068294C">
        <w:rPr>
          <w:b/>
          <w:i/>
          <w:sz w:val="22"/>
          <w:szCs w:val="22"/>
          <w:vertAlign w:val="superscript"/>
        </w:rPr>
        <w:footnoteReference w:id="3"/>
      </w:r>
      <w:r w:rsidRPr="0068294C">
        <w:rPr>
          <w:b/>
          <w:i/>
          <w:sz w:val="22"/>
          <w:szCs w:val="22"/>
        </w:rPr>
        <w:t xml:space="preserve"> №1</w:t>
      </w:r>
      <w:r w:rsidRPr="0068294C">
        <w:rPr>
          <w:b/>
          <w:i/>
          <w:sz w:val="22"/>
          <w:szCs w:val="22"/>
        </w:rPr>
        <w:tab/>
      </w:r>
      <w:r w:rsidRPr="0068294C">
        <w:rPr>
          <w:b/>
          <w:i/>
          <w:sz w:val="22"/>
          <w:szCs w:val="22"/>
        </w:rPr>
        <w:tab/>
      </w:r>
      <w:r w:rsidRPr="0068294C">
        <w:rPr>
          <w:b/>
          <w:i/>
          <w:sz w:val="22"/>
          <w:szCs w:val="22"/>
        </w:rPr>
        <w:tab/>
      </w:r>
      <w:r w:rsidRPr="0068294C">
        <w:rPr>
          <w:b/>
          <w:i/>
          <w:sz w:val="22"/>
          <w:szCs w:val="22"/>
        </w:rPr>
        <w:tab/>
      </w:r>
      <w:r w:rsidRPr="0068294C">
        <w:rPr>
          <w:b/>
          <w:i/>
          <w:sz w:val="22"/>
          <w:szCs w:val="22"/>
        </w:rPr>
        <w:tab/>
      </w:r>
      <w:r w:rsidRPr="0068294C">
        <w:rPr>
          <w:b/>
          <w:i/>
          <w:sz w:val="22"/>
          <w:szCs w:val="22"/>
        </w:rPr>
        <w:tab/>
      </w:r>
      <w:r w:rsidRPr="0068294C">
        <w:rPr>
          <w:b/>
          <w:i/>
          <w:sz w:val="22"/>
          <w:szCs w:val="22"/>
        </w:rPr>
        <w:tab/>
      </w:r>
      <w:r w:rsidRPr="0068294C">
        <w:rPr>
          <w:b/>
          <w:i/>
          <w:sz w:val="22"/>
          <w:szCs w:val="22"/>
        </w:rPr>
        <w:tab/>
      </w:r>
      <w:r w:rsidRPr="0068294C">
        <w:rPr>
          <w:b/>
          <w:i/>
          <w:sz w:val="22"/>
          <w:szCs w:val="22"/>
        </w:rPr>
        <w:tab/>
      </w:r>
      <w:r w:rsidRPr="0068294C">
        <w:rPr>
          <w:b/>
          <w:i/>
          <w:sz w:val="22"/>
          <w:szCs w:val="22"/>
        </w:rPr>
        <w:tab/>
      </w:r>
      <w:r w:rsidRPr="0068294C">
        <w:rPr>
          <w:b/>
          <w:i/>
          <w:sz w:val="22"/>
          <w:szCs w:val="22"/>
        </w:rPr>
        <w:tab/>
      </w:r>
      <w:r w:rsidRPr="0068294C">
        <w:rPr>
          <w:b/>
          <w:i/>
          <w:sz w:val="18"/>
          <w:szCs w:val="18"/>
        </w:rPr>
        <w:t>(млн. лв.)</w:t>
      </w:r>
    </w:p>
    <w:tbl>
      <w:tblPr>
        <w:tblW w:w="10093" w:type="dxa"/>
        <w:tblInd w:w="98" w:type="dxa"/>
        <w:tblLook w:val="04A0" w:firstRow="1" w:lastRow="0" w:firstColumn="1" w:lastColumn="0" w:noHBand="0" w:noVBand="1"/>
      </w:tblPr>
      <w:tblGrid>
        <w:gridCol w:w="4263"/>
        <w:gridCol w:w="992"/>
        <w:gridCol w:w="1087"/>
        <w:gridCol w:w="1252"/>
        <w:gridCol w:w="1199"/>
        <w:gridCol w:w="1300"/>
      </w:tblGrid>
      <w:tr w:rsidR="00103EDE" w:rsidRPr="004A3BEC" w:rsidTr="000F61D1">
        <w:trPr>
          <w:trHeight w:val="270"/>
        </w:trPr>
        <w:tc>
          <w:tcPr>
            <w:tcW w:w="4263"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103EDE" w:rsidRPr="0068294C" w:rsidRDefault="00103EDE" w:rsidP="000F61D1">
            <w:pPr>
              <w:jc w:val="center"/>
              <w:rPr>
                <w:b/>
                <w:bCs/>
                <w:sz w:val="18"/>
                <w:szCs w:val="18"/>
              </w:rPr>
            </w:pPr>
            <w:r w:rsidRPr="0068294C">
              <w:rPr>
                <w:b/>
                <w:bCs/>
                <w:sz w:val="18"/>
                <w:szCs w:val="18"/>
              </w:rPr>
              <w:t>ПОКАЗАТЕЛ</w:t>
            </w:r>
          </w:p>
        </w:tc>
        <w:tc>
          <w:tcPr>
            <w:tcW w:w="992" w:type="dxa"/>
            <w:tcBorders>
              <w:top w:val="single" w:sz="8" w:space="0" w:color="auto"/>
              <w:left w:val="single" w:sz="4" w:space="0" w:color="auto"/>
              <w:bottom w:val="nil"/>
              <w:right w:val="single" w:sz="4" w:space="0" w:color="auto"/>
            </w:tcBorders>
            <w:shd w:val="clear" w:color="000000" w:fill="D9D9D9"/>
            <w:noWrap/>
            <w:vAlign w:val="bottom"/>
            <w:hideMark/>
          </w:tcPr>
          <w:p w:rsidR="00103EDE" w:rsidRPr="0068294C" w:rsidRDefault="00103EDE" w:rsidP="000F61D1">
            <w:pPr>
              <w:jc w:val="center"/>
              <w:rPr>
                <w:b/>
                <w:bCs/>
                <w:sz w:val="18"/>
                <w:szCs w:val="18"/>
              </w:rPr>
            </w:pPr>
            <w:r w:rsidRPr="0068294C">
              <w:rPr>
                <w:b/>
                <w:bCs/>
                <w:sz w:val="18"/>
                <w:szCs w:val="18"/>
              </w:rPr>
              <w:t>Разчет 20</w:t>
            </w:r>
            <w:r w:rsidRPr="0068294C">
              <w:rPr>
                <w:b/>
                <w:bCs/>
                <w:sz w:val="18"/>
                <w:szCs w:val="18"/>
                <w:lang w:val="en-US"/>
              </w:rPr>
              <w:t>20</w:t>
            </w:r>
            <w:r w:rsidRPr="0068294C">
              <w:rPr>
                <w:b/>
                <w:bCs/>
                <w:sz w:val="18"/>
                <w:szCs w:val="18"/>
              </w:rPr>
              <w:t xml:space="preserve"> г.</w:t>
            </w:r>
            <w:r w:rsidRPr="0068294C">
              <w:rPr>
                <w:rStyle w:val="FootnoteReference"/>
                <w:b/>
                <w:bCs/>
                <w:sz w:val="18"/>
                <w:szCs w:val="18"/>
              </w:rPr>
              <w:footnoteReference w:id="4"/>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103EDE" w:rsidRPr="00A92E7E" w:rsidRDefault="00103EDE" w:rsidP="000F61D1">
            <w:pPr>
              <w:jc w:val="center"/>
              <w:rPr>
                <w:b/>
                <w:bCs/>
                <w:sz w:val="18"/>
                <w:szCs w:val="18"/>
              </w:rPr>
            </w:pPr>
            <w:r w:rsidRPr="00A92E7E">
              <w:rPr>
                <w:b/>
                <w:bCs/>
                <w:sz w:val="18"/>
                <w:szCs w:val="18"/>
              </w:rPr>
              <w:t>Отчет към 30.0</w:t>
            </w:r>
            <w:r w:rsidRPr="00A92E7E">
              <w:rPr>
                <w:b/>
                <w:bCs/>
                <w:sz w:val="18"/>
                <w:szCs w:val="18"/>
                <w:lang w:val="en-US"/>
              </w:rPr>
              <w:t>9</w:t>
            </w:r>
            <w:r w:rsidRPr="00A92E7E">
              <w:rPr>
                <w:b/>
                <w:bCs/>
                <w:sz w:val="18"/>
                <w:szCs w:val="18"/>
              </w:rPr>
              <w:t>.20</w:t>
            </w:r>
            <w:r w:rsidRPr="00A92E7E">
              <w:rPr>
                <w:b/>
                <w:bCs/>
                <w:sz w:val="18"/>
                <w:szCs w:val="18"/>
                <w:lang w:val="en-US"/>
              </w:rPr>
              <w:t>20</w:t>
            </w:r>
            <w:r w:rsidRPr="00A92E7E">
              <w:rPr>
                <w:b/>
                <w:bCs/>
                <w:sz w:val="18"/>
                <w:szCs w:val="18"/>
              </w:rPr>
              <w:t xml:space="preserve"> г.</w:t>
            </w:r>
          </w:p>
        </w:tc>
        <w:tc>
          <w:tcPr>
            <w:tcW w:w="1300" w:type="dxa"/>
            <w:tcBorders>
              <w:top w:val="single" w:sz="8" w:space="0" w:color="auto"/>
              <w:left w:val="nil"/>
              <w:bottom w:val="nil"/>
              <w:right w:val="single" w:sz="8" w:space="0" w:color="auto"/>
            </w:tcBorders>
            <w:shd w:val="clear" w:color="000000" w:fill="D9D9D9"/>
            <w:noWrap/>
            <w:vAlign w:val="bottom"/>
            <w:hideMark/>
          </w:tcPr>
          <w:p w:rsidR="00103EDE" w:rsidRPr="00A92E7E" w:rsidRDefault="00103EDE" w:rsidP="000F61D1">
            <w:pPr>
              <w:jc w:val="center"/>
              <w:rPr>
                <w:b/>
                <w:bCs/>
                <w:sz w:val="18"/>
                <w:szCs w:val="18"/>
              </w:rPr>
            </w:pPr>
            <w:r w:rsidRPr="00A92E7E">
              <w:rPr>
                <w:b/>
                <w:bCs/>
                <w:sz w:val="18"/>
                <w:szCs w:val="18"/>
              </w:rPr>
              <w:t>Изпълнение</w:t>
            </w:r>
          </w:p>
        </w:tc>
      </w:tr>
      <w:tr w:rsidR="00103EDE" w:rsidRPr="004A3BEC" w:rsidTr="000F61D1">
        <w:trPr>
          <w:trHeight w:val="255"/>
        </w:trPr>
        <w:tc>
          <w:tcPr>
            <w:tcW w:w="4263" w:type="dxa"/>
            <w:vMerge/>
            <w:tcBorders>
              <w:top w:val="single" w:sz="8" w:space="0" w:color="auto"/>
              <w:left w:val="single" w:sz="8" w:space="0" w:color="auto"/>
              <w:bottom w:val="single" w:sz="4" w:space="0" w:color="000000"/>
              <w:right w:val="nil"/>
            </w:tcBorders>
            <w:vAlign w:val="center"/>
            <w:hideMark/>
          </w:tcPr>
          <w:p w:rsidR="00103EDE" w:rsidRPr="0068294C" w:rsidRDefault="00103EDE" w:rsidP="000F61D1">
            <w:pPr>
              <w:rPr>
                <w:b/>
                <w:bCs/>
                <w:sz w:val="18"/>
                <w:szCs w:val="18"/>
              </w:rPr>
            </w:pP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103EDE" w:rsidRPr="0068294C" w:rsidRDefault="00103EDE" w:rsidP="000F61D1">
            <w:pPr>
              <w:jc w:val="center"/>
              <w:rPr>
                <w:b/>
                <w:bCs/>
                <w:sz w:val="18"/>
                <w:szCs w:val="18"/>
              </w:rPr>
            </w:pPr>
            <w:r w:rsidRPr="0068294C">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rsidR="00103EDE" w:rsidRPr="00A92E7E" w:rsidRDefault="00103EDE" w:rsidP="000F61D1">
            <w:pPr>
              <w:jc w:val="center"/>
              <w:rPr>
                <w:b/>
                <w:bCs/>
                <w:sz w:val="18"/>
                <w:szCs w:val="18"/>
              </w:rPr>
            </w:pPr>
            <w:r w:rsidRPr="00A92E7E">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rsidR="00103EDE" w:rsidRPr="00A92E7E" w:rsidRDefault="00103EDE" w:rsidP="000F61D1">
            <w:pPr>
              <w:jc w:val="center"/>
              <w:rPr>
                <w:b/>
                <w:bCs/>
                <w:sz w:val="18"/>
                <w:szCs w:val="18"/>
              </w:rPr>
            </w:pPr>
            <w:r w:rsidRPr="00A92E7E">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103EDE" w:rsidRPr="00A92E7E" w:rsidRDefault="00103EDE" w:rsidP="000F61D1">
            <w:pPr>
              <w:jc w:val="center"/>
              <w:rPr>
                <w:b/>
                <w:bCs/>
                <w:sz w:val="18"/>
                <w:szCs w:val="18"/>
              </w:rPr>
            </w:pPr>
            <w:r w:rsidRPr="00A92E7E">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rsidR="00103EDE" w:rsidRPr="00A92E7E" w:rsidRDefault="00103EDE" w:rsidP="000F61D1">
            <w:pPr>
              <w:jc w:val="center"/>
              <w:rPr>
                <w:b/>
                <w:bCs/>
                <w:sz w:val="18"/>
                <w:szCs w:val="18"/>
              </w:rPr>
            </w:pPr>
            <w:r w:rsidRPr="00A92E7E">
              <w:rPr>
                <w:b/>
                <w:bCs/>
                <w:sz w:val="18"/>
                <w:szCs w:val="18"/>
              </w:rPr>
              <w:t>спрямо разчет</w:t>
            </w:r>
          </w:p>
        </w:tc>
      </w:tr>
      <w:tr w:rsidR="00103EDE" w:rsidRPr="004A3BEC" w:rsidTr="000F61D1">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103EDE" w:rsidRPr="0068294C" w:rsidRDefault="00103EDE" w:rsidP="000F61D1">
            <w:pPr>
              <w:jc w:val="center"/>
              <w:rPr>
                <w:sz w:val="18"/>
                <w:szCs w:val="18"/>
              </w:rPr>
            </w:pPr>
            <w:r w:rsidRPr="0068294C">
              <w:rPr>
                <w:sz w:val="18"/>
                <w:szCs w:val="18"/>
              </w:rPr>
              <w:t>к.1</w:t>
            </w:r>
          </w:p>
        </w:tc>
        <w:tc>
          <w:tcPr>
            <w:tcW w:w="992" w:type="dxa"/>
            <w:tcBorders>
              <w:top w:val="nil"/>
              <w:left w:val="single" w:sz="4" w:space="0" w:color="auto"/>
              <w:bottom w:val="single" w:sz="8" w:space="0" w:color="auto"/>
              <w:right w:val="single" w:sz="4" w:space="0" w:color="auto"/>
            </w:tcBorders>
            <w:shd w:val="clear" w:color="000000" w:fill="D9D9D9"/>
            <w:noWrap/>
            <w:vAlign w:val="bottom"/>
            <w:hideMark/>
          </w:tcPr>
          <w:p w:rsidR="00103EDE" w:rsidRPr="0068294C" w:rsidRDefault="00103EDE" w:rsidP="000F61D1">
            <w:pPr>
              <w:jc w:val="center"/>
              <w:rPr>
                <w:sz w:val="18"/>
                <w:szCs w:val="18"/>
              </w:rPr>
            </w:pPr>
            <w:r w:rsidRPr="0068294C">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rsidR="00103EDE" w:rsidRPr="00A92E7E" w:rsidRDefault="00103EDE" w:rsidP="000F61D1">
            <w:pPr>
              <w:jc w:val="center"/>
              <w:rPr>
                <w:sz w:val="18"/>
                <w:szCs w:val="18"/>
              </w:rPr>
            </w:pPr>
            <w:r w:rsidRPr="00A92E7E">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rsidR="00103EDE" w:rsidRPr="00A92E7E" w:rsidRDefault="00103EDE" w:rsidP="000F61D1">
            <w:pPr>
              <w:jc w:val="center"/>
              <w:rPr>
                <w:sz w:val="18"/>
                <w:szCs w:val="18"/>
              </w:rPr>
            </w:pPr>
            <w:r w:rsidRPr="00A92E7E">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103EDE" w:rsidRPr="00A92E7E" w:rsidRDefault="00103EDE" w:rsidP="000F61D1">
            <w:pPr>
              <w:jc w:val="center"/>
              <w:rPr>
                <w:sz w:val="18"/>
                <w:szCs w:val="18"/>
              </w:rPr>
            </w:pPr>
            <w:r w:rsidRPr="00A92E7E">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rsidR="00103EDE" w:rsidRPr="00A92E7E" w:rsidRDefault="00103EDE" w:rsidP="000F61D1">
            <w:pPr>
              <w:jc w:val="center"/>
              <w:rPr>
                <w:sz w:val="18"/>
                <w:szCs w:val="18"/>
              </w:rPr>
            </w:pPr>
            <w:r w:rsidRPr="00A92E7E">
              <w:rPr>
                <w:sz w:val="18"/>
                <w:szCs w:val="18"/>
              </w:rPr>
              <w:t>к.6=к.3:к.2</w:t>
            </w:r>
          </w:p>
        </w:tc>
      </w:tr>
      <w:tr w:rsidR="00103EDE" w:rsidRPr="004A3BEC" w:rsidTr="000F61D1">
        <w:trPr>
          <w:trHeight w:val="255"/>
        </w:trPr>
        <w:tc>
          <w:tcPr>
            <w:tcW w:w="4263" w:type="dxa"/>
            <w:tcBorders>
              <w:top w:val="nil"/>
              <w:left w:val="single" w:sz="8" w:space="0" w:color="auto"/>
              <w:bottom w:val="nil"/>
              <w:right w:val="nil"/>
            </w:tcBorders>
            <w:shd w:val="clear" w:color="auto" w:fill="auto"/>
            <w:noWrap/>
            <w:vAlign w:val="bottom"/>
            <w:hideMark/>
          </w:tcPr>
          <w:p w:rsidR="00103EDE" w:rsidRPr="0068294C" w:rsidRDefault="00103EDE" w:rsidP="000F61D1">
            <w:pPr>
              <w:rPr>
                <w:b/>
                <w:bCs/>
                <w:sz w:val="18"/>
                <w:szCs w:val="18"/>
              </w:rPr>
            </w:pPr>
            <w:r w:rsidRPr="0068294C">
              <w:rPr>
                <w:b/>
                <w:bCs/>
                <w:sz w:val="18"/>
                <w:szCs w:val="18"/>
              </w:rPr>
              <w:t>ПРИХОДИ, ПОМОЩИ И ДАРЕНИЯ</w:t>
            </w:r>
          </w:p>
        </w:tc>
        <w:tc>
          <w:tcPr>
            <w:tcW w:w="992" w:type="dxa"/>
            <w:tcBorders>
              <w:top w:val="nil"/>
              <w:left w:val="nil"/>
              <w:bottom w:val="nil"/>
              <w:right w:val="nil"/>
            </w:tcBorders>
            <w:shd w:val="clear" w:color="auto" w:fill="auto"/>
            <w:noWrap/>
            <w:vAlign w:val="bottom"/>
            <w:hideMark/>
          </w:tcPr>
          <w:p w:rsidR="00103EDE" w:rsidRDefault="00103EDE" w:rsidP="000F61D1">
            <w:pPr>
              <w:jc w:val="right"/>
              <w:rPr>
                <w:b/>
                <w:bCs/>
                <w:sz w:val="18"/>
                <w:szCs w:val="18"/>
              </w:rPr>
            </w:pPr>
            <w:r>
              <w:rPr>
                <w:b/>
                <w:bCs/>
                <w:sz w:val="18"/>
                <w:szCs w:val="18"/>
              </w:rPr>
              <w:t>44 392,7</w:t>
            </w:r>
          </w:p>
        </w:tc>
        <w:tc>
          <w:tcPr>
            <w:tcW w:w="1087" w:type="dxa"/>
            <w:tcBorders>
              <w:top w:val="nil"/>
              <w:left w:val="nil"/>
              <w:bottom w:val="nil"/>
              <w:right w:val="nil"/>
            </w:tcBorders>
            <w:shd w:val="clear" w:color="auto" w:fill="auto"/>
            <w:noWrap/>
            <w:vAlign w:val="bottom"/>
            <w:hideMark/>
          </w:tcPr>
          <w:p w:rsidR="00103EDE" w:rsidRDefault="00103EDE" w:rsidP="000F61D1">
            <w:pPr>
              <w:jc w:val="right"/>
              <w:rPr>
                <w:b/>
                <w:bCs/>
                <w:sz w:val="18"/>
                <w:szCs w:val="18"/>
              </w:rPr>
            </w:pPr>
            <w:r>
              <w:rPr>
                <w:b/>
                <w:bCs/>
                <w:sz w:val="18"/>
                <w:szCs w:val="18"/>
              </w:rPr>
              <w:t>32 415,5</w:t>
            </w:r>
          </w:p>
        </w:tc>
        <w:tc>
          <w:tcPr>
            <w:tcW w:w="1252" w:type="dxa"/>
            <w:tcBorders>
              <w:top w:val="nil"/>
              <w:left w:val="nil"/>
              <w:bottom w:val="nil"/>
              <w:right w:val="nil"/>
            </w:tcBorders>
            <w:shd w:val="clear" w:color="auto" w:fill="auto"/>
            <w:noWrap/>
            <w:vAlign w:val="bottom"/>
            <w:hideMark/>
          </w:tcPr>
          <w:p w:rsidR="00103EDE" w:rsidRDefault="00103EDE" w:rsidP="000F61D1">
            <w:pPr>
              <w:jc w:val="right"/>
              <w:rPr>
                <w:b/>
                <w:bCs/>
                <w:color w:val="000000"/>
                <w:sz w:val="18"/>
                <w:szCs w:val="18"/>
              </w:rPr>
            </w:pPr>
            <w:r>
              <w:rPr>
                <w:b/>
                <w:bCs/>
                <w:color w:val="000000"/>
                <w:sz w:val="18"/>
                <w:szCs w:val="18"/>
              </w:rPr>
              <w:t>30 384,2</w:t>
            </w:r>
          </w:p>
        </w:tc>
        <w:tc>
          <w:tcPr>
            <w:tcW w:w="1199" w:type="dxa"/>
            <w:tcBorders>
              <w:top w:val="nil"/>
              <w:left w:val="nil"/>
              <w:bottom w:val="nil"/>
              <w:right w:val="nil"/>
            </w:tcBorders>
            <w:shd w:val="clear" w:color="auto" w:fill="auto"/>
            <w:noWrap/>
            <w:vAlign w:val="bottom"/>
            <w:hideMark/>
          </w:tcPr>
          <w:p w:rsidR="00103EDE" w:rsidRDefault="00103EDE" w:rsidP="000F61D1">
            <w:pPr>
              <w:jc w:val="right"/>
              <w:rPr>
                <w:b/>
                <w:bCs/>
                <w:color w:val="000000"/>
                <w:sz w:val="18"/>
                <w:szCs w:val="18"/>
              </w:rPr>
            </w:pPr>
            <w:r>
              <w:rPr>
                <w:b/>
                <w:bCs/>
                <w:color w:val="000000"/>
                <w:sz w:val="18"/>
                <w:szCs w:val="18"/>
              </w:rPr>
              <w:t>2 031,3</w:t>
            </w:r>
          </w:p>
        </w:tc>
        <w:tc>
          <w:tcPr>
            <w:tcW w:w="1300" w:type="dxa"/>
            <w:tcBorders>
              <w:top w:val="nil"/>
              <w:left w:val="nil"/>
              <w:bottom w:val="nil"/>
              <w:right w:val="single" w:sz="8" w:space="0" w:color="auto"/>
            </w:tcBorders>
            <w:shd w:val="clear" w:color="auto" w:fill="auto"/>
            <w:noWrap/>
            <w:vAlign w:val="bottom"/>
            <w:hideMark/>
          </w:tcPr>
          <w:p w:rsidR="00103EDE" w:rsidRDefault="00103EDE" w:rsidP="000F61D1">
            <w:pPr>
              <w:jc w:val="right"/>
              <w:rPr>
                <w:b/>
                <w:bCs/>
                <w:sz w:val="18"/>
                <w:szCs w:val="18"/>
              </w:rPr>
            </w:pPr>
            <w:r>
              <w:rPr>
                <w:b/>
                <w:bCs/>
                <w:sz w:val="18"/>
                <w:szCs w:val="18"/>
              </w:rPr>
              <w:t>73,0%</w:t>
            </w:r>
          </w:p>
        </w:tc>
      </w:tr>
      <w:tr w:rsidR="00103EDE" w:rsidRPr="004A3BEC" w:rsidTr="000F61D1">
        <w:trPr>
          <w:trHeight w:val="255"/>
        </w:trPr>
        <w:tc>
          <w:tcPr>
            <w:tcW w:w="4263" w:type="dxa"/>
            <w:tcBorders>
              <w:top w:val="nil"/>
              <w:left w:val="single" w:sz="8" w:space="0" w:color="auto"/>
              <w:bottom w:val="nil"/>
              <w:right w:val="nil"/>
            </w:tcBorders>
            <w:shd w:val="clear" w:color="auto" w:fill="auto"/>
            <w:noWrap/>
            <w:vAlign w:val="bottom"/>
            <w:hideMark/>
          </w:tcPr>
          <w:p w:rsidR="00103EDE" w:rsidRPr="0068294C" w:rsidRDefault="00103EDE" w:rsidP="000F61D1">
            <w:pPr>
              <w:rPr>
                <w:sz w:val="18"/>
                <w:szCs w:val="18"/>
              </w:rPr>
            </w:pPr>
            <w:r w:rsidRPr="0068294C">
              <w:rPr>
                <w:sz w:val="18"/>
                <w:szCs w:val="18"/>
              </w:rPr>
              <w:t xml:space="preserve">  Данъчни приходи</w:t>
            </w:r>
          </w:p>
        </w:tc>
        <w:tc>
          <w:tcPr>
            <w:tcW w:w="992"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34 915,9</w:t>
            </w:r>
          </w:p>
        </w:tc>
        <w:tc>
          <w:tcPr>
            <w:tcW w:w="1087"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25 990,6</w:t>
            </w:r>
          </w:p>
        </w:tc>
        <w:tc>
          <w:tcPr>
            <w:tcW w:w="1252" w:type="dxa"/>
            <w:tcBorders>
              <w:top w:val="nil"/>
              <w:left w:val="nil"/>
              <w:bottom w:val="nil"/>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25 990,6</w:t>
            </w:r>
          </w:p>
        </w:tc>
        <w:tc>
          <w:tcPr>
            <w:tcW w:w="1199" w:type="dxa"/>
            <w:tcBorders>
              <w:top w:val="nil"/>
              <w:left w:val="nil"/>
              <w:bottom w:val="nil"/>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0,</w:t>
            </w:r>
            <w:proofErr w:type="spellStart"/>
            <w:r>
              <w:rPr>
                <w:color w:val="000000"/>
                <w:sz w:val="18"/>
                <w:szCs w:val="18"/>
              </w:rPr>
              <w:t>0</w:t>
            </w:r>
            <w:proofErr w:type="spellEnd"/>
          </w:p>
        </w:tc>
        <w:tc>
          <w:tcPr>
            <w:tcW w:w="1300" w:type="dxa"/>
            <w:tcBorders>
              <w:top w:val="nil"/>
              <w:left w:val="nil"/>
              <w:bottom w:val="nil"/>
              <w:right w:val="single" w:sz="8" w:space="0" w:color="auto"/>
            </w:tcBorders>
            <w:shd w:val="clear" w:color="auto" w:fill="auto"/>
            <w:noWrap/>
            <w:vAlign w:val="bottom"/>
            <w:hideMark/>
          </w:tcPr>
          <w:p w:rsidR="00103EDE" w:rsidRDefault="00103EDE" w:rsidP="000F61D1">
            <w:pPr>
              <w:jc w:val="right"/>
              <w:rPr>
                <w:sz w:val="18"/>
                <w:szCs w:val="18"/>
              </w:rPr>
            </w:pPr>
            <w:r>
              <w:rPr>
                <w:sz w:val="18"/>
                <w:szCs w:val="18"/>
              </w:rPr>
              <w:t>74,4%</w:t>
            </w:r>
          </w:p>
        </w:tc>
      </w:tr>
      <w:tr w:rsidR="00103EDE" w:rsidRPr="004A3BEC" w:rsidTr="000F61D1">
        <w:trPr>
          <w:trHeight w:val="255"/>
        </w:trPr>
        <w:tc>
          <w:tcPr>
            <w:tcW w:w="4263" w:type="dxa"/>
            <w:tcBorders>
              <w:top w:val="nil"/>
              <w:left w:val="single" w:sz="8" w:space="0" w:color="auto"/>
              <w:bottom w:val="nil"/>
              <w:right w:val="nil"/>
            </w:tcBorders>
            <w:shd w:val="clear" w:color="auto" w:fill="auto"/>
            <w:noWrap/>
            <w:vAlign w:val="bottom"/>
            <w:hideMark/>
          </w:tcPr>
          <w:p w:rsidR="00103EDE" w:rsidRPr="0068294C" w:rsidRDefault="00103EDE" w:rsidP="000F61D1">
            <w:pPr>
              <w:rPr>
                <w:sz w:val="18"/>
                <w:szCs w:val="18"/>
              </w:rPr>
            </w:pPr>
            <w:r w:rsidRPr="0068294C">
              <w:rPr>
                <w:sz w:val="18"/>
                <w:szCs w:val="18"/>
              </w:rPr>
              <w:t xml:space="preserve">  Неданъчни приходи</w:t>
            </w:r>
          </w:p>
        </w:tc>
        <w:tc>
          <w:tcPr>
            <w:tcW w:w="992"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6 782,7</w:t>
            </w:r>
          </w:p>
        </w:tc>
        <w:tc>
          <w:tcPr>
            <w:tcW w:w="1087"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4 311,2</w:t>
            </w:r>
          </w:p>
        </w:tc>
        <w:tc>
          <w:tcPr>
            <w:tcW w:w="1252" w:type="dxa"/>
            <w:tcBorders>
              <w:top w:val="nil"/>
              <w:left w:val="nil"/>
              <w:bottom w:val="nil"/>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4 301,1</w:t>
            </w:r>
          </w:p>
        </w:tc>
        <w:tc>
          <w:tcPr>
            <w:tcW w:w="1199" w:type="dxa"/>
            <w:tcBorders>
              <w:top w:val="nil"/>
              <w:left w:val="nil"/>
              <w:bottom w:val="nil"/>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10,1</w:t>
            </w:r>
          </w:p>
        </w:tc>
        <w:tc>
          <w:tcPr>
            <w:tcW w:w="1300" w:type="dxa"/>
            <w:tcBorders>
              <w:top w:val="nil"/>
              <w:left w:val="nil"/>
              <w:bottom w:val="nil"/>
              <w:right w:val="single" w:sz="8" w:space="0" w:color="auto"/>
            </w:tcBorders>
            <w:shd w:val="clear" w:color="auto" w:fill="auto"/>
            <w:noWrap/>
            <w:vAlign w:val="bottom"/>
            <w:hideMark/>
          </w:tcPr>
          <w:p w:rsidR="00103EDE" w:rsidRDefault="00103EDE" w:rsidP="000F61D1">
            <w:pPr>
              <w:jc w:val="right"/>
              <w:rPr>
                <w:sz w:val="18"/>
                <w:szCs w:val="18"/>
              </w:rPr>
            </w:pPr>
            <w:r>
              <w:rPr>
                <w:sz w:val="18"/>
                <w:szCs w:val="18"/>
              </w:rPr>
              <w:t>63,6%</w:t>
            </w:r>
          </w:p>
        </w:tc>
      </w:tr>
      <w:tr w:rsidR="00103EDE" w:rsidRPr="004A3BEC" w:rsidTr="000F61D1">
        <w:trPr>
          <w:trHeight w:val="255"/>
        </w:trPr>
        <w:tc>
          <w:tcPr>
            <w:tcW w:w="4263" w:type="dxa"/>
            <w:tcBorders>
              <w:top w:val="nil"/>
              <w:left w:val="single" w:sz="8" w:space="0" w:color="auto"/>
              <w:bottom w:val="nil"/>
              <w:right w:val="nil"/>
            </w:tcBorders>
            <w:shd w:val="clear" w:color="auto" w:fill="auto"/>
            <w:noWrap/>
            <w:vAlign w:val="bottom"/>
            <w:hideMark/>
          </w:tcPr>
          <w:p w:rsidR="00103EDE" w:rsidRPr="0068294C" w:rsidRDefault="00103EDE" w:rsidP="000F61D1">
            <w:pPr>
              <w:rPr>
                <w:sz w:val="18"/>
                <w:szCs w:val="18"/>
              </w:rPr>
            </w:pPr>
            <w:r w:rsidRPr="0068294C">
              <w:rPr>
                <w:sz w:val="18"/>
                <w:szCs w:val="18"/>
              </w:rPr>
              <w:t xml:space="preserve">  Помощи и дарения</w:t>
            </w:r>
          </w:p>
        </w:tc>
        <w:tc>
          <w:tcPr>
            <w:tcW w:w="992"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2 694,2</w:t>
            </w:r>
          </w:p>
        </w:tc>
        <w:tc>
          <w:tcPr>
            <w:tcW w:w="1087"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2 113,8</w:t>
            </w:r>
          </w:p>
        </w:tc>
        <w:tc>
          <w:tcPr>
            <w:tcW w:w="1252" w:type="dxa"/>
            <w:tcBorders>
              <w:top w:val="nil"/>
              <w:left w:val="nil"/>
              <w:bottom w:val="nil"/>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92,5</w:t>
            </w:r>
          </w:p>
        </w:tc>
        <w:tc>
          <w:tcPr>
            <w:tcW w:w="1199" w:type="dxa"/>
            <w:tcBorders>
              <w:top w:val="nil"/>
              <w:left w:val="nil"/>
              <w:bottom w:val="single" w:sz="4" w:space="0" w:color="auto"/>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2 021,2</w:t>
            </w:r>
          </w:p>
        </w:tc>
        <w:tc>
          <w:tcPr>
            <w:tcW w:w="1300" w:type="dxa"/>
            <w:tcBorders>
              <w:top w:val="nil"/>
              <w:left w:val="nil"/>
              <w:bottom w:val="nil"/>
              <w:right w:val="single" w:sz="8" w:space="0" w:color="auto"/>
            </w:tcBorders>
            <w:shd w:val="clear" w:color="auto" w:fill="auto"/>
            <w:noWrap/>
            <w:vAlign w:val="bottom"/>
            <w:hideMark/>
          </w:tcPr>
          <w:p w:rsidR="00103EDE" w:rsidRDefault="00103EDE" w:rsidP="000F61D1">
            <w:pPr>
              <w:jc w:val="right"/>
              <w:rPr>
                <w:sz w:val="18"/>
                <w:szCs w:val="18"/>
              </w:rPr>
            </w:pPr>
            <w:r>
              <w:rPr>
                <w:sz w:val="18"/>
                <w:szCs w:val="18"/>
              </w:rPr>
              <w:t>78,5%</w:t>
            </w:r>
          </w:p>
        </w:tc>
      </w:tr>
      <w:tr w:rsidR="00103EDE" w:rsidRPr="004A3BEC" w:rsidTr="000F61D1">
        <w:trPr>
          <w:trHeight w:val="480"/>
        </w:trPr>
        <w:tc>
          <w:tcPr>
            <w:tcW w:w="4263" w:type="dxa"/>
            <w:tcBorders>
              <w:top w:val="single" w:sz="4" w:space="0" w:color="auto"/>
              <w:left w:val="single" w:sz="8" w:space="0" w:color="auto"/>
              <w:bottom w:val="nil"/>
              <w:right w:val="nil"/>
            </w:tcBorders>
            <w:shd w:val="clear" w:color="auto" w:fill="auto"/>
            <w:vAlign w:val="bottom"/>
            <w:hideMark/>
          </w:tcPr>
          <w:p w:rsidR="00103EDE" w:rsidRPr="0068294C" w:rsidRDefault="00103EDE" w:rsidP="000F61D1">
            <w:pPr>
              <w:rPr>
                <w:b/>
                <w:bCs/>
                <w:sz w:val="18"/>
                <w:szCs w:val="18"/>
              </w:rPr>
            </w:pPr>
            <w:r w:rsidRPr="0068294C">
              <w:rPr>
                <w:b/>
                <w:bCs/>
                <w:sz w:val="18"/>
                <w:szCs w:val="18"/>
              </w:rPr>
              <w:t>РАЗХОДИ И ВНОСКА ЗА ОБЩИЯ БЮДЖЕТ НА ЕС</w:t>
            </w:r>
          </w:p>
        </w:tc>
        <w:tc>
          <w:tcPr>
            <w:tcW w:w="992" w:type="dxa"/>
            <w:tcBorders>
              <w:top w:val="single" w:sz="4" w:space="0" w:color="auto"/>
              <w:left w:val="nil"/>
              <w:bottom w:val="nil"/>
              <w:right w:val="nil"/>
            </w:tcBorders>
            <w:shd w:val="clear" w:color="auto" w:fill="auto"/>
            <w:noWrap/>
            <w:vAlign w:val="bottom"/>
            <w:hideMark/>
          </w:tcPr>
          <w:p w:rsidR="00103EDE" w:rsidRDefault="00103EDE" w:rsidP="000F61D1">
            <w:pPr>
              <w:jc w:val="right"/>
              <w:rPr>
                <w:b/>
                <w:bCs/>
                <w:sz w:val="18"/>
                <w:szCs w:val="18"/>
              </w:rPr>
            </w:pPr>
            <w:r>
              <w:rPr>
                <w:b/>
                <w:bCs/>
                <w:sz w:val="18"/>
                <w:szCs w:val="18"/>
              </w:rPr>
              <w:t>47 906,6</w:t>
            </w:r>
          </w:p>
        </w:tc>
        <w:tc>
          <w:tcPr>
            <w:tcW w:w="1087" w:type="dxa"/>
            <w:tcBorders>
              <w:top w:val="single" w:sz="4" w:space="0" w:color="auto"/>
              <w:left w:val="nil"/>
              <w:bottom w:val="nil"/>
              <w:right w:val="nil"/>
            </w:tcBorders>
            <w:shd w:val="clear" w:color="auto" w:fill="auto"/>
            <w:noWrap/>
            <w:vAlign w:val="bottom"/>
            <w:hideMark/>
          </w:tcPr>
          <w:p w:rsidR="00103EDE" w:rsidRDefault="00103EDE" w:rsidP="000F61D1">
            <w:pPr>
              <w:jc w:val="right"/>
              <w:rPr>
                <w:b/>
                <w:bCs/>
                <w:sz w:val="18"/>
                <w:szCs w:val="18"/>
              </w:rPr>
            </w:pPr>
            <w:r>
              <w:rPr>
                <w:b/>
                <w:bCs/>
                <w:sz w:val="18"/>
                <w:szCs w:val="18"/>
              </w:rPr>
              <w:t>31 544,1</w:t>
            </w:r>
          </w:p>
        </w:tc>
        <w:tc>
          <w:tcPr>
            <w:tcW w:w="1252" w:type="dxa"/>
            <w:tcBorders>
              <w:top w:val="single" w:sz="4" w:space="0" w:color="auto"/>
              <w:left w:val="nil"/>
              <w:bottom w:val="nil"/>
              <w:right w:val="nil"/>
            </w:tcBorders>
            <w:shd w:val="clear" w:color="auto" w:fill="auto"/>
            <w:noWrap/>
            <w:vAlign w:val="bottom"/>
            <w:hideMark/>
          </w:tcPr>
          <w:p w:rsidR="00103EDE" w:rsidRDefault="00103EDE" w:rsidP="000F61D1">
            <w:pPr>
              <w:jc w:val="right"/>
              <w:rPr>
                <w:b/>
                <w:bCs/>
                <w:color w:val="000000"/>
                <w:sz w:val="18"/>
                <w:szCs w:val="18"/>
              </w:rPr>
            </w:pPr>
            <w:r>
              <w:rPr>
                <w:b/>
                <w:bCs/>
                <w:color w:val="000000"/>
                <w:sz w:val="18"/>
                <w:szCs w:val="18"/>
              </w:rPr>
              <w:t>29 395,0</w:t>
            </w:r>
          </w:p>
        </w:tc>
        <w:tc>
          <w:tcPr>
            <w:tcW w:w="1199" w:type="dxa"/>
            <w:tcBorders>
              <w:top w:val="nil"/>
              <w:left w:val="nil"/>
              <w:bottom w:val="nil"/>
              <w:right w:val="nil"/>
            </w:tcBorders>
            <w:shd w:val="clear" w:color="auto" w:fill="auto"/>
            <w:noWrap/>
            <w:vAlign w:val="bottom"/>
            <w:hideMark/>
          </w:tcPr>
          <w:p w:rsidR="00103EDE" w:rsidRDefault="00103EDE" w:rsidP="000F61D1">
            <w:pPr>
              <w:jc w:val="right"/>
              <w:rPr>
                <w:b/>
                <w:bCs/>
                <w:color w:val="000000"/>
                <w:sz w:val="18"/>
                <w:szCs w:val="18"/>
              </w:rPr>
            </w:pPr>
            <w:r>
              <w:rPr>
                <w:b/>
                <w:bCs/>
                <w:color w:val="000000"/>
                <w:sz w:val="18"/>
                <w:szCs w:val="18"/>
              </w:rPr>
              <w:t>2 149,1</w:t>
            </w:r>
          </w:p>
        </w:tc>
        <w:tc>
          <w:tcPr>
            <w:tcW w:w="1300" w:type="dxa"/>
            <w:tcBorders>
              <w:top w:val="single" w:sz="4" w:space="0" w:color="auto"/>
              <w:left w:val="nil"/>
              <w:bottom w:val="nil"/>
              <w:right w:val="single" w:sz="8" w:space="0" w:color="auto"/>
            </w:tcBorders>
            <w:shd w:val="clear" w:color="auto" w:fill="auto"/>
            <w:noWrap/>
            <w:vAlign w:val="bottom"/>
            <w:hideMark/>
          </w:tcPr>
          <w:p w:rsidR="00103EDE" w:rsidRDefault="00103EDE" w:rsidP="000F61D1">
            <w:pPr>
              <w:jc w:val="right"/>
              <w:rPr>
                <w:b/>
                <w:bCs/>
                <w:sz w:val="18"/>
                <w:szCs w:val="18"/>
              </w:rPr>
            </w:pPr>
            <w:r>
              <w:rPr>
                <w:b/>
                <w:bCs/>
                <w:sz w:val="18"/>
                <w:szCs w:val="18"/>
              </w:rPr>
              <w:t>65,8%</w:t>
            </w:r>
          </w:p>
        </w:tc>
      </w:tr>
      <w:tr w:rsidR="00103EDE" w:rsidRPr="004A3BEC" w:rsidTr="000F61D1">
        <w:trPr>
          <w:trHeight w:val="255"/>
        </w:trPr>
        <w:tc>
          <w:tcPr>
            <w:tcW w:w="4263" w:type="dxa"/>
            <w:tcBorders>
              <w:top w:val="nil"/>
              <w:left w:val="single" w:sz="8" w:space="0" w:color="auto"/>
              <w:bottom w:val="nil"/>
              <w:right w:val="nil"/>
            </w:tcBorders>
            <w:shd w:val="clear" w:color="auto" w:fill="auto"/>
            <w:noWrap/>
            <w:vAlign w:val="bottom"/>
            <w:hideMark/>
          </w:tcPr>
          <w:p w:rsidR="00103EDE" w:rsidRPr="0068294C" w:rsidRDefault="00103EDE" w:rsidP="000F61D1">
            <w:pPr>
              <w:rPr>
                <w:sz w:val="18"/>
                <w:szCs w:val="18"/>
              </w:rPr>
            </w:pPr>
            <w:r w:rsidRPr="0068294C">
              <w:rPr>
                <w:sz w:val="18"/>
                <w:szCs w:val="18"/>
              </w:rPr>
              <w:t xml:space="preserve">  Нелихвени</w:t>
            </w:r>
          </w:p>
        </w:tc>
        <w:tc>
          <w:tcPr>
            <w:tcW w:w="992"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45 564,0</w:t>
            </w:r>
          </w:p>
        </w:tc>
        <w:tc>
          <w:tcPr>
            <w:tcW w:w="1087"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30 099,2</w:t>
            </w:r>
          </w:p>
        </w:tc>
        <w:tc>
          <w:tcPr>
            <w:tcW w:w="1252"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27 950,1</w:t>
            </w:r>
          </w:p>
        </w:tc>
        <w:tc>
          <w:tcPr>
            <w:tcW w:w="1199"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2 149,1</w:t>
            </w:r>
          </w:p>
        </w:tc>
        <w:tc>
          <w:tcPr>
            <w:tcW w:w="1300" w:type="dxa"/>
            <w:tcBorders>
              <w:top w:val="nil"/>
              <w:left w:val="nil"/>
              <w:bottom w:val="nil"/>
              <w:right w:val="single" w:sz="8" w:space="0" w:color="auto"/>
            </w:tcBorders>
            <w:shd w:val="clear" w:color="auto" w:fill="auto"/>
            <w:noWrap/>
            <w:vAlign w:val="bottom"/>
            <w:hideMark/>
          </w:tcPr>
          <w:p w:rsidR="00103EDE" w:rsidRDefault="00103EDE" w:rsidP="000F61D1">
            <w:pPr>
              <w:jc w:val="right"/>
              <w:rPr>
                <w:sz w:val="18"/>
                <w:szCs w:val="18"/>
              </w:rPr>
            </w:pPr>
            <w:r>
              <w:rPr>
                <w:sz w:val="18"/>
                <w:szCs w:val="18"/>
              </w:rPr>
              <w:t>66,1%</w:t>
            </w:r>
          </w:p>
        </w:tc>
      </w:tr>
      <w:tr w:rsidR="00103EDE" w:rsidRPr="004A3BEC" w:rsidTr="000F61D1">
        <w:trPr>
          <w:trHeight w:val="255"/>
        </w:trPr>
        <w:tc>
          <w:tcPr>
            <w:tcW w:w="4263" w:type="dxa"/>
            <w:tcBorders>
              <w:top w:val="nil"/>
              <w:left w:val="single" w:sz="8" w:space="0" w:color="auto"/>
              <w:bottom w:val="nil"/>
              <w:right w:val="nil"/>
            </w:tcBorders>
            <w:shd w:val="clear" w:color="auto" w:fill="auto"/>
            <w:noWrap/>
            <w:vAlign w:val="bottom"/>
            <w:hideMark/>
          </w:tcPr>
          <w:p w:rsidR="00103EDE" w:rsidRPr="0068294C" w:rsidRDefault="00103EDE" w:rsidP="000F61D1">
            <w:pPr>
              <w:rPr>
                <w:sz w:val="18"/>
                <w:szCs w:val="18"/>
              </w:rPr>
            </w:pPr>
            <w:r w:rsidRPr="0068294C">
              <w:rPr>
                <w:sz w:val="18"/>
                <w:szCs w:val="18"/>
              </w:rPr>
              <w:t xml:space="preserve">    Текущи</w:t>
            </w:r>
          </w:p>
        </w:tc>
        <w:tc>
          <w:tcPr>
            <w:tcW w:w="992"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38 960,3</w:t>
            </w:r>
          </w:p>
        </w:tc>
        <w:tc>
          <w:tcPr>
            <w:tcW w:w="1087"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27 352,2</w:t>
            </w:r>
          </w:p>
        </w:tc>
        <w:tc>
          <w:tcPr>
            <w:tcW w:w="1252" w:type="dxa"/>
            <w:tcBorders>
              <w:top w:val="nil"/>
              <w:left w:val="nil"/>
              <w:bottom w:val="nil"/>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26 488,0</w:t>
            </w:r>
          </w:p>
        </w:tc>
        <w:tc>
          <w:tcPr>
            <w:tcW w:w="1199" w:type="dxa"/>
            <w:tcBorders>
              <w:top w:val="nil"/>
              <w:left w:val="nil"/>
              <w:bottom w:val="nil"/>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864,2</w:t>
            </w:r>
          </w:p>
        </w:tc>
        <w:tc>
          <w:tcPr>
            <w:tcW w:w="1300" w:type="dxa"/>
            <w:tcBorders>
              <w:top w:val="nil"/>
              <w:left w:val="nil"/>
              <w:bottom w:val="nil"/>
              <w:right w:val="single" w:sz="8" w:space="0" w:color="auto"/>
            </w:tcBorders>
            <w:shd w:val="clear" w:color="auto" w:fill="auto"/>
            <w:noWrap/>
            <w:vAlign w:val="bottom"/>
            <w:hideMark/>
          </w:tcPr>
          <w:p w:rsidR="00103EDE" w:rsidRDefault="00103EDE" w:rsidP="000F61D1">
            <w:pPr>
              <w:jc w:val="right"/>
              <w:rPr>
                <w:sz w:val="18"/>
                <w:szCs w:val="18"/>
              </w:rPr>
            </w:pPr>
            <w:r>
              <w:rPr>
                <w:sz w:val="18"/>
                <w:szCs w:val="18"/>
              </w:rPr>
              <w:t>70,2%</w:t>
            </w:r>
          </w:p>
        </w:tc>
      </w:tr>
      <w:tr w:rsidR="00103EDE" w:rsidRPr="004A3BEC" w:rsidTr="000F61D1">
        <w:trPr>
          <w:trHeight w:val="255"/>
        </w:trPr>
        <w:tc>
          <w:tcPr>
            <w:tcW w:w="4263" w:type="dxa"/>
            <w:tcBorders>
              <w:top w:val="nil"/>
              <w:left w:val="single" w:sz="8" w:space="0" w:color="auto"/>
              <w:bottom w:val="nil"/>
              <w:right w:val="nil"/>
            </w:tcBorders>
            <w:shd w:val="clear" w:color="auto" w:fill="auto"/>
            <w:noWrap/>
            <w:vAlign w:val="bottom"/>
          </w:tcPr>
          <w:p w:rsidR="00103EDE" w:rsidRPr="0068294C" w:rsidRDefault="00103EDE" w:rsidP="000F61D1">
            <w:pPr>
              <w:rPr>
                <w:sz w:val="18"/>
                <w:szCs w:val="18"/>
              </w:rPr>
            </w:pPr>
            <w:r w:rsidRPr="0068294C">
              <w:rPr>
                <w:sz w:val="18"/>
                <w:szCs w:val="18"/>
                <w:lang w:val="en-US"/>
              </w:rPr>
              <w:t xml:space="preserve">    </w:t>
            </w:r>
            <w:r w:rsidRPr="0068294C">
              <w:rPr>
                <w:sz w:val="18"/>
                <w:szCs w:val="18"/>
              </w:rPr>
              <w:t xml:space="preserve">Предоставени </w:t>
            </w:r>
            <w:proofErr w:type="spellStart"/>
            <w:r w:rsidRPr="0068294C">
              <w:rPr>
                <w:sz w:val="18"/>
                <w:szCs w:val="18"/>
              </w:rPr>
              <w:t>тек</w:t>
            </w:r>
            <w:proofErr w:type="spellEnd"/>
            <w:r w:rsidRPr="0068294C">
              <w:rPr>
                <w:sz w:val="18"/>
                <w:szCs w:val="18"/>
              </w:rPr>
              <w:t xml:space="preserve">. и </w:t>
            </w:r>
            <w:proofErr w:type="spellStart"/>
            <w:r w:rsidRPr="0068294C">
              <w:rPr>
                <w:sz w:val="18"/>
                <w:szCs w:val="18"/>
              </w:rPr>
              <w:t>капит</w:t>
            </w:r>
            <w:proofErr w:type="spellEnd"/>
            <w:r w:rsidRPr="0068294C">
              <w:rPr>
                <w:sz w:val="18"/>
                <w:szCs w:val="18"/>
              </w:rPr>
              <w:t>. трансфери за чужбина</w:t>
            </w:r>
          </w:p>
        </w:tc>
        <w:tc>
          <w:tcPr>
            <w:tcW w:w="992" w:type="dxa"/>
            <w:tcBorders>
              <w:top w:val="nil"/>
              <w:left w:val="nil"/>
              <w:bottom w:val="nil"/>
              <w:right w:val="nil"/>
            </w:tcBorders>
            <w:shd w:val="clear" w:color="auto" w:fill="auto"/>
            <w:noWrap/>
            <w:vAlign w:val="bottom"/>
          </w:tcPr>
          <w:p w:rsidR="00103EDE" w:rsidRDefault="00103EDE" w:rsidP="000F61D1">
            <w:pPr>
              <w:jc w:val="right"/>
              <w:rPr>
                <w:sz w:val="18"/>
                <w:szCs w:val="18"/>
              </w:rPr>
            </w:pPr>
            <w:r>
              <w:rPr>
                <w:sz w:val="18"/>
                <w:szCs w:val="18"/>
              </w:rPr>
              <w:t>29,5</w:t>
            </w:r>
          </w:p>
        </w:tc>
        <w:tc>
          <w:tcPr>
            <w:tcW w:w="1087" w:type="dxa"/>
            <w:tcBorders>
              <w:top w:val="nil"/>
              <w:left w:val="nil"/>
              <w:bottom w:val="nil"/>
              <w:right w:val="nil"/>
            </w:tcBorders>
            <w:shd w:val="clear" w:color="auto" w:fill="auto"/>
            <w:noWrap/>
            <w:vAlign w:val="bottom"/>
          </w:tcPr>
          <w:p w:rsidR="00103EDE" w:rsidRDefault="00103EDE" w:rsidP="000F61D1">
            <w:pPr>
              <w:jc w:val="right"/>
              <w:rPr>
                <w:sz w:val="18"/>
                <w:szCs w:val="18"/>
              </w:rPr>
            </w:pPr>
            <w:r>
              <w:rPr>
                <w:sz w:val="18"/>
                <w:szCs w:val="18"/>
              </w:rPr>
              <w:t>30,8</w:t>
            </w:r>
          </w:p>
        </w:tc>
        <w:tc>
          <w:tcPr>
            <w:tcW w:w="1252" w:type="dxa"/>
            <w:tcBorders>
              <w:top w:val="nil"/>
              <w:left w:val="nil"/>
              <w:bottom w:val="nil"/>
              <w:right w:val="nil"/>
            </w:tcBorders>
            <w:shd w:val="clear" w:color="auto" w:fill="auto"/>
            <w:noWrap/>
            <w:vAlign w:val="bottom"/>
          </w:tcPr>
          <w:p w:rsidR="00103EDE" w:rsidRDefault="00103EDE" w:rsidP="000F61D1">
            <w:pPr>
              <w:jc w:val="right"/>
              <w:rPr>
                <w:color w:val="000000"/>
                <w:sz w:val="18"/>
                <w:szCs w:val="18"/>
              </w:rPr>
            </w:pPr>
            <w:r>
              <w:rPr>
                <w:color w:val="000000"/>
                <w:sz w:val="18"/>
                <w:szCs w:val="18"/>
              </w:rPr>
              <w:t>17,4</w:t>
            </w:r>
          </w:p>
        </w:tc>
        <w:tc>
          <w:tcPr>
            <w:tcW w:w="1199" w:type="dxa"/>
            <w:tcBorders>
              <w:top w:val="nil"/>
              <w:left w:val="nil"/>
              <w:bottom w:val="nil"/>
              <w:right w:val="nil"/>
            </w:tcBorders>
            <w:shd w:val="clear" w:color="auto" w:fill="auto"/>
            <w:noWrap/>
            <w:vAlign w:val="bottom"/>
          </w:tcPr>
          <w:p w:rsidR="00103EDE" w:rsidRDefault="00103EDE" w:rsidP="000F61D1">
            <w:pPr>
              <w:jc w:val="right"/>
              <w:rPr>
                <w:color w:val="000000"/>
                <w:sz w:val="18"/>
                <w:szCs w:val="18"/>
              </w:rPr>
            </w:pPr>
            <w:r>
              <w:rPr>
                <w:color w:val="000000"/>
                <w:sz w:val="18"/>
                <w:szCs w:val="18"/>
              </w:rPr>
              <w:t>13,4</w:t>
            </w:r>
          </w:p>
        </w:tc>
        <w:tc>
          <w:tcPr>
            <w:tcW w:w="1300" w:type="dxa"/>
            <w:tcBorders>
              <w:top w:val="nil"/>
              <w:left w:val="nil"/>
              <w:bottom w:val="nil"/>
              <w:right w:val="single" w:sz="8" w:space="0" w:color="auto"/>
            </w:tcBorders>
            <w:shd w:val="clear" w:color="auto" w:fill="auto"/>
            <w:noWrap/>
            <w:vAlign w:val="bottom"/>
          </w:tcPr>
          <w:p w:rsidR="00103EDE" w:rsidRDefault="00103EDE" w:rsidP="000F61D1">
            <w:pPr>
              <w:jc w:val="right"/>
              <w:rPr>
                <w:sz w:val="18"/>
                <w:szCs w:val="18"/>
              </w:rPr>
            </w:pPr>
            <w:r>
              <w:rPr>
                <w:sz w:val="18"/>
                <w:szCs w:val="18"/>
              </w:rPr>
              <w:t>104,6%</w:t>
            </w:r>
          </w:p>
        </w:tc>
      </w:tr>
      <w:tr w:rsidR="00103EDE" w:rsidRPr="004A3BEC" w:rsidTr="000F61D1">
        <w:trPr>
          <w:trHeight w:val="255"/>
        </w:trPr>
        <w:tc>
          <w:tcPr>
            <w:tcW w:w="4263" w:type="dxa"/>
            <w:tcBorders>
              <w:top w:val="nil"/>
              <w:left w:val="single" w:sz="8" w:space="0" w:color="auto"/>
              <w:bottom w:val="nil"/>
              <w:right w:val="nil"/>
            </w:tcBorders>
            <w:shd w:val="clear" w:color="auto" w:fill="auto"/>
            <w:noWrap/>
            <w:vAlign w:val="bottom"/>
            <w:hideMark/>
          </w:tcPr>
          <w:p w:rsidR="00103EDE" w:rsidRPr="0068294C" w:rsidRDefault="00103EDE" w:rsidP="000F61D1">
            <w:pPr>
              <w:rPr>
                <w:sz w:val="18"/>
                <w:szCs w:val="18"/>
              </w:rPr>
            </w:pPr>
            <w:r w:rsidRPr="0068294C">
              <w:rPr>
                <w:sz w:val="18"/>
                <w:szCs w:val="18"/>
              </w:rPr>
              <w:t xml:space="preserve">    Капиталови</w:t>
            </w:r>
          </w:p>
        </w:tc>
        <w:tc>
          <w:tcPr>
            <w:tcW w:w="992"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6 574,2</w:t>
            </w:r>
          </w:p>
        </w:tc>
        <w:tc>
          <w:tcPr>
            <w:tcW w:w="1087"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2 716,2</w:t>
            </w:r>
          </w:p>
        </w:tc>
        <w:tc>
          <w:tcPr>
            <w:tcW w:w="1252" w:type="dxa"/>
            <w:tcBorders>
              <w:top w:val="nil"/>
              <w:left w:val="nil"/>
              <w:bottom w:val="nil"/>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1 444,7</w:t>
            </w:r>
          </w:p>
        </w:tc>
        <w:tc>
          <w:tcPr>
            <w:tcW w:w="1199" w:type="dxa"/>
            <w:tcBorders>
              <w:top w:val="nil"/>
              <w:left w:val="nil"/>
              <w:bottom w:val="nil"/>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1 271,5</w:t>
            </w:r>
          </w:p>
        </w:tc>
        <w:tc>
          <w:tcPr>
            <w:tcW w:w="1300" w:type="dxa"/>
            <w:tcBorders>
              <w:top w:val="nil"/>
              <w:left w:val="nil"/>
              <w:bottom w:val="nil"/>
              <w:right w:val="single" w:sz="8" w:space="0" w:color="auto"/>
            </w:tcBorders>
            <w:shd w:val="clear" w:color="auto" w:fill="auto"/>
            <w:noWrap/>
            <w:vAlign w:val="bottom"/>
            <w:hideMark/>
          </w:tcPr>
          <w:p w:rsidR="00103EDE" w:rsidRDefault="00103EDE" w:rsidP="000F61D1">
            <w:pPr>
              <w:jc w:val="right"/>
              <w:rPr>
                <w:sz w:val="18"/>
                <w:szCs w:val="18"/>
              </w:rPr>
            </w:pPr>
            <w:r>
              <w:rPr>
                <w:sz w:val="18"/>
                <w:szCs w:val="18"/>
              </w:rPr>
              <w:t>41,3%</w:t>
            </w:r>
          </w:p>
        </w:tc>
      </w:tr>
      <w:tr w:rsidR="00103EDE" w:rsidRPr="004A3BEC" w:rsidTr="000F61D1">
        <w:trPr>
          <w:trHeight w:val="255"/>
        </w:trPr>
        <w:tc>
          <w:tcPr>
            <w:tcW w:w="4263" w:type="dxa"/>
            <w:tcBorders>
              <w:top w:val="nil"/>
              <w:left w:val="single" w:sz="8" w:space="0" w:color="auto"/>
              <w:bottom w:val="nil"/>
              <w:right w:val="nil"/>
            </w:tcBorders>
            <w:shd w:val="clear" w:color="auto" w:fill="auto"/>
            <w:noWrap/>
            <w:vAlign w:val="bottom"/>
            <w:hideMark/>
          </w:tcPr>
          <w:p w:rsidR="00103EDE" w:rsidRPr="0068294C" w:rsidRDefault="00103EDE" w:rsidP="000F61D1">
            <w:pPr>
              <w:rPr>
                <w:sz w:val="18"/>
                <w:szCs w:val="18"/>
              </w:rPr>
            </w:pPr>
            <w:r w:rsidRPr="0068294C">
              <w:rPr>
                <w:sz w:val="18"/>
                <w:szCs w:val="18"/>
              </w:rPr>
              <w:t xml:space="preserve">           в т.ч. нетен прираст на държавния резерв</w:t>
            </w:r>
          </w:p>
        </w:tc>
        <w:tc>
          <w:tcPr>
            <w:tcW w:w="992"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19,2</w:t>
            </w:r>
          </w:p>
        </w:tc>
        <w:tc>
          <w:tcPr>
            <w:tcW w:w="1087"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-0,3</w:t>
            </w:r>
          </w:p>
        </w:tc>
        <w:tc>
          <w:tcPr>
            <w:tcW w:w="1252" w:type="dxa"/>
            <w:tcBorders>
              <w:top w:val="nil"/>
              <w:left w:val="nil"/>
              <w:bottom w:val="nil"/>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-0,3</w:t>
            </w:r>
          </w:p>
        </w:tc>
        <w:tc>
          <w:tcPr>
            <w:tcW w:w="1199" w:type="dxa"/>
            <w:tcBorders>
              <w:top w:val="nil"/>
              <w:left w:val="nil"/>
              <w:bottom w:val="nil"/>
              <w:right w:val="nil"/>
            </w:tcBorders>
            <w:shd w:val="clear" w:color="auto" w:fill="auto"/>
            <w:noWrap/>
            <w:vAlign w:val="bottom"/>
          </w:tcPr>
          <w:p w:rsidR="00103EDE" w:rsidRDefault="00103EDE" w:rsidP="000F61D1">
            <w:pPr>
              <w:jc w:val="right"/>
              <w:rPr>
                <w:color w:val="000000"/>
                <w:sz w:val="18"/>
                <w:szCs w:val="18"/>
              </w:rPr>
            </w:pPr>
          </w:p>
        </w:tc>
        <w:tc>
          <w:tcPr>
            <w:tcW w:w="1300" w:type="dxa"/>
            <w:tcBorders>
              <w:top w:val="nil"/>
              <w:left w:val="nil"/>
              <w:bottom w:val="nil"/>
              <w:right w:val="single" w:sz="8" w:space="0" w:color="auto"/>
            </w:tcBorders>
            <w:shd w:val="clear" w:color="auto" w:fill="auto"/>
            <w:noWrap/>
            <w:vAlign w:val="bottom"/>
          </w:tcPr>
          <w:p w:rsidR="00103EDE" w:rsidRDefault="00103EDE" w:rsidP="000F61D1">
            <w:pPr>
              <w:jc w:val="right"/>
              <w:rPr>
                <w:sz w:val="18"/>
                <w:szCs w:val="18"/>
              </w:rPr>
            </w:pPr>
          </w:p>
        </w:tc>
      </w:tr>
      <w:tr w:rsidR="00103EDE" w:rsidRPr="004A3BEC" w:rsidTr="000F61D1">
        <w:trPr>
          <w:trHeight w:val="255"/>
        </w:trPr>
        <w:tc>
          <w:tcPr>
            <w:tcW w:w="4263" w:type="dxa"/>
            <w:tcBorders>
              <w:top w:val="nil"/>
              <w:left w:val="single" w:sz="8" w:space="0" w:color="auto"/>
              <w:bottom w:val="nil"/>
              <w:right w:val="nil"/>
            </w:tcBorders>
            <w:shd w:val="clear" w:color="auto" w:fill="auto"/>
            <w:noWrap/>
            <w:vAlign w:val="bottom"/>
            <w:hideMark/>
          </w:tcPr>
          <w:p w:rsidR="00103EDE" w:rsidRPr="0068294C" w:rsidRDefault="00103EDE" w:rsidP="009F38FF">
            <w:pPr>
              <w:rPr>
                <w:sz w:val="18"/>
                <w:szCs w:val="18"/>
              </w:rPr>
            </w:pPr>
            <w:r w:rsidRPr="0068294C">
              <w:rPr>
                <w:sz w:val="18"/>
                <w:szCs w:val="18"/>
              </w:rPr>
              <w:t xml:space="preserve"> Лихвени</w:t>
            </w:r>
          </w:p>
        </w:tc>
        <w:tc>
          <w:tcPr>
            <w:tcW w:w="992"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724,9</w:t>
            </w:r>
          </w:p>
        </w:tc>
        <w:tc>
          <w:tcPr>
            <w:tcW w:w="1087"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553,9</w:t>
            </w:r>
          </w:p>
        </w:tc>
        <w:tc>
          <w:tcPr>
            <w:tcW w:w="1252" w:type="dxa"/>
            <w:tcBorders>
              <w:top w:val="nil"/>
              <w:left w:val="nil"/>
              <w:bottom w:val="nil"/>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553,9</w:t>
            </w:r>
          </w:p>
        </w:tc>
        <w:tc>
          <w:tcPr>
            <w:tcW w:w="1199" w:type="dxa"/>
            <w:tcBorders>
              <w:top w:val="nil"/>
              <w:left w:val="nil"/>
              <w:bottom w:val="nil"/>
              <w:right w:val="nil"/>
            </w:tcBorders>
            <w:shd w:val="clear" w:color="auto" w:fill="auto"/>
            <w:noWrap/>
            <w:vAlign w:val="bottom"/>
          </w:tcPr>
          <w:p w:rsidR="00103EDE" w:rsidRDefault="00103EDE" w:rsidP="000F61D1">
            <w:pPr>
              <w:jc w:val="right"/>
              <w:rPr>
                <w:color w:val="000000"/>
                <w:sz w:val="18"/>
                <w:szCs w:val="18"/>
              </w:rPr>
            </w:pPr>
          </w:p>
        </w:tc>
        <w:tc>
          <w:tcPr>
            <w:tcW w:w="1300" w:type="dxa"/>
            <w:tcBorders>
              <w:top w:val="nil"/>
              <w:left w:val="nil"/>
              <w:bottom w:val="nil"/>
              <w:right w:val="single" w:sz="8" w:space="0" w:color="auto"/>
            </w:tcBorders>
            <w:shd w:val="clear" w:color="auto" w:fill="auto"/>
            <w:noWrap/>
            <w:vAlign w:val="bottom"/>
            <w:hideMark/>
          </w:tcPr>
          <w:p w:rsidR="00103EDE" w:rsidRDefault="00103EDE" w:rsidP="000F61D1">
            <w:pPr>
              <w:jc w:val="right"/>
              <w:rPr>
                <w:sz w:val="18"/>
                <w:szCs w:val="18"/>
              </w:rPr>
            </w:pPr>
            <w:r>
              <w:rPr>
                <w:sz w:val="18"/>
                <w:szCs w:val="18"/>
              </w:rPr>
              <w:t>76,4%</w:t>
            </w:r>
          </w:p>
        </w:tc>
      </w:tr>
      <w:tr w:rsidR="00103EDE" w:rsidRPr="004A3BEC" w:rsidTr="000F61D1">
        <w:trPr>
          <w:trHeight w:val="255"/>
        </w:trPr>
        <w:tc>
          <w:tcPr>
            <w:tcW w:w="4263" w:type="dxa"/>
            <w:tcBorders>
              <w:top w:val="nil"/>
              <w:left w:val="single" w:sz="8" w:space="0" w:color="auto"/>
              <w:bottom w:val="nil"/>
              <w:right w:val="nil"/>
            </w:tcBorders>
            <w:shd w:val="clear" w:color="auto" w:fill="auto"/>
            <w:noWrap/>
            <w:vAlign w:val="bottom"/>
            <w:hideMark/>
          </w:tcPr>
          <w:p w:rsidR="00103EDE" w:rsidRPr="0068294C" w:rsidRDefault="00103EDE" w:rsidP="009F38FF">
            <w:pPr>
              <w:rPr>
                <w:sz w:val="18"/>
                <w:szCs w:val="18"/>
              </w:rPr>
            </w:pPr>
            <w:r w:rsidRPr="0068294C">
              <w:rPr>
                <w:sz w:val="18"/>
                <w:szCs w:val="18"/>
              </w:rPr>
              <w:t xml:space="preserve"> Резерв за неотложни и непредвидени разходи</w:t>
            </w:r>
          </w:p>
        </w:tc>
        <w:tc>
          <w:tcPr>
            <w:tcW w:w="992" w:type="dxa"/>
            <w:tcBorders>
              <w:top w:val="nil"/>
              <w:left w:val="nil"/>
              <w:bottom w:val="nil"/>
              <w:right w:val="nil"/>
            </w:tcBorders>
            <w:shd w:val="clear" w:color="auto" w:fill="auto"/>
            <w:noWrap/>
            <w:vAlign w:val="bottom"/>
            <w:hideMark/>
          </w:tcPr>
          <w:p w:rsidR="00103EDE" w:rsidRDefault="00103EDE" w:rsidP="000F61D1">
            <w:pPr>
              <w:jc w:val="right"/>
              <w:rPr>
                <w:sz w:val="18"/>
                <w:szCs w:val="18"/>
              </w:rPr>
            </w:pPr>
            <w:r>
              <w:rPr>
                <w:sz w:val="18"/>
                <w:szCs w:val="18"/>
              </w:rPr>
              <w:t>220,3</w:t>
            </w:r>
          </w:p>
        </w:tc>
        <w:tc>
          <w:tcPr>
            <w:tcW w:w="1087" w:type="dxa"/>
            <w:tcBorders>
              <w:top w:val="nil"/>
              <w:left w:val="nil"/>
              <w:bottom w:val="nil"/>
              <w:right w:val="nil"/>
            </w:tcBorders>
            <w:shd w:val="clear" w:color="auto" w:fill="auto"/>
            <w:noWrap/>
            <w:vAlign w:val="bottom"/>
            <w:hideMark/>
          </w:tcPr>
          <w:p w:rsidR="00103EDE" w:rsidRDefault="00103EDE" w:rsidP="000F61D1">
            <w:pPr>
              <w:rPr>
                <w:sz w:val="18"/>
                <w:szCs w:val="18"/>
              </w:rPr>
            </w:pPr>
            <w:r>
              <w:rPr>
                <w:sz w:val="18"/>
                <w:szCs w:val="18"/>
              </w:rPr>
              <w:t> </w:t>
            </w:r>
          </w:p>
        </w:tc>
        <w:tc>
          <w:tcPr>
            <w:tcW w:w="1252" w:type="dxa"/>
            <w:tcBorders>
              <w:top w:val="nil"/>
              <w:left w:val="nil"/>
              <w:bottom w:val="nil"/>
              <w:right w:val="nil"/>
            </w:tcBorders>
            <w:shd w:val="clear" w:color="auto" w:fill="auto"/>
            <w:noWrap/>
            <w:vAlign w:val="bottom"/>
            <w:hideMark/>
          </w:tcPr>
          <w:p w:rsidR="00103EDE" w:rsidRDefault="00103EDE" w:rsidP="000F61D1">
            <w:pPr>
              <w:rPr>
                <w:color w:val="000000"/>
                <w:sz w:val="18"/>
                <w:szCs w:val="18"/>
              </w:rPr>
            </w:pPr>
          </w:p>
        </w:tc>
        <w:tc>
          <w:tcPr>
            <w:tcW w:w="1199" w:type="dxa"/>
            <w:tcBorders>
              <w:top w:val="nil"/>
              <w:left w:val="nil"/>
              <w:bottom w:val="nil"/>
              <w:right w:val="nil"/>
            </w:tcBorders>
            <w:shd w:val="clear" w:color="auto" w:fill="auto"/>
            <w:noWrap/>
            <w:vAlign w:val="bottom"/>
          </w:tcPr>
          <w:p w:rsidR="00103EDE" w:rsidRDefault="00103EDE" w:rsidP="000F61D1">
            <w:pPr>
              <w:rPr>
                <w:color w:val="000000"/>
                <w:sz w:val="18"/>
                <w:szCs w:val="18"/>
              </w:rPr>
            </w:pPr>
          </w:p>
        </w:tc>
        <w:tc>
          <w:tcPr>
            <w:tcW w:w="1300" w:type="dxa"/>
            <w:tcBorders>
              <w:top w:val="nil"/>
              <w:left w:val="nil"/>
              <w:bottom w:val="nil"/>
              <w:right w:val="single" w:sz="8" w:space="0" w:color="auto"/>
            </w:tcBorders>
            <w:shd w:val="clear" w:color="auto" w:fill="auto"/>
            <w:noWrap/>
            <w:vAlign w:val="bottom"/>
            <w:hideMark/>
          </w:tcPr>
          <w:p w:rsidR="00103EDE" w:rsidRDefault="00103EDE" w:rsidP="000F61D1">
            <w:pPr>
              <w:rPr>
                <w:sz w:val="18"/>
                <w:szCs w:val="18"/>
              </w:rPr>
            </w:pPr>
            <w:r>
              <w:rPr>
                <w:sz w:val="18"/>
                <w:szCs w:val="18"/>
              </w:rPr>
              <w:t> </w:t>
            </w:r>
          </w:p>
        </w:tc>
      </w:tr>
      <w:tr w:rsidR="00103EDE" w:rsidRPr="004A3BEC" w:rsidTr="000F61D1">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103EDE" w:rsidRPr="0068294C" w:rsidRDefault="00103EDE" w:rsidP="009F38FF">
            <w:pPr>
              <w:rPr>
                <w:sz w:val="18"/>
                <w:szCs w:val="18"/>
              </w:rPr>
            </w:pPr>
            <w:r w:rsidRPr="0068294C">
              <w:rPr>
                <w:sz w:val="18"/>
                <w:szCs w:val="18"/>
              </w:rPr>
              <w:t xml:space="preserve"> Вноска за общия бюджет на ЕС</w:t>
            </w:r>
          </w:p>
        </w:tc>
        <w:tc>
          <w:tcPr>
            <w:tcW w:w="992" w:type="dxa"/>
            <w:tcBorders>
              <w:top w:val="nil"/>
              <w:left w:val="nil"/>
              <w:bottom w:val="single" w:sz="4" w:space="0" w:color="auto"/>
              <w:right w:val="nil"/>
            </w:tcBorders>
            <w:shd w:val="clear" w:color="auto" w:fill="auto"/>
            <w:noWrap/>
            <w:vAlign w:val="bottom"/>
            <w:hideMark/>
          </w:tcPr>
          <w:p w:rsidR="00103EDE" w:rsidRDefault="00103EDE" w:rsidP="000F61D1">
            <w:pPr>
              <w:jc w:val="right"/>
              <w:rPr>
                <w:sz w:val="18"/>
                <w:szCs w:val="18"/>
              </w:rPr>
            </w:pPr>
            <w:r>
              <w:rPr>
                <w:sz w:val="18"/>
                <w:szCs w:val="18"/>
              </w:rPr>
              <w:t>1 397,4</w:t>
            </w:r>
          </w:p>
        </w:tc>
        <w:tc>
          <w:tcPr>
            <w:tcW w:w="1087" w:type="dxa"/>
            <w:tcBorders>
              <w:top w:val="nil"/>
              <w:left w:val="nil"/>
              <w:bottom w:val="single" w:sz="4" w:space="0" w:color="auto"/>
              <w:right w:val="nil"/>
            </w:tcBorders>
            <w:shd w:val="clear" w:color="auto" w:fill="auto"/>
            <w:noWrap/>
            <w:vAlign w:val="bottom"/>
            <w:hideMark/>
          </w:tcPr>
          <w:p w:rsidR="00103EDE" w:rsidRDefault="00103EDE" w:rsidP="000F61D1">
            <w:pPr>
              <w:jc w:val="right"/>
              <w:rPr>
                <w:sz w:val="18"/>
                <w:szCs w:val="18"/>
              </w:rPr>
            </w:pPr>
            <w:r>
              <w:rPr>
                <w:sz w:val="18"/>
                <w:szCs w:val="18"/>
              </w:rPr>
              <w:t>890,9</w:t>
            </w:r>
          </w:p>
        </w:tc>
        <w:tc>
          <w:tcPr>
            <w:tcW w:w="1252" w:type="dxa"/>
            <w:tcBorders>
              <w:top w:val="nil"/>
              <w:left w:val="nil"/>
              <w:bottom w:val="single" w:sz="4" w:space="0" w:color="auto"/>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890,9</w:t>
            </w:r>
          </w:p>
        </w:tc>
        <w:tc>
          <w:tcPr>
            <w:tcW w:w="1199" w:type="dxa"/>
            <w:tcBorders>
              <w:top w:val="nil"/>
              <w:left w:val="nil"/>
              <w:bottom w:val="single" w:sz="4" w:space="0" w:color="auto"/>
              <w:right w:val="nil"/>
            </w:tcBorders>
            <w:shd w:val="clear" w:color="auto" w:fill="auto"/>
            <w:noWrap/>
            <w:vAlign w:val="bottom"/>
          </w:tcPr>
          <w:p w:rsidR="00103EDE" w:rsidRDefault="00103EDE" w:rsidP="000F61D1">
            <w:pPr>
              <w:jc w:val="right"/>
              <w:rPr>
                <w:color w:val="000000"/>
                <w:sz w:val="18"/>
                <w:szCs w:val="18"/>
              </w:rPr>
            </w:pPr>
          </w:p>
        </w:tc>
        <w:tc>
          <w:tcPr>
            <w:tcW w:w="1300" w:type="dxa"/>
            <w:tcBorders>
              <w:top w:val="nil"/>
              <w:left w:val="nil"/>
              <w:bottom w:val="single" w:sz="4" w:space="0" w:color="auto"/>
              <w:right w:val="single" w:sz="8" w:space="0" w:color="auto"/>
            </w:tcBorders>
            <w:shd w:val="clear" w:color="auto" w:fill="auto"/>
            <w:noWrap/>
            <w:vAlign w:val="bottom"/>
            <w:hideMark/>
          </w:tcPr>
          <w:p w:rsidR="00103EDE" w:rsidRDefault="00103EDE" w:rsidP="000F61D1">
            <w:pPr>
              <w:jc w:val="right"/>
              <w:rPr>
                <w:sz w:val="18"/>
                <w:szCs w:val="18"/>
              </w:rPr>
            </w:pPr>
            <w:r>
              <w:rPr>
                <w:sz w:val="18"/>
                <w:szCs w:val="18"/>
              </w:rPr>
              <w:t>63,8%</w:t>
            </w:r>
          </w:p>
        </w:tc>
      </w:tr>
      <w:tr w:rsidR="00103EDE" w:rsidRPr="004A3BEC" w:rsidTr="000F61D1">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103EDE" w:rsidRPr="0068294C" w:rsidRDefault="00103EDE" w:rsidP="000F61D1">
            <w:pPr>
              <w:rPr>
                <w:sz w:val="18"/>
                <w:szCs w:val="18"/>
              </w:rPr>
            </w:pPr>
            <w:r w:rsidRPr="0068294C">
              <w:rPr>
                <w:sz w:val="18"/>
                <w:szCs w:val="18"/>
              </w:rPr>
              <w:t>Трансфери</w:t>
            </w:r>
            <w:r w:rsidRPr="0068294C">
              <w:rPr>
                <w:sz w:val="18"/>
                <w:szCs w:val="18"/>
                <w:lang w:val="en-US"/>
              </w:rPr>
              <w:t xml:space="preserve"> </w:t>
            </w:r>
            <w:r w:rsidRPr="0068294C">
              <w:rPr>
                <w:sz w:val="18"/>
                <w:szCs w:val="18"/>
              </w:rPr>
              <w:t>-</w:t>
            </w:r>
            <w:r w:rsidRPr="0068294C">
              <w:rPr>
                <w:sz w:val="18"/>
                <w:szCs w:val="18"/>
                <w:lang w:val="en-US"/>
              </w:rPr>
              <w:t xml:space="preserve"> </w:t>
            </w:r>
            <w:r w:rsidRPr="0068294C">
              <w:rPr>
                <w:sz w:val="18"/>
                <w:szCs w:val="18"/>
              </w:rPr>
              <w:t>нето</w:t>
            </w:r>
          </w:p>
        </w:tc>
        <w:tc>
          <w:tcPr>
            <w:tcW w:w="992" w:type="dxa"/>
            <w:tcBorders>
              <w:top w:val="nil"/>
              <w:left w:val="nil"/>
              <w:bottom w:val="single" w:sz="4" w:space="0" w:color="auto"/>
              <w:right w:val="nil"/>
            </w:tcBorders>
            <w:shd w:val="clear" w:color="auto" w:fill="auto"/>
            <w:noWrap/>
            <w:vAlign w:val="bottom"/>
            <w:hideMark/>
          </w:tcPr>
          <w:p w:rsidR="00103EDE" w:rsidRDefault="00103EDE" w:rsidP="000F61D1">
            <w:pPr>
              <w:rPr>
                <w:color w:val="538DD5"/>
                <w:sz w:val="18"/>
                <w:szCs w:val="18"/>
              </w:rPr>
            </w:pPr>
          </w:p>
        </w:tc>
        <w:tc>
          <w:tcPr>
            <w:tcW w:w="1087" w:type="dxa"/>
            <w:tcBorders>
              <w:top w:val="nil"/>
              <w:left w:val="nil"/>
              <w:bottom w:val="single" w:sz="4" w:space="0" w:color="auto"/>
              <w:right w:val="nil"/>
            </w:tcBorders>
            <w:shd w:val="clear" w:color="auto" w:fill="auto"/>
            <w:noWrap/>
            <w:vAlign w:val="bottom"/>
            <w:hideMark/>
          </w:tcPr>
          <w:p w:rsidR="00103EDE" w:rsidRDefault="00103EDE" w:rsidP="000F61D1">
            <w:pPr>
              <w:rPr>
                <w:b/>
                <w:bCs/>
                <w:sz w:val="18"/>
                <w:szCs w:val="18"/>
              </w:rPr>
            </w:pPr>
            <w:r>
              <w:rPr>
                <w:b/>
                <w:bCs/>
                <w:sz w:val="18"/>
                <w:szCs w:val="18"/>
              </w:rPr>
              <w:t> </w:t>
            </w:r>
          </w:p>
        </w:tc>
        <w:tc>
          <w:tcPr>
            <w:tcW w:w="1252" w:type="dxa"/>
            <w:tcBorders>
              <w:top w:val="nil"/>
              <w:left w:val="nil"/>
              <w:bottom w:val="single" w:sz="4" w:space="0" w:color="auto"/>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-504,3</w:t>
            </w:r>
          </w:p>
        </w:tc>
        <w:tc>
          <w:tcPr>
            <w:tcW w:w="1199" w:type="dxa"/>
            <w:tcBorders>
              <w:top w:val="nil"/>
              <w:left w:val="nil"/>
              <w:bottom w:val="single" w:sz="4" w:space="0" w:color="auto"/>
              <w:right w:val="nil"/>
            </w:tcBorders>
            <w:shd w:val="clear" w:color="auto" w:fill="auto"/>
            <w:noWrap/>
            <w:vAlign w:val="bottom"/>
            <w:hideMark/>
          </w:tcPr>
          <w:p w:rsidR="00103EDE" w:rsidRDefault="00103EDE" w:rsidP="000F61D1">
            <w:pPr>
              <w:jc w:val="right"/>
              <w:rPr>
                <w:color w:val="000000"/>
                <w:sz w:val="18"/>
                <w:szCs w:val="18"/>
              </w:rPr>
            </w:pPr>
            <w:r>
              <w:rPr>
                <w:color w:val="000000"/>
                <w:sz w:val="18"/>
                <w:szCs w:val="18"/>
              </w:rPr>
              <w:t>504,3</w:t>
            </w:r>
          </w:p>
        </w:tc>
        <w:tc>
          <w:tcPr>
            <w:tcW w:w="1300" w:type="dxa"/>
            <w:tcBorders>
              <w:top w:val="nil"/>
              <w:left w:val="nil"/>
              <w:bottom w:val="single" w:sz="4" w:space="0" w:color="auto"/>
              <w:right w:val="single" w:sz="8" w:space="0" w:color="auto"/>
            </w:tcBorders>
            <w:shd w:val="clear" w:color="auto" w:fill="auto"/>
            <w:noWrap/>
            <w:vAlign w:val="bottom"/>
            <w:hideMark/>
          </w:tcPr>
          <w:p w:rsidR="00103EDE" w:rsidRDefault="00103EDE" w:rsidP="000F61D1">
            <w:pPr>
              <w:rPr>
                <w:b/>
                <w:bCs/>
                <w:sz w:val="18"/>
                <w:szCs w:val="18"/>
              </w:rPr>
            </w:pPr>
            <w:r>
              <w:rPr>
                <w:b/>
                <w:bCs/>
                <w:sz w:val="18"/>
                <w:szCs w:val="18"/>
              </w:rPr>
              <w:t> </w:t>
            </w:r>
          </w:p>
        </w:tc>
      </w:tr>
      <w:tr w:rsidR="00103EDE" w:rsidRPr="004A3BEC" w:rsidTr="000F61D1">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103EDE" w:rsidRPr="0068294C" w:rsidRDefault="00103EDE" w:rsidP="000F61D1">
            <w:pPr>
              <w:rPr>
                <w:b/>
                <w:bCs/>
                <w:sz w:val="18"/>
                <w:szCs w:val="18"/>
              </w:rPr>
            </w:pPr>
            <w:r w:rsidRPr="0068294C">
              <w:rPr>
                <w:b/>
                <w:bCs/>
                <w:sz w:val="18"/>
                <w:szCs w:val="18"/>
              </w:rPr>
              <w:t>БЮДЖЕТНО САЛДО</w:t>
            </w:r>
          </w:p>
        </w:tc>
        <w:tc>
          <w:tcPr>
            <w:tcW w:w="992" w:type="dxa"/>
            <w:tcBorders>
              <w:top w:val="nil"/>
              <w:left w:val="nil"/>
              <w:bottom w:val="single" w:sz="8" w:space="0" w:color="auto"/>
              <w:right w:val="nil"/>
            </w:tcBorders>
            <w:shd w:val="clear" w:color="000000" w:fill="D9D9D9"/>
            <w:noWrap/>
            <w:vAlign w:val="bottom"/>
            <w:hideMark/>
          </w:tcPr>
          <w:p w:rsidR="00103EDE" w:rsidRDefault="00103EDE" w:rsidP="000F61D1">
            <w:pPr>
              <w:jc w:val="right"/>
              <w:rPr>
                <w:b/>
                <w:bCs/>
                <w:sz w:val="18"/>
                <w:szCs w:val="18"/>
              </w:rPr>
            </w:pPr>
            <w:r>
              <w:rPr>
                <w:b/>
                <w:bCs/>
                <w:sz w:val="18"/>
                <w:szCs w:val="18"/>
              </w:rPr>
              <w:t>-3 513,8</w:t>
            </w:r>
          </w:p>
        </w:tc>
        <w:tc>
          <w:tcPr>
            <w:tcW w:w="1087" w:type="dxa"/>
            <w:tcBorders>
              <w:top w:val="nil"/>
              <w:left w:val="nil"/>
              <w:bottom w:val="single" w:sz="8" w:space="0" w:color="auto"/>
              <w:right w:val="nil"/>
            </w:tcBorders>
            <w:shd w:val="clear" w:color="000000" w:fill="D9D9D9"/>
            <w:noWrap/>
            <w:vAlign w:val="bottom"/>
            <w:hideMark/>
          </w:tcPr>
          <w:p w:rsidR="00103EDE" w:rsidRDefault="00103EDE" w:rsidP="000F61D1">
            <w:pPr>
              <w:jc w:val="right"/>
              <w:rPr>
                <w:b/>
                <w:bCs/>
                <w:sz w:val="18"/>
                <w:szCs w:val="18"/>
              </w:rPr>
            </w:pPr>
            <w:r>
              <w:rPr>
                <w:b/>
                <w:bCs/>
                <w:sz w:val="18"/>
                <w:szCs w:val="18"/>
              </w:rPr>
              <w:t>871,4</w:t>
            </w:r>
          </w:p>
        </w:tc>
        <w:tc>
          <w:tcPr>
            <w:tcW w:w="1252" w:type="dxa"/>
            <w:tcBorders>
              <w:top w:val="nil"/>
              <w:left w:val="nil"/>
              <w:bottom w:val="single" w:sz="8" w:space="0" w:color="auto"/>
              <w:right w:val="nil"/>
            </w:tcBorders>
            <w:shd w:val="clear" w:color="000000" w:fill="D9D9D9"/>
            <w:noWrap/>
            <w:vAlign w:val="bottom"/>
            <w:hideMark/>
          </w:tcPr>
          <w:p w:rsidR="00103EDE" w:rsidRDefault="00103EDE" w:rsidP="000F61D1">
            <w:pPr>
              <w:jc w:val="right"/>
              <w:rPr>
                <w:b/>
                <w:bCs/>
                <w:color w:val="000000"/>
                <w:sz w:val="18"/>
                <w:szCs w:val="18"/>
              </w:rPr>
            </w:pPr>
            <w:r>
              <w:rPr>
                <w:b/>
                <w:bCs/>
                <w:color w:val="000000"/>
                <w:sz w:val="18"/>
                <w:szCs w:val="18"/>
              </w:rPr>
              <w:t>484,9</w:t>
            </w:r>
          </w:p>
        </w:tc>
        <w:tc>
          <w:tcPr>
            <w:tcW w:w="1199" w:type="dxa"/>
            <w:tcBorders>
              <w:top w:val="nil"/>
              <w:left w:val="nil"/>
              <w:bottom w:val="single" w:sz="8" w:space="0" w:color="auto"/>
              <w:right w:val="nil"/>
            </w:tcBorders>
            <w:shd w:val="clear" w:color="000000" w:fill="D9D9D9"/>
            <w:noWrap/>
            <w:vAlign w:val="bottom"/>
            <w:hideMark/>
          </w:tcPr>
          <w:p w:rsidR="00103EDE" w:rsidRDefault="00103EDE" w:rsidP="000F61D1">
            <w:pPr>
              <w:jc w:val="right"/>
              <w:rPr>
                <w:b/>
                <w:bCs/>
                <w:color w:val="000000"/>
                <w:sz w:val="18"/>
                <w:szCs w:val="18"/>
              </w:rPr>
            </w:pPr>
            <w:r>
              <w:rPr>
                <w:b/>
                <w:bCs/>
                <w:color w:val="000000"/>
                <w:sz w:val="18"/>
                <w:szCs w:val="18"/>
              </w:rPr>
              <w:t>386,5</w:t>
            </w:r>
          </w:p>
        </w:tc>
        <w:tc>
          <w:tcPr>
            <w:tcW w:w="1300" w:type="dxa"/>
            <w:tcBorders>
              <w:top w:val="nil"/>
              <w:left w:val="nil"/>
              <w:bottom w:val="single" w:sz="8" w:space="0" w:color="auto"/>
              <w:right w:val="single" w:sz="8" w:space="0" w:color="auto"/>
            </w:tcBorders>
            <w:shd w:val="clear" w:color="000000" w:fill="D9D9D9"/>
            <w:noWrap/>
            <w:vAlign w:val="bottom"/>
            <w:hideMark/>
          </w:tcPr>
          <w:p w:rsidR="00103EDE" w:rsidRDefault="00103EDE" w:rsidP="000F61D1">
            <w:pPr>
              <w:rPr>
                <w:b/>
                <w:bCs/>
                <w:sz w:val="18"/>
                <w:szCs w:val="18"/>
              </w:rPr>
            </w:pPr>
            <w:r>
              <w:rPr>
                <w:b/>
                <w:bCs/>
                <w:sz w:val="18"/>
                <w:szCs w:val="18"/>
              </w:rPr>
              <w:t> </w:t>
            </w:r>
          </w:p>
        </w:tc>
      </w:tr>
    </w:tbl>
    <w:p w:rsidR="00103EDE" w:rsidRPr="004A3BEC" w:rsidRDefault="00103EDE" w:rsidP="00103EDE">
      <w:pPr>
        <w:ind w:left="360"/>
        <w:jc w:val="both"/>
        <w:rPr>
          <w:color w:val="4F81BD" w:themeColor="accent1"/>
          <w:sz w:val="22"/>
        </w:rPr>
      </w:pPr>
    </w:p>
    <w:p w:rsidR="00103EDE" w:rsidRPr="00AE4870" w:rsidRDefault="00103EDE" w:rsidP="00103EDE">
      <w:pPr>
        <w:numPr>
          <w:ilvl w:val="1"/>
          <w:numId w:val="11"/>
        </w:numPr>
        <w:tabs>
          <w:tab w:val="num" w:pos="426"/>
        </w:tabs>
        <w:ind w:left="0" w:firstLine="0"/>
        <w:jc w:val="both"/>
        <w:rPr>
          <w:rFonts w:eastAsia="Calibri"/>
        </w:rPr>
      </w:pPr>
      <w:r w:rsidRPr="00AE4870">
        <w:rPr>
          <w:b/>
        </w:rPr>
        <w:t>Приходите, помощите и даренията по консолидираната фискална програма</w:t>
      </w:r>
      <w:r w:rsidRPr="00AE4870">
        <w:t xml:space="preserve"> (КФП) към края на</w:t>
      </w:r>
      <w:r w:rsidRPr="00AE4870">
        <w:rPr>
          <w:b/>
        </w:rPr>
        <w:t xml:space="preserve"> </w:t>
      </w:r>
      <w:r w:rsidRPr="00AE4870">
        <w:t xml:space="preserve">деветмесечието на 2020 г. са в размер на </w:t>
      </w:r>
      <w:r w:rsidRPr="00AE4870">
        <w:rPr>
          <w:b/>
          <w:bCs/>
        </w:rPr>
        <w:t>32 415,5</w:t>
      </w:r>
      <w:r w:rsidRPr="00AE4870">
        <w:rPr>
          <w:b/>
          <w:bCs/>
          <w:lang w:val="en-US"/>
        </w:rPr>
        <w:t> </w:t>
      </w:r>
      <w:r w:rsidRPr="00AE4870">
        <w:rPr>
          <w:b/>
        </w:rPr>
        <w:t>млн. лв.,</w:t>
      </w:r>
      <w:r w:rsidRPr="00AE4870">
        <w:t xml:space="preserve"> което представлява 73,0 % от годишните разчети към ЗДБРБ за 20</w:t>
      </w:r>
      <w:r w:rsidRPr="00AE4870">
        <w:rPr>
          <w:lang w:val="en-US"/>
        </w:rPr>
        <w:t>20</w:t>
      </w:r>
      <w:r w:rsidRPr="00AE4870">
        <w:t xml:space="preserve"> г. </w:t>
      </w:r>
      <w:r w:rsidRPr="00AE4870">
        <w:rPr>
          <w:rFonts w:eastAsia="Calibri"/>
        </w:rPr>
        <w:t>Съпоставени със същия период на предходната година</w:t>
      </w:r>
      <w:r w:rsidR="009F38FF" w:rsidRPr="00AE4870">
        <w:rPr>
          <w:rFonts w:eastAsia="Calibri"/>
        </w:rPr>
        <w:t>,</w:t>
      </w:r>
      <w:r w:rsidRPr="00AE4870">
        <w:rPr>
          <w:rFonts w:eastAsia="Calibri"/>
        </w:rPr>
        <w:t xml:space="preserve"> те намаляват номинално с 383,5 млн. лв. При данъчните и неданъчните приходи се наблюдава спад със 750,3</w:t>
      </w:r>
      <w:r w:rsidRPr="00AE4870">
        <w:rPr>
          <w:b/>
          <w:bCs/>
          <w:lang w:val="en-US"/>
        </w:rPr>
        <w:t> </w:t>
      </w:r>
      <w:r w:rsidRPr="00AE4870">
        <w:rPr>
          <w:rFonts w:eastAsia="Calibri"/>
        </w:rPr>
        <w:t xml:space="preserve">млн. лв. (2,4 %), а постъпленията от помощи и дарения (основно </w:t>
      </w:r>
      <w:proofErr w:type="spellStart"/>
      <w:r w:rsidRPr="00AE4870">
        <w:rPr>
          <w:rFonts w:eastAsia="Calibri"/>
        </w:rPr>
        <w:t>грантове</w:t>
      </w:r>
      <w:proofErr w:type="spellEnd"/>
      <w:r w:rsidRPr="00AE4870">
        <w:rPr>
          <w:rFonts w:eastAsia="Calibri"/>
        </w:rPr>
        <w:t xml:space="preserve"> по програмите и фондовете на ЕС) са повече с 366,8 млн. лв. (21,0 %), сравнени с края на септември 2019 година</w:t>
      </w:r>
      <w:r w:rsidRPr="00AE4870">
        <w:rPr>
          <w:rFonts w:eastAsia="Calibri"/>
          <w:color w:val="4F81BD" w:themeColor="accent1"/>
        </w:rPr>
        <w:t>.</w:t>
      </w:r>
    </w:p>
    <w:p w:rsidR="00103EDE" w:rsidRPr="004A3BEC" w:rsidRDefault="00103EDE" w:rsidP="00103EDE">
      <w:pPr>
        <w:spacing w:before="120"/>
        <w:jc w:val="both"/>
        <w:rPr>
          <w:color w:val="4F81BD" w:themeColor="accent1"/>
        </w:rPr>
      </w:pPr>
      <w:r w:rsidRPr="00AE4870">
        <w:t>Общата сума</w:t>
      </w:r>
      <w:r w:rsidRPr="00AE4870">
        <w:rPr>
          <w:b/>
        </w:rPr>
        <w:t xml:space="preserve"> </w:t>
      </w:r>
      <w:r w:rsidRPr="00AE4870">
        <w:t>на</w:t>
      </w:r>
      <w:r w:rsidRPr="00AE4870">
        <w:rPr>
          <w:b/>
        </w:rPr>
        <w:t xml:space="preserve"> </w:t>
      </w:r>
      <w:r w:rsidRPr="00AE4870">
        <w:rPr>
          <w:b/>
          <w:i/>
        </w:rPr>
        <w:t>данъчните постъпления</w:t>
      </w:r>
      <w:r w:rsidRPr="00AE4870">
        <w:t xml:space="preserve"> (вкл. приходите от осигурителни вноски) са в размер на </w:t>
      </w:r>
      <w:r w:rsidRPr="00AE4870">
        <w:rPr>
          <w:b/>
          <w:bCs/>
          <w:i/>
        </w:rPr>
        <w:t>25 990,6</w:t>
      </w:r>
      <w:r w:rsidRPr="00AE4870">
        <w:rPr>
          <w:b/>
          <w:i/>
        </w:rPr>
        <w:t> млн. лв</w:t>
      </w:r>
      <w:r w:rsidRPr="00AE4870">
        <w:rPr>
          <w:i/>
        </w:rPr>
        <w:t>.</w:t>
      </w:r>
      <w:r w:rsidRPr="00AE4870">
        <w:t xml:space="preserve">, което представлява 80,2 % от общите постъпления по КФП за периода. Постъпленията в групата представляват 74,4 % от разчета за годината и намаляват номинално със 105,6 млн. лв. (0,4 %) спрямо отчетените към септември 2019 година. Приходите в частта на </w:t>
      </w:r>
      <w:r w:rsidRPr="00AE4870">
        <w:rPr>
          <w:i/>
        </w:rPr>
        <w:t xml:space="preserve">преките данъци </w:t>
      </w:r>
      <w:r w:rsidRPr="00AE4870">
        <w:t>възлизат на 4 607,3 млн. лв., което представлява 70,0 %</w:t>
      </w:r>
      <w:r w:rsidRPr="00055D65">
        <w:t xml:space="preserve"> от разчета за </w:t>
      </w:r>
      <w:r w:rsidRPr="006E6AA0">
        <w:t xml:space="preserve">2020 г. </w:t>
      </w:r>
      <w:r w:rsidRPr="005C78C1">
        <w:t>Съпоставени със същия период на 2019 г., преките данъци намаляват с 1,</w:t>
      </w:r>
      <w:proofErr w:type="spellStart"/>
      <w:r w:rsidRPr="005C78C1">
        <w:t>1</w:t>
      </w:r>
      <w:proofErr w:type="spellEnd"/>
      <w:r w:rsidRPr="005C78C1">
        <w:t> % (52,9 млн. лв.).</w:t>
      </w:r>
      <w:r w:rsidRPr="005C78C1">
        <w:rPr>
          <w:rFonts w:ascii="Arial" w:hAnsi="Arial" w:cs="Arial"/>
        </w:rPr>
        <w:t xml:space="preserve"> </w:t>
      </w:r>
      <w:r w:rsidRPr="0008251B">
        <w:t xml:space="preserve">Приходите от </w:t>
      </w:r>
      <w:r w:rsidRPr="0008251B">
        <w:rPr>
          <w:i/>
        </w:rPr>
        <w:t>косвени данъци</w:t>
      </w:r>
      <w:r w:rsidRPr="0008251B">
        <w:t xml:space="preserve"> са в размер на 12 401,7 млн. лв., което представлява 76,0 % от годишния разчет. Съпоставени с деветмесечието на 2019 г., косвените данъци намаляват с 2,8 % (356,9 млн. лв.). </w:t>
      </w:r>
      <w:r w:rsidRPr="002F2F90">
        <w:t xml:space="preserve">Постъпленията от </w:t>
      </w:r>
      <w:r w:rsidRPr="002F2F90">
        <w:rPr>
          <w:i/>
        </w:rPr>
        <w:t>други данъци</w:t>
      </w:r>
      <w:r w:rsidRPr="002F2F90">
        <w:t xml:space="preserve"> (включват други данъци по ЗКПО, имуществени данъци и др.) са 941,9 млн. лв., което представлява 77,9 % от разчетите към ЗДБРБ за 2020 г. и сравнени със същия период на 2019 г. се увеличават с 1,5 % </w:t>
      </w:r>
      <w:r w:rsidRPr="002F2F90">
        <w:rPr>
          <w:lang w:val="en-US"/>
        </w:rPr>
        <w:t>(</w:t>
      </w:r>
      <w:r w:rsidRPr="002F2F90">
        <w:t xml:space="preserve">14,2 </w:t>
      </w:r>
      <w:r w:rsidRPr="00EA5AFD">
        <w:t>млн. лв.</w:t>
      </w:r>
      <w:r w:rsidRPr="00EA5AFD">
        <w:rPr>
          <w:lang w:val="en-US"/>
        </w:rPr>
        <w:t>)</w:t>
      </w:r>
      <w:r w:rsidRPr="00EA5AFD">
        <w:t xml:space="preserve">. Приходите от </w:t>
      </w:r>
      <w:r w:rsidRPr="00EA5AFD">
        <w:rPr>
          <w:b/>
          <w:i/>
        </w:rPr>
        <w:t>социалноосигурителни и здравни вноски</w:t>
      </w:r>
      <w:r w:rsidRPr="00EA5AFD">
        <w:rPr>
          <w:b/>
        </w:rPr>
        <w:t xml:space="preserve"> </w:t>
      </w:r>
      <w:r w:rsidRPr="00EA5AFD">
        <w:t xml:space="preserve">към 30.09.2020 г. са в размер на 8 039,7 млн. лв. или 74,4 % от планираните за годината, като спрямо същия период на предходната година нарастват с 290,0 млн. лева. (3,7 %). </w:t>
      </w:r>
    </w:p>
    <w:p w:rsidR="00103EDE" w:rsidRPr="006A238D" w:rsidRDefault="00103EDE" w:rsidP="00103EDE">
      <w:pPr>
        <w:spacing w:before="120"/>
        <w:jc w:val="both"/>
      </w:pPr>
      <w:r w:rsidRPr="006A238D">
        <w:rPr>
          <w:b/>
          <w:bCs/>
          <w:i/>
          <w:iCs/>
        </w:rPr>
        <w:lastRenderedPageBreak/>
        <w:t>Неданъчните приходи</w:t>
      </w:r>
      <w:r w:rsidRPr="006A238D">
        <w:rPr>
          <w:b/>
          <w:bCs/>
          <w:iCs/>
        </w:rPr>
        <w:t xml:space="preserve"> </w:t>
      </w:r>
      <w:r w:rsidRPr="006A238D">
        <w:t xml:space="preserve">са в размер на </w:t>
      </w:r>
      <w:r w:rsidRPr="006A238D">
        <w:rPr>
          <w:b/>
          <w:i/>
        </w:rPr>
        <w:t xml:space="preserve">4 311,2 </w:t>
      </w:r>
      <w:r w:rsidRPr="006A238D">
        <w:rPr>
          <w:b/>
          <w:bCs/>
          <w:i/>
        </w:rPr>
        <w:t>млн. лв.</w:t>
      </w:r>
      <w:r w:rsidRPr="006A238D">
        <w:rPr>
          <w:b/>
          <w:bCs/>
        </w:rPr>
        <w:t>,</w:t>
      </w:r>
      <w:r w:rsidRPr="006A238D">
        <w:rPr>
          <w:b/>
          <w:i/>
        </w:rPr>
        <w:t xml:space="preserve"> </w:t>
      </w:r>
      <w:r w:rsidRPr="006A238D">
        <w:t>което представлява</w:t>
      </w:r>
      <w:r w:rsidRPr="006A238D">
        <w:rPr>
          <w:i/>
        </w:rPr>
        <w:t xml:space="preserve"> </w:t>
      </w:r>
      <w:r w:rsidRPr="006A238D">
        <w:t>63,6 %</w:t>
      </w:r>
      <w:r w:rsidRPr="006A238D">
        <w:rPr>
          <w:b/>
          <w:i/>
        </w:rPr>
        <w:t xml:space="preserve"> </w:t>
      </w:r>
      <w:r w:rsidRPr="006A238D">
        <w:t>от</w:t>
      </w:r>
      <w:r w:rsidRPr="006A238D">
        <w:rPr>
          <w:b/>
          <w:i/>
        </w:rPr>
        <w:t xml:space="preserve"> </w:t>
      </w:r>
      <w:r w:rsidRPr="006A238D">
        <w:t xml:space="preserve">годишните разчети. </w:t>
      </w:r>
    </w:p>
    <w:p w:rsidR="00103EDE" w:rsidRPr="006A238D" w:rsidRDefault="00103EDE" w:rsidP="00103EDE">
      <w:pPr>
        <w:spacing w:before="120" w:after="120"/>
        <w:jc w:val="both"/>
      </w:pPr>
      <w:r w:rsidRPr="006A238D">
        <w:t xml:space="preserve">Постъпленията от </w:t>
      </w:r>
      <w:r w:rsidRPr="006A238D">
        <w:rPr>
          <w:b/>
          <w:i/>
        </w:rPr>
        <w:t>помощи</w:t>
      </w:r>
      <w:r w:rsidRPr="006A238D">
        <w:t xml:space="preserve"> </w:t>
      </w:r>
      <w:r w:rsidRPr="006A238D">
        <w:rPr>
          <w:b/>
          <w:i/>
        </w:rPr>
        <w:t xml:space="preserve">и дарения </w:t>
      </w:r>
      <w:r w:rsidRPr="006A238D">
        <w:t xml:space="preserve">от страната и чужбина (основно помощи от фондовете на ЕС) към септември 2020 г. са в размер на </w:t>
      </w:r>
      <w:r w:rsidRPr="006A238D">
        <w:rPr>
          <w:b/>
        </w:rPr>
        <w:t>2 113,8 млн. лв.</w:t>
      </w:r>
      <w:r w:rsidRPr="006A238D">
        <w:t xml:space="preserve"> </w:t>
      </w:r>
    </w:p>
    <w:p w:rsidR="00274757" w:rsidRPr="00274757" w:rsidRDefault="00103EDE" w:rsidP="00274757">
      <w:pPr>
        <w:numPr>
          <w:ilvl w:val="0"/>
          <w:numId w:val="25"/>
        </w:numPr>
        <w:tabs>
          <w:tab w:val="left" w:pos="426"/>
        </w:tabs>
        <w:spacing w:before="120" w:after="120"/>
        <w:ind w:left="0" w:firstLine="0"/>
        <w:contextualSpacing/>
        <w:jc w:val="both"/>
        <w:rPr>
          <w:rFonts w:eastAsia="Calibri"/>
        </w:rPr>
      </w:pPr>
      <w:r w:rsidRPr="00465D4D">
        <w:rPr>
          <w:b/>
          <w:szCs w:val="20"/>
        </w:rPr>
        <w:t xml:space="preserve">Разходите по консолидираната фискална програма </w:t>
      </w:r>
      <w:r w:rsidRPr="00465D4D">
        <w:rPr>
          <w:szCs w:val="20"/>
        </w:rPr>
        <w:t>(вкл. вноската на Република България в общия бюджет на ЕС) към 30.09.2020 г.</w:t>
      </w:r>
      <w:r w:rsidRPr="00465D4D">
        <w:rPr>
          <w:b/>
          <w:szCs w:val="20"/>
        </w:rPr>
        <w:t xml:space="preserve"> са в размер на </w:t>
      </w:r>
      <w:r w:rsidRPr="00465D4D">
        <w:rPr>
          <w:rFonts w:eastAsia="Calibri"/>
          <w:b/>
        </w:rPr>
        <w:t>31 544,1 млн. лв.</w:t>
      </w:r>
      <w:r w:rsidRPr="00465D4D">
        <w:rPr>
          <w:rFonts w:eastAsia="Calibri"/>
        </w:rPr>
        <w:t>, което е 65,8 % от годишните разчети. За сравнение разходите по КФП към септември 2019 г. бяха в размер на 31 534,8 млн. лв</w:t>
      </w:r>
      <w:r w:rsidR="00465D4D" w:rsidRPr="00465D4D">
        <w:rPr>
          <w:rFonts w:eastAsia="Calibri"/>
        </w:rPr>
        <w:t xml:space="preserve">. </w:t>
      </w:r>
      <w:r w:rsidRPr="00465D4D">
        <w:rPr>
          <w:rFonts w:eastAsia="Calibri"/>
        </w:rPr>
        <w:t xml:space="preserve"> </w:t>
      </w:r>
      <w:r w:rsidR="00644B1A" w:rsidRPr="00644B1A">
        <w:rPr>
          <w:rFonts w:eastAsia="Calibri"/>
        </w:rPr>
        <w:t>При съпоставката на общо разходите и капиталовите разходи със същия период на предходната година следва да се има предвид ефекта в 2019 г. от извършените разходи по реализирането на проекта за придобиване на нов тип боен самолет за българските ВВС, които са с еднократен характер. Разходите за деветте месеца на 2020 г. са близки по размер спрямо същия период на предходната година</w:t>
      </w:r>
      <w:r w:rsidR="00644B1A" w:rsidRPr="00644B1A">
        <w:rPr>
          <w:rFonts w:eastAsia="Calibri"/>
          <w:lang w:val="en-US"/>
        </w:rPr>
        <w:t xml:space="preserve">. </w:t>
      </w:r>
      <w:r w:rsidR="00644B1A" w:rsidRPr="00644B1A">
        <w:rPr>
          <w:rFonts w:eastAsia="Calibri"/>
        </w:rPr>
        <w:t>Съпоставено с деветмесечието на предходната година се отчита номинално намаление основно в частта на капиталовите разходи поради посочения по-горе базов ефект в 2019 г., докато нарастване има при социалните плащания, разходите за персонал, разходите за субсидии и други</w:t>
      </w:r>
      <w:r w:rsidR="00644B1A" w:rsidRPr="00644B1A">
        <w:t>.</w:t>
      </w:r>
      <w:r w:rsidR="00644B1A" w:rsidRPr="00644B1A">
        <w:rPr>
          <w:rFonts w:eastAsia="Calibri"/>
        </w:rPr>
        <w:t xml:space="preserve"> При разходите за персонал се наблюдава нарастване основно във връзка с увеличение с 10 на сто на средствата за заплати, възнаграждения и осигурителни вноски на заетите в бюджетния сектор и поредната стъпка на увеличение на възнагражденията в сектор „Образование“. Освен това</w:t>
      </w:r>
      <w:r w:rsidR="00644B1A" w:rsidRPr="00644B1A">
        <w:rPr>
          <w:rFonts w:eastAsia="Calibri"/>
          <w:lang w:val="en-US"/>
        </w:rPr>
        <w:t>,</w:t>
      </w:r>
      <w:r w:rsidR="00644B1A" w:rsidRPr="00644B1A">
        <w:rPr>
          <w:rFonts w:eastAsia="Calibri"/>
        </w:rPr>
        <w:t xml:space="preserve"> през месеците след март са отчетени и разходите, свързани с изплащането на добавка към възнагражденията на медицинския персонал и другите заети на първа линия в борбата със заразата с </w:t>
      </w:r>
      <w:r w:rsidR="00644B1A" w:rsidRPr="00644B1A">
        <w:rPr>
          <w:rFonts w:eastAsia="Calibri"/>
          <w:lang w:val="en-US"/>
        </w:rPr>
        <w:t>COIVID-19</w:t>
      </w:r>
      <w:r w:rsidR="00644B1A" w:rsidRPr="00644B1A">
        <w:rPr>
          <w:rFonts w:eastAsia="Calibri"/>
        </w:rPr>
        <w:t>, както и увеличението с 30 % на възнагражденията на администрациите, ангажирани в борбата с пандемията и на такива с изостанало ниво на възнаграждения</w:t>
      </w:r>
      <w:r w:rsidR="00644B1A" w:rsidRPr="00644B1A">
        <w:rPr>
          <w:rFonts w:eastAsia="Calibri"/>
          <w:lang w:val="en-US"/>
        </w:rPr>
        <w:t>.</w:t>
      </w:r>
      <w:r w:rsidR="00644B1A" w:rsidRPr="00644B1A">
        <w:rPr>
          <w:rFonts w:eastAsia="Calibri"/>
        </w:rPr>
        <w:t xml:space="preserve"> </w:t>
      </w:r>
      <w:r w:rsidR="00274757" w:rsidRPr="00274757">
        <w:rPr>
          <w:rFonts w:eastAsia="Calibri"/>
        </w:rPr>
        <w:t xml:space="preserve">При социалните и здравноосигурителните разходи най-голям ръст спрямо предходната година се отчита при разходите за пенсии, поради базов ефект при разходите за пенсии от увеличението им от юли 2019 г., новото увеличение на пенсиите с 5,7 % от 1.07.2020 г., включително на минималната пенсия от 219,43 лв. на 250 лв. и </w:t>
      </w:r>
      <w:r w:rsidR="00274757" w:rsidRPr="00274757">
        <w:rPr>
          <w:rFonts w:eastAsia="Calibri"/>
          <w:bCs/>
        </w:rPr>
        <w:t>изплатените добавки в размер на 50 лева към пенсиите на всички пенсионери за месеците  август и септември</w:t>
      </w:r>
      <w:r w:rsidR="00274757" w:rsidRPr="00274757">
        <w:rPr>
          <w:rFonts w:eastAsia="Calibri"/>
        </w:rPr>
        <w:t>.  Здравноосигурителни плащания също отчитат ръст, което е свързано с осигурените за настоящата година със ЗБНЗОК за 2020 г. по-високи разходи в размер на близо 350 млн. лв. по бюджета на НЗОК. По-високи са и социалните обезщетения и помощи, в т.ч. и разходите на фонд „Безработица“ на ДОО, които са свързани с преодоляване на негативните ефекти от кризата върху пазара на труда и заетите, вкл. разходите по мярката „60/40“. По тази мярка към края на септември 2020</w:t>
      </w:r>
      <w:r w:rsidR="00274757">
        <w:rPr>
          <w:rFonts w:eastAsia="Calibri"/>
        </w:rPr>
        <w:t> </w:t>
      </w:r>
      <w:r w:rsidR="00274757" w:rsidRPr="00274757">
        <w:rPr>
          <w:rFonts w:eastAsia="Calibri"/>
        </w:rPr>
        <w:t xml:space="preserve">г. са изплатени 320,6 млн. лв., с което са запазени близо 277 хил. работни места. </w:t>
      </w:r>
    </w:p>
    <w:p w:rsidR="00103EDE" w:rsidRPr="001E7D66" w:rsidRDefault="00103EDE" w:rsidP="00103EDE">
      <w:pPr>
        <w:spacing w:before="240" w:after="120"/>
        <w:jc w:val="both"/>
        <w:rPr>
          <w:color w:val="0070C0"/>
        </w:rPr>
      </w:pPr>
      <w:r w:rsidRPr="006A238D">
        <w:rPr>
          <w:b/>
          <w:i/>
        </w:rPr>
        <w:t>Нелихвените разходи</w:t>
      </w:r>
      <w:r w:rsidRPr="006A238D">
        <w:t xml:space="preserve"> са в размер на 30 099,2 млн. лв., което представлява 66,1 % от годишния разчет. </w:t>
      </w:r>
      <w:r w:rsidRPr="006A238D">
        <w:rPr>
          <w:i/>
        </w:rPr>
        <w:t>Текущите нелихвени разходи</w:t>
      </w:r>
      <w:r w:rsidRPr="006A238D">
        <w:t xml:space="preserve"> са в размер на 27 352,2 млн. лева. </w:t>
      </w:r>
      <w:r w:rsidRPr="006A238D">
        <w:rPr>
          <w:i/>
        </w:rPr>
        <w:t>Капиталовите разходи</w:t>
      </w:r>
      <w:r w:rsidRPr="006A238D">
        <w:t xml:space="preserve"> (вкл. нетния прираст на държавния резерв) възлизат на 2 716,2 млн. лева. </w:t>
      </w:r>
      <w:r w:rsidRPr="006A238D">
        <w:rPr>
          <w:i/>
        </w:rPr>
        <w:t>Предоставените</w:t>
      </w:r>
      <w:r w:rsidRPr="002B3533">
        <w:rPr>
          <w:i/>
        </w:rPr>
        <w:t xml:space="preserve"> текущи и капиталови трансфери за чужбина</w:t>
      </w:r>
      <w:r w:rsidRPr="002B3533">
        <w:t xml:space="preserve"> са в размер на 30,8 млн. лева. </w:t>
      </w:r>
      <w:r w:rsidRPr="002B3533">
        <w:rPr>
          <w:b/>
          <w:i/>
        </w:rPr>
        <w:t>Лихвените плащания</w:t>
      </w:r>
      <w:r w:rsidRPr="002B3533">
        <w:t xml:space="preserve"> са в размер на 553,9 млн. лв. (76,4 % от планираните за 2020 година).</w:t>
      </w:r>
    </w:p>
    <w:p w:rsidR="00103EDE" w:rsidRPr="000851A5" w:rsidRDefault="00103EDE" w:rsidP="00C4077C">
      <w:pPr>
        <w:numPr>
          <w:ilvl w:val="0"/>
          <w:numId w:val="25"/>
        </w:numPr>
        <w:tabs>
          <w:tab w:val="left" w:pos="426"/>
        </w:tabs>
        <w:ind w:left="0" w:firstLine="0"/>
        <w:contextualSpacing/>
        <w:jc w:val="both"/>
        <w:rPr>
          <w:szCs w:val="20"/>
        </w:rPr>
      </w:pPr>
      <w:r w:rsidRPr="000851A5">
        <w:rPr>
          <w:b/>
          <w:szCs w:val="20"/>
        </w:rPr>
        <w:t>Частта от вноската на Република България в общия бюджет на ЕС</w:t>
      </w:r>
      <w:r w:rsidRPr="000851A5">
        <w:rPr>
          <w:szCs w:val="20"/>
        </w:rPr>
        <w:t xml:space="preserve">, изплатена към 30.09.2020 г. от централния бюджет, възлиза на </w:t>
      </w:r>
      <w:r w:rsidRPr="000851A5">
        <w:rPr>
          <w:b/>
        </w:rPr>
        <w:t xml:space="preserve">890,9 </w:t>
      </w:r>
      <w:r w:rsidRPr="000851A5">
        <w:rPr>
          <w:szCs w:val="20"/>
        </w:rPr>
        <w:t>млн. лв., което е в изпълнение на действащото към момента законодателство в областта на собствените ресурси на ЕС - Решение на Съвета 2014/335/ЕС, Евратом относно системата на собствените ресурси на Европейския съюз, Регламент (ЕС, Евратом) № 608/2014 на Съвета от 26 май 2014 г. за определяне на мерки за прилагане на системата на собствените ресурси на ЕС и Регламент (EС, Евратом)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Евратом) 2016/804 на Съвета от 17 май 2016 г., в т.ч.:</w:t>
      </w:r>
    </w:p>
    <w:p w:rsidR="00103EDE" w:rsidRPr="00BE048D" w:rsidRDefault="00103EDE" w:rsidP="00103EDE">
      <w:pPr>
        <w:numPr>
          <w:ilvl w:val="0"/>
          <w:numId w:val="13"/>
        </w:numPr>
        <w:tabs>
          <w:tab w:val="clear" w:pos="1500"/>
          <w:tab w:val="num" w:pos="720"/>
        </w:tabs>
        <w:spacing w:before="120"/>
        <w:ind w:left="709" w:hanging="284"/>
        <w:jc w:val="both"/>
      </w:pPr>
      <w:r w:rsidRPr="00BE048D">
        <w:t>ресурс на база брутен национален доход – 575,6 млн. лв.;</w:t>
      </w:r>
    </w:p>
    <w:p w:rsidR="00103EDE" w:rsidRPr="00BE048D" w:rsidRDefault="00103EDE" w:rsidP="00103EDE">
      <w:pPr>
        <w:numPr>
          <w:ilvl w:val="0"/>
          <w:numId w:val="13"/>
        </w:numPr>
        <w:tabs>
          <w:tab w:val="clear" w:pos="1500"/>
          <w:tab w:val="num" w:pos="720"/>
        </w:tabs>
        <w:ind w:left="709" w:hanging="283"/>
        <w:jc w:val="both"/>
      </w:pPr>
      <w:r w:rsidRPr="00BE048D">
        <w:t>ресурс на база данък върху добавената стойност – 133,2 млн. лв.;</w:t>
      </w:r>
    </w:p>
    <w:p w:rsidR="00103EDE" w:rsidRPr="00BE048D" w:rsidRDefault="00103EDE" w:rsidP="00103EDE">
      <w:pPr>
        <w:numPr>
          <w:ilvl w:val="0"/>
          <w:numId w:val="13"/>
        </w:numPr>
        <w:tabs>
          <w:tab w:val="clear" w:pos="1500"/>
          <w:tab w:val="num" w:pos="720"/>
        </w:tabs>
        <w:ind w:left="709" w:hanging="283"/>
        <w:jc w:val="both"/>
      </w:pPr>
      <w:r w:rsidRPr="00BE048D">
        <w:t>корекция за Обединеното кралство – 48,1 млн. лв.;</w:t>
      </w:r>
    </w:p>
    <w:p w:rsidR="00103EDE" w:rsidRPr="00BE048D" w:rsidRDefault="00103EDE" w:rsidP="00103EDE">
      <w:pPr>
        <w:numPr>
          <w:ilvl w:val="0"/>
          <w:numId w:val="13"/>
        </w:numPr>
        <w:tabs>
          <w:tab w:val="clear" w:pos="1500"/>
          <w:tab w:val="num" w:pos="720"/>
        </w:tabs>
        <w:ind w:left="709" w:hanging="283"/>
        <w:jc w:val="both"/>
      </w:pPr>
      <w:r w:rsidRPr="00BE048D">
        <w:t>традиционни собствени ресурси (мита) – 127,9 млн. лв.;</w:t>
      </w:r>
    </w:p>
    <w:p w:rsidR="00103EDE" w:rsidRPr="00BE048D" w:rsidRDefault="00103EDE" w:rsidP="00103EDE">
      <w:pPr>
        <w:numPr>
          <w:ilvl w:val="0"/>
          <w:numId w:val="13"/>
        </w:numPr>
        <w:tabs>
          <w:tab w:val="clear" w:pos="1500"/>
        </w:tabs>
        <w:ind w:left="709" w:hanging="283"/>
        <w:jc w:val="both"/>
      </w:pPr>
      <w:r w:rsidRPr="00BE048D">
        <w:lastRenderedPageBreak/>
        <w:t>участие във финансиране на брутното намаление за Нидерландия, Швеция и Дания – 6,1</w:t>
      </w:r>
      <w:r>
        <w:t> </w:t>
      </w:r>
      <w:r w:rsidRPr="00BE048D">
        <w:t>млн. лв.</w:t>
      </w:r>
    </w:p>
    <w:p w:rsidR="00103EDE" w:rsidRPr="004A3BEC" w:rsidRDefault="00103EDE" w:rsidP="00103EDE">
      <w:pPr>
        <w:spacing w:before="120" w:after="120"/>
        <w:jc w:val="both"/>
        <w:rPr>
          <w:color w:val="4F81BD" w:themeColor="accent1"/>
        </w:rPr>
      </w:pPr>
      <w:r w:rsidRPr="0037238B">
        <w:rPr>
          <w:b/>
        </w:rPr>
        <w:t>Бюджетното салдо</w:t>
      </w:r>
      <w:r w:rsidRPr="0037238B">
        <w:rPr>
          <w:bCs/>
        </w:rPr>
        <w:t xml:space="preserve"> по консолидираната фискална програма </w:t>
      </w:r>
      <w:r w:rsidRPr="0037238B">
        <w:t>към септември</w:t>
      </w:r>
      <w:r w:rsidRPr="0037238B">
        <w:rPr>
          <w:bCs/>
        </w:rPr>
        <w:t xml:space="preserve"> 2020 г. е </w:t>
      </w:r>
      <w:r w:rsidRPr="00C945E9">
        <w:rPr>
          <w:b/>
          <w:bCs/>
        </w:rPr>
        <w:t>положително</w:t>
      </w:r>
      <w:r w:rsidRPr="00C945E9">
        <w:rPr>
          <w:bCs/>
        </w:rPr>
        <w:t xml:space="preserve"> в размер на </w:t>
      </w:r>
      <w:r w:rsidRPr="00C945E9">
        <w:rPr>
          <w:b/>
          <w:bCs/>
        </w:rPr>
        <w:t xml:space="preserve">871,4 </w:t>
      </w:r>
      <w:r w:rsidRPr="00C945E9">
        <w:rPr>
          <w:b/>
        </w:rPr>
        <w:t>млн. лв.</w:t>
      </w:r>
      <w:r w:rsidRPr="00C945E9">
        <w:t xml:space="preserve"> </w:t>
      </w:r>
      <w:r w:rsidRPr="00C945E9">
        <w:rPr>
          <w:rFonts w:eastAsia="Calibri"/>
        </w:rPr>
        <w:t xml:space="preserve">(0,7 % от прогнозния БВП) </w:t>
      </w:r>
      <w:r w:rsidRPr="00C945E9">
        <w:t xml:space="preserve">и </w:t>
      </w:r>
      <w:r w:rsidRPr="00C945E9">
        <w:rPr>
          <w:bCs/>
        </w:rPr>
        <w:t>се формира от</w:t>
      </w:r>
      <w:r w:rsidRPr="0037238B">
        <w:rPr>
          <w:bCs/>
        </w:rPr>
        <w:t xml:space="preserve"> </w:t>
      </w:r>
      <w:r w:rsidRPr="0037238B">
        <w:t>превишение на приходите над разходите по националния бюджет в размер на 484,9 млн. лв. и по европейските средства в размер на 386,5 млн. лева</w:t>
      </w:r>
      <w:r w:rsidRPr="004A3BEC">
        <w:rPr>
          <w:color w:val="4F81BD" w:themeColor="accent1"/>
        </w:rPr>
        <w:t>.</w:t>
      </w:r>
    </w:p>
    <w:p w:rsidR="00103EDE" w:rsidRPr="00601860" w:rsidRDefault="00103EDE" w:rsidP="00103EDE">
      <w:pPr>
        <w:numPr>
          <w:ilvl w:val="0"/>
          <w:numId w:val="9"/>
        </w:numPr>
        <w:tabs>
          <w:tab w:val="num" w:pos="0"/>
          <w:tab w:val="left" w:pos="426"/>
          <w:tab w:val="left" w:pos="720"/>
        </w:tabs>
        <w:spacing w:before="240" w:after="60"/>
        <w:ind w:left="0" w:firstLine="0"/>
        <w:jc w:val="both"/>
      </w:pPr>
      <w:r w:rsidRPr="00601860">
        <w:rPr>
          <w:b/>
          <w:bCs/>
        </w:rPr>
        <w:t>Общият размер на касовите постъпления от ЕС</w:t>
      </w:r>
      <w:r w:rsidRPr="00601860">
        <w:rPr>
          <w:bCs/>
        </w:rPr>
        <w:t xml:space="preserve"> (от Структурните и Кохезионния фондове, от</w:t>
      </w:r>
      <w:r w:rsidRPr="00601860">
        <w:t xml:space="preserve"> ЕЗФРСР и ЕФР</w:t>
      </w:r>
      <w:r w:rsidRPr="00601860">
        <w:rPr>
          <w:bCs/>
        </w:rPr>
        <w:t xml:space="preserve">, от средства за директни плащания към земеделските производители и плащания по пазарни мерки и др.) за деветмесечието на 2020 г. е </w:t>
      </w:r>
      <w:r w:rsidRPr="00601860">
        <w:rPr>
          <w:b/>
          <w:bCs/>
        </w:rPr>
        <w:t>3 698,5 млн. лв.</w:t>
      </w:r>
      <w:r w:rsidRPr="00601860">
        <w:rPr>
          <w:b/>
        </w:rPr>
        <w:t xml:space="preserve"> </w:t>
      </w:r>
      <w:r w:rsidRPr="00601860">
        <w:rPr>
          <w:b/>
          <w:bCs/>
        </w:rPr>
        <w:t xml:space="preserve">Нетните постъпления от ЕС към 30.09.2020 г. </w:t>
      </w:r>
      <w:r w:rsidRPr="00601860">
        <w:rPr>
          <w:bCs/>
        </w:rPr>
        <w:t xml:space="preserve">(касови постъпления от ЕС, намалени с вноската в общия бюджет на ЕС) са положителни в размер на </w:t>
      </w:r>
      <w:r w:rsidRPr="00601860">
        <w:rPr>
          <w:b/>
          <w:bCs/>
        </w:rPr>
        <w:t>2 807,6 млн. лева</w:t>
      </w:r>
      <w:r w:rsidRPr="00601860">
        <w:t>.</w:t>
      </w:r>
    </w:p>
    <w:p w:rsidR="00103EDE" w:rsidRPr="005A6F50" w:rsidRDefault="00103EDE" w:rsidP="00103EDE">
      <w:pPr>
        <w:numPr>
          <w:ilvl w:val="2"/>
          <w:numId w:val="17"/>
        </w:numPr>
        <w:tabs>
          <w:tab w:val="left" w:pos="426"/>
        </w:tabs>
        <w:spacing w:before="120" w:after="120"/>
        <w:ind w:left="0" w:firstLine="0"/>
        <w:jc w:val="both"/>
        <w:rPr>
          <w:sz w:val="8"/>
          <w:szCs w:val="8"/>
        </w:rPr>
      </w:pPr>
      <w:r w:rsidRPr="005A6F50">
        <w:rPr>
          <w:b/>
        </w:rPr>
        <w:t>Фискалният резерв</w:t>
      </w:r>
      <w:r w:rsidRPr="005A6F50">
        <w:rPr>
          <w:b/>
          <w:bCs/>
          <w:vertAlign w:val="superscript"/>
          <w:lang w:eastAsia="bg-BG"/>
        </w:rPr>
        <w:footnoteReference w:id="5"/>
      </w:r>
      <w:r w:rsidRPr="005A6F50">
        <w:rPr>
          <w:bCs/>
          <w:lang w:eastAsia="bg-BG"/>
        </w:rPr>
        <w:t xml:space="preserve"> към </w:t>
      </w:r>
      <w:r w:rsidRPr="005A6F50">
        <w:rPr>
          <w:bCs/>
        </w:rPr>
        <w:t xml:space="preserve">30.09.2020 г. е </w:t>
      </w:r>
      <w:r w:rsidRPr="005A6F50">
        <w:rPr>
          <w:b/>
          <w:bCs/>
        </w:rPr>
        <w:t>13,53 млрд. лв</w:t>
      </w:r>
      <w:r w:rsidRPr="005A6F50">
        <w:rPr>
          <w:bCs/>
        </w:rPr>
        <w:t>., в т.ч. 13,49 млрд. лв. депозити на фискалния резерв в БНБ и банки и 0,04 млрд. лв. вземания от фондовете на Европейския съюз за сертифицирани разходи, аванси и други</w:t>
      </w:r>
      <w:r w:rsidRPr="005A6F50">
        <w:rPr>
          <w:bCs/>
          <w:lang w:eastAsia="bg-BG"/>
        </w:rPr>
        <w:t>.</w:t>
      </w:r>
      <w:r w:rsidRPr="005A6F50">
        <w:rPr>
          <w:bCs/>
        </w:rPr>
        <w:t xml:space="preserve"> </w:t>
      </w:r>
    </w:p>
    <w:p w:rsidR="00103EDE" w:rsidRPr="004A3BEC" w:rsidRDefault="00103EDE" w:rsidP="00103EDE">
      <w:pPr>
        <w:tabs>
          <w:tab w:val="left" w:pos="426"/>
        </w:tabs>
        <w:spacing w:before="120" w:after="120"/>
        <w:jc w:val="both"/>
        <w:rPr>
          <w:color w:val="4F81BD" w:themeColor="accent1"/>
          <w:sz w:val="8"/>
          <w:szCs w:val="8"/>
        </w:rPr>
      </w:pPr>
    </w:p>
    <w:p w:rsidR="00103EDE" w:rsidRPr="0008331E" w:rsidRDefault="00103EDE" w:rsidP="00103EDE">
      <w:pPr>
        <w:keepNext/>
        <w:numPr>
          <w:ilvl w:val="0"/>
          <w:numId w:val="10"/>
        </w:numPr>
        <w:ind w:right="-108"/>
        <w:jc w:val="both"/>
        <w:outlineLvl w:val="0"/>
        <w:rPr>
          <w:b/>
          <w:bCs/>
        </w:rPr>
      </w:pPr>
      <w:r w:rsidRPr="0008331E">
        <w:rPr>
          <w:b/>
          <w:bCs/>
        </w:rPr>
        <w:t>Изпълнение на държавния бюджет</w:t>
      </w:r>
      <w:r w:rsidRPr="0008331E">
        <w:rPr>
          <w:b/>
          <w:sz w:val="20"/>
          <w:szCs w:val="20"/>
          <w:vertAlign w:val="superscript"/>
        </w:rPr>
        <w:footnoteReference w:id="6"/>
      </w:r>
      <w:r w:rsidRPr="0008331E">
        <w:rPr>
          <w:b/>
          <w:bCs/>
        </w:rPr>
        <w:t xml:space="preserve"> към септември 20</w:t>
      </w:r>
      <w:r w:rsidRPr="0008331E">
        <w:rPr>
          <w:b/>
          <w:bCs/>
          <w:lang w:val="en-US"/>
        </w:rPr>
        <w:t>20</w:t>
      </w:r>
      <w:r w:rsidRPr="0008331E">
        <w:rPr>
          <w:b/>
          <w:bCs/>
        </w:rPr>
        <w:t xml:space="preserve"> г.</w:t>
      </w:r>
    </w:p>
    <w:p w:rsidR="00103EDE" w:rsidRDefault="00103EDE" w:rsidP="00103EDE">
      <w:pPr>
        <w:tabs>
          <w:tab w:val="left" w:pos="1080"/>
        </w:tabs>
        <w:spacing w:before="120"/>
        <w:jc w:val="both"/>
      </w:pPr>
      <w:r w:rsidRPr="0008331E">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D106F5" w:rsidRPr="0008331E" w:rsidRDefault="00D106F5" w:rsidP="00103EDE">
      <w:pPr>
        <w:tabs>
          <w:tab w:val="left" w:pos="1080"/>
        </w:tabs>
        <w:spacing w:before="120"/>
        <w:jc w:val="both"/>
        <w:rPr>
          <w:lang w:val="en-US"/>
        </w:rPr>
      </w:pPr>
    </w:p>
    <w:p w:rsidR="00103EDE" w:rsidRPr="004A3BEC" w:rsidRDefault="00103EDE" w:rsidP="00103EDE">
      <w:pPr>
        <w:tabs>
          <w:tab w:val="left" w:pos="1080"/>
        </w:tabs>
        <w:spacing w:before="120"/>
        <w:jc w:val="both"/>
        <w:rPr>
          <w:color w:val="4F81BD" w:themeColor="accent1"/>
          <w:sz w:val="2"/>
          <w:szCs w:val="2"/>
        </w:rPr>
      </w:pPr>
    </w:p>
    <w:p w:rsidR="00103EDE" w:rsidRPr="00045D66" w:rsidRDefault="00103EDE" w:rsidP="00103EDE">
      <w:pPr>
        <w:ind w:right="-242"/>
        <w:rPr>
          <w:b/>
          <w:bCs/>
          <w:sz w:val="20"/>
          <w:szCs w:val="20"/>
          <w:lang w:eastAsia="bg-BG"/>
        </w:rPr>
      </w:pPr>
      <w:r w:rsidRPr="00045D66">
        <w:rPr>
          <w:b/>
          <w:bCs/>
          <w:sz w:val="20"/>
          <w:szCs w:val="20"/>
          <w:lang w:eastAsia="bg-BG"/>
        </w:rPr>
        <w:t xml:space="preserve">            Таблица</w:t>
      </w:r>
      <w:r w:rsidRPr="00045D66">
        <w:rPr>
          <w:b/>
          <w:bCs/>
          <w:sz w:val="20"/>
          <w:szCs w:val="20"/>
          <w:vertAlign w:val="superscript"/>
          <w:lang w:eastAsia="bg-BG"/>
        </w:rPr>
        <w:footnoteReference w:id="7"/>
      </w:r>
      <w:r w:rsidRPr="00045D66">
        <w:rPr>
          <w:b/>
          <w:bCs/>
          <w:sz w:val="20"/>
          <w:szCs w:val="20"/>
          <w:lang w:eastAsia="bg-BG"/>
        </w:rPr>
        <w:t xml:space="preserve">  №2      </w:t>
      </w:r>
      <w:r w:rsidRPr="00045D66">
        <w:rPr>
          <w:b/>
          <w:bCs/>
          <w:sz w:val="20"/>
          <w:szCs w:val="20"/>
          <w:lang w:eastAsia="bg-BG"/>
        </w:rPr>
        <w:tab/>
      </w:r>
      <w:r w:rsidRPr="00045D66">
        <w:rPr>
          <w:b/>
          <w:bCs/>
          <w:sz w:val="20"/>
          <w:szCs w:val="20"/>
          <w:lang w:eastAsia="bg-BG"/>
        </w:rPr>
        <w:tab/>
        <w:t xml:space="preserve">                                          </w:t>
      </w:r>
      <w:r w:rsidRPr="00045D66">
        <w:rPr>
          <w:b/>
          <w:bCs/>
          <w:sz w:val="20"/>
          <w:szCs w:val="20"/>
          <w:lang w:eastAsia="bg-BG"/>
        </w:rPr>
        <w:tab/>
      </w:r>
      <w:r w:rsidRPr="00045D66">
        <w:rPr>
          <w:b/>
          <w:bCs/>
          <w:sz w:val="20"/>
          <w:szCs w:val="20"/>
          <w:lang w:eastAsia="bg-BG"/>
        </w:rPr>
        <w:tab/>
      </w:r>
      <w:r w:rsidRPr="00045D66">
        <w:rPr>
          <w:b/>
          <w:bCs/>
          <w:sz w:val="20"/>
          <w:szCs w:val="20"/>
          <w:lang w:eastAsia="bg-BG"/>
        </w:rPr>
        <w:tab/>
      </w:r>
      <w:r w:rsidRPr="00045D66">
        <w:rPr>
          <w:b/>
          <w:bCs/>
          <w:sz w:val="20"/>
          <w:szCs w:val="20"/>
          <w:lang w:eastAsia="bg-BG"/>
        </w:rPr>
        <w:tab/>
        <w:t xml:space="preserve">  (млн. лв.)</w:t>
      </w:r>
    </w:p>
    <w:p w:rsidR="00103EDE" w:rsidRPr="004A3BEC" w:rsidRDefault="00103EDE" w:rsidP="00103EDE">
      <w:pPr>
        <w:ind w:right="-242"/>
        <w:rPr>
          <w:b/>
          <w:bCs/>
          <w:color w:val="4F81BD" w:themeColor="accent1"/>
          <w:sz w:val="6"/>
          <w:szCs w:val="6"/>
          <w:lang w:eastAsia="bg-BG"/>
        </w:rPr>
      </w:pPr>
    </w:p>
    <w:tbl>
      <w:tblPr>
        <w:tblW w:w="8642" w:type="dxa"/>
        <w:jc w:val="center"/>
        <w:tblCellMar>
          <w:left w:w="70" w:type="dxa"/>
          <w:right w:w="70" w:type="dxa"/>
        </w:tblCellMar>
        <w:tblLook w:val="0000" w:firstRow="0" w:lastRow="0" w:firstColumn="0" w:lastColumn="0" w:noHBand="0" w:noVBand="0"/>
      </w:tblPr>
      <w:tblGrid>
        <w:gridCol w:w="4853"/>
        <w:gridCol w:w="1276"/>
        <w:gridCol w:w="1209"/>
        <w:gridCol w:w="1304"/>
      </w:tblGrid>
      <w:tr w:rsidR="00103EDE" w:rsidRPr="004A3BEC" w:rsidTr="000F61D1">
        <w:trPr>
          <w:trHeight w:val="520"/>
          <w:jc w:val="center"/>
        </w:trPr>
        <w:tc>
          <w:tcPr>
            <w:tcW w:w="4853" w:type="dxa"/>
            <w:tcBorders>
              <w:top w:val="single" w:sz="8" w:space="0" w:color="auto"/>
              <w:left w:val="single" w:sz="8" w:space="0" w:color="auto"/>
              <w:bottom w:val="nil"/>
              <w:right w:val="single" w:sz="8" w:space="0" w:color="auto"/>
            </w:tcBorders>
            <w:shd w:val="clear" w:color="auto" w:fill="auto"/>
            <w:noWrap/>
            <w:vAlign w:val="center"/>
          </w:tcPr>
          <w:p w:rsidR="00103EDE" w:rsidRPr="000A3C07" w:rsidRDefault="00103EDE" w:rsidP="000F61D1">
            <w:pPr>
              <w:jc w:val="center"/>
              <w:rPr>
                <w:b/>
                <w:bCs/>
                <w:sz w:val="18"/>
                <w:szCs w:val="18"/>
              </w:rPr>
            </w:pPr>
            <w:r w:rsidRPr="000A3C07">
              <w:rPr>
                <w:b/>
                <w:bCs/>
                <w:sz w:val="18"/>
                <w:szCs w:val="18"/>
              </w:rPr>
              <w:t>ПОКАЗАТЕЛИ</w:t>
            </w:r>
          </w:p>
        </w:tc>
        <w:tc>
          <w:tcPr>
            <w:tcW w:w="1276" w:type="dxa"/>
            <w:tcBorders>
              <w:top w:val="single" w:sz="8" w:space="0" w:color="auto"/>
              <w:left w:val="nil"/>
              <w:bottom w:val="nil"/>
              <w:right w:val="nil"/>
            </w:tcBorders>
            <w:shd w:val="clear" w:color="auto" w:fill="auto"/>
            <w:vAlign w:val="center"/>
          </w:tcPr>
          <w:p w:rsidR="00103EDE" w:rsidRPr="000A3C07" w:rsidRDefault="00103EDE" w:rsidP="000F61D1">
            <w:pPr>
              <w:jc w:val="center"/>
              <w:rPr>
                <w:b/>
                <w:bCs/>
                <w:sz w:val="18"/>
                <w:szCs w:val="18"/>
              </w:rPr>
            </w:pPr>
            <w:r w:rsidRPr="000A3C07">
              <w:rPr>
                <w:b/>
                <w:bCs/>
                <w:sz w:val="18"/>
                <w:szCs w:val="18"/>
              </w:rPr>
              <w:t>ЗДБРБ     2020 г.</w:t>
            </w:r>
            <w:r w:rsidRPr="000A3C07">
              <w:rPr>
                <w:rStyle w:val="FootnoteReference"/>
                <w:b/>
                <w:bCs/>
                <w:sz w:val="18"/>
                <w:szCs w:val="18"/>
              </w:rPr>
              <w:footnoteReference w:id="8"/>
            </w:r>
          </w:p>
        </w:tc>
        <w:tc>
          <w:tcPr>
            <w:tcW w:w="1209" w:type="dxa"/>
            <w:tcBorders>
              <w:top w:val="single" w:sz="8" w:space="0" w:color="auto"/>
              <w:left w:val="nil"/>
              <w:bottom w:val="nil"/>
              <w:right w:val="nil"/>
            </w:tcBorders>
            <w:shd w:val="clear" w:color="auto" w:fill="auto"/>
            <w:vAlign w:val="center"/>
          </w:tcPr>
          <w:p w:rsidR="00103EDE" w:rsidRPr="004B67E9" w:rsidRDefault="00103EDE" w:rsidP="000F61D1">
            <w:pPr>
              <w:jc w:val="center"/>
              <w:rPr>
                <w:b/>
                <w:bCs/>
                <w:sz w:val="18"/>
                <w:szCs w:val="18"/>
              </w:rPr>
            </w:pPr>
            <w:r w:rsidRPr="004B67E9">
              <w:rPr>
                <w:b/>
                <w:bCs/>
                <w:sz w:val="18"/>
                <w:szCs w:val="18"/>
              </w:rPr>
              <w:t xml:space="preserve">Отчет </w:t>
            </w:r>
          </w:p>
          <w:p w:rsidR="00103EDE" w:rsidRPr="004B67E9" w:rsidRDefault="00103EDE" w:rsidP="000F61D1">
            <w:pPr>
              <w:jc w:val="center"/>
              <w:rPr>
                <w:b/>
                <w:bCs/>
                <w:sz w:val="18"/>
                <w:szCs w:val="18"/>
              </w:rPr>
            </w:pPr>
            <w:r w:rsidRPr="004B67E9">
              <w:rPr>
                <w:b/>
                <w:bCs/>
                <w:sz w:val="18"/>
                <w:szCs w:val="18"/>
              </w:rPr>
              <w:t>септември 2020 г.</w:t>
            </w:r>
          </w:p>
        </w:tc>
        <w:tc>
          <w:tcPr>
            <w:tcW w:w="1304" w:type="dxa"/>
            <w:tcBorders>
              <w:top w:val="single" w:sz="8" w:space="0" w:color="auto"/>
              <w:left w:val="nil"/>
              <w:bottom w:val="nil"/>
              <w:right w:val="single" w:sz="8" w:space="0" w:color="auto"/>
            </w:tcBorders>
            <w:shd w:val="clear" w:color="auto" w:fill="auto"/>
            <w:vAlign w:val="center"/>
          </w:tcPr>
          <w:p w:rsidR="00103EDE" w:rsidRPr="004B67E9" w:rsidRDefault="00103EDE" w:rsidP="000F61D1">
            <w:pPr>
              <w:jc w:val="center"/>
              <w:rPr>
                <w:b/>
                <w:bCs/>
                <w:sz w:val="18"/>
                <w:szCs w:val="18"/>
              </w:rPr>
            </w:pPr>
            <w:r w:rsidRPr="004B67E9">
              <w:rPr>
                <w:b/>
                <w:bCs/>
                <w:sz w:val="18"/>
                <w:szCs w:val="18"/>
              </w:rPr>
              <w:t>Изпълнение спрямо    закон 2020 г.</w:t>
            </w:r>
          </w:p>
        </w:tc>
      </w:tr>
      <w:tr w:rsidR="00103EDE" w:rsidRPr="004A3BEC" w:rsidTr="000F61D1">
        <w:trPr>
          <w:trHeight w:val="92"/>
          <w:jc w:val="center"/>
        </w:trPr>
        <w:tc>
          <w:tcPr>
            <w:tcW w:w="4853" w:type="dxa"/>
            <w:tcBorders>
              <w:top w:val="single" w:sz="4" w:space="0" w:color="auto"/>
              <w:left w:val="single" w:sz="8" w:space="0" w:color="auto"/>
              <w:bottom w:val="single" w:sz="4" w:space="0" w:color="auto"/>
              <w:right w:val="single" w:sz="8" w:space="0" w:color="auto"/>
            </w:tcBorders>
            <w:shd w:val="clear" w:color="auto" w:fill="auto"/>
            <w:noWrap/>
            <w:vAlign w:val="bottom"/>
          </w:tcPr>
          <w:p w:rsidR="00103EDE" w:rsidRPr="000A3C07" w:rsidRDefault="00103EDE" w:rsidP="000F61D1">
            <w:pPr>
              <w:rPr>
                <w:b/>
                <w:bCs/>
                <w:sz w:val="18"/>
                <w:szCs w:val="18"/>
              </w:rPr>
            </w:pPr>
            <w:r w:rsidRPr="000A3C07">
              <w:rPr>
                <w:b/>
                <w:bCs/>
                <w:sz w:val="18"/>
                <w:szCs w:val="18"/>
              </w:rPr>
              <w:t>Общо приходи, помощи и дарения</w:t>
            </w:r>
          </w:p>
        </w:tc>
        <w:tc>
          <w:tcPr>
            <w:tcW w:w="1276" w:type="dxa"/>
            <w:tcBorders>
              <w:top w:val="single" w:sz="4" w:space="0" w:color="auto"/>
              <w:left w:val="nil"/>
              <w:bottom w:val="single" w:sz="8" w:space="0" w:color="auto"/>
              <w:right w:val="nil"/>
            </w:tcBorders>
            <w:shd w:val="clear" w:color="auto" w:fill="auto"/>
            <w:noWrap/>
            <w:vAlign w:val="bottom"/>
          </w:tcPr>
          <w:p w:rsidR="00103EDE" w:rsidRPr="000A3C07" w:rsidRDefault="00103EDE" w:rsidP="000F61D1">
            <w:pPr>
              <w:jc w:val="right"/>
              <w:rPr>
                <w:b/>
                <w:bCs/>
                <w:sz w:val="18"/>
                <w:szCs w:val="18"/>
              </w:rPr>
            </w:pPr>
            <w:r w:rsidRPr="000A3C07">
              <w:rPr>
                <w:b/>
                <w:bCs/>
                <w:sz w:val="18"/>
                <w:szCs w:val="18"/>
              </w:rPr>
              <w:t>26 040,8</w:t>
            </w:r>
          </w:p>
        </w:tc>
        <w:tc>
          <w:tcPr>
            <w:tcW w:w="1209" w:type="dxa"/>
            <w:tcBorders>
              <w:top w:val="single" w:sz="4" w:space="0" w:color="auto"/>
              <w:left w:val="nil"/>
              <w:bottom w:val="single" w:sz="8" w:space="0" w:color="auto"/>
              <w:right w:val="nil"/>
            </w:tcBorders>
            <w:shd w:val="clear" w:color="auto" w:fill="auto"/>
            <w:noWrap/>
            <w:vAlign w:val="bottom"/>
          </w:tcPr>
          <w:p w:rsidR="00103EDE" w:rsidRDefault="00103EDE" w:rsidP="000F61D1">
            <w:pPr>
              <w:jc w:val="right"/>
              <w:rPr>
                <w:b/>
                <w:bCs/>
                <w:sz w:val="18"/>
                <w:szCs w:val="18"/>
              </w:rPr>
            </w:pPr>
            <w:r>
              <w:rPr>
                <w:b/>
                <w:bCs/>
                <w:sz w:val="18"/>
                <w:szCs w:val="18"/>
              </w:rPr>
              <w:t>18 700,9</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103EDE" w:rsidRDefault="00103EDE" w:rsidP="000F61D1">
            <w:pPr>
              <w:jc w:val="right"/>
              <w:rPr>
                <w:b/>
                <w:bCs/>
                <w:sz w:val="18"/>
                <w:szCs w:val="18"/>
              </w:rPr>
            </w:pPr>
            <w:r>
              <w:rPr>
                <w:b/>
                <w:bCs/>
                <w:sz w:val="18"/>
                <w:szCs w:val="18"/>
              </w:rPr>
              <w:t>71,8%</w:t>
            </w:r>
          </w:p>
        </w:tc>
      </w:tr>
      <w:tr w:rsidR="00103EDE" w:rsidRPr="004A3BEC" w:rsidTr="000F61D1">
        <w:trPr>
          <w:trHeight w:val="80"/>
          <w:jc w:val="center"/>
        </w:trPr>
        <w:tc>
          <w:tcPr>
            <w:tcW w:w="4853" w:type="dxa"/>
            <w:tcBorders>
              <w:top w:val="single" w:sz="4" w:space="0" w:color="auto"/>
              <w:left w:val="single" w:sz="8" w:space="0" w:color="auto"/>
              <w:bottom w:val="nil"/>
              <w:right w:val="single" w:sz="8"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-Данъчни приходи</w:t>
            </w:r>
          </w:p>
        </w:tc>
        <w:tc>
          <w:tcPr>
            <w:tcW w:w="1276" w:type="dxa"/>
            <w:tcBorders>
              <w:top w:val="single" w:sz="8" w:space="0" w:color="auto"/>
              <w:left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23 026,0</w:t>
            </w:r>
          </w:p>
        </w:tc>
        <w:tc>
          <w:tcPr>
            <w:tcW w:w="1209" w:type="dxa"/>
            <w:tcBorders>
              <w:top w:val="single" w:sz="8" w:space="0" w:color="auto"/>
              <w:left w:val="nil"/>
              <w:right w:val="nil"/>
            </w:tcBorders>
            <w:shd w:val="clear" w:color="auto" w:fill="auto"/>
            <w:noWrap/>
            <w:vAlign w:val="bottom"/>
          </w:tcPr>
          <w:p w:rsidR="00103EDE" w:rsidRDefault="00103EDE" w:rsidP="000F61D1">
            <w:pPr>
              <w:jc w:val="right"/>
              <w:rPr>
                <w:sz w:val="18"/>
                <w:szCs w:val="18"/>
              </w:rPr>
            </w:pPr>
            <w:r>
              <w:rPr>
                <w:sz w:val="18"/>
                <w:szCs w:val="18"/>
              </w:rPr>
              <w:t>17 128,7</w:t>
            </w:r>
          </w:p>
        </w:tc>
        <w:tc>
          <w:tcPr>
            <w:tcW w:w="1304" w:type="dxa"/>
            <w:tcBorders>
              <w:top w:val="single" w:sz="8" w:space="0" w:color="auto"/>
              <w:left w:val="nil"/>
              <w:right w:val="single" w:sz="8" w:space="0" w:color="auto"/>
            </w:tcBorders>
            <w:shd w:val="clear" w:color="auto" w:fill="auto"/>
            <w:noWrap/>
            <w:vAlign w:val="bottom"/>
          </w:tcPr>
          <w:p w:rsidR="00103EDE" w:rsidRDefault="00103EDE" w:rsidP="000F61D1">
            <w:pPr>
              <w:jc w:val="right"/>
              <w:rPr>
                <w:sz w:val="18"/>
                <w:szCs w:val="18"/>
              </w:rPr>
            </w:pPr>
            <w:r>
              <w:rPr>
                <w:sz w:val="18"/>
                <w:szCs w:val="18"/>
              </w:rPr>
              <w:t>74,4%</w:t>
            </w:r>
          </w:p>
        </w:tc>
      </w:tr>
      <w:tr w:rsidR="00103EDE" w:rsidRPr="004A3BEC" w:rsidTr="000F61D1">
        <w:trPr>
          <w:trHeight w:val="80"/>
          <w:jc w:val="center"/>
        </w:trPr>
        <w:tc>
          <w:tcPr>
            <w:tcW w:w="4853" w:type="dxa"/>
            <w:tcBorders>
              <w:left w:val="single" w:sz="8" w:space="0" w:color="auto"/>
              <w:right w:val="single" w:sz="8"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Корпоративни данъци</w:t>
            </w:r>
          </w:p>
        </w:tc>
        <w:tc>
          <w:tcPr>
            <w:tcW w:w="1276" w:type="dxa"/>
            <w:tcBorders>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2 487,4</w:t>
            </w:r>
          </w:p>
        </w:tc>
        <w:tc>
          <w:tcPr>
            <w:tcW w:w="1209" w:type="dxa"/>
            <w:tcBorders>
              <w:left w:val="nil"/>
              <w:bottom w:val="nil"/>
              <w:right w:val="nil"/>
            </w:tcBorders>
            <w:shd w:val="clear" w:color="auto" w:fill="auto"/>
            <w:noWrap/>
            <w:vAlign w:val="bottom"/>
          </w:tcPr>
          <w:p w:rsidR="00103EDE" w:rsidRPr="002E3515" w:rsidRDefault="00103EDE" w:rsidP="000F61D1">
            <w:pPr>
              <w:jc w:val="right"/>
              <w:rPr>
                <w:sz w:val="18"/>
                <w:szCs w:val="18"/>
              </w:rPr>
            </w:pPr>
            <w:r w:rsidRPr="002E3515">
              <w:rPr>
                <w:sz w:val="18"/>
                <w:szCs w:val="18"/>
              </w:rPr>
              <w:t>1 517,4</w:t>
            </w:r>
          </w:p>
        </w:tc>
        <w:tc>
          <w:tcPr>
            <w:tcW w:w="1304" w:type="dxa"/>
            <w:tcBorders>
              <w:left w:val="nil"/>
              <w:bottom w:val="nil"/>
              <w:right w:val="single" w:sz="8" w:space="0" w:color="auto"/>
            </w:tcBorders>
            <w:shd w:val="clear" w:color="auto" w:fill="auto"/>
            <w:noWrap/>
            <w:vAlign w:val="bottom"/>
          </w:tcPr>
          <w:p w:rsidR="00103EDE" w:rsidRPr="002E3515" w:rsidRDefault="00103EDE" w:rsidP="000F61D1">
            <w:pPr>
              <w:jc w:val="right"/>
              <w:rPr>
                <w:sz w:val="18"/>
                <w:szCs w:val="18"/>
              </w:rPr>
            </w:pPr>
            <w:r w:rsidRPr="002E3515">
              <w:rPr>
                <w:sz w:val="18"/>
                <w:szCs w:val="18"/>
              </w:rPr>
              <w:t>61,0%</w:t>
            </w:r>
          </w:p>
        </w:tc>
      </w:tr>
      <w:tr w:rsidR="00103EDE" w:rsidRPr="004A3BEC" w:rsidTr="000F61D1">
        <w:trPr>
          <w:trHeight w:val="165"/>
          <w:jc w:val="center"/>
        </w:trPr>
        <w:tc>
          <w:tcPr>
            <w:tcW w:w="4853" w:type="dxa"/>
            <w:tcBorders>
              <w:left w:val="single" w:sz="8" w:space="0" w:color="auto"/>
              <w:right w:val="single" w:sz="8"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w:t>
            </w:r>
            <w:r w:rsidRPr="000A3C07">
              <w:rPr>
                <w:sz w:val="18"/>
                <w:szCs w:val="18"/>
                <w:lang w:val="en-US"/>
              </w:rPr>
              <w:t xml:space="preserve"> </w:t>
            </w:r>
            <w:r w:rsidRPr="000A3C07">
              <w:rPr>
                <w:sz w:val="18"/>
                <w:szCs w:val="18"/>
              </w:rPr>
              <w:t>ДДФЛ</w:t>
            </w:r>
          </w:p>
        </w:tc>
        <w:tc>
          <w:tcPr>
            <w:tcW w:w="1276" w:type="dxa"/>
            <w:tcBorders>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4 074,6</w:t>
            </w:r>
          </w:p>
        </w:tc>
        <w:tc>
          <w:tcPr>
            <w:tcW w:w="1209" w:type="dxa"/>
            <w:tcBorders>
              <w:left w:val="nil"/>
              <w:bottom w:val="nil"/>
              <w:right w:val="nil"/>
            </w:tcBorders>
            <w:shd w:val="clear" w:color="auto" w:fill="auto"/>
            <w:noWrap/>
            <w:vAlign w:val="bottom"/>
          </w:tcPr>
          <w:p w:rsidR="00103EDE" w:rsidRPr="002E3515" w:rsidRDefault="00103EDE" w:rsidP="000F61D1">
            <w:pPr>
              <w:jc w:val="right"/>
              <w:rPr>
                <w:sz w:val="18"/>
                <w:szCs w:val="18"/>
              </w:rPr>
            </w:pPr>
            <w:r w:rsidRPr="002E3515">
              <w:rPr>
                <w:sz w:val="18"/>
                <w:szCs w:val="18"/>
              </w:rPr>
              <w:t>3 079,6</w:t>
            </w:r>
          </w:p>
        </w:tc>
        <w:tc>
          <w:tcPr>
            <w:tcW w:w="1304" w:type="dxa"/>
            <w:tcBorders>
              <w:left w:val="nil"/>
              <w:bottom w:val="nil"/>
              <w:right w:val="single" w:sz="8" w:space="0" w:color="auto"/>
            </w:tcBorders>
            <w:shd w:val="clear" w:color="auto" w:fill="auto"/>
            <w:noWrap/>
            <w:vAlign w:val="bottom"/>
          </w:tcPr>
          <w:p w:rsidR="00103EDE" w:rsidRPr="002E3515" w:rsidRDefault="00103EDE" w:rsidP="000F61D1">
            <w:pPr>
              <w:jc w:val="right"/>
              <w:rPr>
                <w:sz w:val="18"/>
                <w:szCs w:val="18"/>
              </w:rPr>
            </w:pPr>
            <w:r w:rsidRPr="002E3515">
              <w:rPr>
                <w:sz w:val="18"/>
                <w:szCs w:val="18"/>
              </w:rPr>
              <w:t>75,6%</w:t>
            </w:r>
          </w:p>
        </w:tc>
      </w:tr>
      <w:tr w:rsidR="00103EDE" w:rsidRPr="004A3BEC" w:rsidTr="000F61D1">
        <w:trPr>
          <w:trHeight w:val="165"/>
          <w:jc w:val="center"/>
        </w:trPr>
        <w:tc>
          <w:tcPr>
            <w:tcW w:w="4853" w:type="dxa"/>
            <w:tcBorders>
              <w:left w:val="single" w:sz="8" w:space="0" w:color="auto"/>
              <w:right w:val="single" w:sz="8"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w:t>
            </w:r>
            <w:r w:rsidRPr="000A3C07">
              <w:rPr>
                <w:sz w:val="18"/>
                <w:szCs w:val="18"/>
                <w:lang w:val="en-US"/>
              </w:rPr>
              <w:t xml:space="preserve"> </w:t>
            </w:r>
            <w:r w:rsidRPr="000A3C07">
              <w:rPr>
                <w:sz w:val="18"/>
                <w:szCs w:val="18"/>
              </w:rPr>
              <w:t>ДДС</w:t>
            </w:r>
          </w:p>
        </w:tc>
        <w:tc>
          <w:tcPr>
            <w:tcW w:w="1276" w:type="dxa"/>
            <w:tcBorders>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10 640,4</w:t>
            </w:r>
          </w:p>
        </w:tc>
        <w:tc>
          <w:tcPr>
            <w:tcW w:w="1209" w:type="dxa"/>
            <w:tcBorders>
              <w:left w:val="nil"/>
              <w:bottom w:val="nil"/>
              <w:right w:val="nil"/>
            </w:tcBorders>
            <w:shd w:val="clear" w:color="auto" w:fill="auto"/>
            <w:noWrap/>
            <w:vAlign w:val="bottom"/>
          </w:tcPr>
          <w:p w:rsidR="00103EDE" w:rsidRPr="00197F47" w:rsidRDefault="00103EDE" w:rsidP="000F61D1">
            <w:pPr>
              <w:jc w:val="right"/>
              <w:rPr>
                <w:sz w:val="18"/>
                <w:szCs w:val="18"/>
              </w:rPr>
            </w:pPr>
            <w:r w:rsidRPr="00197F47">
              <w:rPr>
                <w:sz w:val="18"/>
                <w:szCs w:val="18"/>
              </w:rPr>
              <w:t>8 108,6</w:t>
            </w:r>
          </w:p>
        </w:tc>
        <w:tc>
          <w:tcPr>
            <w:tcW w:w="1304" w:type="dxa"/>
            <w:tcBorders>
              <w:left w:val="nil"/>
              <w:bottom w:val="nil"/>
              <w:right w:val="single" w:sz="8" w:space="0" w:color="auto"/>
            </w:tcBorders>
            <w:shd w:val="clear" w:color="auto" w:fill="auto"/>
            <w:noWrap/>
            <w:vAlign w:val="bottom"/>
          </w:tcPr>
          <w:p w:rsidR="00103EDE" w:rsidRPr="00197F47" w:rsidRDefault="00103EDE" w:rsidP="000F61D1">
            <w:pPr>
              <w:jc w:val="right"/>
              <w:rPr>
                <w:sz w:val="18"/>
                <w:szCs w:val="18"/>
              </w:rPr>
            </w:pPr>
            <w:r w:rsidRPr="00197F47">
              <w:rPr>
                <w:sz w:val="18"/>
                <w:szCs w:val="18"/>
              </w:rPr>
              <w:t>76,2%</w:t>
            </w:r>
          </w:p>
        </w:tc>
      </w:tr>
      <w:tr w:rsidR="00103EDE" w:rsidRPr="004A3BEC" w:rsidTr="000F61D1">
        <w:trPr>
          <w:trHeight w:val="165"/>
          <w:jc w:val="center"/>
        </w:trPr>
        <w:tc>
          <w:tcPr>
            <w:tcW w:w="4853" w:type="dxa"/>
            <w:tcBorders>
              <w:left w:val="single" w:sz="8" w:space="0" w:color="auto"/>
              <w:right w:val="single" w:sz="8"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w:t>
            </w:r>
            <w:r w:rsidRPr="000A3C07">
              <w:rPr>
                <w:sz w:val="18"/>
                <w:szCs w:val="18"/>
                <w:lang w:val="en-US"/>
              </w:rPr>
              <w:t xml:space="preserve"> </w:t>
            </w:r>
            <w:r w:rsidRPr="000A3C07">
              <w:rPr>
                <w:sz w:val="18"/>
                <w:szCs w:val="18"/>
              </w:rPr>
              <w:t xml:space="preserve">Акцизи </w:t>
            </w:r>
          </w:p>
        </w:tc>
        <w:tc>
          <w:tcPr>
            <w:tcW w:w="1276" w:type="dxa"/>
            <w:tcBorders>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5 450,0</w:t>
            </w:r>
          </w:p>
        </w:tc>
        <w:tc>
          <w:tcPr>
            <w:tcW w:w="1209" w:type="dxa"/>
            <w:tcBorders>
              <w:left w:val="nil"/>
              <w:bottom w:val="nil"/>
              <w:right w:val="nil"/>
            </w:tcBorders>
            <w:shd w:val="clear" w:color="auto" w:fill="auto"/>
            <w:noWrap/>
            <w:vAlign w:val="bottom"/>
          </w:tcPr>
          <w:p w:rsidR="00103EDE" w:rsidRPr="00197F47" w:rsidRDefault="00103EDE" w:rsidP="000F61D1">
            <w:pPr>
              <w:jc w:val="right"/>
              <w:rPr>
                <w:sz w:val="18"/>
                <w:szCs w:val="18"/>
              </w:rPr>
            </w:pPr>
            <w:r w:rsidRPr="00197F47">
              <w:rPr>
                <w:sz w:val="18"/>
                <w:szCs w:val="18"/>
              </w:rPr>
              <w:t>4 101,9</w:t>
            </w:r>
          </w:p>
        </w:tc>
        <w:tc>
          <w:tcPr>
            <w:tcW w:w="1304" w:type="dxa"/>
            <w:tcBorders>
              <w:left w:val="nil"/>
              <w:bottom w:val="nil"/>
              <w:right w:val="single" w:sz="8" w:space="0" w:color="auto"/>
            </w:tcBorders>
            <w:shd w:val="clear" w:color="auto" w:fill="auto"/>
            <w:noWrap/>
            <w:vAlign w:val="bottom"/>
          </w:tcPr>
          <w:p w:rsidR="00103EDE" w:rsidRPr="00197F47" w:rsidRDefault="00103EDE" w:rsidP="000F61D1">
            <w:pPr>
              <w:jc w:val="right"/>
              <w:rPr>
                <w:sz w:val="18"/>
                <w:szCs w:val="18"/>
              </w:rPr>
            </w:pPr>
            <w:r w:rsidRPr="00197F47">
              <w:rPr>
                <w:sz w:val="18"/>
                <w:szCs w:val="18"/>
              </w:rPr>
              <w:t>75,3%</w:t>
            </w:r>
          </w:p>
        </w:tc>
      </w:tr>
      <w:tr w:rsidR="00103EDE" w:rsidRPr="004A3BEC" w:rsidTr="000F61D1">
        <w:trPr>
          <w:trHeight w:val="165"/>
          <w:jc w:val="center"/>
        </w:trPr>
        <w:tc>
          <w:tcPr>
            <w:tcW w:w="4853" w:type="dxa"/>
            <w:tcBorders>
              <w:left w:val="single" w:sz="8" w:space="0" w:color="auto"/>
              <w:right w:val="single" w:sz="8"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44,2</w:t>
            </w:r>
          </w:p>
        </w:tc>
        <w:tc>
          <w:tcPr>
            <w:tcW w:w="1209" w:type="dxa"/>
            <w:tcBorders>
              <w:left w:val="nil"/>
              <w:bottom w:val="nil"/>
              <w:right w:val="nil"/>
            </w:tcBorders>
            <w:shd w:val="clear" w:color="auto" w:fill="auto"/>
            <w:noWrap/>
            <w:vAlign w:val="bottom"/>
          </w:tcPr>
          <w:p w:rsidR="00103EDE" w:rsidRPr="00197F47" w:rsidRDefault="00103EDE" w:rsidP="000F61D1">
            <w:pPr>
              <w:jc w:val="right"/>
              <w:rPr>
                <w:sz w:val="18"/>
                <w:szCs w:val="18"/>
              </w:rPr>
            </w:pPr>
            <w:r w:rsidRPr="00197F47">
              <w:rPr>
                <w:sz w:val="18"/>
                <w:szCs w:val="18"/>
              </w:rPr>
              <w:t>34,6</w:t>
            </w:r>
          </w:p>
        </w:tc>
        <w:tc>
          <w:tcPr>
            <w:tcW w:w="1304" w:type="dxa"/>
            <w:tcBorders>
              <w:left w:val="nil"/>
              <w:bottom w:val="nil"/>
              <w:right w:val="single" w:sz="8" w:space="0" w:color="auto"/>
            </w:tcBorders>
            <w:shd w:val="clear" w:color="auto" w:fill="auto"/>
            <w:noWrap/>
            <w:vAlign w:val="bottom"/>
          </w:tcPr>
          <w:p w:rsidR="00103EDE" w:rsidRPr="00197F47" w:rsidRDefault="00103EDE" w:rsidP="000F61D1">
            <w:pPr>
              <w:jc w:val="right"/>
              <w:rPr>
                <w:sz w:val="18"/>
                <w:szCs w:val="18"/>
              </w:rPr>
            </w:pPr>
            <w:r w:rsidRPr="00197F47">
              <w:rPr>
                <w:sz w:val="18"/>
                <w:szCs w:val="18"/>
              </w:rPr>
              <w:t>78,2%</w:t>
            </w:r>
          </w:p>
        </w:tc>
      </w:tr>
      <w:tr w:rsidR="00103EDE" w:rsidRPr="004A3BEC" w:rsidTr="000F61D1">
        <w:trPr>
          <w:trHeight w:val="165"/>
          <w:jc w:val="center"/>
        </w:trPr>
        <w:tc>
          <w:tcPr>
            <w:tcW w:w="4853" w:type="dxa"/>
            <w:tcBorders>
              <w:left w:val="single" w:sz="8" w:space="0" w:color="auto"/>
              <w:right w:val="single" w:sz="8"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w:t>
            </w:r>
            <w:r w:rsidRPr="000A3C07">
              <w:rPr>
                <w:sz w:val="18"/>
                <w:szCs w:val="18"/>
                <w:lang w:val="en-US"/>
              </w:rPr>
              <w:t xml:space="preserve"> </w:t>
            </w:r>
            <w:r w:rsidRPr="000A3C07">
              <w:rPr>
                <w:sz w:val="18"/>
                <w:szCs w:val="18"/>
              </w:rPr>
              <w:t>Мита и митнически такси</w:t>
            </w:r>
          </w:p>
        </w:tc>
        <w:tc>
          <w:tcPr>
            <w:tcW w:w="1276" w:type="dxa"/>
            <w:tcBorders>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187,4</w:t>
            </w:r>
          </w:p>
        </w:tc>
        <w:tc>
          <w:tcPr>
            <w:tcW w:w="1209" w:type="dxa"/>
            <w:tcBorders>
              <w:left w:val="nil"/>
              <w:bottom w:val="nil"/>
              <w:right w:val="nil"/>
            </w:tcBorders>
            <w:shd w:val="clear" w:color="auto" w:fill="auto"/>
            <w:noWrap/>
            <w:vAlign w:val="bottom"/>
          </w:tcPr>
          <w:p w:rsidR="00103EDE" w:rsidRPr="00197F47" w:rsidRDefault="00103EDE" w:rsidP="000F61D1">
            <w:pPr>
              <w:jc w:val="right"/>
              <w:rPr>
                <w:sz w:val="18"/>
                <w:szCs w:val="18"/>
              </w:rPr>
            </w:pPr>
            <w:r w:rsidRPr="00197F47">
              <w:rPr>
                <w:sz w:val="18"/>
                <w:szCs w:val="18"/>
              </w:rPr>
              <w:t>156,6</w:t>
            </w:r>
          </w:p>
        </w:tc>
        <w:tc>
          <w:tcPr>
            <w:tcW w:w="1304" w:type="dxa"/>
            <w:tcBorders>
              <w:left w:val="nil"/>
              <w:bottom w:val="nil"/>
              <w:right w:val="single" w:sz="8" w:space="0" w:color="auto"/>
            </w:tcBorders>
            <w:shd w:val="clear" w:color="auto" w:fill="auto"/>
            <w:noWrap/>
            <w:vAlign w:val="bottom"/>
          </w:tcPr>
          <w:p w:rsidR="00103EDE" w:rsidRPr="00197F47" w:rsidRDefault="00103EDE" w:rsidP="000F61D1">
            <w:pPr>
              <w:jc w:val="right"/>
              <w:rPr>
                <w:sz w:val="18"/>
                <w:szCs w:val="18"/>
              </w:rPr>
            </w:pPr>
            <w:r w:rsidRPr="00197F47">
              <w:rPr>
                <w:sz w:val="18"/>
                <w:szCs w:val="18"/>
              </w:rPr>
              <w:t>83,6%</w:t>
            </w:r>
          </w:p>
        </w:tc>
      </w:tr>
      <w:tr w:rsidR="00103EDE" w:rsidRPr="004A3BEC" w:rsidTr="000F61D1">
        <w:trPr>
          <w:trHeight w:val="165"/>
          <w:jc w:val="center"/>
        </w:trPr>
        <w:tc>
          <w:tcPr>
            <w:tcW w:w="4853" w:type="dxa"/>
            <w:tcBorders>
              <w:left w:val="single" w:sz="8" w:space="0" w:color="auto"/>
              <w:right w:val="single" w:sz="8"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w:t>
            </w:r>
            <w:r w:rsidRPr="000A3C07">
              <w:rPr>
                <w:sz w:val="18"/>
                <w:szCs w:val="18"/>
                <w:lang w:val="en-US"/>
              </w:rPr>
              <w:t xml:space="preserve"> </w:t>
            </w:r>
            <w:r w:rsidRPr="000A3C07">
              <w:rPr>
                <w:sz w:val="18"/>
                <w:szCs w:val="18"/>
              </w:rPr>
              <w:t>Други данъци</w:t>
            </w:r>
          </w:p>
        </w:tc>
        <w:tc>
          <w:tcPr>
            <w:tcW w:w="1276" w:type="dxa"/>
            <w:tcBorders>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142,1</w:t>
            </w:r>
          </w:p>
        </w:tc>
        <w:tc>
          <w:tcPr>
            <w:tcW w:w="1209" w:type="dxa"/>
            <w:tcBorders>
              <w:left w:val="nil"/>
              <w:bottom w:val="nil"/>
              <w:right w:val="nil"/>
            </w:tcBorders>
            <w:shd w:val="clear" w:color="auto" w:fill="auto"/>
            <w:noWrap/>
            <w:vAlign w:val="bottom"/>
          </w:tcPr>
          <w:p w:rsidR="00103EDE" w:rsidRDefault="00103EDE" w:rsidP="000F61D1">
            <w:pPr>
              <w:jc w:val="right"/>
              <w:rPr>
                <w:sz w:val="18"/>
                <w:szCs w:val="18"/>
              </w:rPr>
            </w:pPr>
            <w:r>
              <w:rPr>
                <w:sz w:val="18"/>
                <w:szCs w:val="18"/>
              </w:rPr>
              <w:t>130,0</w:t>
            </w:r>
          </w:p>
        </w:tc>
        <w:tc>
          <w:tcPr>
            <w:tcW w:w="1304" w:type="dxa"/>
            <w:tcBorders>
              <w:left w:val="nil"/>
              <w:bottom w:val="nil"/>
              <w:right w:val="single" w:sz="8" w:space="0" w:color="auto"/>
            </w:tcBorders>
            <w:shd w:val="clear" w:color="auto" w:fill="auto"/>
            <w:noWrap/>
            <w:vAlign w:val="bottom"/>
          </w:tcPr>
          <w:p w:rsidR="00103EDE" w:rsidRDefault="00103EDE" w:rsidP="000F61D1">
            <w:pPr>
              <w:jc w:val="right"/>
              <w:rPr>
                <w:sz w:val="18"/>
                <w:szCs w:val="18"/>
              </w:rPr>
            </w:pPr>
            <w:r>
              <w:rPr>
                <w:sz w:val="18"/>
                <w:szCs w:val="18"/>
              </w:rPr>
              <w:t>91,5%</w:t>
            </w:r>
          </w:p>
        </w:tc>
      </w:tr>
      <w:tr w:rsidR="00103EDE" w:rsidRPr="004A3BEC" w:rsidTr="000F61D1">
        <w:trPr>
          <w:trHeight w:val="165"/>
          <w:jc w:val="center"/>
        </w:trPr>
        <w:tc>
          <w:tcPr>
            <w:tcW w:w="4853" w:type="dxa"/>
            <w:tcBorders>
              <w:left w:val="single" w:sz="8" w:space="0" w:color="auto"/>
              <w:right w:val="single" w:sz="8"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-Неданъчни приходи</w:t>
            </w:r>
          </w:p>
        </w:tc>
        <w:tc>
          <w:tcPr>
            <w:tcW w:w="1276" w:type="dxa"/>
            <w:tcBorders>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3 014,8</w:t>
            </w:r>
          </w:p>
        </w:tc>
        <w:tc>
          <w:tcPr>
            <w:tcW w:w="1209" w:type="dxa"/>
            <w:tcBorders>
              <w:left w:val="nil"/>
              <w:bottom w:val="nil"/>
              <w:right w:val="nil"/>
            </w:tcBorders>
            <w:shd w:val="clear" w:color="auto" w:fill="auto"/>
            <w:noWrap/>
            <w:vAlign w:val="bottom"/>
          </w:tcPr>
          <w:p w:rsidR="00103EDE" w:rsidRDefault="00103EDE" w:rsidP="000F61D1">
            <w:pPr>
              <w:jc w:val="right"/>
              <w:rPr>
                <w:sz w:val="18"/>
                <w:szCs w:val="18"/>
              </w:rPr>
            </w:pPr>
            <w:r>
              <w:rPr>
                <w:sz w:val="18"/>
                <w:szCs w:val="18"/>
              </w:rPr>
              <w:t>1 554,8</w:t>
            </w:r>
          </w:p>
        </w:tc>
        <w:tc>
          <w:tcPr>
            <w:tcW w:w="1304" w:type="dxa"/>
            <w:tcBorders>
              <w:left w:val="nil"/>
              <w:bottom w:val="nil"/>
              <w:right w:val="single" w:sz="8" w:space="0" w:color="auto"/>
            </w:tcBorders>
            <w:shd w:val="clear" w:color="auto" w:fill="auto"/>
            <w:noWrap/>
            <w:vAlign w:val="bottom"/>
          </w:tcPr>
          <w:p w:rsidR="00103EDE" w:rsidRDefault="00103EDE" w:rsidP="000F61D1">
            <w:pPr>
              <w:jc w:val="right"/>
              <w:rPr>
                <w:sz w:val="18"/>
                <w:szCs w:val="18"/>
              </w:rPr>
            </w:pPr>
            <w:r>
              <w:rPr>
                <w:sz w:val="18"/>
                <w:szCs w:val="18"/>
              </w:rPr>
              <w:t>51,6%</w:t>
            </w:r>
          </w:p>
        </w:tc>
      </w:tr>
      <w:tr w:rsidR="00103EDE" w:rsidRPr="004A3BEC" w:rsidTr="000F61D1">
        <w:trPr>
          <w:trHeight w:val="165"/>
          <w:jc w:val="center"/>
        </w:trPr>
        <w:tc>
          <w:tcPr>
            <w:tcW w:w="4853" w:type="dxa"/>
            <w:tcBorders>
              <w:left w:val="single" w:sz="8" w:space="0" w:color="auto"/>
              <w:right w:val="single" w:sz="8"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-Помощи и дарения</w:t>
            </w:r>
          </w:p>
        </w:tc>
        <w:tc>
          <w:tcPr>
            <w:tcW w:w="1276" w:type="dxa"/>
            <w:tcBorders>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0,</w:t>
            </w:r>
            <w:proofErr w:type="spellStart"/>
            <w:r w:rsidRPr="000A3C07">
              <w:rPr>
                <w:sz w:val="18"/>
                <w:szCs w:val="18"/>
              </w:rPr>
              <w:t>0</w:t>
            </w:r>
            <w:proofErr w:type="spellEnd"/>
          </w:p>
        </w:tc>
        <w:tc>
          <w:tcPr>
            <w:tcW w:w="1209" w:type="dxa"/>
            <w:tcBorders>
              <w:left w:val="nil"/>
              <w:bottom w:val="nil"/>
              <w:right w:val="nil"/>
            </w:tcBorders>
            <w:shd w:val="clear" w:color="auto" w:fill="auto"/>
            <w:noWrap/>
            <w:vAlign w:val="bottom"/>
          </w:tcPr>
          <w:p w:rsidR="00103EDE" w:rsidRDefault="00103EDE" w:rsidP="000F61D1">
            <w:pPr>
              <w:jc w:val="right"/>
              <w:rPr>
                <w:sz w:val="18"/>
                <w:szCs w:val="18"/>
              </w:rPr>
            </w:pPr>
            <w:r>
              <w:rPr>
                <w:sz w:val="18"/>
                <w:szCs w:val="18"/>
              </w:rPr>
              <w:t>17,3</w:t>
            </w:r>
          </w:p>
        </w:tc>
        <w:tc>
          <w:tcPr>
            <w:tcW w:w="1304" w:type="dxa"/>
            <w:tcBorders>
              <w:left w:val="nil"/>
              <w:bottom w:val="nil"/>
              <w:right w:val="single" w:sz="8" w:space="0" w:color="auto"/>
            </w:tcBorders>
            <w:shd w:val="clear" w:color="auto" w:fill="auto"/>
            <w:noWrap/>
            <w:vAlign w:val="bottom"/>
          </w:tcPr>
          <w:p w:rsidR="00103EDE" w:rsidRPr="001E7D66" w:rsidRDefault="00103EDE" w:rsidP="000F61D1">
            <w:pPr>
              <w:rPr>
                <w:color w:val="0070C0"/>
                <w:sz w:val="18"/>
                <w:szCs w:val="18"/>
              </w:rPr>
            </w:pPr>
            <w:r w:rsidRPr="001E7D66">
              <w:rPr>
                <w:color w:val="0070C0"/>
                <w:sz w:val="18"/>
                <w:szCs w:val="18"/>
              </w:rPr>
              <w:t> </w:t>
            </w:r>
          </w:p>
        </w:tc>
      </w:tr>
      <w:tr w:rsidR="00103EDE" w:rsidRPr="004A3BEC" w:rsidTr="000F61D1">
        <w:trPr>
          <w:trHeight w:val="199"/>
          <w:jc w:val="center"/>
        </w:trPr>
        <w:tc>
          <w:tcPr>
            <w:tcW w:w="4853" w:type="dxa"/>
            <w:tcBorders>
              <w:top w:val="single" w:sz="4" w:space="0" w:color="auto"/>
              <w:left w:val="single" w:sz="4" w:space="0" w:color="auto"/>
              <w:bottom w:val="nil"/>
              <w:right w:val="single" w:sz="4" w:space="0" w:color="auto"/>
            </w:tcBorders>
            <w:shd w:val="clear" w:color="auto" w:fill="auto"/>
            <w:noWrap/>
            <w:vAlign w:val="bottom"/>
          </w:tcPr>
          <w:p w:rsidR="00103EDE" w:rsidRPr="000A3C07" w:rsidRDefault="00103EDE" w:rsidP="000F61D1">
            <w:pPr>
              <w:rPr>
                <w:b/>
                <w:bCs/>
                <w:sz w:val="18"/>
                <w:szCs w:val="18"/>
              </w:rPr>
            </w:pPr>
            <w:r w:rsidRPr="000A3C07">
              <w:rPr>
                <w:b/>
                <w:bCs/>
                <w:sz w:val="18"/>
                <w:szCs w:val="18"/>
              </w:rPr>
              <w:t xml:space="preserve"> Разходи, трансфери и вноска в бюджета на ЕС</w:t>
            </w:r>
          </w:p>
        </w:tc>
        <w:tc>
          <w:tcPr>
            <w:tcW w:w="1276" w:type="dxa"/>
            <w:tcBorders>
              <w:top w:val="single" w:sz="4" w:space="0" w:color="auto"/>
              <w:left w:val="nil"/>
              <w:bottom w:val="nil"/>
              <w:right w:val="nil"/>
            </w:tcBorders>
            <w:shd w:val="clear" w:color="auto" w:fill="auto"/>
            <w:noWrap/>
            <w:vAlign w:val="bottom"/>
          </w:tcPr>
          <w:p w:rsidR="00103EDE" w:rsidRPr="000A3C07" w:rsidRDefault="00103EDE" w:rsidP="000F61D1">
            <w:pPr>
              <w:jc w:val="right"/>
              <w:rPr>
                <w:b/>
                <w:bCs/>
                <w:sz w:val="18"/>
                <w:szCs w:val="18"/>
              </w:rPr>
            </w:pPr>
            <w:r w:rsidRPr="000A3C07">
              <w:rPr>
                <w:b/>
                <w:bCs/>
                <w:sz w:val="18"/>
                <w:szCs w:val="18"/>
              </w:rPr>
              <w:t>29 492,3</w:t>
            </w:r>
          </w:p>
        </w:tc>
        <w:tc>
          <w:tcPr>
            <w:tcW w:w="1209" w:type="dxa"/>
            <w:tcBorders>
              <w:top w:val="single" w:sz="4" w:space="0" w:color="auto"/>
              <w:left w:val="nil"/>
              <w:bottom w:val="nil"/>
              <w:right w:val="nil"/>
            </w:tcBorders>
            <w:shd w:val="clear" w:color="auto" w:fill="auto"/>
            <w:noWrap/>
            <w:vAlign w:val="bottom"/>
          </w:tcPr>
          <w:p w:rsidR="00103EDE" w:rsidRDefault="00103EDE" w:rsidP="000F61D1">
            <w:pPr>
              <w:jc w:val="right"/>
              <w:rPr>
                <w:b/>
                <w:bCs/>
                <w:sz w:val="18"/>
                <w:szCs w:val="18"/>
              </w:rPr>
            </w:pPr>
            <w:r>
              <w:rPr>
                <w:b/>
                <w:bCs/>
                <w:sz w:val="18"/>
                <w:szCs w:val="18"/>
              </w:rPr>
              <w:t>19 183,0</w:t>
            </w:r>
          </w:p>
        </w:tc>
        <w:tc>
          <w:tcPr>
            <w:tcW w:w="1304" w:type="dxa"/>
            <w:tcBorders>
              <w:top w:val="single" w:sz="4" w:space="0" w:color="auto"/>
              <w:left w:val="nil"/>
              <w:bottom w:val="nil"/>
              <w:right w:val="single" w:sz="8" w:space="0" w:color="auto"/>
            </w:tcBorders>
            <w:shd w:val="clear" w:color="auto" w:fill="auto"/>
            <w:noWrap/>
            <w:vAlign w:val="bottom"/>
          </w:tcPr>
          <w:p w:rsidR="00103EDE" w:rsidRDefault="00103EDE" w:rsidP="000F61D1">
            <w:pPr>
              <w:jc w:val="right"/>
              <w:rPr>
                <w:b/>
                <w:bCs/>
                <w:sz w:val="18"/>
                <w:szCs w:val="18"/>
              </w:rPr>
            </w:pPr>
            <w:r>
              <w:rPr>
                <w:b/>
                <w:bCs/>
                <w:sz w:val="18"/>
                <w:szCs w:val="18"/>
              </w:rPr>
              <w:t>65,0%</w:t>
            </w:r>
          </w:p>
        </w:tc>
      </w:tr>
      <w:tr w:rsidR="00103EDE" w:rsidRPr="004A3BEC" w:rsidTr="000F61D1">
        <w:trPr>
          <w:trHeight w:val="101"/>
          <w:jc w:val="center"/>
        </w:trPr>
        <w:tc>
          <w:tcPr>
            <w:tcW w:w="4853" w:type="dxa"/>
            <w:tcBorders>
              <w:top w:val="nil"/>
              <w:left w:val="single" w:sz="4" w:space="0" w:color="auto"/>
              <w:bottom w:val="nil"/>
              <w:right w:val="single" w:sz="4" w:space="0" w:color="auto"/>
            </w:tcBorders>
            <w:shd w:val="clear" w:color="auto" w:fill="auto"/>
            <w:noWrap/>
            <w:vAlign w:val="bottom"/>
          </w:tcPr>
          <w:p w:rsidR="00103EDE" w:rsidRPr="000A3C07" w:rsidRDefault="00103EDE" w:rsidP="000F61D1">
            <w:pPr>
              <w:rPr>
                <w:b/>
                <w:i/>
                <w:sz w:val="18"/>
                <w:szCs w:val="18"/>
              </w:rPr>
            </w:pPr>
            <w:r w:rsidRPr="000A3C07">
              <w:rPr>
                <w:b/>
                <w:i/>
                <w:sz w:val="18"/>
                <w:szCs w:val="18"/>
              </w:rPr>
              <w:t xml:space="preserve">   -Нелихвени разходи</w:t>
            </w:r>
          </w:p>
        </w:tc>
        <w:tc>
          <w:tcPr>
            <w:tcW w:w="1276" w:type="dxa"/>
            <w:tcBorders>
              <w:top w:val="nil"/>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13 653,6</w:t>
            </w:r>
          </w:p>
        </w:tc>
        <w:tc>
          <w:tcPr>
            <w:tcW w:w="1209" w:type="dxa"/>
            <w:tcBorders>
              <w:top w:val="nil"/>
              <w:left w:val="nil"/>
              <w:bottom w:val="nil"/>
              <w:right w:val="nil"/>
            </w:tcBorders>
            <w:shd w:val="clear" w:color="auto" w:fill="auto"/>
            <w:noWrap/>
            <w:vAlign w:val="bottom"/>
          </w:tcPr>
          <w:p w:rsidR="00103EDE" w:rsidRDefault="00103EDE" w:rsidP="000F61D1">
            <w:pPr>
              <w:jc w:val="right"/>
              <w:rPr>
                <w:sz w:val="18"/>
                <w:szCs w:val="18"/>
              </w:rPr>
            </w:pPr>
            <w:r>
              <w:rPr>
                <w:sz w:val="18"/>
                <w:szCs w:val="18"/>
              </w:rPr>
              <w:t>7 992,2</w:t>
            </w:r>
          </w:p>
        </w:tc>
        <w:tc>
          <w:tcPr>
            <w:tcW w:w="1304" w:type="dxa"/>
            <w:tcBorders>
              <w:top w:val="nil"/>
              <w:left w:val="nil"/>
              <w:bottom w:val="nil"/>
              <w:right w:val="single" w:sz="8" w:space="0" w:color="auto"/>
            </w:tcBorders>
            <w:shd w:val="clear" w:color="auto" w:fill="auto"/>
            <w:noWrap/>
            <w:vAlign w:val="bottom"/>
          </w:tcPr>
          <w:p w:rsidR="00103EDE" w:rsidRDefault="00103EDE" w:rsidP="000F61D1">
            <w:pPr>
              <w:jc w:val="right"/>
              <w:rPr>
                <w:sz w:val="18"/>
                <w:szCs w:val="18"/>
              </w:rPr>
            </w:pPr>
            <w:r>
              <w:rPr>
                <w:sz w:val="18"/>
                <w:szCs w:val="18"/>
              </w:rPr>
              <w:t>58,5%</w:t>
            </w:r>
          </w:p>
        </w:tc>
      </w:tr>
      <w:tr w:rsidR="00103EDE" w:rsidRPr="004A3BEC" w:rsidTr="000F61D1">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Текущи </w:t>
            </w:r>
          </w:p>
        </w:tc>
        <w:tc>
          <w:tcPr>
            <w:tcW w:w="1276" w:type="dxa"/>
            <w:tcBorders>
              <w:top w:val="nil"/>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10 717,6</w:t>
            </w:r>
          </w:p>
        </w:tc>
        <w:tc>
          <w:tcPr>
            <w:tcW w:w="1209" w:type="dxa"/>
            <w:tcBorders>
              <w:top w:val="nil"/>
              <w:left w:val="nil"/>
              <w:bottom w:val="nil"/>
              <w:right w:val="nil"/>
            </w:tcBorders>
            <w:shd w:val="clear" w:color="auto" w:fill="auto"/>
            <w:noWrap/>
            <w:vAlign w:val="bottom"/>
          </w:tcPr>
          <w:p w:rsidR="00103EDE" w:rsidRDefault="00103EDE" w:rsidP="000F61D1">
            <w:pPr>
              <w:jc w:val="right"/>
              <w:rPr>
                <w:sz w:val="18"/>
                <w:szCs w:val="18"/>
              </w:rPr>
            </w:pPr>
            <w:r>
              <w:rPr>
                <w:sz w:val="18"/>
                <w:szCs w:val="18"/>
              </w:rPr>
              <w:t>7 072,6</w:t>
            </w:r>
          </w:p>
        </w:tc>
        <w:tc>
          <w:tcPr>
            <w:tcW w:w="1304" w:type="dxa"/>
            <w:tcBorders>
              <w:top w:val="nil"/>
              <w:left w:val="nil"/>
              <w:bottom w:val="nil"/>
              <w:right w:val="single" w:sz="8" w:space="0" w:color="auto"/>
            </w:tcBorders>
            <w:shd w:val="clear" w:color="auto" w:fill="auto"/>
            <w:noWrap/>
            <w:vAlign w:val="bottom"/>
          </w:tcPr>
          <w:p w:rsidR="00103EDE" w:rsidRDefault="00103EDE" w:rsidP="000F61D1">
            <w:pPr>
              <w:jc w:val="right"/>
              <w:rPr>
                <w:sz w:val="18"/>
                <w:szCs w:val="18"/>
              </w:rPr>
            </w:pPr>
            <w:r>
              <w:rPr>
                <w:sz w:val="18"/>
                <w:szCs w:val="18"/>
              </w:rPr>
              <w:t>66,0%</w:t>
            </w:r>
          </w:p>
        </w:tc>
      </w:tr>
      <w:tr w:rsidR="00103EDE" w:rsidRPr="004A3BEC" w:rsidTr="000F61D1">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Предоставени </w:t>
            </w:r>
            <w:proofErr w:type="spellStart"/>
            <w:r w:rsidRPr="000A3C07">
              <w:rPr>
                <w:sz w:val="18"/>
                <w:szCs w:val="18"/>
              </w:rPr>
              <w:t>тек</w:t>
            </w:r>
            <w:proofErr w:type="spellEnd"/>
            <w:r w:rsidRPr="000A3C07">
              <w:rPr>
                <w:sz w:val="18"/>
                <w:szCs w:val="18"/>
              </w:rPr>
              <w:t xml:space="preserve">. и </w:t>
            </w:r>
            <w:proofErr w:type="spellStart"/>
            <w:r w:rsidRPr="000A3C07">
              <w:rPr>
                <w:sz w:val="18"/>
                <w:szCs w:val="18"/>
              </w:rPr>
              <w:t>капит</w:t>
            </w:r>
            <w:proofErr w:type="spellEnd"/>
            <w:r w:rsidRPr="000A3C07">
              <w:rPr>
                <w:sz w:val="18"/>
                <w:szCs w:val="18"/>
              </w:rPr>
              <w:t>. трансфери за чужбина</w:t>
            </w:r>
          </w:p>
        </w:tc>
        <w:tc>
          <w:tcPr>
            <w:tcW w:w="1276" w:type="dxa"/>
            <w:tcBorders>
              <w:top w:val="nil"/>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28,5</w:t>
            </w:r>
          </w:p>
        </w:tc>
        <w:tc>
          <w:tcPr>
            <w:tcW w:w="1209" w:type="dxa"/>
            <w:tcBorders>
              <w:top w:val="nil"/>
              <w:left w:val="nil"/>
              <w:bottom w:val="nil"/>
              <w:right w:val="nil"/>
            </w:tcBorders>
            <w:shd w:val="clear" w:color="auto" w:fill="auto"/>
            <w:noWrap/>
            <w:vAlign w:val="bottom"/>
          </w:tcPr>
          <w:p w:rsidR="00103EDE" w:rsidRDefault="00103EDE" w:rsidP="000F61D1">
            <w:pPr>
              <w:jc w:val="right"/>
              <w:rPr>
                <w:sz w:val="18"/>
                <w:szCs w:val="18"/>
              </w:rPr>
            </w:pPr>
            <w:r>
              <w:rPr>
                <w:sz w:val="18"/>
                <w:szCs w:val="18"/>
              </w:rPr>
              <w:t>17,3</w:t>
            </w:r>
          </w:p>
        </w:tc>
        <w:tc>
          <w:tcPr>
            <w:tcW w:w="1304" w:type="dxa"/>
            <w:tcBorders>
              <w:top w:val="nil"/>
              <w:left w:val="nil"/>
              <w:bottom w:val="nil"/>
              <w:right w:val="single" w:sz="8" w:space="0" w:color="auto"/>
            </w:tcBorders>
            <w:shd w:val="clear" w:color="auto" w:fill="auto"/>
            <w:noWrap/>
            <w:vAlign w:val="bottom"/>
          </w:tcPr>
          <w:p w:rsidR="00103EDE" w:rsidRDefault="00103EDE" w:rsidP="000F61D1">
            <w:pPr>
              <w:jc w:val="right"/>
              <w:rPr>
                <w:sz w:val="18"/>
                <w:szCs w:val="18"/>
              </w:rPr>
            </w:pPr>
            <w:r>
              <w:rPr>
                <w:sz w:val="18"/>
                <w:szCs w:val="18"/>
              </w:rPr>
              <w:t>60,6%</w:t>
            </w:r>
          </w:p>
        </w:tc>
      </w:tr>
      <w:tr w:rsidR="00103EDE" w:rsidRPr="004A3BEC" w:rsidTr="000F61D1">
        <w:trPr>
          <w:trHeight w:val="179"/>
          <w:jc w:val="center"/>
        </w:trPr>
        <w:tc>
          <w:tcPr>
            <w:tcW w:w="4853" w:type="dxa"/>
            <w:tcBorders>
              <w:top w:val="nil"/>
              <w:left w:val="single" w:sz="4" w:space="0" w:color="auto"/>
              <w:bottom w:val="nil"/>
              <w:right w:val="single" w:sz="4"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Капиталови</w:t>
            </w:r>
          </w:p>
        </w:tc>
        <w:tc>
          <w:tcPr>
            <w:tcW w:w="1276" w:type="dxa"/>
            <w:tcBorders>
              <w:top w:val="nil"/>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2 907,6</w:t>
            </w:r>
          </w:p>
        </w:tc>
        <w:tc>
          <w:tcPr>
            <w:tcW w:w="1209" w:type="dxa"/>
            <w:tcBorders>
              <w:top w:val="nil"/>
              <w:left w:val="nil"/>
              <w:bottom w:val="nil"/>
              <w:right w:val="nil"/>
            </w:tcBorders>
            <w:shd w:val="clear" w:color="auto" w:fill="auto"/>
            <w:noWrap/>
            <w:vAlign w:val="bottom"/>
          </w:tcPr>
          <w:p w:rsidR="00103EDE" w:rsidRDefault="00103EDE" w:rsidP="000F61D1">
            <w:pPr>
              <w:jc w:val="right"/>
              <w:rPr>
                <w:sz w:val="18"/>
                <w:szCs w:val="18"/>
              </w:rPr>
            </w:pPr>
            <w:r>
              <w:rPr>
                <w:sz w:val="18"/>
                <w:szCs w:val="18"/>
              </w:rPr>
              <w:t>902,4</w:t>
            </w:r>
          </w:p>
        </w:tc>
        <w:tc>
          <w:tcPr>
            <w:tcW w:w="1304" w:type="dxa"/>
            <w:tcBorders>
              <w:top w:val="nil"/>
              <w:left w:val="nil"/>
              <w:bottom w:val="nil"/>
              <w:right w:val="single" w:sz="8" w:space="0" w:color="auto"/>
            </w:tcBorders>
            <w:shd w:val="clear" w:color="auto" w:fill="auto"/>
            <w:noWrap/>
            <w:vAlign w:val="bottom"/>
          </w:tcPr>
          <w:p w:rsidR="00103EDE" w:rsidRDefault="00103EDE" w:rsidP="000F61D1">
            <w:pPr>
              <w:jc w:val="right"/>
              <w:rPr>
                <w:sz w:val="18"/>
                <w:szCs w:val="18"/>
              </w:rPr>
            </w:pPr>
            <w:r>
              <w:rPr>
                <w:sz w:val="18"/>
                <w:szCs w:val="18"/>
              </w:rPr>
              <w:t>31,0%</w:t>
            </w:r>
          </w:p>
        </w:tc>
      </w:tr>
      <w:tr w:rsidR="00103EDE" w:rsidRPr="004A3BEC" w:rsidTr="000F61D1">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103EDE" w:rsidRPr="000A3C07" w:rsidRDefault="00103EDE" w:rsidP="000F61D1">
            <w:pPr>
              <w:rPr>
                <w:b/>
                <w:i/>
                <w:sz w:val="18"/>
                <w:szCs w:val="18"/>
              </w:rPr>
            </w:pPr>
            <w:r w:rsidRPr="000A3C07">
              <w:rPr>
                <w:b/>
                <w:i/>
                <w:sz w:val="18"/>
                <w:szCs w:val="18"/>
              </w:rPr>
              <w:t xml:space="preserve">   -Лихви</w:t>
            </w:r>
          </w:p>
        </w:tc>
        <w:tc>
          <w:tcPr>
            <w:tcW w:w="1276" w:type="dxa"/>
            <w:tcBorders>
              <w:top w:val="nil"/>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691,6</w:t>
            </w:r>
          </w:p>
        </w:tc>
        <w:tc>
          <w:tcPr>
            <w:tcW w:w="1209" w:type="dxa"/>
            <w:tcBorders>
              <w:top w:val="nil"/>
              <w:left w:val="nil"/>
              <w:bottom w:val="nil"/>
              <w:right w:val="nil"/>
            </w:tcBorders>
            <w:shd w:val="clear" w:color="auto" w:fill="auto"/>
            <w:noWrap/>
            <w:vAlign w:val="bottom"/>
          </w:tcPr>
          <w:p w:rsidR="00103EDE" w:rsidRDefault="00103EDE" w:rsidP="000F61D1">
            <w:pPr>
              <w:jc w:val="right"/>
              <w:rPr>
                <w:sz w:val="18"/>
                <w:szCs w:val="18"/>
              </w:rPr>
            </w:pPr>
            <w:r>
              <w:rPr>
                <w:sz w:val="18"/>
                <w:szCs w:val="18"/>
              </w:rPr>
              <w:t>525,9</w:t>
            </w:r>
          </w:p>
        </w:tc>
        <w:tc>
          <w:tcPr>
            <w:tcW w:w="1304" w:type="dxa"/>
            <w:tcBorders>
              <w:top w:val="nil"/>
              <w:left w:val="nil"/>
              <w:bottom w:val="nil"/>
              <w:right w:val="single" w:sz="8" w:space="0" w:color="auto"/>
            </w:tcBorders>
            <w:shd w:val="clear" w:color="auto" w:fill="auto"/>
            <w:noWrap/>
            <w:vAlign w:val="bottom"/>
          </w:tcPr>
          <w:p w:rsidR="00103EDE" w:rsidRDefault="00103EDE" w:rsidP="000F61D1">
            <w:pPr>
              <w:jc w:val="right"/>
              <w:rPr>
                <w:sz w:val="18"/>
                <w:szCs w:val="18"/>
              </w:rPr>
            </w:pPr>
            <w:r>
              <w:rPr>
                <w:sz w:val="18"/>
                <w:szCs w:val="18"/>
              </w:rPr>
              <w:t>76,0%</w:t>
            </w:r>
          </w:p>
        </w:tc>
      </w:tr>
      <w:tr w:rsidR="00103EDE" w:rsidRPr="004A3BEC" w:rsidTr="000F61D1">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433,0</w:t>
            </w:r>
          </w:p>
        </w:tc>
        <w:tc>
          <w:tcPr>
            <w:tcW w:w="1209" w:type="dxa"/>
            <w:tcBorders>
              <w:top w:val="nil"/>
              <w:left w:val="nil"/>
              <w:bottom w:val="nil"/>
              <w:right w:val="nil"/>
            </w:tcBorders>
            <w:shd w:val="clear" w:color="auto" w:fill="auto"/>
            <w:noWrap/>
            <w:vAlign w:val="bottom"/>
          </w:tcPr>
          <w:p w:rsidR="00103EDE" w:rsidRDefault="00103EDE" w:rsidP="000F61D1">
            <w:pPr>
              <w:jc w:val="right"/>
              <w:rPr>
                <w:sz w:val="18"/>
                <w:szCs w:val="18"/>
              </w:rPr>
            </w:pPr>
            <w:r>
              <w:rPr>
                <w:sz w:val="18"/>
                <w:szCs w:val="18"/>
              </w:rPr>
              <w:t>373,4</w:t>
            </w:r>
          </w:p>
        </w:tc>
        <w:tc>
          <w:tcPr>
            <w:tcW w:w="1304" w:type="dxa"/>
            <w:tcBorders>
              <w:top w:val="nil"/>
              <w:left w:val="nil"/>
              <w:bottom w:val="nil"/>
              <w:right w:val="single" w:sz="8" w:space="0" w:color="auto"/>
            </w:tcBorders>
            <w:shd w:val="clear" w:color="auto" w:fill="auto"/>
            <w:noWrap/>
            <w:vAlign w:val="bottom"/>
          </w:tcPr>
          <w:p w:rsidR="00103EDE" w:rsidRDefault="00103EDE" w:rsidP="000F61D1">
            <w:pPr>
              <w:jc w:val="right"/>
              <w:rPr>
                <w:sz w:val="18"/>
                <w:szCs w:val="18"/>
              </w:rPr>
            </w:pPr>
            <w:r>
              <w:rPr>
                <w:sz w:val="18"/>
                <w:szCs w:val="18"/>
              </w:rPr>
              <w:t>86,2%</w:t>
            </w:r>
          </w:p>
        </w:tc>
      </w:tr>
      <w:tr w:rsidR="00103EDE" w:rsidRPr="004A3BEC" w:rsidTr="000F61D1">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103EDE" w:rsidRPr="000A3C07" w:rsidRDefault="00103EDE" w:rsidP="000F61D1">
            <w:pPr>
              <w:rPr>
                <w:sz w:val="18"/>
                <w:szCs w:val="18"/>
              </w:rPr>
            </w:pPr>
            <w:r w:rsidRPr="000A3C07">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258,6</w:t>
            </w:r>
          </w:p>
        </w:tc>
        <w:tc>
          <w:tcPr>
            <w:tcW w:w="1209" w:type="dxa"/>
            <w:tcBorders>
              <w:top w:val="nil"/>
              <w:left w:val="nil"/>
              <w:bottom w:val="nil"/>
              <w:right w:val="nil"/>
            </w:tcBorders>
            <w:shd w:val="clear" w:color="auto" w:fill="auto"/>
            <w:noWrap/>
            <w:vAlign w:val="bottom"/>
          </w:tcPr>
          <w:p w:rsidR="00103EDE" w:rsidRDefault="00103EDE" w:rsidP="000F61D1">
            <w:pPr>
              <w:jc w:val="right"/>
              <w:rPr>
                <w:sz w:val="18"/>
                <w:szCs w:val="18"/>
              </w:rPr>
            </w:pPr>
            <w:r>
              <w:rPr>
                <w:sz w:val="18"/>
                <w:szCs w:val="18"/>
              </w:rPr>
              <w:t>152,5</w:t>
            </w:r>
          </w:p>
        </w:tc>
        <w:tc>
          <w:tcPr>
            <w:tcW w:w="1304" w:type="dxa"/>
            <w:tcBorders>
              <w:top w:val="nil"/>
              <w:left w:val="nil"/>
              <w:bottom w:val="nil"/>
              <w:right w:val="single" w:sz="8" w:space="0" w:color="auto"/>
            </w:tcBorders>
            <w:shd w:val="clear" w:color="auto" w:fill="auto"/>
            <w:noWrap/>
            <w:vAlign w:val="bottom"/>
          </w:tcPr>
          <w:p w:rsidR="00103EDE" w:rsidRDefault="00103EDE" w:rsidP="000F61D1">
            <w:pPr>
              <w:jc w:val="right"/>
              <w:rPr>
                <w:sz w:val="18"/>
                <w:szCs w:val="18"/>
              </w:rPr>
            </w:pPr>
            <w:r>
              <w:rPr>
                <w:sz w:val="18"/>
                <w:szCs w:val="18"/>
              </w:rPr>
              <w:t>59,0%</w:t>
            </w:r>
          </w:p>
        </w:tc>
      </w:tr>
      <w:tr w:rsidR="00103EDE" w:rsidRPr="004A3BEC" w:rsidTr="000F61D1">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103EDE" w:rsidRPr="000A3C07" w:rsidRDefault="00103EDE" w:rsidP="000F61D1">
            <w:pPr>
              <w:rPr>
                <w:b/>
                <w:i/>
                <w:sz w:val="18"/>
                <w:szCs w:val="18"/>
              </w:rPr>
            </w:pPr>
            <w:r w:rsidRPr="000A3C07">
              <w:rPr>
                <w:b/>
                <w:i/>
                <w:sz w:val="18"/>
                <w:szCs w:val="18"/>
              </w:rPr>
              <w:t xml:space="preserve"> - Резерв за непредвидени и неотложни разходи</w:t>
            </w:r>
            <w:r w:rsidRPr="000A3C07">
              <w:rPr>
                <w:rStyle w:val="FootnoteReference"/>
              </w:rPr>
              <w:footnoteReference w:id="9"/>
            </w:r>
            <w:r w:rsidRPr="000A3C07">
              <w:rPr>
                <w:b/>
                <w:i/>
                <w:sz w:val="18"/>
                <w:szCs w:val="18"/>
              </w:rPr>
              <w:tab/>
            </w:r>
          </w:p>
        </w:tc>
        <w:tc>
          <w:tcPr>
            <w:tcW w:w="1276" w:type="dxa"/>
            <w:tcBorders>
              <w:top w:val="nil"/>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81,1</w:t>
            </w:r>
          </w:p>
        </w:tc>
        <w:tc>
          <w:tcPr>
            <w:tcW w:w="1209" w:type="dxa"/>
            <w:tcBorders>
              <w:top w:val="nil"/>
              <w:left w:val="nil"/>
              <w:bottom w:val="nil"/>
              <w:right w:val="nil"/>
            </w:tcBorders>
            <w:shd w:val="clear" w:color="auto" w:fill="auto"/>
            <w:noWrap/>
            <w:vAlign w:val="bottom"/>
          </w:tcPr>
          <w:p w:rsidR="00103EDE" w:rsidRDefault="00103EDE" w:rsidP="000F61D1">
            <w:pPr>
              <w:jc w:val="right"/>
              <w:rPr>
                <w:sz w:val="18"/>
                <w:szCs w:val="18"/>
              </w:rPr>
            </w:pPr>
          </w:p>
        </w:tc>
        <w:tc>
          <w:tcPr>
            <w:tcW w:w="1304" w:type="dxa"/>
            <w:tcBorders>
              <w:top w:val="nil"/>
              <w:left w:val="nil"/>
              <w:bottom w:val="nil"/>
              <w:right w:val="single" w:sz="8" w:space="0" w:color="auto"/>
            </w:tcBorders>
            <w:shd w:val="clear" w:color="auto" w:fill="auto"/>
            <w:noWrap/>
            <w:vAlign w:val="bottom"/>
          </w:tcPr>
          <w:p w:rsidR="00103EDE" w:rsidRDefault="00103EDE" w:rsidP="000F61D1">
            <w:pPr>
              <w:jc w:val="right"/>
              <w:rPr>
                <w:sz w:val="18"/>
                <w:szCs w:val="18"/>
              </w:rPr>
            </w:pPr>
          </w:p>
        </w:tc>
      </w:tr>
      <w:tr w:rsidR="00103EDE" w:rsidRPr="004A3BEC" w:rsidTr="000F61D1">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103EDE" w:rsidRPr="000A3C07" w:rsidRDefault="00103EDE" w:rsidP="000F61D1">
            <w:pPr>
              <w:rPr>
                <w:b/>
                <w:i/>
                <w:sz w:val="18"/>
                <w:szCs w:val="18"/>
              </w:rPr>
            </w:pPr>
            <w:r w:rsidRPr="000A3C07">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13 668,5</w:t>
            </w:r>
          </w:p>
        </w:tc>
        <w:tc>
          <w:tcPr>
            <w:tcW w:w="1209" w:type="dxa"/>
            <w:tcBorders>
              <w:top w:val="nil"/>
              <w:left w:val="nil"/>
              <w:bottom w:val="nil"/>
              <w:right w:val="nil"/>
            </w:tcBorders>
            <w:shd w:val="clear" w:color="auto" w:fill="auto"/>
            <w:noWrap/>
            <w:vAlign w:val="bottom"/>
          </w:tcPr>
          <w:p w:rsidR="00103EDE" w:rsidRDefault="00103EDE" w:rsidP="000F61D1">
            <w:pPr>
              <w:jc w:val="right"/>
              <w:rPr>
                <w:sz w:val="18"/>
                <w:szCs w:val="18"/>
              </w:rPr>
            </w:pPr>
            <w:r>
              <w:rPr>
                <w:sz w:val="18"/>
                <w:szCs w:val="18"/>
              </w:rPr>
              <w:t>9 774,0</w:t>
            </w:r>
          </w:p>
        </w:tc>
        <w:tc>
          <w:tcPr>
            <w:tcW w:w="1304" w:type="dxa"/>
            <w:tcBorders>
              <w:top w:val="nil"/>
              <w:left w:val="nil"/>
              <w:bottom w:val="nil"/>
              <w:right w:val="single" w:sz="8" w:space="0" w:color="auto"/>
            </w:tcBorders>
            <w:shd w:val="clear" w:color="auto" w:fill="auto"/>
            <w:noWrap/>
            <w:vAlign w:val="bottom"/>
          </w:tcPr>
          <w:p w:rsidR="00103EDE" w:rsidRDefault="00103EDE" w:rsidP="000F61D1">
            <w:pPr>
              <w:jc w:val="right"/>
              <w:rPr>
                <w:sz w:val="18"/>
                <w:szCs w:val="18"/>
              </w:rPr>
            </w:pPr>
            <w:r>
              <w:rPr>
                <w:sz w:val="18"/>
                <w:szCs w:val="18"/>
              </w:rPr>
              <w:t>71,5%</w:t>
            </w:r>
          </w:p>
        </w:tc>
      </w:tr>
      <w:tr w:rsidR="00103EDE" w:rsidRPr="004A3BEC" w:rsidTr="000F61D1">
        <w:trPr>
          <w:trHeight w:val="80"/>
          <w:jc w:val="center"/>
        </w:trPr>
        <w:tc>
          <w:tcPr>
            <w:tcW w:w="4853" w:type="dxa"/>
            <w:tcBorders>
              <w:top w:val="nil"/>
              <w:left w:val="single" w:sz="4" w:space="0" w:color="auto"/>
              <w:bottom w:val="single" w:sz="4" w:space="0" w:color="auto"/>
              <w:right w:val="single" w:sz="4" w:space="0" w:color="auto"/>
            </w:tcBorders>
            <w:shd w:val="clear" w:color="auto" w:fill="auto"/>
            <w:noWrap/>
            <w:vAlign w:val="bottom"/>
          </w:tcPr>
          <w:p w:rsidR="00103EDE" w:rsidRPr="000A3C07" w:rsidRDefault="00103EDE" w:rsidP="000F61D1">
            <w:pPr>
              <w:rPr>
                <w:b/>
                <w:bCs/>
                <w:i/>
                <w:sz w:val="18"/>
                <w:szCs w:val="18"/>
              </w:rPr>
            </w:pPr>
            <w:r w:rsidRPr="000A3C07">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rsidR="00103EDE" w:rsidRPr="000A3C07" w:rsidRDefault="00103EDE" w:rsidP="000F61D1">
            <w:pPr>
              <w:jc w:val="right"/>
              <w:rPr>
                <w:sz w:val="18"/>
                <w:szCs w:val="18"/>
              </w:rPr>
            </w:pPr>
            <w:r w:rsidRPr="000A3C07">
              <w:rPr>
                <w:sz w:val="18"/>
                <w:szCs w:val="18"/>
              </w:rPr>
              <w:t>1 397,4</w:t>
            </w:r>
          </w:p>
        </w:tc>
        <w:tc>
          <w:tcPr>
            <w:tcW w:w="1209" w:type="dxa"/>
            <w:tcBorders>
              <w:top w:val="nil"/>
              <w:left w:val="nil"/>
              <w:bottom w:val="single" w:sz="4" w:space="0" w:color="auto"/>
              <w:right w:val="nil"/>
            </w:tcBorders>
            <w:shd w:val="clear" w:color="auto" w:fill="auto"/>
            <w:noWrap/>
            <w:vAlign w:val="bottom"/>
          </w:tcPr>
          <w:p w:rsidR="00103EDE" w:rsidRDefault="00103EDE" w:rsidP="000F61D1">
            <w:pPr>
              <w:jc w:val="right"/>
              <w:rPr>
                <w:sz w:val="18"/>
                <w:szCs w:val="18"/>
              </w:rPr>
            </w:pPr>
            <w:r>
              <w:rPr>
                <w:sz w:val="18"/>
                <w:szCs w:val="18"/>
              </w:rPr>
              <w:t>890,9</w:t>
            </w:r>
          </w:p>
        </w:tc>
        <w:tc>
          <w:tcPr>
            <w:tcW w:w="1304" w:type="dxa"/>
            <w:tcBorders>
              <w:top w:val="nil"/>
              <w:left w:val="nil"/>
              <w:bottom w:val="single" w:sz="4" w:space="0" w:color="auto"/>
              <w:right w:val="single" w:sz="8" w:space="0" w:color="auto"/>
            </w:tcBorders>
            <w:shd w:val="clear" w:color="auto" w:fill="auto"/>
            <w:noWrap/>
            <w:vAlign w:val="bottom"/>
          </w:tcPr>
          <w:p w:rsidR="00103EDE" w:rsidRDefault="00103EDE" w:rsidP="000F61D1">
            <w:pPr>
              <w:jc w:val="right"/>
              <w:rPr>
                <w:sz w:val="18"/>
                <w:szCs w:val="18"/>
              </w:rPr>
            </w:pPr>
            <w:r>
              <w:rPr>
                <w:sz w:val="18"/>
                <w:szCs w:val="18"/>
              </w:rPr>
              <w:t>63,8%</w:t>
            </w:r>
          </w:p>
        </w:tc>
      </w:tr>
      <w:tr w:rsidR="00103EDE" w:rsidRPr="004A3BEC" w:rsidTr="000F61D1">
        <w:trPr>
          <w:trHeight w:val="70"/>
          <w:jc w:val="center"/>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3EDE" w:rsidRPr="000A3C07" w:rsidRDefault="00103EDE" w:rsidP="000F61D1">
            <w:pPr>
              <w:rPr>
                <w:b/>
                <w:bCs/>
                <w:sz w:val="18"/>
                <w:szCs w:val="18"/>
              </w:rPr>
            </w:pPr>
            <w:r w:rsidRPr="000A3C07">
              <w:rPr>
                <w:b/>
                <w:bCs/>
                <w:sz w:val="18"/>
                <w:szCs w:val="18"/>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rsidR="00103EDE" w:rsidRPr="000A3C07" w:rsidRDefault="00103EDE" w:rsidP="000F61D1">
            <w:pPr>
              <w:jc w:val="right"/>
              <w:rPr>
                <w:b/>
                <w:bCs/>
                <w:sz w:val="18"/>
                <w:szCs w:val="18"/>
              </w:rPr>
            </w:pPr>
            <w:r w:rsidRPr="000A3C07">
              <w:rPr>
                <w:b/>
                <w:bCs/>
                <w:sz w:val="18"/>
                <w:szCs w:val="18"/>
              </w:rPr>
              <w:t>-3 451,5</w:t>
            </w:r>
          </w:p>
        </w:tc>
        <w:tc>
          <w:tcPr>
            <w:tcW w:w="1209" w:type="dxa"/>
            <w:tcBorders>
              <w:top w:val="single" w:sz="4" w:space="0" w:color="auto"/>
              <w:left w:val="nil"/>
              <w:bottom w:val="single" w:sz="8" w:space="0" w:color="auto"/>
              <w:right w:val="nil"/>
            </w:tcBorders>
            <w:shd w:val="clear" w:color="auto" w:fill="auto"/>
            <w:noWrap/>
            <w:vAlign w:val="bottom"/>
          </w:tcPr>
          <w:p w:rsidR="00103EDE" w:rsidRDefault="00103EDE" w:rsidP="000F61D1">
            <w:pPr>
              <w:jc w:val="right"/>
              <w:rPr>
                <w:b/>
                <w:bCs/>
                <w:sz w:val="18"/>
                <w:szCs w:val="18"/>
              </w:rPr>
            </w:pPr>
            <w:r>
              <w:rPr>
                <w:b/>
                <w:bCs/>
                <w:sz w:val="18"/>
                <w:szCs w:val="18"/>
              </w:rPr>
              <w:t>-482,2</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103EDE" w:rsidRDefault="00103EDE" w:rsidP="000F61D1">
            <w:pPr>
              <w:jc w:val="right"/>
              <w:rPr>
                <w:b/>
                <w:bCs/>
                <w:sz w:val="18"/>
                <w:szCs w:val="18"/>
              </w:rPr>
            </w:pPr>
          </w:p>
        </w:tc>
      </w:tr>
    </w:tbl>
    <w:p w:rsidR="00103EDE" w:rsidRPr="004A3BEC" w:rsidRDefault="00103EDE" w:rsidP="00103EDE">
      <w:pPr>
        <w:spacing w:after="120"/>
        <w:ind w:left="360"/>
        <w:jc w:val="both"/>
        <w:rPr>
          <w:b/>
          <w:color w:val="4F81BD" w:themeColor="accent1"/>
          <w:sz w:val="6"/>
          <w:lang w:val="en-US"/>
        </w:rPr>
      </w:pPr>
    </w:p>
    <w:p w:rsidR="00103EDE" w:rsidRDefault="00103EDE" w:rsidP="00103EDE">
      <w:pPr>
        <w:spacing w:after="120"/>
        <w:ind w:left="360"/>
        <w:jc w:val="both"/>
        <w:rPr>
          <w:b/>
          <w:color w:val="4F81BD" w:themeColor="accent1"/>
          <w:sz w:val="6"/>
        </w:rPr>
      </w:pPr>
    </w:p>
    <w:p w:rsidR="00D106F5" w:rsidRDefault="00D106F5" w:rsidP="00103EDE">
      <w:pPr>
        <w:spacing w:after="120"/>
        <w:ind w:left="360"/>
        <w:jc w:val="both"/>
        <w:rPr>
          <w:b/>
          <w:color w:val="4F81BD" w:themeColor="accent1"/>
          <w:sz w:val="6"/>
        </w:rPr>
      </w:pPr>
    </w:p>
    <w:p w:rsidR="00D106F5" w:rsidRPr="00D106F5" w:rsidRDefault="00D106F5" w:rsidP="00103EDE">
      <w:pPr>
        <w:spacing w:after="120"/>
        <w:ind w:left="360"/>
        <w:jc w:val="both"/>
        <w:rPr>
          <w:b/>
          <w:color w:val="4F81BD" w:themeColor="accent1"/>
          <w:sz w:val="6"/>
        </w:rPr>
      </w:pPr>
    </w:p>
    <w:p w:rsidR="00103EDE" w:rsidRPr="009B5AF2" w:rsidRDefault="00103EDE" w:rsidP="00103EDE">
      <w:pPr>
        <w:pStyle w:val="BodyTextIndent"/>
        <w:numPr>
          <w:ilvl w:val="0"/>
          <w:numId w:val="2"/>
        </w:numPr>
        <w:jc w:val="both"/>
        <w:rPr>
          <w:b/>
        </w:rPr>
      </w:pPr>
      <w:r w:rsidRPr="009B5AF2">
        <w:rPr>
          <w:b/>
          <w:bCs/>
        </w:rPr>
        <w:lastRenderedPageBreak/>
        <w:t xml:space="preserve">Приходи по държавния бюджет </w:t>
      </w:r>
    </w:p>
    <w:p w:rsidR="00103EDE" w:rsidRPr="00CF4924" w:rsidRDefault="00103EDE" w:rsidP="00103EDE">
      <w:pPr>
        <w:spacing w:after="120"/>
        <w:jc w:val="both"/>
        <w:rPr>
          <w:bCs/>
        </w:rPr>
      </w:pPr>
      <w:r w:rsidRPr="00CF4924">
        <w:rPr>
          <w:bCs/>
        </w:rPr>
        <w:t>Общият размер на</w:t>
      </w:r>
      <w:r w:rsidRPr="00CF4924">
        <w:rPr>
          <w:b/>
          <w:bCs/>
        </w:rPr>
        <w:t xml:space="preserve"> приходите, помощите и даренията по държавния бюджет</w:t>
      </w:r>
      <w:r w:rsidRPr="00CF4924">
        <w:rPr>
          <w:bCs/>
        </w:rPr>
        <w:t xml:space="preserve"> към септември</w:t>
      </w:r>
      <w:r w:rsidRPr="00CF4924">
        <w:t xml:space="preserve"> </w:t>
      </w:r>
      <w:r w:rsidRPr="00CF4924">
        <w:rPr>
          <w:bCs/>
        </w:rPr>
        <w:t>2020 г. е</w:t>
      </w:r>
      <w:r w:rsidRPr="00CF4924">
        <w:rPr>
          <w:b/>
          <w:bCs/>
        </w:rPr>
        <w:t xml:space="preserve"> 18 700,9 млн. лв.</w:t>
      </w:r>
      <w:r w:rsidRPr="00CF4924">
        <w:rPr>
          <w:bCs/>
        </w:rPr>
        <w:t>, което представлява 71,8 % изпълнение на разчетите по ЗДБРБ за 2020 година.</w:t>
      </w:r>
    </w:p>
    <w:p w:rsidR="00103EDE" w:rsidRPr="009F731D" w:rsidRDefault="00103EDE" w:rsidP="00103EDE">
      <w:pPr>
        <w:numPr>
          <w:ilvl w:val="0"/>
          <w:numId w:val="3"/>
        </w:numPr>
        <w:tabs>
          <w:tab w:val="num" w:pos="720"/>
        </w:tabs>
        <w:ind w:left="0" w:firstLine="180"/>
        <w:jc w:val="both"/>
        <w:rPr>
          <w:b/>
          <w:bCs/>
        </w:rPr>
      </w:pPr>
      <w:r w:rsidRPr="009F731D">
        <w:rPr>
          <w:bCs/>
        </w:rPr>
        <w:t xml:space="preserve"> </w:t>
      </w:r>
      <w:r w:rsidRPr="009F731D">
        <w:rPr>
          <w:b/>
          <w:bCs/>
        </w:rPr>
        <w:t>Данъчни приходи</w:t>
      </w:r>
    </w:p>
    <w:p w:rsidR="00103EDE" w:rsidRPr="001E7D66" w:rsidRDefault="00103EDE" w:rsidP="00103EDE">
      <w:pPr>
        <w:jc w:val="both"/>
        <w:rPr>
          <w:bCs/>
          <w:color w:val="0070C0"/>
          <w:sz w:val="4"/>
          <w:szCs w:val="4"/>
        </w:rPr>
      </w:pPr>
    </w:p>
    <w:p w:rsidR="00103EDE" w:rsidRPr="009F731D" w:rsidRDefault="00103EDE" w:rsidP="00103EDE">
      <w:pPr>
        <w:jc w:val="both"/>
      </w:pPr>
      <w:r w:rsidRPr="009F731D">
        <w:rPr>
          <w:bCs/>
        </w:rPr>
        <w:t>Размерът на</w:t>
      </w:r>
      <w:r w:rsidRPr="009F731D">
        <w:rPr>
          <w:b/>
          <w:bCs/>
        </w:rPr>
        <w:t xml:space="preserve"> данъчните постъпления по държавния бюджет</w:t>
      </w:r>
      <w:r w:rsidRPr="009F731D">
        <w:rPr>
          <w:bCs/>
        </w:rPr>
        <w:t xml:space="preserve"> към септември</w:t>
      </w:r>
      <w:r w:rsidRPr="009F731D">
        <w:t xml:space="preserve"> </w:t>
      </w:r>
      <w:r w:rsidRPr="009F731D">
        <w:rPr>
          <w:bCs/>
        </w:rPr>
        <w:t xml:space="preserve">2020 г. </w:t>
      </w:r>
      <w:r w:rsidRPr="009F731D">
        <w:t xml:space="preserve">е </w:t>
      </w:r>
      <w:r w:rsidRPr="009F731D">
        <w:rPr>
          <w:b/>
        </w:rPr>
        <w:t>17 128,7 млн. лв</w:t>
      </w:r>
      <w:r w:rsidRPr="009F731D">
        <w:t>., което представлява 74,4 % изпълнение на годишните разчети. В сравнение със същия период на 2019 г. постъпленията в групата намаляват с 410,1 млн. лв. (2,3</w:t>
      </w:r>
      <w:r w:rsidRPr="009F731D">
        <w:rPr>
          <w:b/>
          <w:bCs/>
        </w:rPr>
        <w:t> </w:t>
      </w:r>
      <w:r w:rsidRPr="009F731D">
        <w:t xml:space="preserve">%). </w:t>
      </w:r>
    </w:p>
    <w:p w:rsidR="00103EDE" w:rsidRPr="001E7D66" w:rsidRDefault="00103EDE" w:rsidP="00103EDE">
      <w:pPr>
        <w:jc w:val="both"/>
        <w:rPr>
          <w:color w:val="0070C0"/>
          <w:sz w:val="10"/>
        </w:rPr>
      </w:pPr>
    </w:p>
    <w:p w:rsidR="00103EDE" w:rsidRPr="00455373" w:rsidRDefault="00103EDE" w:rsidP="00103EDE">
      <w:pPr>
        <w:numPr>
          <w:ilvl w:val="0"/>
          <w:numId w:val="4"/>
        </w:numPr>
        <w:tabs>
          <w:tab w:val="clear" w:pos="1440"/>
          <w:tab w:val="num" w:pos="540"/>
        </w:tabs>
        <w:spacing w:after="120"/>
        <w:ind w:left="0" w:firstLine="181"/>
        <w:jc w:val="both"/>
        <w:rPr>
          <w:b/>
          <w:bCs/>
        </w:rPr>
      </w:pPr>
      <w:r w:rsidRPr="00455373">
        <w:rPr>
          <w:b/>
          <w:bCs/>
        </w:rPr>
        <w:t>Преки данъци</w:t>
      </w:r>
    </w:p>
    <w:p w:rsidR="00103EDE" w:rsidRPr="001E7D66" w:rsidRDefault="00103EDE" w:rsidP="00103EDE">
      <w:pPr>
        <w:spacing w:after="120"/>
        <w:jc w:val="both"/>
        <w:rPr>
          <w:color w:val="0070C0"/>
          <w:lang w:val="en-US"/>
        </w:rPr>
      </w:pPr>
      <w:r w:rsidRPr="00455373">
        <w:t>Приходите в групата на</w:t>
      </w:r>
      <w:r w:rsidRPr="00455373">
        <w:rPr>
          <w:b/>
        </w:rPr>
        <w:t xml:space="preserve"> преките данъци</w:t>
      </w:r>
      <w:r w:rsidRPr="00455373">
        <w:t xml:space="preserve"> са в размер на</w:t>
      </w:r>
      <w:r w:rsidRPr="00455373">
        <w:rPr>
          <w:b/>
        </w:rPr>
        <w:t> 4 597,0 млн. лв</w:t>
      </w:r>
      <w:r w:rsidRPr="00455373">
        <w:t>. или 70,1 % от планираните за годината, като съпоставени със същия период на предходната година намаляват с 50,6 млн. лв. (1,</w:t>
      </w:r>
      <w:proofErr w:type="spellStart"/>
      <w:r w:rsidRPr="00455373">
        <w:t>1</w:t>
      </w:r>
      <w:proofErr w:type="spellEnd"/>
      <w:r w:rsidRPr="00455373">
        <w:t xml:space="preserve"> %). Приходите от</w:t>
      </w:r>
      <w:r w:rsidRPr="00455373">
        <w:rPr>
          <w:b/>
        </w:rPr>
        <w:t xml:space="preserve"> </w:t>
      </w:r>
      <w:r w:rsidRPr="00455373">
        <w:rPr>
          <w:b/>
          <w:bCs/>
          <w:i/>
        </w:rPr>
        <w:t>корпоративни данъци</w:t>
      </w:r>
      <w:r w:rsidRPr="00455373">
        <w:t xml:space="preserve"> </w:t>
      </w:r>
      <w:r w:rsidRPr="00455373">
        <w:rPr>
          <w:bCs/>
        </w:rPr>
        <w:t xml:space="preserve">към септември </w:t>
      </w:r>
      <w:r w:rsidRPr="00455373">
        <w:t>2020</w:t>
      </w:r>
      <w:r w:rsidRPr="00455373">
        <w:rPr>
          <w:b/>
        </w:rPr>
        <w:t> </w:t>
      </w:r>
      <w:r w:rsidRPr="00455373">
        <w:t xml:space="preserve">г. са в размер на 1 517,4 млн. лв. </w:t>
      </w:r>
      <w:r w:rsidRPr="001E0EC4">
        <w:t xml:space="preserve">или 61,0 % от годишния план. Спрямо същия период на предходната година постъпленията намаляват със 150,8 млн. лв. (9,0 %). Забавяне при постъпленията в тази група данъци се отчита основно при корпоративния данък от </w:t>
      </w:r>
      <w:r w:rsidRPr="00637D1C">
        <w:t>нефинансови предприятия, като намалението е с 9,7 % на годишна база</w:t>
      </w:r>
      <w:r w:rsidRPr="00637D1C">
        <w:rPr>
          <w:lang w:val="en-US"/>
        </w:rPr>
        <w:t>.</w:t>
      </w:r>
      <w:r w:rsidRPr="00637D1C">
        <w:t xml:space="preserve"> Приходите от данък върху дивидентите, ликвидационните дялове и доходите на местни и чуждестранни юридически лица се повишават с 5,8</w:t>
      </w:r>
      <w:r>
        <w:t xml:space="preserve"> </w:t>
      </w:r>
      <w:r w:rsidRPr="00637D1C">
        <w:t>млн. лв. (10,9 %) спрямо периода януари-</w:t>
      </w:r>
      <w:r w:rsidRPr="00874ADD">
        <w:t>септември</w:t>
      </w:r>
      <w:r w:rsidRPr="00637D1C">
        <w:t xml:space="preserve"> 2019 година. </w:t>
      </w:r>
    </w:p>
    <w:p w:rsidR="00103EDE" w:rsidRPr="00C94340" w:rsidRDefault="00103EDE" w:rsidP="00103EDE">
      <w:pPr>
        <w:spacing w:after="120"/>
        <w:jc w:val="both"/>
        <w:rPr>
          <w:lang w:val="en-US"/>
        </w:rPr>
      </w:pPr>
      <w:r w:rsidRPr="00C94340">
        <w:t>Приходите от корпоративен данък се обуславят и от възможността за промяна на авансовите вноски, направени от нефинансовите и финансовите институции през годината, дължимия годишен корпоративен данък, по реда на чл. 88 от ЗКПО и първоначалното деклариране на тримесечни авансови вноски по чл. 87а, ал. 2 и 3 от ЗКПО, което също влияе на размера на постъпленията за 2020 година.</w:t>
      </w:r>
    </w:p>
    <w:p w:rsidR="00C945E9" w:rsidRPr="00B3782D" w:rsidRDefault="00C945E9" w:rsidP="00C945E9">
      <w:pPr>
        <w:spacing w:after="120"/>
        <w:jc w:val="both"/>
      </w:pPr>
      <w:r w:rsidRPr="0053345F">
        <w:t>Приходите от</w:t>
      </w:r>
      <w:r w:rsidRPr="0053345F">
        <w:rPr>
          <w:b/>
        </w:rPr>
        <w:t xml:space="preserve"> данъци върху доходите на физически лица </w:t>
      </w:r>
      <w:r w:rsidRPr="0053345F">
        <w:t xml:space="preserve">са в размер на </w:t>
      </w:r>
      <w:r w:rsidRPr="0053345F">
        <w:rPr>
          <w:b/>
        </w:rPr>
        <w:t>3 079,6 млн. лв.</w:t>
      </w:r>
      <w:r w:rsidRPr="0053345F">
        <w:t xml:space="preserve"> или 75,6 % от заложените в разчета за годината. Тези приходи са със 100,3 млн. лв. повече (3,4 %), спрямо същия период на предходната година. </w:t>
      </w:r>
      <w:r w:rsidRPr="00B3782D">
        <w:t>Върху размера на данъчните постъпления от ДДФЛ основно влияние има развитието на пазара на труда и предприетите законодателни и административни мерки в областта на трудовото, социалното и данъчното законодателство.</w:t>
      </w:r>
      <w:r>
        <w:t xml:space="preserve"> </w:t>
      </w:r>
      <w:r w:rsidRPr="003456DC">
        <w:t xml:space="preserve">За повишаване на приходите от ДДФЛ влияние оказват и предприетите мерки за намаляване на недекларирания труд, мерките за повишаване на събираемостта на </w:t>
      </w:r>
      <w:r w:rsidRPr="006F24C4">
        <w:t>задължения за минали периоди и информационните кампании, провеждани от НАП</w:t>
      </w:r>
      <w:r>
        <w:rPr>
          <w:lang w:val="en-US"/>
        </w:rPr>
        <w:t>.</w:t>
      </w:r>
      <w:r w:rsidRPr="007109E9">
        <w:t xml:space="preserve"> </w:t>
      </w:r>
      <w:r>
        <w:t>От друга страна, р</w:t>
      </w:r>
      <w:r w:rsidRPr="009C00AD">
        <w:t xml:space="preserve">азпространението на заразата от </w:t>
      </w:r>
      <w:proofErr w:type="spellStart"/>
      <w:r w:rsidRPr="009C00AD">
        <w:t>коронавирус</w:t>
      </w:r>
      <w:proofErr w:type="spellEnd"/>
      <w:r w:rsidRPr="009C00AD">
        <w:t xml:space="preserve"> COVID-19 доведе до</w:t>
      </w:r>
      <w:r>
        <w:t xml:space="preserve"> икономическа</w:t>
      </w:r>
      <w:r w:rsidRPr="009C00AD">
        <w:t xml:space="preserve"> криза в световен мащаб. В България също се отчита намаление на активността в редица икономически сектори. Много предприятия бяха пряко или косвено засегнати от създалата се безпрецедентна ситуация, което оказва негативно влияние върху заетостта и трудовите възнаграждения на работещите и съ</w:t>
      </w:r>
      <w:r>
        <w:t>ответно върху приходите от ДДФЛ.</w:t>
      </w:r>
      <w:r w:rsidR="00316AA0">
        <w:t xml:space="preserve"> </w:t>
      </w:r>
      <w:r w:rsidR="00316AA0" w:rsidRPr="00316AA0">
        <w:t>Същевременно, приетите от правителството мерки за преодоляване на разпространението и за лечение на COVID-19 и мерките за минимизиране на отрицателните последици за бизнеса и заетостта оказват положително влияние върху</w:t>
      </w:r>
      <w:r w:rsidR="00316AA0">
        <w:t xml:space="preserve"> постъпленията от този данък.</w:t>
      </w:r>
    </w:p>
    <w:p w:rsidR="00C945E9" w:rsidRPr="00CC407D" w:rsidRDefault="00C945E9" w:rsidP="00C945E9">
      <w:pPr>
        <w:spacing w:after="120"/>
        <w:jc w:val="both"/>
      </w:pPr>
      <w:r w:rsidRPr="00707189">
        <w:rPr>
          <w:i/>
        </w:rPr>
        <w:t>По трудови правоотношения</w:t>
      </w:r>
      <w:r w:rsidRPr="00707189">
        <w:t xml:space="preserve"> приходите от данъка </w:t>
      </w:r>
      <w:r w:rsidRPr="00707189">
        <w:rPr>
          <w:bCs/>
        </w:rPr>
        <w:t xml:space="preserve">към септември </w:t>
      </w:r>
      <w:r w:rsidRPr="00707189">
        <w:t>2020 г. са 2 541,8 млн. лв., 75,4 % от годишните разчети. Тези приходи са със 128,8 млн. лв. повече (5,3 %), в сравнение със същия период на предходната година. Върху размера на постъпленията влияние оказват: увеличението на минималната работна заплата за страната от 01.</w:t>
      </w:r>
      <w:proofErr w:type="spellStart"/>
      <w:r w:rsidRPr="00707189">
        <w:t>01</w:t>
      </w:r>
      <w:proofErr w:type="spellEnd"/>
      <w:r w:rsidRPr="00707189">
        <w:t xml:space="preserve">.2020 г.; увеличението на минималните осигурителни прагове за 2020 г.; </w:t>
      </w:r>
      <w:r w:rsidRPr="00707189">
        <w:tab/>
        <w:t>увеличението на заплатите на служителите в държавната администрация с 10 % от 01.</w:t>
      </w:r>
      <w:proofErr w:type="spellStart"/>
      <w:r w:rsidRPr="00707189">
        <w:t>01</w:t>
      </w:r>
      <w:proofErr w:type="spellEnd"/>
      <w:r w:rsidRPr="00707189">
        <w:t>.2020 г.; увеличението на заплатите на педагогическия персонал</w:t>
      </w:r>
      <w:r>
        <w:t xml:space="preserve"> от началото на 2020 г.</w:t>
      </w:r>
      <w:r w:rsidRPr="00707189">
        <w:t xml:space="preserve">; промените в броя на наетите лица и заплащането на труда, промените в нивото на безработица и приетите от правителството </w:t>
      </w:r>
      <w:r w:rsidRPr="00CC407D">
        <w:t>мерки за преодоляване разпространението и за лечение на COVID-19 и мерките за минимизиране на отрицателните последици за бизнеса и заетостта, които включват: увеличение на средствата за извънреден труд (медицински персонал, полицейски органи</w:t>
      </w:r>
      <w:r>
        <w:t xml:space="preserve"> и др.</w:t>
      </w:r>
      <w:r w:rsidRPr="00CC407D">
        <w:t xml:space="preserve">); допълнителни </w:t>
      </w:r>
      <w:r w:rsidRPr="00CC407D">
        <w:lastRenderedPageBreak/>
        <w:t xml:space="preserve">възнаграждения на медицинския и немедицинския персонал, ангажиран с пациенти, заболели с </w:t>
      </w:r>
      <w:proofErr w:type="spellStart"/>
      <w:r w:rsidRPr="00CC407D">
        <w:t>коронавирус</w:t>
      </w:r>
      <w:proofErr w:type="spellEnd"/>
      <w:r w:rsidRPr="00CC407D">
        <w:t xml:space="preserve"> и рискови пациенти; мярката „60/40”, чрез която държавата поема изплащането на 60 на сто от осигурителния доход и дължимите осигурителни вноски за сметка на осигурителя; увеличение на минималния месечен осигурителен доход за работещите в секторите „Хотелиерство“ и „Ресторантьорство“; увеличение на разходите за персонал с 30</w:t>
      </w:r>
      <w:r w:rsidRPr="00CC407D">
        <w:rPr>
          <w:lang w:val="en-US"/>
        </w:rPr>
        <w:t> </w:t>
      </w:r>
      <w:r w:rsidRPr="00CC407D">
        <w:t xml:space="preserve">% </w:t>
      </w:r>
      <w:r>
        <w:t xml:space="preserve">от август </w:t>
      </w:r>
      <w:r w:rsidRPr="00CC407D">
        <w:t>в 28 администрации, които са натоварени с дейности по овладяване на пандемията и последствията от COVID-19, включително и служители на първа линия, чиито задължения включват обслужване и контрол „на терен“, с пряк контакт с други лица.</w:t>
      </w:r>
    </w:p>
    <w:p w:rsidR="00103EDE" w:rsidRPr="001E78F2" w:rsidRDefault="00103EDE" w:rsidP="00103EDE">
      <w:pPr>
        <w:spacing w:after="120"/>
        <w:jc w:val="both"/>
      </w:pPr>
      <w:r w:rsidRPr="00750831">
        <w:rPr>
          <w:i/>
        </w:rPr>
        <w:t>По извънтрудови правоотношения (свободни професии, граждански договори и др.)</w:t>
      </w:r>
      <w:r w:rsidRPr="00750831">
        <w:t xml:space="preserve"> приходите от </w:t>
      </w:r>
      <w:r w:rsidRPr="002C3B43">
        <w:t xml:space="preserve">данъка </w:t>
      </w:r>
      <w:r w:rsidRPr="002C3B43">
        <w:rPr>
          <w:bCs/>
        </w:rPr>
        <w:t xml:space="preserve">към септември </w:t>
      </w:r>
      <w:r w:rsidRPr="002C3B43">
        <w:t>2020 г. са в размер на 279,0 млн. лв., което е 75,2 % от годишния разчет. За отчетния период на 2020 г. са постъпили с 27,4 млн. лв. по-малко приходи (9,0 %) спрямо края на септември 2019 година</w:t>
      </w:r>
      <w:r w:rsidRPr="001E78F2">
        <w:t>. 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w:t>
      </w:r>
    </w:p>
    <w:p w:rsidR="00103EDE" w:rsidRPr="00B209CE" w:rsidRDefault="00103EDE" w:rsidP="00103EDE">
      <w:pPr>
        <w:spacing w:after="120"/>
        <w:jc w:val="both"/>
      </w:pPr>
      <w:r w:rsidRPr="00B209CE">
        <w:rPr>
          <w:i/>
        </w:rPr>
        <w:t xml:space="preserve">Окончателен данък на местните и чуждестранни физически лица по чл. 37 и 38 от ЗДДФЛ </w:t>
      </w:r>
      <w:r w:rsidRPr="00B209CE">
        <w:t xml:space="preserve">и </w:t>
      </w:r>
      <w:r w:rsidRPr="00B209CE">
        <w:rPr>
          <w:i/>
        </w:rPr>
        <w:t>данък върху дивидентите и ликвидационните дялове на физически лица</w:t>
      </w:r>
      <w:r w:rsidRPr="00B209CE">
        <w:t xml:space="preserve"> - постъпленията от тези данъци са в размер на 254,1 млн. лв., 78,1 % от годишния разчет. За отчетния период са постъпили с 0,7 млн. лв. по-малко (0,3 %) спрямо края на септември 2019 година.</w:t>
      </w:r>
    </w:p>
    <w:p w:rsidR="00103EDE" w:rsidRPr="00DB79CE" w:rsidRDefault="00103EDE" w:rsidP="00103EDE">
      <w:pPr>
        <w:spacing w:after="120"/>
        <w:jc w:val="both"/>
      </w:pPr>
      <w:r w:rsidRPr="00DB79CE">
        <w:t xml:space="preserve">Постъпленията от </w:t>
      </w:r>
      <w:r w:rsidRPr="00DB79CE">
        <w:rPr>
          <w:i/>
        </w:rPr>
        <w:t xml:space="preserve">окончателния данък върху приходите от лихви от депозити на физическите лица </w:t>
      </w:r>
      <w:r w:rsidRPr="00DB79CE">
        <w:t>са в размер на 4,7 млн. лева.</w:t>
      </w:r>
    </w:p>
    <w:p w:rsidR="00103EDE" w:rsidRPr="000E7A8B" w:rsidRDefault="00103EDE" w:rsidP="00103EDE">
      <w:pPr>
        <w:numPr>
          <w:ilvl w:val="0"/>
          <w:numId w:val="4"/>
        </w:numPr>
        <w:tabs>
          <w:tab w:val="clear" w:pos="1440"/>
          <w:tab w:val="num" w:pos="540"/>
        </w:tabs>
        <w:ind w:left="0" w:firstLine="180"/>
        <w:jc w:val="both"/>
        <w:rPr>
          <w:b/>
          <w:bCs/>
        </w:rPr>
      </w:pPr>
      <w:r w:rsidRPr="000E7A8B">
        <w:rPr>
          <w:b/>
          <w:bCs/>
        </w:rPr>
        <w:t>Косвени данъци</w:t>
      </w:r>
    </w:p>
    <w:p w:rsidR="00103EDE" w:rsidRPr="001E7D66" w:rsidRDefault="00103EDE" w:rsidP="00103EDE">
      <w:pPr>
        <w:jc w:val="both"/>
        <w:rPr>
          <w:b/>
          <w:bCs/>
          <w:color w:val="0070C0"/>
          <w:sz w:val="4"/>
          <w:szCs w:val="4"/>
        </w:rPr>
      </w:pPr>
    </w:p>
    <w:p w:rsidR="00103EDE" w:rsidRPr="000E7A8B" w:rsidRDefault="00103EDE" w:rsidP="00103EDE">
      <w:pPr>
        <w:spacing w:after="120"/>
        <w:jc w:val="both"/>
      </w:pPr>
      <w:r w:rsidRPr="000E7A8B">
        <w:t xml:space="preserve">Приходите от </w:t>
      </w:r>
      <w:r w:rsidRPr="000E7A8B">
        <w:rPr>
          <w:b/>
        </w:rPr>
        <w:t>косвени данъци</w:t>
      </w:r>
      <w:r w:rsidRPr="000E7A8B">
        <w:t xml:space="preserve"> </w:t>
      </w:r>
      <w:r w:rsidRPr="000E7A8B">
        <w:rPr>
          <w:bCs/>
        </w:rPr>
        <w:t xml:space="preserve">към септември </w:t>
      </w:r>
      <w:r w:rsidRPr="000E7A8B">
        <w:t xml:space="preserve">2020 г. са в размер на </w:t>
      </w:r>
      <w:r w:rsidRPr="000E7A8B">
        <w:rPr>
          <w:b/>
        </w:rPr>
        <w:t>12 401,7 млн. лв</w:t>
      </w:r>
      <w:r w:rsidRPr="000E7A8B">
        <w:t xml:space="preserve">. или 76,0 % от годишния разчет. </w:t>
      </w:r>
    </w:p>
    <w:p w:rsidR="00103EDE" w:rsidRPr="00742D5B" w:rsidRDefault="00103EDE" w:rsidP="00103EDE">
      <w:pPr>
        <w:spacing w:after="120"/>
        <w:jc w:val="both"/>
      </w:pPr>
      <w:r w:rsidRPr="000E7A8B">
        <w:rPr>
          <w:b/>
        </w:rPr>
        <w:t>Приходите от ДДС</w:t>
      </w:r>
      <w:r w:rsidRPr="000E7A8B">
        <w:t xml:space="preserve"> са в размер на </w:t>
      </w:r>
      <w:r w:rsidRPr="000E7A8B">
        <w:rPr>
          <w:b/>
        </w:rPr>
        <w:t>8 108,6</w:t>
      </w:r>
      <w:r w:rsidRPr="000E7A8B">
        <w:t xml:space="preserve"> </w:t>
      </w:r>
      <w:r w:rsidRPr="000E7A8B">
        <w:rPr>
          <w:b/>
        </w:rPr>
        <w:t>млн. лв.,</w:t>
      </w:r>
      <w:r w:rsidRPr="000E7A8B">
        <w:t xml:space="preserve"> което представлява 76,2 % от планираните със ЗДБРБ за 2020 година. Съпоставено с края на септември 2019 г., приходите </w:t>
      </w:r>
      <w:r w:rsidRPr="00742D5B">
        <w:t>от ДДС намаляват с 307,9 млн. лв. (3,7 %) поради намалената стопанска активност и влошените макроикономически показатели за потребление, внос, износ, вследствие от въведените ограничителни мерки, свързани с разпространението на COVID-19, както и спада на цената на суровия петрол, курса на щатския долар и други. Тези фактори се отразяват основно при постъпленията от ДДС от внос.</w:t>
      </w:r>
    </w:p>
    <w:p w:rsidR="00103EDE" w:rsidRPr="001E7D66" w:rsidRDefault="00103EDE" w:rsidP="00103EDE">
      <w:pPr>
        <w:spacing w:before="120"/>
        <w:ind w:right="-29"/>
        <w:jc w:val="both"/>
        <w:rPr>
          <w:color w:val="0070C0"/>
        </w:rPr>
      </w:pPr>
      <w:r w:rsidRPr="008D02D9">
        <w:t xml:space="preserve">Нетният размер на приходите от </w:t>
      </w:r>
      <w:r w:rsidRPr="008D02D9">
        <w:rPr>
          <w:i/>
        </w:rPr>
        <w:t>ДДС от внос</w:t>
      </w:r>
      <w:r w:rsidRPr="008D02D9">
        <w:t xml:space="preserve"> </w:t>
      </w:r>
      <w:r w:rsidRPr="008D02D9">
        <w:rPr>
          <w:bCs/>
        </w:rPr>
        <w:t xml:space="preserve">към септември </w:t>
      </w:r>
      <w:r w:rsidRPr="008D02D9">
        <w:t xml:space="preserve">2020 г. е 2 549,4 млн. лева., като </w:t>
      </w:r>
      <w:r w:rsidRPr="003F01AF">
        <w:t xml:space="preserve">намаляват с 637,6 млн. лв. (20,0 %), в сравнение със същия период на 2019 г. Влияние върху постъпленията от ДДС от внос оказват цената на суровия петрол, количествата на внасяните </w:t>
      </w:r>
      <w:r w:rsidRPr="007D5C7A">
        <w:t xml:space="preserve">стоки за междинно потребление (черни, цветни метали и др.), курса на щатския долар спрямо еврото и други. Освен това влияние върху постъпленията от ДДС от внос оказва и въведената законодателна промяна за възможност за отложено начисляване на ДДС - след </w:t>
      </w:r>
      <w:r w:rsidRPr="007D5C7A">
        <w:rPr>
          <w:iCs/>
        </w:rPr>
        <w:t>01.07.2019 г.</w:t>
      </w:r>
      <w:r w:rsidRPr="007D5C7A">
        <w:t xml:space="preserve"> бе въведена</w:t>
      </w:r>
      <w:r w:rsidRPr="007D5C7A">
        <w:rPr>
          <w:iCs/>
        </w:rPr>
        <w:t xml:space="preserve"> възможността 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7D5C7A">
        <w:rPr>
          <w:bCs/>
        </w:rPr>
        <w:t xml:space="preserve"> Ефектът от прилагането на този режим за периода януари-септември 2020 г. е неначислен ДДС при внос в размер на 817,4 млн. лева. </w:t>
      </w:r>
      <w:r w:rsidRPr="007D5C7A">
        <w:t xml:space="preserve">Стоките с най-значителен дял в прилагането на този режим са следните: стоки от глава „Руди, шлаки и </w:t>
      </w:r>
      <w:proofErr w:type="spellStart"/>
      <w:r w:rsidRPr="007D5C7A">
        <w:t>пепели</w:t>
      </w:r>
      <w:proofErr w:type="spellEnd"/>
      <w:r w:rsidRPr="007D5C7A">
        <w:t>“ – 528,5 млн. лв. и стоки от глава „Мед и изделия от мед“ – 98,6 млн. лв. Общо 63 икономически оператори</w:t>
      </w:r>
      <w:r w:rsidRPr="00111660">
        <w:t xml:space="preserve"> са се възползвали от възможността да отложат начисляването на ДДС</w:t>
      </w:r>
      <w:r w:rsidRPr="001E7D66">
        <w:rPr>
          <w:color w:val="0070C0"/>
        </w:rPr>
        <w:t>.</w:t>
      </w:r>
    </w:p>
    <w:p w:rsidR="00103EDE" w:rsidRPr="001E7D66" w:rsidRDefault="00103EDE" w:rsidP="00103EDE">
      <w:pPr>
        <w:spacing w:before="120" w:after="120"/>
        <w:jc w:val="both"/>
        <w:rPr>
          <w:b/>
          <w:color w:val="0070C0"/>
        </w:rPr>
      </w:pPr>
      <w:r w:rsidRPr="00761555">
        <w:t>Постъпленията от</w:t>
      </w:r>
      <w:r w:rsidRPr="00761555">
        <w:rPr>
          <w:i/>
        </w:rPr>
        <w:t xml:space="preserve"> ДДС при сделки в страната (нето)</w:t>
      </w:r>
      <w:r w:rsidRPr="00761555">
        <w:t xml:space="preserve"> </w:t>
      </w:r>
      <w:r w:rsidRPr="00761555">
        <w:rPr>
          <w:bCs/>
        </w:rPr>
        <w:t xml:space="preserve">към септември </w:t>
      </w:r>
      <w:r w:rsidRPr="00761555">
        <w:t>2020 г. възлизат на 5 559,2</w:t>
      </w:r>
      <w:r w:rsidRPr="00761555">
        <w:rPr>
          <w:rFonts w:eastAsia="Calibri"/>
          <w:b/>
        </w:rPr>
        <w:t> </w:t>
      </w:r>
      <w:r w:rsidRPr="00761555">
        <w:t xml:space="preserve">млн. лв. и нарастват с 329,7 млн. лв. (6,3 %) спрямо същия период на предходната година. </w:t>
      </w:r>
      <w:r w:rsidRPr="00F66D4B">
        <w:rPr>
          <w:bCs/>
        </w:rPr>
        <w:t xml:space="preserve">Невъзстановеният данъчен кредит на фирми към 30.09.2020 г. е в размер на </w:t>
      </w:r>
      <w:r w:rsidRPr="00461009">
        <w:rPr>
          <w:bCs/>
        </w:rPr>
        <w:t>12</w:t>
      </w:r>
      <w:r w:rsidRPr="00461009">
        <w:rPr>
          <w:bCs/>
          <w:lang w:val="en-US"/>
        </w:rPr>
        <w:t>3</w:t>
      </w:r>
      <w:r w:rsidRPr="00461009">
        <w:rPr>
          <w:bCs/>
        </w:rPr>
        <w:t>,</w:t>
      </w:r>
      <w:r w:rsidRPr="00461009">
        <w:rPr>
          <w:bCs/>
          <w:lang w:val="en-US"/>
        </w:rPr>
        <w:t>4</w:t>
      </w:r>
      <w:r w:rsidRPr="00461009">
        <w:rPr>
          <w:bCs/>
        </w:rPr>
        <w:t> млн. лева.</w:t>
      </w:r>
    </w:p>
    <w:p w:rsidR="00103EDE" w:rsidRPr="00523B9D" w:rsidRDefault="00103EDE" w:rsidP="00103EDE">
      <w:pPr>
        <w:spacing w:after="120"/>
        <w:jc w:val="both"/>
        <w:rPr>
          <w:rStyle w:val="Strong"/>
          <w:b w:val="0"/>
          <w:lang w:val="en-US"/>
        </w:rPr>
      </w:pPr>
      <w:r w:rsidRPr="00523B9D">
        <w:rPr>
          <w:b/>
        </w:rPr>
        <w:t xml:space="preserve">Приходите от акцизи (нето) </w:t>
      </w:r>
      <w:r w:rsidRPr="00523B9D">
        <w:t xml:space="preserve">от внос, вътрешно производство и въведени в страната от други държави-членки на ЕС акцизни стоки са в размер на </w:t>
      </w:r>
      <w:r w:rsidRPr="00523B9D">
        <w:rPr>
          <w:b/>
        </w:rPr>
        <w:t>4 101,9 млн. лв</w:t>
      </w:r>
      <w:r w:rsidRPr="00523B9D">
        <w:t xml:space="preserve">., което е 75,3 % от планираните със ЗДБРБ за 2020 г. </w:t>
      </w:r>
    </w:p>
    <w:p w:rsidR="00103EDE" w:rsidRPr="00B51BCE" w:rsidRDefault="00103EDE" w:rsidP="00103EDE">
      <w:pPr>
        <w:spacing w:after="120"/>
        <w:jc w:val="both"/>
      </w:pPr>
      <w:r w:rsidRPr="00B51BCE">
        <w:lastRenderedPageBreak/>
        <w:t>Нетните постъпления от акциз са от следните основни стокови групи: тютюневи изделия (51,9 %); горива (42,2 %); алкохолни напитки и пиво (5,2 %) и други акцизни стоки – електрическа енергия, въглища и кокс (0,7 %). Постъпления от акциз към септември 2020 г. по основни стокови групи, са както следва:</w:t>
      </w:r>
    </w:p>
    <w:p w:rsidR="00103EDE" w:rsidRPr="000A023A" w:rsidRDefault="00103EDE" w:rsidP="00C4077C">
      <w:pPr>
        <w:numPr>
          <w:ilvl w:val="0"/>
          <w:numId w:val="18"/>
        </w:numPr>
        <w:jc w:val="both"/>
      </w:pPr>
      <w:r w:rsidRPr="000A023A">
        <w:rPr>
          <w:i/>
        </w:rPr>
        <w:t>Акцизите от тютюневи изделия</w:t>
      </w:r>
      <w:r w:rsidRPr="000A023A">
        <w:t xml:space="preserve">  възлизат на 2 130,6 млн. лева; </w:t>
      </w:r>
    </w:p>
    <w:p w:rsidR="00103EDE" w:rsidRPr="000A023A" w:rsidRDefault="00103EDE" w:rsidP="00C4077C">
      <w:pPr>
        <w:numPr>
          <w:ilvl w:val="0"/>
          <w:numId w:val="18"/>
        </w:numPr>
        <w:jc w:val="both"/>
      </w:pPr>
      <w:r w:rsidRPr="000A023A">
        <w:rPr>
          <w:i/>
        </w:rPr>
        <w:t>Акцизите от горив</w:t>
      </w:r>
      <w:r w:rsidRPr="000A023A">
        <w:t xml:space="preserve">а са в размер на 1 729,7 млн. лева; </w:t>
      </w:r>
    </w:p>
    <w:p w:rsidR="00103EDE" w:rsidRPr="000A023A" w:rsidRDefault="00103EDE" w:rsidP="00C4077C">
      <w:pPr>
        <w:numPr>
          <w:ilvl w:val="0"/>
          <w:numId w:val="18"/>
        </w:numPr>
        <w:jc w:val="both"/>
      </w:pPr>
      <w:r w:rsidRPr="000A023A">
        <w:rPr>
          <w:i/>
        </w:rPr>
        <w:t xml:space="preserve">Акцизите от алкохолни напитки и пиво </w:t>
      </w:r>
      <w:r w:rsidRPr="000A023A">
        <w:t xml:space="preserve"> възлизат на 212,3 млн. лева; </w:t>
      </w:r>
    </w:p>
    <w:p w:rsidR="00103EDE" w:rsidRPr="000A023A" w:rsidRDefault="00103EDE" w:rsidP="00C4077C">
      <w:pPr>
        <w:numPr>
          <w:ilvl w:val="0"/>
          <w:numId w:val="18"/>
        </w:numPr>
        <w:jc w:val="both"/>
      </w:pPr>
      <w:r w:rsidRPr="000A023A">
        <w:rPr>
          <w:i/>
        </w:rPr>
        <w:t xml:space="preserve">Приходите от други акцизни стоки - електрическа енергия, въглища и кокс </w:t>
      </w:r>
      <w:r w:rsidRPr="000A023A">
        <w:t>– възлизат на 29,3 млн. лева.</w:t>
      </w:r>
    </w:p>
    <w:p w:rsidR="00103EDE" w:rsidRPr="001E7D66" w:rsidRDefault="00103EDE" w:rsidP="00103EDE">
      <w:pPr>
        <w:ind w:left="360"/>
        <w:jc w:val="both"/>
        <w:rPr>
          <w:color w:val="0070C0"/>
          <w:sz w:val="8"/>
          <w:szCs w:val="8"/>
        </w:rPr>
      </w:pPr>
    </w:p>
    <w:p w:rsidR="00103EDE" w:rsidRPr="002C355D" w:rsidRDefault="00103EDE" w:rsidP="00103EDE">
      <w:pPr>
        <w:spacing w:after="120"/>
        <w:jc w:val="both"/>
      </w:pPr>
      <w:r w:rsidRPr="002C355D">
        <w:rPr>
          <w:b/>
        </w:rPr>
        <w:t>Приходите от данък върху застрахователните премии</w:t>
      </w:r>
      <w:r w:rsidRPr="002C355D">
        <w:t xml:space="preserve"> са в размер на </w:t>
      </w:r>
      <w:r w:rsidRPr="002C355D">
        <w:rPr>
          <w:b/>
        </w:rPr>
        <w:t>34,6 млн. лв</w:t>
      </w:r>
      <w:r w:rsidRPr="002C355D">
        <w:t>., при планирани за годината 44,2 млн. лева.</w:t>
      </w:r>
    </w:p>
    <w:p w:rsidR="00103EDE" w:rsidRPr="001E7D66" w:rsidRDefault="00103EDE" w:rsidP="00103EDE">
      <w:pPr>
        <w:tabs>
          <w:tab w:val="right" w:pos="9072"/>
        </w:tabs>
        <w:ind w:right="-2"/>
        <w:jc w:val="both"/>
        <w:rPr>
          <w:color w:val="0070C0"/>
        </w:rPr>
      </w:pPr>
      <w:r w:rsidRPr="00551B33">
        <w:rPr>
          <w:b/>
        </w:rPr>
        <w:t>Постъпленията от</w:t>
      </w:r>
      <w:r w:rsidRPr="00551B33">
        <w:t xml:space="preserve"> </w:t>
      </w:r>
      <w:r w:rsidRPr="00551B33">
        <w:rPr>
          <w:b/>
          <w:bCs/>
        </w:rPr>
        <w:t xml:space="preserve">мита </w:t>
      </w:r>
      <w:r w:rsidRPr="00551B33">
        <w:t xml:space="preserve">възлизат на </w:t>
      </w:r>
      <w:r w:rsidRPr="00551B33">
        <w:rPr>
          <w:b/>
        </w:rPr>
        <w:t>156,6 млн. лв</w:t>
      </w:r>
      <w:r w:rsidRPr="00551B33">
        <w:t xml:space="preserve">. или 83,6 % от планираните със ЗДБРБ за 2020 г., като заемат 0,9 % относителен дял в общия размер на данъчните приходи по държавния бюджет. В сравнение със същия период на предходната година събраните мита са с 16,0 млн. лв. (9,3 </w:t>
      </w:r>
      <w:r w:rsidRPr="00102C0A">
        <w:t>%) по-малко. Основна причина за отчетения спад са наложените в национален и световен мащаб ограничителни мерки във връзка с разпространението на COVID-19 и произтеклото от това влошаване на показателите за внос, износ и слаба икономическата активност</w:t>
      </w:r>
      <w:r w:rsidRPr="00257290">
        <w:t xml:space="preserve">. </w:t>
      </w:r>
      <w:r w:rsidRPr="00257290">
        <w:rPr>
          <w:b/>
          <w:i/>
        </w:rPr>
        <w:t xml:space="preserve">Намаление в постъпленията от мита </w:t>
      </w:r>
      <w:r w:rsidRPr="00257290">
        <w:t>към 30.09.2020 г. се отчита при следните групи стоки: „Пластмаси и пластмасови изделия“ - приходите са с 3,0 млн. лв. (20,3 %) по-малко спрямо същия период на 2019 г</w:t>
      </w:r>
      <w:r w:rsidRPr="007462E1">
        <w:t>.; „Чугун</w:t>
      </w:r>
      <w:r w:rsidRPr="004115DC">
        <w:rPr>
          <w:color w:val="000000"/>
        </w:rPr>
        <w:t>, желязо и стомана</w:t>
      </w:r>
      <w:r w:rsidRPr="001E7D66">
        <w:rPr>
          <w:color w:val="0070C0"/>
        </w:rPr>
        <w:t xml:space="preserve">“ - </w:t>
      </w:r>
      <w:r w:rsidRPr="004115DC">
        <w:rPr>
          <w:color w:val="000000"/>
        </w:rPr>
        <w:t>за деветмесечието на 2020 г. постъпленията намаляват с 2,6 млн. лева (83,0 %), в сравнение с края на септември 2019 г</w:t>
      </w:r>
      <w:r w:rsidRPr="002054E8">
        <w:t xml:space="preserve">.; „Електрически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 - </w:t>
      </w:r>
      <w:r w:rsidRPr="00C66D2F">
        <w:t>спадът е в размер на 2,</w:t>
      </w:r>
      <w:proofErr w:type="spellStart"/>
      <w:r w:rsidRPr="00C66D2F">
        <w:t>2</w:t>
      </w:r>
      <w:proofErr w:type="spellEnd"/>
      <w:r w:rsidRPr="00C66D2F">
        <w:t xml:space="preserve"> млн. лв. (15,4 %) спрямо постъпленията към септември 2019 г.; „</w:t>
      </w:r>
      <w:r w:rsidRPr="00DD28F4">
        <w:t xml:space="preserve">Алуминий и изделия от алуминий“ – постъпленията са с 1,9 млн. лв. (17,5 %) по-малко на годишна база; „Автомобилни превозни средства, трактори, мотоциклети и велосипеди и други сухопътни превозни средства, техните части и принадлежности“ - спад с 1,6 млн. лв. (10,4 %) </w:t>
      </w:r>
      <w:r w:rsidRPr="00172EC2">
        <w:t>спрямо същия период на 2019 г. и „Торове“ – отчетен е спад с 1,5 млн. лв.</w:t>
      </w:r>
      <w:r w:rsidRPr="00172EC2">
        <w:rPr>
          <w:lang w:val="en-US"/>
        </w:rPr>
        <w:t xml:space="preserve"> (</w:t>
      </w:r>
      <w:r w:rsidRPr="00172EC2">
        <w:t>28</w:t>
      </w:r>
      <w:proofErr w:type="gramStart"/>
      <w:r w:rsidRPr="00172EC2">
        <w:t>,3</w:t>
      </w:r>
      <w:proofErr w:type="gramEnd"/>
      <w:r w:rsidRPr="00172EC2">
        <w:rPr>
          <w:lang w:val="en-US"/>
        </w:rPr>
        <w:t xml:space="preserve"> </w:t>
      </w:r>
      <w:r w:rsidRPr="00172EC2">
        <w:t>%</w:t>
      </w:r>
      <w:r w:rsidRPr="00172EC2">
        <w:rPr>
          <w:lang w:val="en-US"/>
        </w:rPr>
        <w:t xml:space="preserve">) </w:t>
      </w:r>
      <w:r w:rsidRPr="00172EC2">
        <w:t xml:space="preserve">на годишна база. </w:t>
      </w:r>
      <w:r w:rsidRPr="00770DAD">
        <w:t>В зависимост от произхода на внасяните стоки, най-голям е делът на прих</w:t>
      </w:r>
      <w:r w:rsidRPr="00FA24A8">
        <w:t xml:space="preserve">одите от мита при внос на стоки от Китай, като към края на септември 2020 г. </w:t>
      </w:r>
      <w:r w:rsidRPr="00920B72">
        <w:t xml:space="preserve">постъпленията </w:t>
      </w:r>
      <w:r w:rsidRPr="00BB54A0">
        <w:t xml:space="preserve">възлизат на 82,1  млн. лв. и са с 4,8 % по-малко спрямо същия период на 2019 година. Те формират 52,8 % от общия обем на митата за периода. На второ място по приходи от мита е вносът на стоки с произход Русия, които са в размер на 16,9 млн. лв. и отчитат намаление с 15,2 % на годишна база. </w:t>
      </w:r>
      <w:r w:rsidRPr="005536F9">
        <w:t xml:space="preserve">Тези постъпления имат относителен дял от </w:t>
      </w:r>
      <w:r>
        <w:t>10,8</w:t>
      </w:r>
      <w:r w:rsidRPr="002E0031">
        <w:rPr>
          <w:lang w:val="ru-RU"/>
        </w:rPr>
        <w:t xml:space="preserve"> </w:t>
      </w:r>
      <w:r w:rsidRPr="005536F9">
        <w:t xml:space="preserve">% от всички мита. Следват приходите от мита при внос на стоки с произход САЩ, които възлизат на </w:t>
      </w:r>
      <w:r>
        <w:t>7,8</w:t>
      </w:r>
      <w:r w:rsidRPr="002E0031">
        <w:rPr>
          <w:color w:val="000000"/>
        </w:rPr>
        <w:t xml:space="preserve"> </w:t>
      </w:r>
      <w:r w:rsidRPr="005536F9">
        <w:t>млн. лв.</w:t>
      </w:r>
      <w:r>
        <w:t>, като</w:t>
      </w:r>
      <w:r w:rsidRPr="005536F9">
        <w:t xml:space="preserve"> </w:t>
      </w:r>
      <w:r>
        <w:t xml:space="preserve">спадат </w:t>
      </w:r>
      <w:r w:rsidRPr="005536F9">
        <w:t>с</w:t>
      </w:r>
      <w:r>
        <w:t xml:space="preserve"> 0,2</w:t>
      </w:r>
      <w:r w:rsidRPr="002E0031">
        <w:rPr>
          <w:color w:val="000000"/>
        </w:rPr>
        <w:t xml:space="preserve"> </w:t>
      </w:r>
      <w:r w:rsidRPr="005536F9">
        <w:t xml:space="preserve">% и представляват </w:t>
      </w:r>
      <w:r w:rsidRPr="002E0031">
        <w:rPr>
          <w:color w:val="000000"/>
        </w:rPr>
        <w:t>5,</w:t>
      </w:r>
      <w:r>
        <w:rPr>
          <w:color w:val="000000"/>
        </w:rPr>
        <w:t>0</w:t>
      </w:r>
      <w:r>
        <w:t> </w:t>
      </w:r>
      <w:r w:rsidRPr="005536F9">
        <w:t>% от всички мита.</w:t>
      </w:r>
      <w:r>
        <w:t xml:space="preserve"> </w:t>
      </w:r>
      <w:r w:rsidRPr="005536F9">
        <w:t>П</w:t>
      </w:r>
      <w:r>
        <w:t>риходите</w:t>
      </w:r>
      <w:r w:rsidRPr="005536F9">
        <w:t xml:space="preserve"> от внос на стоки с произход </w:t>
      </w:r>
      <w:r w:rsidRPr="00D67FC8">
        <w:rPr>
          <w:color w:val="000000"/>
        </w:rPr>
        <w:t>Малайзия</w:t>
      </w:r>
      <w:r w:rsidRPr="005536F9">
        <w:t xml:space="preserve"> са в размер на </w:t>
      </w:r>
      <w:r>
        <w:t>5,3</w:t>
      </w:r>
      <w:r w:rsidRPr="002E0031">
        <w:rPr>
          <w:color w:val="000000"/>
        </w:rPr>
        <w:t xml:space="preserve"> </w:t>
      </w:r>
      <w:r w:rsidRPr="005536F9">
        <w:t xml:space="preserve">млн. лв. </w:t>
      </w:r>
      <w:r>
        <w:t xml:space="preserve">към края на септември </w:t>
      </w:r>
      <w:r w:rsidRPr="005536F9">
        <w:t xml:space="preserve">2020 г. и отчитат </w:t>
      </w:r>
      <w:r>
        <w:t>повишение</w:t>
      </w:r>
      <w:r w:rsidRPr="005536F9">
        <w:t xml:space="preserve"> с </w:t>
      </w:r>
      <w:r>
        <w:t>84,1</w:t>
      </w:r>
      <w:r w:rsidRPr="002E0031">
        <w:rPr>
          <w:color w:val="000000"/>
        </w:rPr>
        <w:t xml:space="preserve"> </w:t>
      </w:r>
      <w:r w:rsidRPr="005536F9">
        <w:t xml:space="preserve">% на годишна база. Тези постъпления имат относителен дял от </w:t>
      </w:r>
      <w:r w:rsidRPr="002E0031">
        <w:rPr>
          <w:color w:val="000000"/>
        </w:rPr>
        <w:t>3,</w:t>
      </w:r>
      <w:r>
        <w:rPr>
          <w:color w:val="000000"/>
        </w:rPr>
        <w:t>4 </w:t>
      </w:r>
      <w:r w:rsidRPr="005536F9">
        <w:t xml:space="preserve">% от всички мита. </w:t>
      </w:r>
      <w:r>
        <w:t>Следват приходите от мита за стоки от Япония</w:t>
      </w:r>
      <w:r w:rsidRPr="005536F9">
        <w:t xml:space="preserve"> в размер на </w:t>
      </w:r>
      <w:r>
        <w:t>4,</w:t>
      </w:r>
      <w:proofErr w:type="spellStart"/>
      <w:r>
        <w:t>4</w:t>
      </w:r>
      <w:proofErr w:type="spellEnd"/>
      <w:r w:rsidRPr="002E0031">
        <w:rPr>
          <w:color w:val="000000"/>
        </w:rPr>
        <w:t xml:space="preserve"> </w:t>
      </w:r>
      <w:r w:rsidRPr="005536F9">
        <w:t xml:space="preserve">млн. лв., като намаляват с </w:t>
      </w:r>
      <w:r>
        <w:t>28,0</w:t>
      </w:r>
      <w:r w:rsidRPr="005536F9">
        <w:t xml:space="preserve"> % и формират </w:t>
      </w:r>
      <w:r>
        <w:rPr>
          <w:color w:val="000000"/>
        </w:rPr>
        <w:t>2,8</w:t>
      </w:r>
      <w:r w:rsidRPr="002E0031">
        <w:rPr>
          <w:color w:val="000000"/>
        </w:rPr>
        <w:t xml:space="preserve"> </w:t>
      </w:r>
      <w:r w:rsidRPr="005536F9">
        <w:t>% от всички мита</w:t>
      </w:r>
      <w:r>
        <w:t>. Приходите</w:t>
      </w:r>
      <w:r w:rsidRPr="005536F9">
        <w:t xml:space="preserve"> от внос на стоки с произход </w:t>
      </w:r>
      <w:r w:rsidRPr="002E0031">
        <w:rPr>
          <w:color w:val="000000"/>
        </w:rPr>
        <w:t>Еквадор</w:t>
      </w:r>
      <w:r w:rsidRPr="005536F9">
        <w:t xml:space="preserve"> са в размер на </w:t>
      </w:r>
      <w:r>
        <w:t>4,</w:t>
      </w:r>
      <w:proofErr w:type="spellStart"/>
      <w:r>
        <w:t>4</w:t>
      </w:r>
      <w:proofErr w:type="spellEnd"/>
      <w:r w:rsidRPr="002E0031">
        <w:rPr>
          <w:color w:val="000000"/>
        </w:rPr>
        <w:t xml:space="preserve"> </w:t>
      </w:r>
      <w:r w:rsidRPr="005536F9">
        <w:t xml:space="preserve">млн. лв. </w:t>
      </w:r>
      <w:r>
        <w:t xml:space="preserve">към края на септември </w:t>
      </w:r>
      <w:r w:rsidRPr="005536F9">
        <w:t xml:space="preserve">2020 г. и отчитат </w:t>
      </w:r>
      <w:r>
        <w:t xml:space="preserve">спад </w:t>
      </w:r>
      <w:r w:rsidRPr="005536F9">
        <w:t>с</w:t>
      </w:r>
      <w:r>
        <w:t>ъс</w:t>
      </w:r>
      <w:r w:rsidRPr="005536F9">
        <w:t xml:space="preserve"> </w:t>
      </w:r>
      <w:r>
        <w:t>7,6</w:t>
      </w:r>
      <w:r w:rsidRPr="002E0031">
        <w:rPr>
          <w:color w:val="000000"/>
        </w:rPr>
        <w:t xml:space="preserve"> </w:t>
      </w:r>
      <w:r w:rsidRPr="005536F9">
        <w:t xml:space="preserve">% на годишна база. Тези постъпления имат относителен дял от </w:t>
      </w:r>
      <w:r>
        <w:rPr>
          <w:color w:val="000000"/>
        </w:rPr>
        <w:t>2</w:t>
      </w:r>
      <w:r w:rsidRPr="002E0031">
        <w:rPr>
          <w:color w:val="000000"/>
        </w:rPr>
        <w:t>,</w:t>
      </w:r>
      <w:r>
        <w:rPr>
          <w:color w:val="000000"/>
        </w:rPr>
        <w:t>8 </w:t>
      </w:r>
      <w:r>
        <w:t>% от всички мита</w:t>
      </w:r>
      <w:r w:rsidRPr="001E7D66">
        <w:rPr>
          <w:color w:val="0070C0"/>
        </w:rPr>
        <w:t xml:space="preserve">. </w:t>
      </w:r>
    </w:p>
    <w:p w:rsidR="00103EDE" w:rsidRPr="001E7D66" w:rsidRDefault="00103EDE" w:rsidP="00103EDE">
      <w:pPr>
        <w:tabs>
          <w:tab w:val="right" w:pos="9072"/>
        </w:tabs>
        <w:ind w:right="-2"/>
        <w:jc w:val="both"/>
        <w:rPr>
          <w:color w:val="0070C0"/>
          <w:sz w:val="16"/>
        </w:rPr>
      </w:pPr>
    </w:p>
    <w:p w:rsidR="00103EDE" w:rsidRPr="008C0084" w:rsidRDefault="00103EDE" w:rsidP="00103EDE">
      <w:pPr>
        <w:numPr>
          <w:ilvl w:val="0"/>
          <w:numId w:val="4"/>
        </w:numPr>
        <w:tabs>
          <w:tab w:val="clear" w:pos="1440"/>
          <w:tab w:val="num" w:pos="540"/>
        </w:tabs>
        <w:ind w:left="0" w:firstLine="180"/>
        <w:jc w:val="both"/>
        <w:rPr>
          <w:b/>
          <w:bCs/>
        </w:rPr>
      </w:pPr>
      <w:r w:rsidRPr="008C0084">
        <w:rPr>
          <w:b/>
          <w:bCs/>
        </w:rPr>
        <w:t>Други данъци</w:t>
      </w:r>
    </w:p>
    <w:p w:rsidR="00103EDE" w:rsidRDefault="00103EDE" w:rsidP="00103EDE">
      <w:pPr>
        <w:spacing w:before="120"/>
        <w:jc w:val="both"/>
      </w:pPr>
      <w:r w:rsidRPr="008C0084">
        <w:t xml:space="preserve">Постъпленията от </w:t>
      </w:r>
      <w:r w:rsidRPr="008C0084">
        <w:rPr>
          <w:b/>
        </w:rPr>
        <w:t>други данъци</w:t>
      </w:r>
      <w:r w:rsidRPr="008C0084">
        <w:t xml:space="preserve"> по държавния бюджет </w:t>
      </w:r>
      <w:r w:rsidRPr="008C0084">
        <w:rPr>
          <w:bCs/>
        </w:rPr>
        <w:t xml:space="preserve">към края на септември </w:t>
      </w:r>
      <w:r w:rsidRPr="008C0084">
        <w:t xml:space="preserve">2020 г. са в размер на </w:t>
      </w:r>
      <w:r w:rsidRPr="008C0084">
        <w:rPr>
          <w:b/>
        </w:rPr>
        <w:t xml:space="preserve">130,0 млн. лв. </w:t>
      </w:r>
      <w:r w:rsidRPr="008C0084">
        <w:t>или 91,5 % от планираните със ЗДБРБ за 2020 година. В сравнение със същия период на предходната година приходите от тази група данъци са с 2,6 млн. лв. (1,9 %) по-малко.</w:t>
      </w:r>
    </w:p>
    <w:p w:rsidR="00451A88" w:rsidRDefault="00451A88" w:rsidP="00103EDE">
      <w:pPr>
        <w:spacing w:before="120"/>
        <w:jc w:val="both"/>
      </w:pPr>
    </w:p>
    <w:p w:rsidR="00451A88" w:rsidRPr="008C0084" w:rsidRDefault="00451A88" w:rsidP="00103EDE">
      <w:pPr>
        <w:spacing w:before="120"/>
        <w:jc w:val="both"/>
      </w:pPr>
    </w:p>
    <w:p w:rsidR="00103EDE" w:rsidRPr="00C34ADB" w:rsidRDefault="00103EDE" w:rsidP="00103EDE">
      <w:pPr>
        <w:numPr>
          <w:ilvl w:val="0"/>
          <w:numId w:val="3"/>
        </w:numPr>
        <w:tabs>
          <w:tab w:val="num" w:pos="720"/>
        </w:tabs>
        <w:spacing w:before="120"/>
        <w:ind w:left="0" w:firstLine="181"/>
        <w:jc w:val="both"/>
      </w:pPr>
      <w:r w:rsidRPr="00C34ADB">
        <w:rPr>
          <w:b/>
          <w:bCs/>
        </w:rPr>
        <w:lastRenderedPageBreak/>
        <w:t>Неданъчни приходи</w:t>
      </w:r>
    </w:p>
    <w:p w:rsidR="00103EDE" w:rsidRPr="00C34ADB" w:rsidRDefault="00103EDE" w:rsidP="00103EDE">
      <w:pPr>
        <w:tabs>
          <w:tab w:val="left" w:pos="900"/>
        </w:tabs>
        <w:spacing w:after="120"/>
        <w:jc w:val="both"/>
      </w:pPr>
      <w:r w:rsidRPr="00C34ADB">
        <w:t>Отчетените</w:t>
      </w:r>
      <w:r w:rsidRPr="00C34ADB">
        <w:rPr>
          <w:b/>
          <w:bCs/>
        </w:rPr>
        <w:t xml:space="preserve"> неданъчни приходи</w:t>
      </w:r>
      <w:r w:rsidRPr="00C34ADB">
        <w:t xml:space="preserve"> по държавния бюджет </w:t>
      </w:r>
      <w:r w:rsidRPr="00C34ADB">
        <w:rPr>
          <w:bCs/>
        </w:rPr>
        <w:t xml:space="preserve">към септември </w:t>
      </w:r>
      <w:r w:rsidRPr="00C34ADB">
        <w:t xml:space="preserve">2020 г. са в размер на            </w:t>
      </w:r>
      <w:r w:rsidRPr="00C34ADB">
        <w:rPr>
          <w:b/>
        </w:rPr>
        <w:t>1 554,8 млн. лв</w:t>
      </w:r>
      <w:r w:rsidRPr="00C34ADB">
        <w:t xml:space="preserve">. и се формират основно от приходи от държавни такси, приходи и доходи от собственост, приходи от концесии и други. </w:t>
      </w:r>
    </w:p>
    <w:p w:rsidR="00103EDE" w:rsidRPr="0022448F" w:rsidRDefault="00103EDE" w:rsidP="00103EDE">
      <w:pPr>
        <w:numPr>
          <w:ilvl w:val="0"/>
          <w:numId w:val="3"/>
        </w:numPr>
        <w:tabs>
          <w:tab w:val="num" w:pos="720"/>
        </w:tabs>
        <w:ind w:left="0" w:firstLine="181"/>
        <w:jc w:val="both"/>
        <w:rPr>
          <w:b/>
          <w:bCs/>
        </w:rPr>
      </w:pPr>
      <w:r w:rsidRPr="0022448F">
        <w:rPr>
          <w:b/>
          <w:bCs/>
        </w:rPr>
        <w:t>Помощи и дарения</w:t>
      </w:r>
    </w:p>
    <w:p w:rsidR="00103EDE" w:rsidRPr="0022448F" w:rsidRDefault="00103EDE" w:rsidP="00103EDE">
      <w:pPr>
        <w:spacing w:after="120"/>
        <w:jc w:val="both"/>
      </w:pPr>
      <w:r w:rsidRPr="0022448F">
        <w:t xml:space="preserve">Постъпилите </w:t>
      </w:r>
      <w:r w:rsidRPr="0022448F">
        <w:rPr>
          <w:b/>
        </w:rPr>
        <w:t>помощи</w:t>
      </w:r>
      <w:r w:rsidRPr="0022448F">
        <w:t xml:space="preserve"> </w:t>
      </w:r>
      <w:r w:rsidRPr="0022448F">
        <w:rPr>
          <w:b/>
        </w:rPr>
        <w:t>и дарения</w:t>
      </w:r>
      <w:r w:rsidRPr="0022448F">
        <w:t xml:space="preserve"> по държавния бюджет към септември 2020 г. са в размер на </w:t>
      </w:r>
      <w:r w:rsidRPr="0022448F">
        <w:rPr>
          <w:b/>
        </w:rPr>
        <w:t>17,3 млн. лв.</w:t>
      </w:r>
      <w:r w:rsidRPr="0022448F">
        <w:t xml:space="preserve"> и са по бюджетите на министерствата и ведомствата.</w:t>
      </w:r>
    </w:p>
    <w:p w:rsidR="00103EDE" w:rsidRPr="00B91BDA" w:rsidRDefault="00103EDE" w:rsidP="00103EDE">
      <w:pPr>
        <w:numPr>
          <w:ilvl w:val="0"/>
          <w:numId w:val="6"/>
        </w:numPr>
        <w:tabs>
          <w:tab w:val="clear" w:pos="700"/>
          <w:tab w:val="num" w:pos="426"/>
        </w:tabs>
        <w:spacing w:before="240"/>
        <w:ind w:left="0" w:firstLine="0"/>
        <w:jc w:val="both"/>
        <w:rPr>
          <w:b/>
          <w:bCs/>
        </w:rPr>
      </w:pPr>
      <w:r w:rsidRPr="00B91BDA">
        <w:rPr>
          <w:b/>
          <w:bCs/>
        </w:rPr>
        <w:t>Разходи по държавния бюджет</w:t>
      </w:r>
    </w:p>
    <w:p w:rsidR="00103EDE" w:rsidRPr="001E7D66" w:rsidRDefault="00103EDE" w:rsidP="00103EDE">
      <w:pPr>
        <w:jc w:val="both"/>
        <w:rPr>
          <w:b/>
          <w:bCs/>
          <w:color w:val="0070C0"/>
          <w:sz w:val="4"/>
          <w:szCs w:val="4"/>
        </w:rPr>
      </w:pPr>
    </w:p>
    <w:p w:rsidR="00103EDE" w:rsidRDefault="00103EDE" w:rsidP="00103EDE">
      <w:pPr>
        <w:pStyle w:val="BodyTextIndent"/>
        <w:spacing w:after="0"/>
        <w:ind w:left="0"/>
        <w:jc w:val="both"/>
        <w:rPr>
          <w:lang w:val="en-US"/>
        </w:rPr>
      </w:pPr>
      <w:r w:rsidRPr="00B91BDA">
        <w:t xml:space="preserve">Общият размер на </w:t>
      </w:r>
      <w:r w:rsidRPr="00B91BDA">
        <w:rPr>
          <w:b/>
        </w:rPr>
        <w:t>разходите по държавния бюджет</w:t>
      </w:r>
      <w:r w:rsidRPr="00B91BDA">
        <w:t xml:space="preserve"> (вкл. трансферите за др. бюджети и вноската в бюджета на ЕС) </w:t>
      </w:r>
      <w:r w:rsidRPr="00B91BDA">
        <w:rPr>
          <w:bCs/>
        </w:rPr>
        <w:t xml:space="preserve">към септември </w:t>
      </w:r>
      <w:r w:rsidRPr="00B91BDA">
        <w:t xml:space="preserve">2020 г. е </w:t>
      </w:r>
      <w:r w:rsidRPr="00B91BDA">
        <w:rPr>
          <w:b/>
        </w:rPr>
        <w:t>19 183,0 млн. лв</w:t>
      </w:r>
      <w:r w:rsidRPr="00B91BDA">
        <w:t>. или 65,0 % от предвидените със ЗДБРБ за 2020 година.</w:t>
      </w:r>
    </w:p>
    <w:p w:rsidR="00103EDE" w:rsidRDefault="00103EDE" w:rsidP="00103EDE">
      <w:pPr>
        <w:pStyle w:val="BodyTextIndent"/>
        <w:spacing w:after="0"/>
        <w:ind w:left="0"/>
        <w:jc w:val="both"/>
        <w:rPr>
          <w:lang w:val="en-US"/>
        </w:rPr>
      </w:pPr>
    </w:p>
    <w:p w:rsidR="00103EDE" w:rsidRPr="001E7D66" w:rsidRDefault="00103EDE" w:rsidP="00103EDE">
      <w:pPr>
        <w:pStyle w:val="BodyTextIndent"/>
        <w:spacing w:after="0"/>
        <w:ind w:left="0"/>
        <w:jc w:val="center"/>
        <w:rPr>
          <w:b/>
          <w:color w:val="0070C0"/>
          <w:sz w:val="4"/>
          <w:szCs w:val="4"/>
          <w:u w:val="single"/>
        </w:rPr>
      </w:pPr>
    </w:p>
    <w:p w:rsidR="00103EDE" w:rsidRPr="008820D7" w:rsidRDefault="00103EDE" w:rsidP="00103EDE">
      <w:pPr>
        <w:pStyle w:val="BodyTextIndent"/>
        <w:spacing w:after="0"/>
        <w:ind w:left="0"/>
        <w:jc w:val="center"/>
        <w:rPr>
          <w:b/>
          <w:u w:val="single"/>
        </w:rPr>
      </w:pPr>
      <w:r w:rsidRPr="008820D7">
        <w:rPr>
          <w:b/>
          <w:u w:val="single"/>
        </w:rPr>
        <w:t xml:space="preserve">Разходи, трансфери за други бюджети и вноска в бюджета на ЕС </w:t>
      </w:r>
    </w:p>
    <w:p w:rsidR="00103EDE" w:rsidRPr="008820D7" w:rsidRDefault="00103EDE" w:rsidP="00103EDE">
      <w:pPr>
        <w:pStyle w:val="BodyTextIndent"/>
        <w:spacing w:after="0"/>
        <w:ind w:left="0"/>
        <w:jc w:val="center"/>
        <w:rPr>
          <w:b/>
          <w:u w:val="single"/>
        </w:rPr>
      </w:pPr>
      <w:r w:rsidRPr="008820D7">
        <w:rPr>
          <w:b/>
          <w:u w:val="single"/>
        </w:rPr>
        <w:t>към септември 2019 г. и 2020 г.</w:t>
      </w:r>
    </w:p>
    <w:p w:rsidR="00103EDE" w:rsidRPr="008820D7" w:rsidRDefault="00103EDE" w:rsidP="00103EDE">
      <w:pPr>
        <w:pStyle w:val="BodyTextIndent"/>
        <w:spacing w:after="0"/>
        <w:ind w:left="0"/>
        <w:jc w:val="center"/>
        <w:rPr>
          <w:b/>
          <w:sz w:val="8"/>
          <w:szCs w:val="8"/>
          <w:u w:val="single"/>
        </w:rPr>
      </w:pPr>
    </w:p>
    <w:p w:rsidR="00103EDE" w:rsidRPr="001E7D66" w:rsidRDefault="00103EDE" w:rsidP="00103EDE">
      <w:pPr>
        <w:pStyle w:val="BodyTextIndent"/>
        <w:spacing w:after="0"/>
        <w:ind w:left="0"/>
        <w:jc w:val="center"/>
        <w:rPr>
          <w:b/>
          <w:color w:val="0070C0"/>
          <w:u w:val="single"/>
        </w:rPr>
      </w:pPr>
      <w:bookmarkStart w:id="1" w:name="_MON_1562146415"/>
      <w:bookmarkStart w:id="2" w:name="_MON_1562146493"/>
      <w:bookmarkStart w:id="3" w:name="_MON_1562146700"/>
      <w:bookmarkStart w:id="4" w:name="_MON_1562146782"/>
      <w:bookmarkStart w:id="5" w:name="_MON_1562146967"/>
      <w:bookmarkStart w:id="6" w:name="_MON_1562147372"/>
      <w:bookmarkStart w:id="7" w:name="_MON_1562147473"/>
      <w:bookmarkStart w:id="8" w:name="_MON_1562147677"/>
      <w:bookmarkStart w:id="9" w:name="_MON_1562147743"/>
      <w:bookmarkStart w:id="10" w:name="_MON_1562147867"/>
      <w:bookmarkStart w:id="11" w:name="_MON_1562147934"/>
      <w:bookmarkStart w:id="12" w:name="_MON_1562148056"/>
      <w:bookmarkStart w:id="13" w:name="_MON_1562148171"/>
      <w:bookmarkStart w:id="14" w:name="_MON_1562148229"/>
      <w:bookmarkStart w:id="15" w:name="_MON_1562148307"/>
      <w:bookmarkStart w:id="16" w:name="_MON_1562148447"/>
      <w:bookmarkStart w:id="17" w:name="_MON_1562148558"/>
      <w:bookmarkStart w:id="18" w:name="_MON_1562152805"/>
      <w:bookmarkStart w:id="19" w:name="_MON_1562152984"/>
      <w:bookmarkStart w:id="20" w:name="_MON_1562153459"/>
      <w:bookmarkStart w:id="21" w:name="_MON_1562153503"/>
      <w:bookmarkStart w:id="22" w:name="_MON_1562153559"/>
      <w:bookmarkStart w:id="23" w:name="_MON_1562153646"/>
      <w:bookmarkStart w:id="24" w:name="_MON_1562153939"/>
      <w:bookmarkStart w:id="25" w:name="_MON_1562154053"/>
      <w:bookmarkStart w:id="26" w:name="_MON_1562154282"/>
      <w:bookmarkStart w:id="27" w:name="_MON_1562146286"/>
      <w:bookmarkStart w:id="28" w:name="_MON_1562154881"/>
      <w:bookmarkStart w:id="29" w:name="_MON_1562154973"/>
      <w:bookmarkStart w:id="30" w:name="_MON_1562155194"/>
      <w:bookmarkStart w:id="31" w:name="_MON_1562155231"/>
      <w:bookmarkStart w:id="32" w:name="_MON_1562155321"/>
      <w:bookmarkStart w:id="33" w:name="_MON_156215539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1E7D66">
        <w:rPr>
          <w:noProof/>
          <w:color w:val="0070C0"/>
          <w:lang w:eastAsia="bg-BG"/>
        </w:rPr>
        <w:drawing>
          <wp:inline distT="0" distB="0" distL="0" distR="0">
            <wp:extent cx="5547360" cy="3009900"/>
            <wp:effectExtent l="0" t="0" r="15240" b="19050"/>
            <wp:docPr id="1"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03EDE" w:rsidRPr="008820D7" w:rsidRDefault="00103EDE" w:rsidP="00103EDE">
      <w:pPr>
        <w:ind w:firstLine="360"/>
        <w:rPr>
          <w:sz w:val="18"/>
          <w:szCs w:val="18"/>
        </w:rPr>
      </w:pPr>
      <w:r w:rsidRPr="008820D7">
        <w:rPr>
          <w:sz w:val="18"/>
          <w:szCs w:val="18"/>
        </w:rPr>
        <w:t>*</w:t>
      </w:r>
      <w:r w:rsidRPr="008820D7">
        <w:t xml:space="preserve"> </w:t>
      </w:r>
      <w:r w:rsidRPr="008820D7">
        <w:rPr>
          <w:sz w:val="18"/>
          <w:szCs w:val="18"/>
        </w:rPr>
        <w:t>Вкл. нетния прираст на държавния резерв</w:t>
      </w:r>
    </w:p>
    <w:p w:rsidR="00103EDE" w:rsidRPr="00246D9F" w:rsidRDefault="00103EDE" w:rsidP="00103EDE">
      <w:pPr>
        <w:pStyle w:val="BodyTextIndent"/>
        <w:spacing w:before="120" w:after="0"/>
        <w:ind w:left="360"/>
        <w:jc w:val="both"/>
        <w:rPr>
          <w:b/>
          <w:bCs/>
        </w:rPr>
      </w:pPr>
    </w:p>
    <w:p w:rsidR="00103EDE" w:rsidRPr="00803D44" w:rsidRDefault="00103EDE" w:rsidP="00C4077C">
      <w:pPr>
        <w:pStyle w:val="BodyTextIndent"/>
        <w:numPr>
          <w:ilvl w:val="0"/>
          <w:numId w:val="20"/>
        </w:numPr>
        <w:spacing w:before="120" w:after="0"/>
        <w:jc w:val="both"/>
        <w:rPr>
          <w:b/>
          <w:bCs/>
        </w:rPr>
      </w:pPr>
      <w:r w:rsidRPr="00803D44">
        <w:rPr>
          <w:b/>
          <w:bCs/>
        </w:rPr>
        <w:t>Нелихвени разходи</w:t>
      </w:r>
    </w:p>
    <w:p w:rsidR="00103EDE" w:rsidRPr="003A72FF" w:rsidRDefault="00103EDE" w:rsidP="00103EDE">
      <w:pPr>
        <w:spacing w:before="120"/>
        <w:jc w:val="both"/>
        <w:rPr>
          <w:bCs/>
        </w:rPr>
      </w:pPr>
      <w:r w:rsidRPr="00803D44">
        <w:rPr>
          <w:b/>
          <w:bCs/>
        </w:rPr>
        <w:t>Нелихвените разходи</w:t>
      </w:r>
      <w:r w:rsidRPr="00803D44">
        <w:rPr>
          <w:bCs/>
        </w:rPr>
        <w:t xml:space="preserve"> по държавния бюджет (без трансферите</w:t>
      </w:r>
      <w:r w:rsidR="00D41409">
        <w:rPr>
          <w:bCs/>
        </w:rPr>
        <w:t xml:space="preserve"> за др. бюджети) към септември </w:t>
      </w:r>
      <w:r w:rsidRPr="00803D44">
        <w:t xml:space="preserve">2020 г. </w:t>
      </w:r>
      <w:r w:rsidRPr="00803D44">
        <w:rPr>
          <w:bCs/>
        </w:rPr>
        <w:t xml:space="preserve">са в размер на </w:t>
      </w:r>
      <w:r w:rsidRPr="00803D44">
        <w:rPr>
          <w:b/>
          <w:bCs/>
        </w:rPr>
        <w:t>7 992,2 млн. лв</w:t>
      </w:r>
      <w:r w:rsidRPr="00803D44">
        <w:rPr>
          <w:bCs/>
        </w:rPr>
        <w:t>., което представлява 58,5 % от годишния разчет. Съпоставени с данните към септември 2019 г., нелихвените разходи намаляват с 1 130,</w:t>
      </w:r>
      <w:r w:rsidRPr="00E62975">
        <w:rPr>
          <w:bCs/>
        </w:rPr>
        <w:t xml:space="preserve">8 млн. лв. (12,4 %). </w:t>
      </w:r>
      <w:r w:rsidR="00655E7E" w:rsidRPr="00D71721">
        <w:rPr>
          <w:bCs/>
        </w:rPr>
        <w:t xml:space="preserve">През месец август 2019 г. бе извършен разход по бюджета на Министерството на отбраната за инвестиционен проект „Придобиване на нов тип боен самолет“ за Военновъздушните сили на Република България, което има еднократен ефект в 2019 г. Поради тази причина при съпоставката на разходите за деветте месеца на 2020 г. със същия период на предходната година се отчита намаление на разходите, основно в частта на капиталовите разходи по държавния </w:t>
      </w:r>
      <w:r w:rsidR="00655E7E" w:rsidRPr="00655E7E">
        <w:rPr>
          <w:bCs/>
        </w:rPr>
        <w:t>бюджет</w:t>
      </w:r>
      <w:r w:rsidRPr="00655E7E">
        <w:rPr>
          <w:bCs/>
        </w:rPr>
        <w:t>.</w:t>
      </w:r>
    </w:p>
    <w:p w:rsidR="00103EDE" w:rsidRDefault="00103EDE" w:rsidP="00103EDE">
      <w:pPr>
        <w:spacing w:after="120"/>
        <w:jc w:val="both"/>
        <w:rPr>
          <w:bCs/>
        </w:rPr>
      </w:pPr>
      <w:r w:rsidRPr="003A72FF">
        <w:rPr>
          <w:bCs/>
        </w:rPr>
        <w:t xml:space="preserve">Разходите за персонал (заплати и </w:t>
      </w:r>
      <w:r w:rsidRPr="003A72FF">
        <w:rPr>
          <w:bCs/>
          <w:noProof/>
        </w:rPr>
        <w:t>възнаграждения</w:t>
      </w:r>
      <w:r w:rsidRPr="003A72FF">
        <w:rPr>
          <w:bCs/>
        </w:rPr>
        <w:t xml:space="preserve">, други възнаграждения и плащания за персонала и осигурителни вноски) са в общ размер на 4 219,5 млн. лв. или 73,0 % от планираните </w:t>
      </w:r>
      <w:r w:rsidRPr="003A72FF">
        <w:t xml:space="preserve">за 2020 </w:t>
      </w:r>
      <w:r w:rsidRPr="003A72FF">
        <w:rPr>
          <w:bCs/>
        </w:rPr>
        <w:t xml:space="preserve">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1 178,7 млн. лв. или 48,0 % от планираните </w:t>
      </w:r>
      <w:r w:rsidRPr="003A72FF">
        <w:t>за годината</w:t>
      </w:r>
      <w:r w:rsidRPr="003A72FF">
        <w:rPr>
          <w:bCs/>
        </w:rPr>
        <w:t xml:space="preserve">. Социалните разходи (вкл. разходите за стипендии) са в размер на 904,8 млн. лв. или 64,7 % от предвидените </w:t>
      </w:r>
      <w:r w:rsidRPr="003A72FF">
        <w:t>за годината</w:t>
      </w:r>
      <w:r w:rsidRPr="003A72FF">
        <w:rPr>
          <w:bCs/>
        </w:rPr>
        <w:t xml:space="preserve"> и са основно разходи по бюджета на МТСП за помощи по Закона за социално подпомагане, Закона за хората с увреждания, Закона за семейните помощи за деца и др. Предоставените </w:t>
      </w:r>
      <w:r w:rsidRPr="003A72FF">
        <w:rPr>
          <w:bCs/>
        </w:rPr>
        <w:lastRenderedPageBreak/>
        <w:t>текущи и капиталови трансфери за чужбина са в размер на 17,3</w:t>
      </w:r>
      <w:r w:rsidRPr="003A72FF">
        <w:rPr>
          <w:rFonts w:eastAsia="Calibri"/>
          <w:b/>
        </w:rPr>
        <w:t> </w:t>
      </w:r>
      <w:r w:rsidRPr="003A72FF">
        <w:rPr>
          <w:bCs/>
        </w:rPr>
        <w:t xml:space="preserve">млн. лв. Разходите за субсидии са в размер на 769,6 млн. лв. или 71,3 % от планираните за годината. </w:t>
      </w:r>
      <w:r w:rsidRPr="00A413B9">
        <w:rPr>
          <w:bCs/>
        </w:rPr>
        <w:t>От тях 130,8</w:t>
      </w:r>
      <w:r w:rsidRPr="00A413B9">
        <w:t xml:space="preserve"> </w:t>
      </w:r>
      <w:r w:rsidRPr="00A413B9">
        <w:rPr>
          <w:bCs/>
        </w:rPr>
        <w:t xml:space="preserve">млн. лв. са субсидиите за </w:t>
      </w:r>
      <w:r w:rsidRPr="00A413B9">
        <w:t>„БДЖ – Пътнически превози” ЕООД</w:t>
      </w:r>
      <w:r w:rsidRPr="00603539">
        <w:rPr>
          <w:bCs/>
        </w:rPr>
        <w:t>; 129,8</w:t>
      </w:r>
      <w:r w:rsidRPr="00A413B9">
        <w:rPr>
          <w:rFonts w:eastAsia="Calibri"/>
          <w:b/>
          <w:color w:val="0070C0"/>
        </w:rPr>
        <w:t> </w:t>
      </w:r>
      <w:r w:rsidRPr="00A413B9">
        <w:rPr>
          <w:bCs/>
        </w:rPr>
        <w:t xml:space="preserve">млн. лв. </w:t>
      </w:r>
      <w:r w:rsidRPr="00A413B9">
        <w:rPr>
          <w:bCs/>
          <w:lang w:val="en-US"/>
        </w:rPr>
        <w:t>(</w:t>
      </w:r>
      <w:proofErr w:type="gramStart"/>
      <w:r w:rsidRPr="00A413B9">
        <w:rPr>
          <w:bCs/>
        </w:rPr>
        <w:t>в</w:t>
      </w:r>
      <w:proofErr w:type="gramEnd"/>
      <w:r w:rsidRPr="00A413B9">
        <w:rPr>
          <w:bCs/>
        </w:rPr>
        <w:t xml:space="preserve"> </w:t>
      </w:r>
      <w:r w:rsidRPr="006950DD">
        <w:rPr>
          <w:bCs/>
        </w:rPr>
        <w:t xml:space="preserve">т. ч. </w:t>
      </w:r>
      <w:r>
        <w:rPr>
          <w:bCs/>
        </w:rPr>
        <w:t>2,6</w:t>
      </w:r>
      <w:r w:rsidRPr="006950DD">
        <w:rPr>
          <w:bCs/>
        </w:rPr>
        <w:t xml:space="preserve"> млн. лв. за </w:t>
      </w:r>
      <w:r w:rsidRPr="003351F0">
        <w:rPr>
          <w:bCs/>
        </w:rPr>
        <w:t xml:space="preserve">предотвратяване </w:t>
      </w:r>
      <w:r>
        <w:rPr>
          <w:bCs/>
        </w:rPr>
        <w:t xml:space="preserve">на </w:t>
      </w:r>
      <w:r w:rsidRPr="003351F0">
        <w:rPr>
          <w:bCs/>
        </w:rPr>
        <w:t xml:space="preserve">последици от </w:t>
      </w:r>
      <w:r>
        <w:rPr>
          <w:bCs/>
        </w:rPr>
        <w:t xml:space="preserve">стихийни </w:t>
      </w:r>
      <w:r w:rsidRPr="003351F0">
        <w:rPr>
          <w:bCs/>
        </w:rPr>
        <w:t xml:space="preserve">бедствия </w:t>
      </w:r>
      <w:r>
        <w:rPr>
          <w:bCs/>
        </w:rPr>
        <w:t xml:space="preserve">- </w:t>
      </w:r>
      <w:r w:rsidRPr="003351F0">
        <w:rPr>
          <w:bCs/>
        </w:rPr>
        <w:t>ПМС №</w:t>
      </w:r>
      <w:r>
        <w:rPr>
          <w:bCs/>
        </w:rPr>
        <w:t> </w:t>
      </w:r>
      <w:r w:rsidRPr="00AD3567">
        <w:rPr>
          <w:bCs/>
        </w:rPr>
        <w:t>250/04.09.2020 г.</w:t>
      </w:r>
      <w:r w:rsidRPr="00AD3567">
        <w:rPr>
          <w:bCs/>
          <w:lang w:val="en-US"/>
        </w:rPr>
        <w:t>)</w:t>
      </w:r>
      <w:r w:rsidRPr="00AD3567">
        <w:rPr>
          <w:bCs/>
        </w:rPr>
        <w:t xml:space="preserve"> са субсидиите за </w:t>
      </w:r>
      <w:r w:rsidRPr="00AD3567">
        <w:t>Национална компания „Железопътна инфраструктура” и 40,9</w:t>
      </w:r>
      <w:r w:rsidRPr="00AD3567">
        <w:rPr>
          <w:rFonts w:eastAsia="Calibri"/>
          <w:b/>
        </w:rPr>
        <w:t> </w:t>
      </w:r>
      <w:r w:rsidRPr="00AD3567">
        <w:t xml:space="preserve">млн. лв. </w:t>
      </w:r>
      <w:r w:rsidRPr="00AD3567">
        <w:rPr>
          <w:lang w:val="en-US"/>
        </w:rPr>
        <w:t>(</w:t>
      </w:r>
      <w:proofErr w:type="gramStart"/>
      <w:r w:rsidRPr="00AD3567">
        <w:t>в</w:t>
      </w:r>
      <w:proofErr w:type="gramEnd"/>
      <w:r w:rsidRPr="00AD3567">
        <w:t xml:space="preserve"> т. ч.  14,8 млн. лв. са допълнителни субсидии по ПМС 114/28.05.2020 г.</w:t>
      </w:r>
      <w:r w:rsidRPr="00AD3567">
        <w:rPr>
          <w:lang w:val="en-US"/>
        </w:rPr>
        <w:t>)</w:t>
      </w:r>
      <w:r w:rsidRPr="00AD3567">
        <w:t xml:space="preserve"> за „Български пощи” ЕАД. </w:t>
      </w:r>
      <w:r w:rsidRPr="00A17D00">
        <w:t xml:space="preserve">Към края на месец септември </w:t>
      </w:r>
      <w:r w:rsidRPr="00A17D00">
        <w:rPr>
          <w:bCs/>
        </w:rPr>
        <w:t>2020</w:t>
      </w:r>
      <w:r w:rsidRPr="00A17D00">
        <w:rPr>
          <w:rFonts w:eastAsia="Calibri"/>
          <w:b/>
        </w:rPr>
        <w:t> </w:t>
      </w:r>
      <w:r w:rsidRPr="00A17D00">
        <w:rPr>
          <w:bCs/>
        </w:rPr>
        <w:t>г. ДФ „Земеделие“ e изплатил суб</w:t>
      </w:r>
      <w:r w:rsidRPr="000129BC">
        <w:rPr>
          <w:bCs/>
        </w:rPr>
        <w:t>сидии в общ размер на 186,6 млн. лв., от които 91,7</w:t>
      </w:r>
      <w:r>
        <w:rPr>
          <w:bCs/>
        </w:rPr>
        <w:t xml:space="preserve"> млн. лв. държавна помощ; </w:t>
      </w:r>
      <w:r w:rsidRPr="000129BC">
        <w:rPr>
          <w:bCs/>
        </w:rPr>
        <w:t>75,6</w:t>
      </w:r>
      <w:r>
        <w:rPr>
          <w:bCs/>
        </w:rPr>
        <w:t xml:space="preserve">     </w:t>
      </w:r>
      <w:r w:rsidRPr="000129BC">
        <w:rPr>
          <w:bCs/>
        </w:rPr>
        <w:t xml:space="preserve"> </w:t>
      </w:r>
      <w:r>
        <w:rPr>
          <w:bCs/>
        </w:rPr>
        <w:t>млн.</w:t>
      </w:r>
      <w:r>
        <w:t xml:space="preserve"> </w:t>
      </w:r>
      <w:r>
        <w:rPr>
          <w:bCs/>
        </w:rPr>
        <w:t xml:space="preserve">лв. </w:t>
      </w:r>
      <w:r w:rsidRPr="000129BC">
        <w:rPr>
          <w:bCs/>
        </w:rPr>
        <w:t xml:space="preserve">преходна национална помощ за тютюн; 15,8 млн. лв. преходна национална помощ за сектор „Животновъдство“ и 3,4 млн. лв. средства за ДДС по схеми „Училищен плод“ и „Училищно мляко“. </w:t>
      </w:r>
      <w:r w:rsidRPr="007D3795">
        <w:rPr>
          <w:bCs/>
        </w:rPr>
        <w:t xml:space="preserve">Капиталовите разходи </w:t>
      </w:r>
      <w:r w:rsidRPr="007D3795">
        <w:t>(вкл. нетния прираст на държавния резерв) по държавния бюджет</w:t>
      </w:r>
      <w:r w:rsidRPr="007D3795">
        <w:rPr>
          <w:bCs/>
        </w:rPr>
        <w:t xml:space="preserve"> възлизат на 902,4 млн. лева. </w:t>
      </w:r>
    </w:p>
    <w:p w:rsidR="00103EDE" w:rsidRPr="00BB5930" w:rsidRDefault="00103EDE" w:rsidP="00103EDE">
      <w:pPr>
        <w:numPr>
          <w:ilvl w:val="1"/>
          <w:numId w:val="14"/>
        </w:numPr>
        <w:tabs>
          <w:tab w:val="num" w:pos="720"/>
          <w:tab w:val="num" w:pos="900"/>
        </w:tabs>
        <w:spacing w:before="240" w:after="120"/>
        <w:ind w:left="714" w:hanging="357"/>
        <w:jc w:val="both"/>
        <w:rPr>
          <w:b/>
          <w:bCs/>
        </w:rPr>
      </w:pPr>
      <w:r w:rsidRPr="00BB5930">
        <w:rPr>
          <w:b/>
        </w:rPr>
        <w:t>Просрочени задължения</w:t>
      </w:r>
    </w:p>
    <w:p w:rsidR="00103EDE" w:rsidRPr="00BB5930" w:rsidRDefault="00103EDE" w:rsidP="00103EDE">
      <w:pPr>
        <w:spacing w:after="120"/>
        <w:jc w:val="both"/>
      </w:pPr>
      <w:r w:rsidRPr="00BB5930">
        <w:t xml:space="preserve">Към 30.09.2020 г. просрочените задължения на централно и местно правителство са в размер на </w:t>
      </w:r>
      <w:r w:rsidRPr="00BB5930">
        <w:rPr>
          <w:b/>
        </w:rPr>
        <w:t>218,9 млн. лева.</w:t>
      </w:r>
      <w:r w:rsidRPr="00BB5930">
        <w:t xml:space="preserve"> </w:t>
      </w:r>
    </w:p>
    <w:p w:rsidR="00103EDE" w:rsidRPr="004A3BEC" w:rsidRDefault="00103EDE" w:rsidP="00103EDE">
      <w:pPr>
        <w:spacing w:before="120"/>
        <w:jc w:val="both"/>
        <w:rPr>
          <w:noProof/>
          <w:color w:val="4F81BD" w:themeColor="accent1"/>
          <w:lang w:val="en-US"/>
        </w:rPr>
      </w:pPr>
      <w:r w:rsidRPr="00465A25">
        <w:t xml:space="preserve">Размерът на </w:t>
      </w:r>
      <w:r w:rsidRPr="00B55DF3">
        <w:t xml:space="preserve">просрочените задължения на </w:t>
      </w:r>
      <w:r w:rsidRPr="00B55DF3">
        <w:rPr>
          <w:b/>
        </w:rPr>
        <w:t>централно правителство</w:t>
      </w:r>
      <w:r w:rsidRPr="00B55DF3">
        <w:t xml:space="preserve"> (министерства, ведомства и разпоредителите с бюджет по чл. 13, ал. 3 и ал. 4 на ЗПФ) е</w:t>
      </w:r>
      <w:r w:rsidRPr="00B55DF3">
        <w:rPr>
          <w:b/>
        </w:rPr>
        <w:t xml:space="preserve"> 81,0 млн</w:t>
      </w:r>
      <w:r w:rsidRPr="00CB01F4">
        <w:rPr>
          <w:b/>
        </w:rPr>
        <w:t xml:space="preserve">. лева. </w:t>
      </w:r>
      <w:r w:rsidRPr="00CB01F4">
        <w:t>Спрямо отчетените в края на 2019 г. те намаляват със 7,3 млн. лева. В обхвата на държавния бюджет по-</w:t>
      </w:r>
      <w:r w:rsidRPr="0042224D">
        <w:t xml:space="preserve">значими проблеми с наличие на просрочени задължения има </w:t>
      </w:r>
      <w:r w:rsidRPr="0042224D">
        <w:rPr>
          <w:bCs/>
        </w:rPr>
        <w:t>при няколко министерства. С най-значими</w:t>
      </w:r>
      <w:r w:rsidRPr="0042224D">
        <w:t xml:space="preserve"> просрочени задължения по държавния бюджет са</w:t>
      </w:r>
      <w:r w:rsidRPr="0042224D">
        <w:rPr>
          <w:lang w:val="en-US"/>
        </w:rPr>
        <w:t xml:space="preserve">: </w:t>
      </w:r>
      <w:r w:rsidRPr="0042224D">
        <w:rPr>
          <w:noProof/>
        </w:rPr>
        <w:t xml:space="preserve">Министерство на земеделието, храните </w:t>
      </w:r>
      <w:r w:rsidRPr="00DE5CEE">
        <w:rPr>
          <w:noProof/>
        </w:rPr>
        <w:t xml:space="preserve">и горите – 15,4 млн. лв. (намаление с 1,3 млн. лв. </w:t>
      </w:r>
      <w:r w:rsidRPr="00DE5CEE">
        <w:t>спрямо просрочията в края на 2019 г.</w:t>
      </w:r>
      <w:r w:rsidRPr="00DE5CEE">
        <w:rPr>
          <w:noProof/>
        </w:rPr>
        <w:t>)</w:t>
      </w:r>
      <w:r w:rsidRPr="00DE5CEE">
        <w:rPr>
          <w:noProof/>
          <w:lang w:val="en-US"/>
        </w:rPr>
        <w:t>;</w:t>
      </w:r>
      <w:r w:rsidRPr="00DE5CEE">
        <w:rPr>
          <w:noProof/>
        </w:rPr>
        <w:t xml:space="preserve"> Министерство на </w:t>
      </w:r>
      <w:r w:rsidRPr="00514F74">
        <w:rPr>
          <w:noProof/>
        </w:rPr>
        <w:t xml:space="preserve">вътрешните работи – 14,3 млн. лв. (увеличение с 9,9 млн. лв. спрямо </w:t>
      </w:r>
      <w:r w:rsidRPr="00514F74">
        <w:t>отчетените в края на 2019 г.</w:t>
      </w:r>
      <w:r w:rsidRPr="00514F74">
        <w:rPr>
          <w:noProof/>
        </w:rPr>
        <w:t>)</w:t>
      </w:r>
      <w:r w:rsidRPr="00514F74">
        <w:rPr>
          <w:noProof/>
          <w:lang w:val="en-US"/>
        </w:rPr>
        <w:t>;</w:t>
      </w:r>
      <w:r w:rsidRPr="00514F74">
        <w:rPr>
          <w:noProof/>
        </w:rPr>
        <w:t xml:space="preserve"> </w:t>
      </w:r>
      <w:r w:rsidR="0067119C" w:rsidRPr="00514F74">
        <w:rPr>
          <w:noProof/>
        </w:rPr>
        <w:t>Министерство на отбраната – 2,1 млн. лв.</w:t>
      </w:r>
      <w:r w:rsidR="0067119C">
        <w:rPr>
          <w:noProof/>
        </w:rPr>
        <w:t>,</w:t>
      </w:r>
      <w:r w:rsidR="0067119C" w:rsidRPr="00514F74">
        <w:rPr>
          <w:noProof/>
        </w:rPr>
        <w:t xml:space="preserve"> </w:t>
      </w:r>
      <w:r w:rsidR="0067119C" w:rsidRPr="00BD0277">
        <w:rPr>
          <w:noProof/>
        </w:rPr>
        <w:t>в т.ч. 1,4 млн. лв. на ВМА</w:t>
      </w:r>
      <w:r w:rsidR="0067119C" w:rsidRPr="00514F74">
        <w:rPr>
          <w:noProof/>
        </w:rPr>
        <w:t xml:space="preserve"> (просрочените задължения са близки до </w:t>
      </w:r>
      <w:r w:rsidR="0067119C" w:rsidRPr="00514F74">
        <w:t xml:space="preserve">отчетените в </w:t>
      </w:r>
      <w:r w:rsidR="0067119C" w:rsidRPr="00B33F64">
        <w:t>края на 2019 г</w:t>
      </w:r>
      <w:r w:rsidR="0067119C" w:rsidRPr="00BD0277">
        <w:t>.</w:t>
      </w:r>
      <w:r w:rsidR="0067119C">
        <w:rPr>
          <w:noProof/>
        </w:rPr>
        <w:t>)</w:t>
      </w:r>
      <w:r w:rsidR="0067119C" w:rsidRPr="00BD0277">
        <w:rPr>
          <w:noProof/>
        </w:rPr>
        <w:t>, и други.</w:t>
      </w:r>
      <w:r w:rsidR="0067119C" w:rsidRPr="00B33F64">
        <w:rPr>
          <w:noProof/>
        </w:rPr>
        <w:t xml:space="preserve"> </w:t>
      </w:r>
      <w:r w:rsidRPr="00B33F64">
        <w:rPr>
          <w:noProof/>
        </w:rPr>
        <w:t xml:space="preserve"> От разпоредителите с бюджет по чл. 13, ал. 3 на Закона за публичните финанси проблеми с наличието на просрочени задължения има основно при</w:t>
      </w:r>
      <w:r w:rsidRPr="00B33F64">
        <w:rPr>
          <w:noProof/>
          <w:lang w:val="en-US"/>
        </w:rPr>
        <w:t>:</w:t>
      </w:r>
      <w:r w:rsidRPr="00B33F64">
        <w:rPr>
          <w:noProof/>
        </w:rPr>
        <w:t xml:space="preserve"> Българската национална телевизия – 29,8 млн. лв. (</w:t>
      </w:r>
      <w:r w:rsidRPr="007B1D03">
        <w:rPr>
          <w:noProof/>
        </w:rPr>
        <w:t xml:space="preserve">увеличение с 3,7 млн. лв. </w:t>
      </w:r>
      <w:r w:rsidRPr="007B1D03">
        <w:t xml:space="preserve">спрямо </w:t>
      </w:r>
      <w:r w:rsidRPr="00484A82">
        <w:t>отчетените в края на 2019 г.</w:t>
      </w:r>
      <w:r w:rsidRPr="00484A82">
        <w:rPr>
          <w:lang w:val="en-US"/>
        </w:rPr>
        <w:t>)</w:t>
      </w:r>
      <w:r w:rsidRPr="00484A82">
        <w:rPr>
          <w:noProof/>
        </w:rPr>
        <w:t xml:space="preserve">, в т.ч. 27,7 млн. лв. </w:t>
      </w:r>
      <w:r w:rsidRPr="00484A82">
        <w:t>просрочени задължения към доставчици в страната</w:t>
      </w:r>
      <w:r w:rsidRPr="00484A82">
        <w:rPr>
          <w:noProof/>
          <w:lang w:val="en-US"/>
        </w:rPr>
        <w:t>;</w:t>
      </w:r>
      <w:r w:rsidRPr="007B1D03">
        <w:rPr>
          <w:noProof/>
          <w:lang w:val="en-US"/>
        </w:rPr>
        <w:t xml:space="preserve"> </w:t>
      </w:r>
      <w:r w:rsidRPr="007B1D03">
        <w:rPr>
          <w:noProof/>
        </w:rPr>
        <w:t xml:space="preserve">държавните висши училища – 11,0 млн. </w:t>
      </w:r>
      <w:r w:rsidRPr="00E6428C">
        <w:rPr>
          <w:noProof/>
        </w:rPr>
        <w:t>лв. (</w:t>
      </w:r>
      <w:r w:rsidRPr="00417952">
        <w:rPr>
          <w:noProof/>
        </w:rPr>
        <w:t xml:space="preserve">увеличение с 4,4 млн. лв. </w:t>
      </w:r>
      <w:r w:rsidRPr="00417952">
        <w:t>спрямо отчетените в края на 201</w:t>
      </w:r>
      <w:r w:rsidRPr="00417952">
        <w:rPr>
          <w:lang w:val="en-US"/>
        </w:rPr>
        <w:t>9</w:t>
      </w:r>
      <w:r w:rsidRPr="00417952">
        <w:t xml:space="preserve"> г., като включват задължения за внасяне на данъци, вноски, такси и административни санкции и задължения към доставчици</w:t>
      </w:r>
      <w:r w:rsidRPr="00417952">
        <w:rPr>
          <w:noProof/>
        </w:rPr>
        <w:t>)</w:t>
      </w:r>
      <w:r w:rsidRPr="00417952">
        <w:rPr>
          <w:noProof/>
          <w:lang w:val="en-US"/>
        </w:rPr>
        <w:t>;</w:t>
      </w:r>
      <w:r w:rsidRPr="004A1CC4">
        <w:rPr>
          <w:noProof/>
          <w:lang w:val="en-US"/>
        </w:rPr>
        <w:t xml:space="preserve"> </w:t>
      </w:r>
      <w:r w:rsidRPr="004A1CC4">
        <w:rPr>
          <w:noProof/>
        </w:rPr>
        <w:t xml:space="preserve">Българското национално радио – 2,0 млн. лв. (намаление с 0,2 млн. лв. </w:t>
      </w:r>
      <w:r w:rsidRPr="004A1CC4">
        <w:t xml:space="preserve">спрямо </w:t>
      </w:r>
      <w:r w:rsidRPr="00511EEA">
        <w:t>отчетените в края на 201</w:t>
      </w:r>
      <w:r w:rsidRPr="00511EEA">
        <w:rPr>
          <w:lang w:val="en-US"/>
        </w:rPr>
        <w:t>9</w:t>
      </w:r>
      <w:r w:rsidRPr="00511EEA">
        <w:t xml:space="preserve"> г.</w:t>
      </w:r>
      <w:r w:rsidRPr="00511EEA">
        <w:rPr>
          <w:lang w:val="en-US"/>
        </w:rPr>
        <w:t>)</w:t>
      </w:r>
      <w:r w:rsidRPr="00511EEA">
        <w:rPr>
          <w:noProof/>
        </w:rPr>
        <w:t xml:space="preserve">, от които 1,6 млн. лв. са </w:t>
      </w:r>
      <w:r w:rsidRPr="00511EEA">
        <w:t>просрочени задължения към доставчици</w:t>
      </w:r>
      <w:r w:rsidRPr="00511EEA">
        <w:rPr>
          <w:noProof/>
        </w:rPr>
        <w:t>.</w:t>
      </w:r>
    </w:p>
    <w:p w:rsidR="00103EDE" w:rsidRPr="004A3BEC" w:rsidRDefault="00103EDE" w:rsidP="00103EDE">
      <w:pPr>
        <w:ind w:firstLine="567"/>
        <w:jc w:val="both"/>
        <w:rPr>
          <w:bCs/>
          <w:color w:val="4F81BD" w:themeColor="accent1"/>
          <w:sz w:val="6"/>
          <w:szCs w:val="12"/>
        </w:rPr>
      </w:pPr>
    </w:p>
    <w:p w:rsidR="00103EDE" w:rsidRPr="004A3BEC" w:rsidRDefault="00103EDE" w:rsidP="00103EDE">
      <w:pPr>
        <w:spacing w:after="120"/>
        <w:jc w:val="both"/>
        <w:rPr>
          <w:noProof/>
          <w:color w:val="4F81BD" w:themeColor="accent1"/>
          <w:lang w:val="en-US"/>
        </w:rPr>
      </w:pPr>
      <w:r w:rsidRPr="00572067">
        <w:rPr>
          <w:noProof/>
          <w:lang w:val="en-US"/>
        </w:rPr>
        <w:t xml:space="preserve">Просрочените задължения по </w:t>
      </w:r>
      <w:r w:rsidRPr="00572067">
        <w:rPr>
          <w:b/>
          <w:noProof/>
        </w:rPr>
        <w:t>бюджетите на общините</w:t>
      </w:r>
      <w:r w:rsidRPr="00572067">
        <w:rPr>
          <w:noProof/>
          <w:lang w:val="en-US"/>
        </w:rPr>
        <w:t xml:space="preserve"> </w:t>
      </w:r>
      <w:r w:rsidRPr="00572067">
        <w:rPr>
          <w:noProof/>
        </w:rPr>
        <w:t>към 30.0</w:t>
      </w:r>
      <w:r w:rsidRPr="00572067">
        <w:rPr>
          <w:noProof/>
          <w:lang w:val="en-US"/>
        </w:rPr>
        <w:t>9</w:t>
      </w:r>
      <w:r w:rsidRPr="00572067">
        <w:rPr>
          <w:noProof/>
        </w:rPr>
        <w:t xml:space="preserve">.2020 г. </w:t>
      </w:r>
      <w:r w:rsidRPr="00572067">
        <w:rPr>
          <w:noProof/>
          <w:lang w:val="en-US"/>
        </w:rPr>
        <w:t xml:space="preserve">са в размер на </w:t>
      </w:r>
      <w:r w:rsidRPr="00572067">
        <w:rPr>
          <w:b/>
          <w:noProof/>
          <w:lang w:val="en-US"/>
        </w:rPr>
        <w:t>137</w:t>
      </w:r>
      <w:r w:rsidRPr="00572067">
        <w:rPr>
          <w:b/>
          <w:noProof/>
        </w:rPr>
        <w:t>,9 </w:t>
      </w:r>
      <w:r w:rsidRPr="00572067">
        <w:rPr>
          <w:b/>
          <w:noProof/>
          <w:lang w:val="en-US"/>
        </w:rPr>
        <w:t xml:space="preserve">млн. </w:t>
      </w:r>
      <w:proofErr w:type="gramStart"/>
      <w:r w:rsidRPr="00737293">
        <w:rPr>
          <w:b/>
          <w:noProof/>
          <w:lang w:val="en-US"/>
        </w:rPr>
        <w:t>лв</w:t>
      </w:r>
      <w:r w:rsidRPr="0025511A">
        <w:rPr>
          <w:b/>
          <w:noProof/>
          <w:lang w:val="en-US"/>
        </w:rPr>
        <w:t>.,</w:t>
      </w:r>
      <w:r w:rsidRPr="0025511A">
        <w:rPr>
          <w:noProof/>
          <w:lang w:val="en-US"/>
        </w:rPr>
        <w:t xml:space="preserve"> като спрямо </w:t>
      </w:r>
      <w:r w:rsidRPr="0025511A">
        <w:t xml:space="preserve">края на 2019 г. </w:t>
      </w:r>
      <w:r w:rsidRPr="0025511A">
        <w:rPr>
          <w:noProof/>
          <w:lang w:val="en-US"/>
        </w:rPr>
        <w:t xml:space="preserve">се отчита </w:t>
      </w:r>
      <w:r w:rsidRPr="0025511A">
        <w:rPr>
          <w:noProof/>
        </w:rPr>
        <w:t>намаление с</w:t>
      </w:r>
      <w:r w:rsidRPr="0025511A">
        <w:rPr>
          <w:noProof/>
          <w:lang w:val="en-US"/>
        </w:rPr>
        <w:t xml:space="preserve"> </w:t>
      </w:r>
      <w:r w:rsidRPr="0025511A">
        <w:rPr>
          <w:noProof/>
        </w:rPr>
        <w:t>33,8</w:t>
      </w:r>
      <w:r w:rsidRPr="0025511A">
        <w:rPr>
          <w:noProof/>
          <w:lang w:val="en-US"/>
        </w:rPr>
        <w:t xml:space="preserve"> млн.</w:t>
      </w:r>
      <w:proofErr w:type="gramEnd"/>
      <w:r w:rsidRPr="0025511A">
        <w:rPr>
          <w:noProof/>
          <w:lang w:val="en-US"/>
        </w:rPr>
        <w:t xml:space="preserve"> лева. С най-голям относителен дял в просрочените задължения по бюджет</w:t>
      </w:r>
      <w:r w:rsidRPr="0025511A">
        <w:rPr>
          <w:noProof/>
        </w:rPr>
        <w:t>ите</w:t>
      </w:r>
      <w:r w:rsidRPr="0025511A">
        <w:rPr>
          <w:noProof/>
          <w:lang w:val="en-US"/>
        </w:rPr>
        <w:t xml:space="preserve"> на общините </w:t>
      </w:r>
      <w:r w:rsidRPr="0025511A">
        <w:rPr>
          <w:noProof/>
        </w:rPr>
        <w:t xml:space="preserve">към края на месец </w:t>
      </w:r>
      <w:r w:rsidRPr="00CE0215">
        <w:rPr>
          <w:noProof/>
        </w:rPr>
        <w:t xml:space="preserve">септември 2020 г. </w:t>
      </w:r>
      <w:r w:rsidRPr="00CE0215">
        <w:rPr>
          <w:noProof/>
          <w:lang w:val="en-US"/>
        </w:rPr>
        <w:t xml:space="preserve">са </w:t>
      </w:r>
      <w:r w:rsidRPr="00CE0215">
        <w:rPr>
          <w:noProof/>
        </w:rPr>
        <w:t xml:space="preserve">просрочените задължения към доставчици, които са в размер на 108,5 млн. лева. </w:t>
      </w:r>
      <w:r w:rsidRPr="00CE0215">
        <w:rPr>
          <w:noProof/>
          <w:lang w:val="en-US"/>
        </w:rPr>
        <w:t xml:space="preserve">В делегираните от държавата дейности просрочените задължения са в размер на </w:t>
      </w:r>
      <w:r w:rsidRPr="00CE0215">
        <w:rPr>
          <w:noProof/>
        </w:rPr>
        <w:t>1,8</w:t>
      </w:r>
      <w:r w:rsidRPr="00CE0215">
        <w:rPr>
          <w:noProof/>
          <w:lang w:val="en-US"/>
        </w:rPr>
        <w:t xml:space="preserve"> млн.</w:t>
      </w:r>
      <w:r w:rsidRPr="00CE0215">
        <w:rPr>
          <w:noProof/>
        </w:rPr>
        <w:t> </w:t>
      </w:r>
      <w:r w:rsidRPr="00CE0215">
        <w:rPr>
          <w:noProof/>
          <w:lang w:val="en-US"/>
        </w:rPr>
        <w:t>лева.</w:t>
      </w:r>
    </w:p>
    <w:p w:rsidR="00103EDE" w:rsidRPr="00A46621" w:rsidRDefault="00103EDE" w:rsidP="00103EDE">
      <w:pPr>
        <w:spacing w:before="120"/>
        <w:jc w:val="both"/>
      </w:pPr>
      <w:r w:rsidRPr="00A46621">
        <w:t xml:space="preserve">В системата на </w:t>
      </w:r>
      <w:r w:rsidRPr="00A46621">
        <w:rPr>
          <w:b/>
        </w:rPr>
        <w:t>НЗОК</w:t>
      </w:r>
      <w:r w:rsidRPr="00A46621">
        <w:t xml:space="preserve"> към 30.09.2020 г. няма просрочени задължения.</w:t>
      </w:r>
    </w:p>
    <w:p w:rsidR="00103EDE" w:rsidRPr="004A3BEC" w:rsidRDefault="00103EDE" w:rsidP="00103EDE">
      <w:pPr>
        <w:spacing w:after="120"/>
        <w:jc w:val="both"/>
        <w:rPr>
          <w:noProof/>
          <w:color w:val="4F81BD" w:themeColor="accent1"/>
          <w:sz w:val="6"/>
          <w:szCs w:val="6"/>
        </w:rPr>
      </w:pPr>
    </w:p>
    <w:p w:rsidR="00103EDE" w:rsidRPr="00B23003" w:rsidRDefault="00D23CE2" w:rsidP="00103EDE">
      <w:pPr>
        <w:spacing w:after="120"/>
        <w:jc w:val="both"/>
        <w:rPr>
          <w:lang w:val="en-US"/>
        </w:rPr>
      </w:pPr>
      <w:r w:rsidRPr="00D23CE2">
        <w:rPr>
          <w:noProof/>
        </w:rPr>
        <w:t>Извън обхвата на консолидираната фискална програма, сериозен продължава да бъде проблемът с просрочията на лечебните заведения за болнична помощ (държавни и общински болници – търговски дружества). Към 30.09.2020 г. размерът на просрочените задължения е 159,3 млн. лв., от които 127,7 млн. лв. са на държавните болници и 31,6 млн. лв. са на общинските болници. Спрямо отчетените просрочени задължения към 31.12.2019 г. се отчита увеличение с 36,2 млн. лв. (с</w:t>
      </w:r>
      <w:r w:rsidR="00435C0F">
        <w:rPr>
          <w:noProof/>
        </w:rPr>
        <w:t>ъс</w:t>
      </w:r>
      <w:r w:rsidRPr="00D23CE2">
        <w:rPr>
          <w:noProof/>
        </w:rPr>
        <w:t xml:space="preserve"> 129 на сто</w:t>
      </w:r>
      <w:r w:rsidR="00103EDE" w:rsidRPr="00D23CE2">
        <w:rPr>
          <w:noProof/>
        </w:rPr>
        <w:t>)</w:t>
      </w:r>
      <w:r w:rsidR="00103EDE" w:rsidRPr="00D23CE2">
        <w:t>.</w:t>
      </w:r>
    </w:p>
    <w:p w:rsidR="00BB059C" w:rsidRPr="004A3BEC" w:rsidRDefault="00BB059C" w:rsidP="00BB059C">
      <w:pPr>
        <w:ind w:firstLine="567"/>
        <w:jc w:val="both"/>
        <w:rPr>
          <w:noProof/>
          <w:color w:val="4F81BD" w:themeColor="accent1"/>
          <w:sz w:val="2"/>
          <w:szCs w:val="12"/>
          <w:lang w:val="en-US"/>
        </w:rPr>
      </w:pPr>
    </w:p>
    <w:p w:rsidR="009C2594" w:rsidRPr="008E5BBA" w:rsidRDefault="009C2594" w:rsidP="00337CA7">
      <w:pPr>
        <w:pStyle w:val="BodyTextIndent"/>
        <w:numPr>
          <w:ilvl w:val="1"/>
          <w:numId w:val="14"/>
        </w:numPr>
        <w:tabs>
          <w:tab w:val="clear" w:pos="2160"/>
          <w:tab w:val="num" w:pos="720"/>
          <w:tab w:val="num" w:pos="900"/>
        </w:tabs>
        <w:spacing w:before="120" w:after="0"/>
        <w:ind w:left="720"/>
        <w:jc w:val="both"/>
        <w:rPr>
          <w:b/>
          <w:bCs/>
        </w:rPr>
      </w:pPr>
      <w:r w:rsidRPr="008E5BBA">
        <w:rPr>
          <w:b/>
          <w:bCs/>
        </w:rPr>
        <w:t xml:space="preserve">Разходи по </w:t>
      </w:r>
      <w:r w:rsidRPr="008E5BBA">
        <w:rPr>
          <w:b/>
          <w:bCs/>
          <w:szCs w:val="26"/>
        </w:rPr>
        <w:t xml:space="preserve">централния бюджет </w:t>
      </w:r>
      <w:r w:rsidRPr="008E5BBA">
        <w:rPr>
          <w:b/>
          <w:bCs/>
        </w:rPr>
        <w:t>за субсидии</w:t>
      </w:r>
      <w:r w:rsidR="00F202DD" w:rsidRPr="008E5BBA">
        <w:rPr>
          <w:b/>
          <w:bCs/>
        </w:rPr>
        <w:t>,</w:t>
      </w:r>
      <w:r w:rsidR="0091667E" w:rsidRPr="008E5BBA">
        <w:rPr>
          <w:b/>
          <w:bCs/>
        </w:rPr>
        <w:t xml:space="preserve"> </w:t>
      </w:r>
      <w:r w:rsidR="00F202DD" w:rsidRPr="008E5BBA">
        <w:rPr>
          <w:b/>
          <w:bCs/>
        </w:rPr>
        <w:t xml:space="preserve">капиталови </w:t>
      </w:r>
      <w:r w:rsidR="00AF1CA0" w:rsidRPr="008E5BBA">
        <w:rPr>
          <w:b/>
          <w:bCs/>
        </w:rPr>
        <w:t>трансфери</w:t>
      </w:r>
      <w:r w:rsidR="00AF1CA0" w:rsidRPr="008E5BBA">
        <w:rPr>
          <w:bCs/>
        </w:rPr>
        <w:t xml:space="preserve"> </w:t>
      </w:r>
      <w:r w:rsidRPr="008E5BBA">
        <w:rPr>
          <w:b/>
          <w:bCs/>
        </w:rPr>
        <w:t xml:space="preserve">и други разходи, свързани с дейността на реалния сектор </w:t>
      </w:r>
    </w:p>
    <w:p w:rsidR="009C2594" w:rsidRPr="004A3BEC" w:rsidRDefault="009C2594" w:rsidP="009C2594">
      <w:pPr>
        <w:pStyle w:val="Header"/>
        <w:jc w:val="both"/>
        <w:rPr>
          <w:color w:val="4F81BD" w:themeColor="accent1"/>
          <w:sz w:val="8"/>
          <w:szCs w:val="8"/>
        </w:rPr>
      </w:pPr>
    </w:p>
    <w:p w:rsidR="00DD638A" w:rsidRPr="008E5BBA" w:rsidRDefault="00DD638A" w:rsidP="007A2C8D">
      <w:pPr>
        <w:pStyle w:val="Header"/>
        <w:jc w:val="both"/>
      </w:pPr>
      <w:r w:rsidRPr="008E5BBA">
        <w:t>Със ЗДБРБ за 20</w:t>
      </w:r>
      <w:r w:rsidRPr="008E5BBA">
        <w:rPr>
          <w:lang w:val="en-US"/>
        </w:rPr>
        <w:t>20</w:t>
      </w:r>
      <w:r w:rsidRPr="008E5BBA">
        <w:t xml:space="preserve"> г. са утвърдени 1</w:t>
      </w:r>
      <w:r w:rsidRPr="008E5BBA">
        <w:rPr>
          <w:lang w:val="en-US"/>
        </w:rPr>
        <w:t>81</w:t>
      </w:r>
      <w:r w:rsidRPr="008E5BBA">
        <w:t>,0 млн. лв</w:t>
      </w:r>
      <w:r w:rsidRPr="008E5BBA">
        <w:rPr>
          <w:b/>
        </w:rPr>
        <w:t>.</w:t>
      </w:r>
      <w:r w:rsidRPr="008E5BBA">
        <w:t xml:space="preserve"> </w:t>
      </w:r>
      <w:r w:rsidRPr="008E5BBA">
        <w:rPr>
          <w:b/>
        </w:rPr>
        <w:t>субсидии</w:t>
      </w:r>
      <w:r w:rsidRPr="008E5BBA">
        <w:t xml:space="preserve"> за нефинансови предприятия от централния бюджет.</w:t>
      </w:r>
    </w:p>
    <w:p w:rsidR="00DD638A" w:rsidRPr="004A3BEC" w:rsidRDefault="00DD638A" w:rsidP="007A2C8D">
      <w:pPr>
        <w:pStyle w:val="Header"/>
        <w:jc w:val="both"/>
        <w:rPr>
          <w:color w:val="4F81BD" w:themeColor="accent1"/>
          <w:sz w:val="4"/>
          <w:szCs w:val="4"/>
        </w:rPr>
      </w:pPr>
    </w:p>
    <w:p w:rsidR="00DD638A" w:rsidRPr="008E5BBA" w:rsidRDefault="00DD638A" w:rsidP="007A2C8D">
      <w:pPr>
        <w:pStyle w:val="BodyText2"/>
        <w:spacing w:after="0" w:line="240" w:lineRule="auto"/>
        <w:jc w:val="both"/>
      </w:pPr>
      <w:r w:rsidRPr="008E5BBA">
        <w:lastRenderedPageBreak/>
        <w:t xml:space="preserve">Средствата за </w:t>
      </w:r>
      <w:r w:rsidRPr="008E5BBA">
        <w:rPr>
          <w:bCs/>
        </w:rPr>
        <w:t>субсидии</w:t>
      </w:r>
      <w:r w:rsidRPr="008E5BBA">
        <w:t xml:space="preserve"> са предназначени за търговски дружества,</w:t>
      </w:r>
      <w:r w:rsidR="00ED019F" w:rsidRPr="008E5BBA">
        <w:rPr>
          <w:lang w:val="en-US"/>
        </w:rPr>
        <w:t xml:space="preserve"> </w:t>
      </w:r>
      <w:r w:rsidRPr="008E5BBA">
        <w:t>осъществяващи превоза на пътниците по нерентабилни линии във вътрешноградския транспорт и транспорта в планински и други райони, за текущо поддържане и експлоатация на железопътната инфраструктура и др.</w:t>
      </w:r>
    </w:p>
    <w:p w:rsidR="00DD638A" w:rsidRPr="004A3BEC" w:rsidRDefault="00DD638A" w:rsidP="007A2C8D">
      <w:pPr>
        <w:pStyle w:val="BodyText2"/>
        <w:spacing w:after="0" w:line="240" w:lineRule="auto"/>
        <w:jc w:val="both"/>
        <w:rPr>
          <w:color w:val="4F81BD" w:themeColor="accent1"/>
          <w:sz w:val="12"/>
          <w:szCs w:val="12"/>
        </w:rPr>
      </w:pPr>
    </w:p>
    <w:p w:rsidR="00DD638A" w:rsidRPr="008E5BBA" w:rsidRDefault="003A4801" w:rsidP="007A2C8D">
      <w:pPr>
        <w:pStyle w:val="BodyTextIndent"/>
        <w:ind w:left="0" w:firstLine="426"/>
        <w:jc w:val="both"/>
      </w:pPr>
      <w:r w:rsidRPr="008E5BBA">
        <w:t>- Със ЗДБРБ за 20</w:t>
      </w:r>
      <w:r w:rsidRPr="008E5BBA">
        <w:rPr>
          <w:lang w:val="en-US"/>
        </w:rPr>
        <w:t>20</w:t>
      </w:r>
      <w:r w:rsidR="00DD638A" w:rsidRPr="008E5BBA">
        <w:t xml:space="preserve"> г. за Национална компания „Железопътна инфраструктура” са предвидени средства под формата на субсидии, предназначени за поддържане и експлоатация на железопътната инфраструктура, в размер на 145,0 млн. лева. Усвоените средства за </w:t>
      </w:r>
      <w:r w:rsidR="00301BE4">
        <w:t>деветмесечието</w:t>
      </w:r>
      <w:r w:rsidR="008E5BBA" w:rsidRPr="008E5BBA">
        <w:t xml:space="preserve"> </w:t>
      </w:r>
      <w:r w:rsidR="00DD638A" w:rsidRPr="008E5BBA">
        <w:t xml:space="preserve">на 2020 г. са в размер на </w:t>
      </w:r>
      <w:r w:rsidR="008E5BBA" w:rsidRPr="008E5BBA">
        <w:t>12</w:t>
      </w:r>
      <w:r w:rsidR="00ED019F" w:rsidRPr="008E5BBA">
        <w:t>7</w:t>
      </w:r>
      <w:r w:rsidR="00DD638A" w:rsidRPr="008E5BBA">
        <w:t>,</w:t>
      </w:r>
      <w:r w:rsidR="008E5BBA" w:rsidRPr="008E5BBA">
        <w:t>2</w:t>
      </w:r>
      <w:r w:rsidR="00DD638A" w:rsidRPr="008E5BBA">
        <w:t xml:space="preserve"> млн. лв. или </w:t>
      </w:r>
      <w:r w:rsidR="008E5BBA" w:rsidRPr="008E5BBA">
        <w:t>87</w:t>
      </w:r>
      <w:r w:rsidR="00DD638A" w:rsidRPr="008E5BBA">
        <w:t>,</w:t>
      </w:r>
      <w:r w:rsidR="008E5BBA" w:rsidRPr="008E5BBA">
        <w:t>7</w:t>
      </w:r>
      <w:r w:rsidR="00DD638A" w:rsidRPr="008E5BBA">
        <w:t xml:space="preserve"> на сто от годишния план. Същите са предоставени в съответствие с утвърдения от министъра на транспорта, информационните технологии и съобщенията График за превеждане на субсидиите, съобразен с необходимостта от средства за финансиране на текущите дейности на предприятието.</w:t>
      </w:r>
      <w:r w:rsidR="00DD638A" w:rsidRPr="008E5BBA">
        <w:rPr>
          <w:lang w:val="en-US"/>
        </w:rPr>
        <w:t xml:space="preserve"> </w:t>
      </w:r>
    </w:p>
    <w:p w:rsidR="00DD638A" w:rsidRPr="008E5BBA" w:rsidRDefault="00DD638A" w:rsidP="007A2C8D">
      <w:pPr>
        <w:pStyle w:val="BodyTextIndent2"/>
        <w:spacing w:line="240" w:lineRule="auto"/>
        <w:ind w:left="0" w:firstLine="426"/>
        <w:jc w:val="both"/>
        <w:rPr>
          <w:noProof/>
        </w:rPr>
      </w:pPr>
      <w:r w:rsidRPr="008E5BBA">
        <w:t>- Предвидените със ЗДБРБ за 20</w:t>
      </w:r>
      <w:r w:rsidRPr="008E5BBA">
        <w:rPr>
          <w:lang w:val="en-US"/>
        </w:rPr>
        <w:t>20</w:t>
      </w:r>
      <w:r w:rsidRPr="008E5BBA">
        <w:t xml:space="preserve"> г. средства за субсидиране на превоза на пътниците по нерентабилни линии във вътрешноградския транспорт и транспорта в планински </w:t>
      </w:r>
      <w:r w:rsidR="00BC1E67" w:rsidRPr="008E5BBA">
        <w:t xml:space="preserve">и други райони са в размер на </w:t>
      </w:r>
      <w:r w:rsidR="00BC1E67" w:rsidRPr="008E5BBA">
        <w:rPr>
          <w:lang w:val="en-US"/>
        </w:rPr>
        <w:t>36</w:t>
      </w:r>
      <w:r w:rsidRPr="008E5BBA">
        <w:t>,0 млн. лева.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w:t>
      </w:r>
      <w:r w:rsidRPr="004A3BEC">
        <w:rPr>
          <w:color w:val="4F81BD" w:themeColor="accent1"/>
        </w:rPr>
        <w:t xml:space="preserve"> </w:t>
      </w:r>
      <w:r w:rsidRPr="008E5BBA">
        <w:t>П</w:t>
      </w:r>
      <w:r w:rsidRPr="008E5BBA">
        <w:rPr>
          <w:noProof/>
        </w:rPr>
        <w:t xml:space="preserve">рез </w:t>
      </w:r>
      <w:r w:rsidR="00812DB2">
        <w:t>деветмесечието</w:t>
      </w:r>
      <w:r w:rsidR="00812DB2" w:rsidRPr="008E5BBA">
        <w:t xml:space="preserve"> </w:t>
      </w:r>
      <w:r w:rsidRPr="008E5BBA">
        <w:rPr>
          <w:noProof/>
        </w:rPr>
        <w:t xml:space="preserve">на 2020 г. усвоените средства са в размер на </w:t>
      </w:r>
      <w:r w:rsidR="008E5BBA" w:rsidRPr="008E5BBA">
        <w:rPr>
          <w:noProof/>
        </w:rPr>
        <w:t>25</w:t>
      </w:r>
      <w:r w:rsidRPr="008E5BBA">
        <w:rPr>
          <w:noProof/>
        </w:rPr>
        <w:t>,</w:t>
      </w:r>
      <w:r w:rsidR="008E5BBA" w:rsidRPr="008E5BBA">
        <w:rPr>
          <w:noProof/>
        </w:rPr>
        <w:t>1</w:t>
      </w:r>
      <w:r w:rsidRPr="008E5BBA">
        <w:rPr>
          <w:noProof/>
        </w:rPr>
        <w:t xml:space="preserve"> млн. лв. или </w:t>
      </w:r>
      <w:r w:rsidR="00ED019F" w:rsidRPr="008E5BBA">
        <w:rPr>
          <w:noProof/>
        </w:rPr>
        <w:t>6</w:t>
      </w:r>
      <w:r w:rsidR="008E5BBA" w:rsidRPr="008E5BBA">
        <w:rPr>
          <w:noProof/>
        </w:rPr>
        <w:t>9</w:t>
      </w:r>
      <w:r w:rsidRPr="008E5BBA">
        <w:rPr>
          <w:noProof/>
        </w:rPr>
        <w:t>,</w:t>
      </w:r>
      <w:r w:rsidR="008E5BBA" w:rsidRPr="008E5BBA">
        <w:rPr>
          <w:noProof/>
        </w:rPr>
        <w:t>8</w:t>
      </w:r>
      <w:r w:rsidRPr="008E5BBA">
        <w:rPr>
          <w:noProof/>
        </w:rPr>
        <w:t xml:space="preserve"> на сто от разчета за годината. </w:t>
      </w:r>
    </w:p>
    <w:p w:rsidR="00DD638A" w:rsidRPr="008E5BBA" w:rsidRDefault="00DD638A" w:rsidP="007A2C8D">
      <w:pPr>
        <w:jc w:val="both"/>
        <w:rPr>
          <w:bCs/>
        </w:rPr>
      </w:pPr>
      <w:r w:rsidRPr="008E5BBA">
        <w:rPr>
          <w:bCs/>
        </w:rPr>
        <w:t xml:space="preserve">За </w:t>
      </w:r>
      <w:r w:rsidRPr="008E5BBA">
        <w:rPr>
          <w:b/>
          <w:bCs/>
        </w:rPr>
        <w:t xml:space="preserve">капиталови трансфери </w:t>
      </w:r>
      <w:r w:rsidRPr="008E5BBA">
        <w:rPr>
          <w:bCs/>
        </w:rPr>
        <w:t>от централния бюджет за нефинансови предприятия със ЗДБРБ за 20</w:t>
      </w:r>
      <w:r w:rsidRPr="008E5BBA">
        <w:rPr>
          <w:bCs/>
          <w:lang w:val="en-US"/>
        </w:rPr>
        <w:t>20</w:t>
      </w:r>
      <w:r w:rsidRPr="008E5BBA">
        <w:rPr>
          <w:bCs/>
        </w:rPr>
        <w:t xml:space="preserve"> г. са предвидени </w:t>
      </w:r>
      <w:r w:rsidRPr="008E5BBA">
        <w:rPr>
          <w:b/>
          <w:bCs/>
        </w:rPr>
        <w:t>380,0 млн. лева.</w:t>
      </w:r>
      <w:r w:rsidRPr="008E5BBA">
        <w:rPr>
          <w:bCs/>
        </w:rPr>
        <w:t xml:space="preserve"> Преведените и усвоени средства към </w:t>
      </w:r>
      <w:r w:rsidR="00DF33BA" w:rsidRPr="008E5BBA">
        <w:rPr>
          <w:bCs/>
        </w:rPr>
        <w:t>30.0</w:t>
      </w:r>
      <w:r w:rsidR="008E5BBA" w:rsidRPr="008E5BBA">
        <w:rPr>
          <w:bCs/>
        </w:rPr>
        <w:t>9</w:t>
      </w:r>
      <w:r w:rsidRPr="008E5BBA">
        <w:rPr>
          <w:bCs/>
        </w:rPr>
        <w:t xml:space="preserve">.2020 г. са в размер на </w:t>
      </w:r>
      <w:r w:rsidR="008E5BBA" w:rsidRPr="008E5BBA">
        <w:rPr>
          <w:b/>
          <w:bCs/>
        </w:rPr>
        <w:t>160</w:t>
      </w:r>
      <w:r w:rsidRPr="008E5BBA">
        <w:rPr>
          <w:b/>
          <w:bCs/>
        </w:rPr>
        <w:t>,</w:t>
      </w:r>
      <w:r w:rsidR="00ED019F" w:rsidRPr="008E5BBA">
        <w:rPr>
          <w:b/>
          <w:bCs/>
        </w:rPr>
        <w:t>1</w:t>
      </w:r>
      <w:r w:rsidRPr="008E5BBA">
        <w:rPr>
          <w:b/>
          <w:bCs/>
        </w:rPr>
        <w:t xml:space="preserve"> млн. лв.</w:t>
      </w:r>
      <w:r w:rsidRPr="008E5BBA">
        <w:rPr>
          <w:bCs/>
        </w:rPr>
        <w:t xml:space="preserve"> или </w:t>
      </w:r>
      <w:r w:rsidR="008E5BBA" w:rsidRPr="008E5BBA">
        <w:rPr>
          <w:bCs/>
        </w:rPr>
        <w:t>4</w:t>
      </w:r>
      <w:r w:rsidR="00ED019F" w:rsidRPr="008E5BBA">
        <w:rPr>
          <w:bCs/>
        </w:rPr>
        <w:t>2</w:t>
      </w:r>
      <w:r w:rsidRPr="008E5BBA">
        <w:rPr>
          <w:bCs/>
        </w:rPr>
        <w:t>,</w:t>
      </w:r>
      <w:r w:rsidR="008E5BBA" w:rsidRPr="008E5BBA">
        <w:rPr>
          <w:bCs/>
        </w:rPr>
        <w:t>1</w:t>
      </w:r>
      <w:r w:rsidRPr="008E5BBA">
        <w:rPr>
          <w:bCs/>
        </w:rPr>
        <w:t xml:space="preserve"> % от годишния размер, както следва:</w:t>
      </w:r>
    </w:p>
    <w:p w:rsidR="00DD638A" w:rsidRPr="000974F4" w:rsidRDefault="00DD638A" w:rsidP="007A2C8D">
      <w:pPr>
        <w:numPr>
          <w:ilvl w:val="0"/>
          <w:numId w:val="5"/>
        </w:numPr>
        <w:tabs>
          <w:tab w:val="clear" w:pos="1440"/>
          <w:tab w:val="left" w:pos="426"/>
          <w:tab w:val="left" w:pos="851"/>
        </w:tabs>
        <w:ind w:left="0" w:firstLine="426"/>
        <w:jc w:val="both"/>
        <w:rPr>
          <w:i/>
        </w:rPr>
      </w:pPr>
      <w:r w:rsidRPr="008E5BBA">
        <w:rPr>
          <w:i/>
        </w:rPr>
        <w:t>капиталови трансфери за  Национална компания „Железопътна инфраструктура</w:t>
      </w:r>
      <w:r w:rsidRPr="008E5BBA">
        <w:t>” - ф</w:t>
      </w:r>
      <w:r w:rsidRPr="008E5BBA">
        <w:rPr>
          <w:noProof/>
        </w:rPr>
        <w:t>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8E5BBA">
        <w:t>.</w:t>
      </w:r>
      <w:r w:rsidRPr="004A3BEC">
        <w:rPr>
          <w:color w:val="4F81BD" w:themeColor="accent1"/>
        </w:rPr>
        <w:t xml:space="preserve"> </w:t>
      </w:r>
      <w:r w:rsidRPr="008E5BBA">
        <w:rPr>
          <w:noProof/>
        </w:rPr>
        <w:t>За 20</w:t>
      </w:r>
      <w:r w:rsidRPr="008E5BBA">
        <w:rPr>
          <w:noProof/>
          <w:lang w:val="en-US"/>
        </w:rPr>
        <w:t>20</w:t>
      </w:r>
      <w:r w:rsidRPr="008E5BBA">
        <w:rPr>
          <w:noProof/>
        </w:rPr>
        <w:t xml:space="preserve"> г. от държавния бюджет за компанията е предвиден капиталов трансфер в размер на 120,0 млн. лева. </w:t>
      </w:r>
      <w:r w:rsidRPr="000974F4">
        <w:rPr>
          <w:noProof/>
        </w:rPr>
        <w:t xml:space="preserve">Усвоените средства за </w:t>
      </w:r>
      <w:r w:rsidR="008E5BBA" w:rsidRPr="000974F4">
        <w:rPr>
          <w:noProof/>
        </w:rPr>
        <w:t>деветмесечие</w:t>
      </w:r>
      <w:r w:rsidR="00B00210">
        <w:rPr>
          <w:noProof/>
        </w:rPr>
        <w:t xml:space="preserve">то </w:t>
      </w:r>
      <w:r w:rsidRPr="000974F4">
        <w:rPr>
          <w:noProof/>
        </w:rPr>
        <w:t xml:space="preserve">на 2020 г. са в размер на </w:t>
      </w:r>
      <w:r w:rsidR="008E5BBA" w:rsidRPr="000974F4">
        <w:rPr>
          <w:noProof/>
        </w:rPr>
        <w:t>87</w:t>
      </w:r>
      <w:r w:rsidRPr="000974F4">
        <w:rPr>
          <w:noProof/>
        </w:rPr>
        <w:t>,</w:t>
      </w:r>
      <w:r w:rsidR="008E5BBA" w:rsidRPr="000974F4">
        <w:rPr>
          <w:noProof/>
        </w:rPr>
        <w:t>3</w:t>
      </w:r>
      <w:r w:rsidRPr="000974F4">
        <w:rPr>
          <w:noProof/>
        </w:rPr>
        <w:t xml:space="preserve"> млн. лв. или </w:t>
      </w:r>
      <w:r w:rsidR="000974F4" w:rsidRPr="000974F4">
        <w:rPr>
          <w:noProof/>
        </w:rPr>
        <w:t>72</w:t>
      </w:r>
      <w:r w:rsidRPr="000974F4">
        <w:rPr>
          <w:noProof/>
        </w:rPr>
        <w:t>,</w:t>
      </w:r>
      <w:r w:rsidR="000974F4" w:rsidRPr="000974F4">
        <w:rPr>
          <w:noProof/>
        </w:rPr>
        <w:t>8</w:t>
      </w:r>
      <w:r w:rsidRPr="000974F4">
        <w:rPr>
          <w:noProof/>
        </w:rPr>
        <w:t xml:space="preserve"> на сто от годишния разчет. Изпълняват се проекти за ремонт и придобиване на дълготрайни материални активи, за възстановяване и подобряване на експлоатационното състояние на железния път и съоръженията, както и ремонт и преустройство на възлови жп гари в съответствие с европейските изисквания;</w:t>
      </w:r>
    </w:p>
    <w:p w:rsidR="00DD638A" w:rsidRPr="000974F4" w:rsidRDefault="00DD638A" w:rsidP="007A2C8D">
      <w:pPr>
        <w:numPr>
          <w:ilvl w:val="0"/>
          <w:numId w:val="5"/>
        </w:numPr>
        <w:tabs>
          <w:tab w:val="clear" w:pos="1440"/>
          <w:tab w:val="num" w:pos="360"/>
          <w:tab w:val="left" w:pos="851"/>
        </w:tabs>
        <w:ind w:left="0" w:firstLine="426"/>
        <w:jc w:val="both"/>
        <w:rPr>
          <w:i/>
        </w:rPr>
      </w:pPr>
      <w:r w:rsidRPr="000974F4">
        <w:rPr>
          <w:i/>
        </w:rPr>
        <w:t xml:space="preserve">капиталови трансфери за „БДЖ – Пътнически превози” - ЕООД – </w:t>
      </w:r>
      <w:r w:rsidRPr="000974F4">
        <w:t>предвидените средства със ЗДБРБ за 20</w:t>
      </w:r>
      <w:r w:rsidRPr="000974F4">
        <w:rPr>
          <w:lang w:val="en-US"/>
        </w:rPr>
        <w:t>20</w:t>
      </w:r>
      <w:r w:rsidRPr="000974F4">
        <w:t xml:space="preserve"> г. са в размер на </w:t>
      </w:r>
      <w:r w:rsidRPr="000974F4">
        <w:rPr>
          <w:lang w:val="en-US"/>
        </w:rPr>
        <w:t>1</w:t>
      </w:r>
      <w:r w:rsidRPr="000974F4">
        <w:t xml:space="preserve">39,0 млн. лева. </w:t>
      </w:r>
      <w:r w:rsidRPr="000974F4">
        <w:rPr>
          <w:noProof/>
        </w:rPr>
        <w:t xml:space="preserve">Усвоените средства за </w:t>
      </w:r>
      <w:r w:rsidR="00A3741B" w:rsidRPr="000974F4">
        <w:rPr>
          <w:noProof/>
        </w:rPr>
        <w:t>деветмесечие</w:t>
      </w:r>
      <w:r w:rsidR="00A3741B">
        <w:rPr>
          <w:noProof/>
        </w:rPr>
        <w:t>то</w:t>
      </w:r>
      <w:r w:rsidRPr="000974F4">
        <w:rPr>
          <w:noProof/>
        </w:rPr>
        <w:t xml:space="preserve"> на 2020 г. са в размер на </w:t>
      </w:r>
      <w:r w:rsidR="00900FC5" w:rsidRPr="000974F4">
        <w:rPr>
          <w:noProof/>
        </w:rPr>
        <w:t>5</w:t>
      </w:r>
      <w:r w:rsidR="000974F4" w:rsidRPr="000974F4">
        <w:rPr>
          <w:noProof/>
        </w:rPr>
        <w:t>2</w:t>
      </w:r>
      <w:r w:rsidRPr="000974F4">
        <w:rPr>
          <w:noProof/>
        </w:rPr>
        <w:t>,</w:t>
      </w:r>
      <w:r w:rsidR="000974F4" w:rsidRPr="000974F4">
        <w:rPr>
          <w:noProof/>
        </w:rPr>
        <w:t>1</w:t>
      </w:r>
      <w:r w:rsidRPr="000974F4">
        <w:rPr>
          <w:noProof/>
        </w:rPr>
        <w:t xml:space="preserve"> млн. лв. или </w:t>
      </w:r>
      <w:r w:rsidR="000974F4" w:rsidRPr="000974F4">
        <w:rPr>
          <w:noProof/>
        </w:rPr>
        <w:t>37</w:t>
      </w:r>
      <w:r w:rsidRPr="000974F4">
        <w:rPr>
          <w:noProof/>
        </w:rPr>
        <w:t>,</w:t>
      </w:r>
      <w:r w:rsidR="000974F4" w:rsidRPr="000974F4">
        <w:rPr>
          <w:noProof/>
        </w:rPr>
        <w:t>5</w:t>
      </w:r>
      <w:r w:rsidRPr="000974F4">
        <w:rPr>
          <w:noProof/>
        </w:rPr>
        <w:t xml:space="preserve"> на сто от утвърдения годишен план.</w:t>
      </w:r>
      <w:r w:rsidRPr="000974F4">
        <w:t xml:space="preserve"> Средствата са предназначени за планов заводски (среден и капитален) ремонт на пътнически вагони</w:t>
      </w:r>
      <w:r w:rsidR="00F555A0">
        <w:t xml:space="preserve">, </w:t>
      </w:r>
      <w:r w:rsidR="00F555A0" w:rsidRPr="00F555A0">
        <w:t>подемен ремонт на електрически локомотиви и закупуване на нов подвижен състав</w:t>
      </w:r>
      <w:r w:rsidRPr="000974F4">
        <w:t>;</w:t>
      </w:r>
    </w:p>
    <w:p w:rsidR="00DD638A" w:rsidRPr="00582666" w:rsidRDefault="00DD638A" w:rsidP="007A2C8D">
      <w:pPr>
        <w:numPr>
          <w:ilvl w:val="1"/>
          <w:numId w:val="15"/>
        </w:numPr>
        <w:tabs>
          <w:tab w:val="clear" w:pos="1440"/>
          <w:tab w:val="num" w:pos="360"/>
          <w:tab w:val="left" w:pos="851"/>
        </w:tabs>
        <w:ind w:left="0" w:firstLine="426"/>
        <w:jc w:val="both"/>
      </w:pPr>
      <w:r w:rsidRPr="00582666">
        <w:rPr>
          <w:i/>
        </w:rPr>
        <w:t>капиталови трансфери за ДП „Пристанищна инфраструктура”</w:t>
      </w:r>
      <w:r w:rsidRPr="00582666">
        <w:rPr>
          <w:b/>
          <w:i/>
        </w:rPr>
        <w:t xml:space="preserve"> </w:t>
      </w:r>
      <w:r w:rsidRPr="00582666">
        <w:t>- инвестиционната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капиталови трансфери от държавния бюджет</w:t>
      </w:r>
      <w:r w:rsidRPr="00582666">
        <w:rPr>
          <w:noProof/>
        </w:rPr>
        <w:t>. Предвидените със ЗДБРБ за  20</w:t>
      </w:r>
      <w:r w:rsidRPr="00582666">
        <w:rPr>
          <w:noProof/>
          <w:lang w:val="en-US"/>
        </w:rPr>
        <w:t>20</w:t>
      </w:r>
      <w:r w:rsidRPr="00582666">
        <w:rPr>
          <w:noProof/>
        </w:rPr>
        <w:t xml:space="preserve"> г. средства са в размер на </w:t>
      </w:r>
      <w:r w:rsidRPr="00582666">
        <w:rPr>
          <w:noProof/>
          <w:lang w:val="en-US"/>
        </w:rPr>
        <w:t>1</w:t>
      </w:r>
      <w:r w:rsidRPr="00582666">
        <w:rPr>
          <w:noProof/>
        </w:rPr>
        <w:t xml:space="preserve">11,0 млн. лева. За </w:t>
      </w:r>
      <w:r w:rsidR="0026101F" w:rsidRPr="000974F4">
        <w:rPr>
          <w:noProof/>
        </w:rPr>
        <w:t>деветмесечие</w:t>
      </w:r>
      <w:r w:rsidR="0026101F">
        <w:rPr>
          <w:noProof/>
        </w:rPr>
        <w:t>то</w:t>
      </w:r>
      <w:r w:rsidR="0026101F" w:rsidRPr="000974F4">
        <w:rPr>
          <w:noProof/>
        </w:rPr>
        <w:t xml:space="preserve"> </w:t>
      </w:r>
      <w:r w:rsidRPr="00582666">
        <w:rPr>
          <w:noProof/>
        </w:rPr>
        <w:t xml:space="preserve">на 2020 г. са усвоени средства в размер на </w:t>
      </w:r>
      <w:r w:rsidR="00582666" w:rsidRPr="00582666">
        <w:rPr>
          <w:noProof/>
        </w:rPr>
        <w:t>19</w:t>
      </w:r>
      <w:r w:rsidRPr="00582666">
        <w:rPr>
          <w:noProof/>
        </w:rPr>
        <w:t>,</w:t>
      </w:r>
      <w:r w:rsidR="00582666" w:rsidRPr="00582666">
        <w:rPr>
          <w:noProof/>
        </w:rPr>
        <w:t>3</w:t>
      </w:r>
      <w:r w:rsidRPr="00582666">
        <w:rPr>
          <w:noProof/>
        </w:rPr>
        <w:t xml:space="preserve"> млн. лв. или </w:t>
      </w:r>
      <w:r w:rsidR="00582666" w:rsidRPr="00582666">
        <w:rPr>
          <w:noProof/>
        </w:rPr>
        <w:t>17</w:t>
      </w:r>
      <w:r w:rsidRPr="00582666">
        <w:rPr>
          <w:noProof/>
        </w:rPr>
        <w:t>,</w:t>
      </w:r>
      <w:r w:rsidR="00582666" w:rsidRPr="00582666">
        <w:rPr>
          <w:noProof/>
        </w:rPr>
        <w:t>4</w:t>
      </w:r>
      <w:r w:rsidRPr="00582666">
        <w:rPr>
          <w:noProof/>
        </w:rPr>
        <w:t xml:space="preserve"> на сто от годишния план</w:t>
      </w:r>
      <w:r w:rsidRPr="00582666">
        <w:t>;</w:t>
      </w:r>
    </w:p>
    <w:p w:rsidR="00DD638A" w:rsidRPr="00582666" w:rsidRDefault="00DD638A" w:rsidP="007A2C8D">
      <w:pPr>
        <w:numPr>
          <w:ilvl w:val="0"/>
          <w:numId w:val="16"/>
        </w:numPr>
        <w:tabs>
          <w:tab w:val="clear" w:pos="2157"/>
          <w:tab w:val="left" w:pos="360"/>
          <w:tab w:val="left" w:pos="851"/>
        </w:tabs>
        <w:ind w:left="0" w:firstLine="426"/>
        <w:jc w:val="both"/>
      </w:pPr>
      <w:r w:rsidRPr="00582666">
        <w:t>През 20</w:t>
      </w:r>
      <w:r w:rsidRPr="00582666">
        <w:rPr>
          <w:lang w:val="en-US"/>
        </w:rPr>
        <w:t>20</w:t>
      </w:r>
      <w:r w:rsidRPr="00582666">
        <w:t xml:space="preserve"> г. продължава изпълнението на Програмите за отстраняване на нанесени щети </w:t>
      </w:r>
      <w:r w:rsidRPr="00582666">
        <w:rPr>
          <w:noProof/>
        </w:rPr>
        <w:t>върху околната среда</w:t>
      </w:r>
      <w:r w:rsidRPr="00582666">
        <w:t>, настъпили от минали действия или бездействия, при приватизация. В ЗДБРБ за 20</w:t>
      </w:r>
      <w:r w:rsidRPr="00582666">
        <w:rPr>
          <w:lang w:val="en-US"/>
        </w:rPr>
        <w:t>20</w:t>
      </w:r>
      <w:r w:rsidRPr="00582666">
        <w:t xml:space="preserve"> г. за тези програми са предвидени 10,0 млн. лева. </w:t>
      </w:r>
      <w:r w:rsidRPr="00582666">
        <w:rPr>
          <w:noProof/>
        </w:rPr>
        <w:t xml:space="preserve">За </w:t>
      </w:r>
      <w:r w:rsidR="00582666" w:rsidRPr="00582666">
        <w:rPr>
          <w:noProof/>
        </w:rPr>
        <w:t>деветмесечието</w:t>
      </w:r>
      <w:r w:rsidR="003A774B" w:rsidRPr="00582666">
        <w:rPr>
          <w:noProof/>
        </w:rPr>
        <w:t xml:space="preserve"> </w:t>
      </w:r>
      <w:r w:rsidRPr="00582666">
        <w:rPr>
          <w:noProof/>
        </w:rPr>
        <w:t xml:space="preserve">на 2020 г. са усвоени </w:t>
      </w:r>
      <w:r w:rsidR="003A774B" w:rsidRPr="00582666">
        <w:rPr>
          <w:noProof/>
        </w:rPr>
        <w:t>1</w:t>
      </w:r>
      <w:r w:rsidRPr="00582666">
        <w:rPr>
          <w:noProof/>
        </w:rPr>
        <w:t>,</w:t>
      </w:r>
      <w:r w:rsidR="00582666" w:rsidRPr="00582666">
        <w:rPr>
          <w:noProof/>
        </w:rPr>
        <w:t>3</w:t>
      </w:r>
      <w:r w:rsidRPr="00582666">
        <w:rPr>
          <w:noProof/>
        </w:rPr>
        <w:t xml:space="preserve"> млн. лв. или </w:t>
      </w:r>
      <w:r w:rsidR="003A774B" w:rsidRPr="00582666">
        <w:rPr>
          <w:noProof/>
        </w:rPr>
        <w:t>1</w:t>
      </w:r>
      <w:r w:rsidR="00582666" w:rsidRPr="00582666">
        <w:rPr>
          <w:noProof/>
        </w:rPr>
        <w:t>3</w:t>
      </w:r>
      <w:r w:rsidRPr="00582666">
        <w:rPr>
          <w:noProof/>
        </w:rPr>
        <w:t>,</w:t>
      </w:r>
      <w:r w:rsidR="00582666" w:rsidRPr="00582666">
        <w:rPr>
          <w:noProof/>
        </w:rPr>
        <w:t>2</w:t>
      </w:r>
      <w:r w:rsidRPr="00582666">
        <w:rPr>
          <w:noProof/>
        </w:rPr>
        <w:t xml:space="preserve"> на сто от годишния план.</w:t>
      </w:r>
      <w:r w:rsidRPr="00582666">
        <w:t xml:space="preserve">  </w:t>
      </w:r>
    </w:p>
    <w:p w:rsidR="00DD638A" w:rsidRPr="004A3BEC" w:rsidRDefault="00DD638A" w:rsidP="007A2C8D">
      <w:pPr>
        <w:jc w:val="both"/>
        <w:rPr>
          <w:color w:val="4F81BD" w:themeColor="accent1"/>
          <w:sz w:val="8"/>
          <w:szCs w:val="8"/>
        </w:rPr>
      </w:pPr>
    </w:p>
    <w:p w:rsidR="00DD638A" w:rsidRPr="004A3BEC" w:rsidRDefault="00DD638A" w:rsidP="007A2C8D">
      <w:pPr>
        <w:jc w:val="both"/>
        <w:rPr>
          <w:color w:val="4F81BD" w:themeColor="accent1"/>
          <w:sz w:val="8"/>
          <w:szCs w:val="8"/>
          <w:highlight w:val="yellow"/>
        </w:rPr>
      </w:pPr>
    </w:p>
    <w:p w:rsidR="00DD638A" w:rsidRPr="00582666" w:rsidRDefault="00DD638A" w:rsidP="007A2C8D">
      <w:pPr>
        <w:jc w:val="both"/>
      </w:pPr>
      <w:r w:rsidRPr="00582666">
        <w:rPr>
          <w:b/>
          <w:bCs/>
        </w:rPr>
        <w:t>Други разходи по централния бюджет</w:t>
      </w:r>
      <w:r w:rsidRPr="00582666">
        <w:t xml:space="preserve"> предназначени за: </w:t>
      </w:r>
    </w:p>
    <w:p w:rsidR="00DD638A" w:rsidRPr="004A3BEC" w:rsidRDefault="00DD638A" w:rsidP="007A2C8D">
      <w:pPr>
        <w:jc w:val="both"/>
        <w:rPr>
          <w:color w:val="4F81BD" w:themeColor="accent1"/>
          <w:sz w:val="8"/>
          <w:szCs w:val="8"/>
        </w:rPr>
      </w:pPr>
    </w:p>
    <w:p w:rsidR="00DD638A" w:rsidRPr="00C81C20" w:rsidRDefault="00DD638A" w:rsidP="007A2C8D">
      <w:pPr>
        <w:numPr>
          <w:ilvl w:val="0"/>
          <w:numId w:val="5"/>
        </w:numPr>
        <w:tabs>
          <w:tab w:val="clear" w:pos="1440"/>
          <w:tab w:val="num" w:pos="360"/>
          <w:tab w:val="left" w:pos="851"/>
        </w:tabs>
        <w:ind w:left="0" w:firstLine="426"/>
        <w:jc w:val="both"/>
        <w:rPr>
          <w:sz w:val="8"/>
          <w:szCs w:val="8"/>
        </w:rPr>
      </w:pPr>
      <w:r w:rsidRPr="00C81C20">
        <w:rPr>
          <w:i/>
        </w:rPr>
        <w:t>Компенсиране</w:t>
      </w:r>
      <w:r w:rsidR="00D67216" w:rsidRPr="00C81C20">
        <w:rPr>
          <w:i/>
        </w:rPr>
        <w:t xml:space="preserve"> </w:t>
      </w:r>
      <w:r w:rsidRPr="00C81C20">
        <w:rPr>
          <w:i/>
        </w:rPr>
        <w:t xml:space="preserve">на </w:t>
      </w:r>
      <w:r w:rsidRPr="00C81C20">
        <w:rPr>
          <w:bCs/>
          <w:i/>
        </w:rPr>
        <w:t>намалените приходи от прилагането на цени за пътуване, предвидени в нормативни актове за определени категории пътници</w:t>
      </w:r>
      <w:r w:rsidRPr="00C81C20">
        <w:rPr>
          <w:i/>
        </w:rPr>
        <w:t xml:space="preserve"> по железопътния и автомобилния транспорт, със средства от държавния бюджет</w:t>
      </w:r>
      <w:r w:rsidRPr="00C81C20">
        <w:t xml:space="preserve"> - предвидените средства са общо в размер на </w:t>
      </w:r>
      <w:r w:rsidRPr="00C81C20">
        <w:rPr>
          <w:lang w:val="en-US"/>
        </w:rPr>
        <w:t>118</w:t>
      </w:r>
      <w:r w:rsidRPr="00C81C20">
        <w:t>,</w:t>
      </w:r>
      <w:r w:rsidRPr="00C81C20">
        <w:rPr>
          <w:lang w:val="en-US"/>
        </w:rPr>
        <w:t>8</w:t>
      </w:r>
      <w:r w:rsidRPr="00C81C20">
        <w:t xml:space="preserve"> млн. лв., от които 4</w:t>
      </w:r>
      <w:r w:rsidRPr="00C81C20">
        <w:rPr>
          <w:lang w:val="en-US"/>
        </w:rPr>
        <w:t>5,</w:t>
      </w:r>
      <w:r w:rsidRPr="00C81C20">
        <w:t>0</w:t>
      </w:r>
      <w:r w:rsidRPr="00C81C20">
        <w:rPr>
          <w:lang w:val="en-US"/>
        </w:rPr>
        <w:t xml:space="preserve"> </w:t>
      </w:r>
      <w:r w:rsidRPr="00C81C20">
        <w:t xml:space="preserve">млн. лв. </w:t>
      </w:r>
      <w:r w:rsidRPr="00C81C20">
        <w:rPr>
          <w:noProof/>
        </w:rPr>
        <w:t xml:space="preserve">за пътувания с вътрешноградския </w:t>
      </w:r>
      <w:r w:rsidRPr="00C81C20">
        <w:rPr>
          <w:noProof/>
        </w:rPr>
        <w:lastRenderedPageBreak/>
        <w:t>транспорт и междуселищния автомобилен транспорт, 4</w:t>
      </w:r>
      <w:r w:rsidRPr="00C81C20">
        <w:rPr>
          <w:noProof/>
          <w:lang w:val="en-US"/>
        </w:rPr>
        <w:t>4</w:t>
      </w:r>
      <w:r w:rsidRPr="00C81C20">
        <w:rPr>
          <w:noProof/>
        </w:rPr>
        <w:t>,0 млн. лв. за транспорт на деца и ученици по чл. 283, ал. 2 от Закона за предучилищното и училищното образование, 16,</w:t>
      </w:r>
      <w:r w:rsidRPr="00C81C20">
        <w:rPr>
          <w:noProof/>
          <w:lang w:val="en-US"/>
        </w:rPr>
        <w:t>8</w:t>
      </w:r>
      <w:r w:rsidRPr="00C81C20">
        <w:rPr>
          <w:noProof/>
        </w:rPr>
        <w:t xml:space="preserve"> млн. лв. за превоз на служители, ползващи право на безплатно пътуване при изпълнение на служебните си задължения</w:t>
      </w:r>
      <w:r w:rsidR="00D67216" w:rsidRPr="00C81C20">
        <w:rPr>
          <w:noProof/>
          <w:lang w:val="en-US"/>
        </w:rPr>
        <w:t>,</w:t>
      </w:r>
      <w:r w:rsidRPr="00C81C20">
        <w:rPr>
          <w:noProof/>
        </w:rPr>
        <w:t xml:space="preserve"> и 13,0 млн. лв. за пътувания с железопътния транспорт.</w:t>
      </w:r>
      <w:r w:rsidRPr="00C81C20">
        <w:t xml:space="preserve"> </w:t>
      </w:r>
      <w:r w:rsidRPr="00C81C20">
        <w:rPr>
          <w:noProof/>
        </w:rPr>
        <w:t xml:space="preserve">Усвоените средства за </w:t>
      </w:r>
      <w:r w:rsidR="0009653C" w:rsidRPr="000974F4">
        <w:rPr>
          <w:noProof/>
        </w:rPr>
        <w:t>деветмесечие</w:t>
      </w:r>
      <w:r w:rsidR="0009653C">
        <w:rPr>
          <w:noProof/>
        </w:rPr>
        <w:t>то</w:t>
      </w:r>
      <w:r w:rsidR="0009653C" w:rsidRPr="000974F4">
        <w:rPr>
          <w:noProof/>
        </w:rPr>
        <w:t xml:space="preserve"> </w:t>
      </w:r>
      <w:r w:rsidRPr="00C81C20">
        <w:t>на 2020</w:t>
      </w:r>
      <w:r w:rsidRPr="00C81C20">
        <w:rPr>
          <w:noProof/>
        </w:rPr>
        <w:t xml:space="preserve"> г. са общо в размер на </w:t>
      </w:r>
      <w:r w:rsidR="00C81C20" w:rsidRPr="00C81C20">
        <w:rPr>
          <w:noProof/>
        </w:rPr>
        <w:t>68</w:t>
      </w:r>
      <w:r w:rsidRPr="00C81C20">
        <w:rPr>
          <w:noProof/>
        </w:rPr>
        <w:t>,</w:t>
      </w:r>
      <w:r w:rsidR="00C81C20" w:rsidRPr="00C81C20">
        <w:rPr>
          <w:noProof/>
        </w:rPr>
        <w:t>2</w:t>
      </w:r>
      <w:r w:rsidRPr="00C81C20">
        <w:rPr>
          <w:noProof/>
        </w:rPr>
        <w:t xml:space="preserve"> млн. лв. или </w:t>
      </w:r>
      <w:r w:rsidR="00C81C20" w:rsidRPr="00C81C20">
        <w:rPr>
          <w:noProof/>
        </w:rPr>
        <w:t>57</w:t>
      </w:r>
      <w:r w:rsidRPr="00C81C20">
        <w:rPr>
          <w:noProof/>
        </w:rPr>
        <w:t>,</w:t>
      </w:r>
      <w:r w:rsidR="00C81C20" w:rsidRPr="00C81C20">
        <w:rPr>
          <w:noProof/>
        </w:rPr>
        <w:t>4</w:t>
      </w:r>
      <w:r w:rsidRPr="00C81C20">
        <w:rPr>
          <w:noProof/>
        </w:rPr>
        <w:t xml:space="preserve"> на сто от годишния разчет.</w:t>
      </w:r>
      <w:r w:rsidRPr="00C81C20">
        <w:t xml:space="preserve"> </w:t>
      </w:r>
    </w:p>
    <w:p w:rsidR="00DD638A" w:rsidRPr="00C81C20" w:rsidRDefault="00DD638A" w:rsidP="007A2C8D">
      <w:pPr>
        <w:tabs>
          <w:tab w:val="left" w:pos="851"/>
        </w:tabs>
        <w:jc w:val="both"/>
      </w:pPr>
      <w:r w:rsidRPr="00C81C20">
        <w:t xml:space="preserve">Усвоените средства към </w:t>
      </w:r>
      <w:r w:rsidR="00DF33BA" w:rsidRPr="00C81C20">
        <w:t>30.0</w:t>
      </w:r>
      <w:r w:rsidR="00C81C20" w:rsidRPr="00C81C20">
        <w:t>9</w:t>
      </w:r>
      <w:r w:rsidRPr="00C81C20">
        <w:t xml:space="preserve">.2020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C81C20">
        <w:rPr>
          <w:noProof/>
        </w:rPr>
        <w:t xml:space="preserve">вътрешноградски транспорт и междуселищен </w:t>
      </w:r>
      <w:r w:rsidRPr="00C81C20">
        <w:t>автомобилен транспорт или железопътен транспорт, съгласно ПМС № 3</w:t>
      </w:r>
      <w:r w:rsidRPr="00C81C20">
        <w:rPr>
          <w:lang w:val="en-US"/>
        </w:rPr>
        <w:t>81</w:t>
      </w:r>
      <w:r w:rsidR="0001448B">
        <w:t xml:space="preserve"> от </w:t>
      </w:r>
      <w:r w:rsidRPr="00C81C20">
        <w:t>201</w:t>
      </w:r>
      <w:r w:rsidRPr="00C81C20">
        <w:rPr>
          <w:lang w:val="en-US"/>
        </w:rPr>
        <w:t>9</w:t>
      </w:r>
      <w:r w:rsidRPr="00C81C20">
        <w:t xml:space="preserve"> г. за изпълнението на държавния бюджет на Република България за 20</w:t>
      </w:r>
      <w:r w:rsidRPr="00C81C20">
        <w:rPr>
          <w:lang w:val="en-US"/>
        </w:rPr>
        <w:t>20</w:t>
      </w:r>
      <w:r w:rsidRPr="00C81C20">
        <w:t xml:space="preserve"> г., са както следва:</w:t>
      </w:r>
    </w:p>
    <w:p w:rsidR="00DD638A" w:rsidRPr="00C81C20" w:rsidRDefault="00DD638A" w:rsidP="007A2C8D">
      <w:pPr>
        <w:ind w:firstLine="426"/>
        <w:jc w:val="both"/>
      </w:pPr>
      <w:r w:rsidRPr="00C81C20">
        <w:t xml:space="preserve">- компенсации за пътувания с железопътния транспорт в размер на </w:t>
      </w:r>
      <w:r w:rsidR="00C81C20" w:rsidRPr="00C81C20">
        <w:t>3</w:t>
      </w:r>
      <w:r w:rsidRPr="00C81C20">
        <w:t>,</w:t>
      </w:r>
      <w:r w:rsidR="00C81C20" w:rsidRPr="00C81C20">
        <w:t>5</w:t>
      </w:r>
      <w:r w:rsidRPr="00C81C20">
        <w:t xml:space="preserve"> млн. лв.,  което е </w:t>
      </w:r>
      <w:r w:rsidR="00C81C20" w:rsidRPr="00C81C20">
        <w:t>27</w:t>
      </w:r>
      <w:r w:rsidRPr="00C81C20">
        <w:t>,</w:t>
      </w:r>
      <w:r w:rsidR="00A32198">
        <w:t>2</w:t>
      </w:r>
      <w:r w:rsidRPr="00C81C20">
        <w:t xml:space="preserve"> на сто от утвърдения годишен план; </w:t>
      </w:r>
    </w:p>
    <w:p w:rsidR="00DD638A" w:rsidRPr="00C81C20" w:rsidRDefault="00DD638A" w:rsidP="007A2C8D">
      <w:pPr>
        <w:tabs>
          <w:tab w:val="left" w:pos="540"/>
          <w:tab w:val="left" w:pos="709"/>
        </w:tabs>
        <w:ind w:firstLine="426"/>
        <w:jc w:val="both"/>
        <w:rPr>
          <w:noProof/>
        </w:rPr>
      </w:pPr>
      <w:r w:rsidRPr="00C81C20">
        <w:rPr>
          <w:noProof/>
        </w:rPr>
        <w:t xml:space="preserve">- компенсации за пътувания с вътрешноградски транспорт и междуселищния автомобилен транспорт в страната, предоставени чрез Системата за електронни бюджетни разплащания – </w:t>
      </w:r>
      <w:r w:rsidR="00C81C20" w:rsidRPr="00C81C20">
        <w:rPr>
          <w:noProof/>
        </w:rPr>
        <w:t>64</w:t>
      </w:r>
      <w:r w:rsidRPr="00C81C20">
        <w:rPr>
          <w:noProof/>
        </w:rPr>
        <w:t>,</w:t>
      </w:r>
      <w:r w:rsidR="00A32198">
        <w:rPr>
          <w:noProof/>
        </w:rPr>
        <w:t>7</w:t>
      </w:r>
      <w:r w:rsidRPr="00C81C20">
        <w:rPr>
          <w:noProof/>
        </w:rPr>
        <w:t xml:space="preserve"> млн. лв., което е </w:t>
      </w:r>
      <w:r w:rsidR="00C81C20" w:rsidRPr="00C81C20">
        <w:rPr>
          <w:noProof/>
        </w:rPr>
        <w:t>61</w:t>
      </w:r>
      <w:r w:rsidRPr="00C81C20">
        <w:rPr>
          <w:noProof/>
        </w:rPr>
        <w:t>,</w:t>
      </w:r>
      <w:r w:rsidR="00C81C20" w:rsidRPr="00C81C20">
        <w:rPr>
          <w:noProof/>
        </w:rPr>
        <w:t>1</w:t>
      </w:r>
      <w:r w:rsidRPr="00C81C20">
        <w:rPr>
          <w:noProof/>
        </w:rPr>
        <w:t xml:space="preserve"> на сто от </w:t>
      </w:r>
      <w:r w:rsidRPr="00C81C20">
        <w:t>утвърдения</w:t>
      </w:r>
      <w:r w:rsidRPr="00C81C20">
        <w:rPr>
          <w:noProof/>
        </w:rPr>
        <w:t xml:space="preserve"> годишен план. </w:t>
      </w:r>
    </w:p>
    <w:p w:rsidR="00DD638A" w:rsidRPr="00C81C20" w:rsidRDefault="00DD638A" w:rsidP="007A2C8D">
      <w:pPr>
        <w:ind w:firstLine="426"/>
        <w:jc w:val="both"/>
        <w:rPr>
          <w:noProof/>
        </w:rPr>
      </w:pPr>
      <w:r w:rsidRPr="00C81C20">
        <w:rPr>
          <w:noProof/>
        </w:rPr>
        <w:t xml:space="preserve">Усвоените средства за </w:t>
      </w:r>
      <w:r w:rsidRPr="00C81C20">
        <w:t>компенсиране на намалените приходи от прилагането на цени за пътуване, предвидени в нормативни актове за определени категории пътници,</w:t>
      </w:r>
      <w:r w:rsidRPr="00C81C20">
        <w:rPr>
          <w:noProof/>
        </w:rPr>
        <w:t xml:space="preserve"> по вътрешноградския транспорт и междуселищния автомобилен транспорт за </w:t>
      </w:r>
      <w:r w:rsidR="00344E8A" w:rsidRPr="00582666">
        <w:rPr>
          <w:noProof/>
        </w:rPr>
        <w:t xml:space="preserve">деветмесечието </w:t>
      </w:r>
      <w:r w:rsidRPr="00C81C20">
        <w:rPr>
          <w:noProof/>
        </w:rPr>
        <w:t>на 2020 г., диференцирани по групи правоимащи лица и размер на намалението спрямо редовната цена, са както следва:</w:t>
      </w:r>
    </w:p>
    <w:p w:rsidR="00DD638A" w:rsidRPr="00C81C20" w:rsidRDefault="00DD638A" w:rsidP="007A2C8D">
      <w:pPr>
        <w:pStyle w:val="BodyTextIndent"/>
        <w:spacing w:after="0"/>
        <w:ind w:left="0" w:firstLine="426"/>
        <w:jc w:val="both"/>
      </w:pPr>
      <w:r w:rsidRPr="00C81C20">
        <w:t xml:space="preserve">- </w:t>
      </w:r>
      <w:r w:rsidR="0027457A" w:rsidRPr="00C81C20">
        <w:t>2</w:t>
      </w:r>
      <w:r w:rsidRPr="00C81C20">
        <w:rPr>
          <w:lang w:val="en-US"/>
        </w:rPr>
        <w:t>3</w:t>
      </w:r>
      <w:r w:rsidRPr="00C81C20">
        <w:t>,</w:t>
      </w:r>
      <w:r w:rsidR="0027457A" w:rsidRPr="00C81C20">
        <w:t>0</w:t>
      </w:r>
      <w:r w:rsidRPr="00C81C20">
        <w:rPr>
          <w:lang w:val="en-US"/>
        </w:rPr>
        <w:t xml:space="preserve"> </w:t>
      </w:r>
      <w:r w:rsidRPr="00C81C20">
        <w:t xml:space="preserve">млн. лв. за транспорт на деца и ученици в съответствие с чл. 283, ал. 2 от Закона за предучилищното и училищното образование, което е </w:t>
      </w:r>
      <w:r w:rsidR="0027457A" w:rsidRPr="00C81C20">
        <w:t>52</w:t>
      </w:r>
      <w:r w:rsidRPr="00C81C20">
        <w:t>,</w:t>
      </w:r>
      <w:r w:rsidR="0027457A" w:rsidRPr="00C81C20">
        <w:t>2</w:t>
      </w:r>
      <w:r w:rsidRPr="00C81C20">
        <w:t xml:space="preserve"> на сто от утвърдения годишен план; </w:t>
      </w:r>
    </w:p>
    <w:p w:rsidR="00DD638A" w:rsidRPr="00C81C20" w:rsidRDefault="00DD638A" w:rsidP="007A2C8D">
      <w:pPr>
        <w:pStyle w:val="BodyTextIndent"/>
        <w:tabs>
          <w:tab w:val="left" w:pos="1026"/>
        </w:tabs>
        <w:spacing w:after="0"/>
        <w:ind w:left="0" w:firstLine="426"/>
        <w:jc w:val="both"/>
      </w:pPr>
      <w:r w:rsidRPr="00C81C20">
        <w:t xml:space="preserve">- </w:t>
      </w:r>
      <w:r w:rsidR="00C81C20" w:rsidRPr="00C81C20">
        <w:t>41</w:t>
      </w:r>
      <w:r w:rsidRPr="00C81C20">
        <w:t>,</w:t>
      </w:r>
      <w:r w:rsidR="00C81C20" w:rsidRPr="00C81C20">
        <w:t>7</w:t>
      </w:r>
      <w:r w:rsidRPr="00C81C20">
        <w:t xml:space="preserve"> млн. лв. за безплатни и по намалени цени пътувания по общини. Следва да се има предвид, че по пътя на изпълнението тези разходи се отчитат като текущи трансфери, обезщетения и помощи за домакинствата по бюджетите на общините. Изпълнението спрямо годишния план е </w:t>
      </w:r>
      <w:r w:rsidR="0027457A" w:rsidRPr="00C81C20">
        <w:t>6</w:t>
      </w:r>
      <w:r w:rsidR="00C81C20" w:rsidRPr="00C81C20">
        <w:t>7</w:t>
      </w:r>
      <w:r w:rsidRPr="00C81C20">
        <w:t>,</w:t>
      </w:r>
      <w:r w:rsidR="00C81C20" w:rsidRPr="00C81C20">
        <w:t>4</w:t>
      </w:r>
      <w:r w:rsidRPr="00C81C20">
        <w:t xml:space="preserve"> на сто, в това число:</w:t>
      </w:r>
    </w:p>
    <w:p w:rsidR="00DD638A" w:rsidRPr="00A32198" w:rsidRDefault="00C81C20" w:rsidP="00C4077C">
      <w:pPr>
        <w:numPr>
          <w:ilvl w:val="0"/>
          <w:numId w:val="19"/>
        </w:numPr>
        <w:tabs>
          <w:tab w:val="left" w:pos="1276"/>
        </w:tabs>
        <w:ind w:left="1134" w:hanging="283"/>
        <w:jc w:val="both"/>
      </w:pPr>
      <w:r w:rsidRPr="00A32198">
        <w:t>29</w:t>
      </w:r>
      <w:r w:rsidR="00DD638A" w:rsidRPr="00A32198">
        <w:rPr>
          <w:lang w:val="en-US"/>
        </w:rPr>
        <w:t>,</w:t>
      </w:r>
      <w:r w:rsidRPr="00A32198">
        <w:t>1</w:t>
      </w:r>
      <w:r w:rsidR="00DD638A" w:rsidRPr="00A32198">
        <w:t xml:space="preserve">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w:t>
      </w:r>
      <w:r w:rsidR="00A32198" w:rsidRPr="00A32198">
        <w:t>6</w:t>
      </w:r>
      <w:r w:rsidR="0027457A" w:rsidRPr="00A32198">
        <w:t>4</w:t>
      </w:r>
      <w:r w:rsidR="00DD638A" w:rsidRPr="00A32198">
        <w:t>,</w:t>
      </w:r>
      <w:r w:rsidR="00A32198" w:rsidRPr="00A32198">
        <w:t>6</w:t>
      </w:r>
      <w:r w:rsidR="00DD638A" w:rsidRPr="00A32198">
        <w:t xml:space="preserve"> на сто спрямо утвърдения годишен план; </w:t>
      </w:r>
    </w:p>
    <w:p w:rsidR="00DD638A" w:rsidRPr="00A32198" w:rsidRDefault="00A32198" w:rsidP="00C4077C">
      <w:pPr>
        <w:numPr>
          <w:ilvl w:val="0"/>
          <w:numId w:val="19"/>
        </w:numPr>
        <w:tabs>
          <w:tab w:val="num" w:pos="360"/>
          <w:tab w:val="left" w:pos="1276"/>
        </w:tabs>
        <w:ind w:left="1134" w:hanging="283"/>
        <w:jc w:val="both"/>
      </w:pPr>
      <w:r w:rsidRPr="00A32198">
        <w:t>12</w:t>
      </w:r>
      <w:r w:rsidR="00DD638A" w:rsidRPr="00A32198">
        <w:t>,</w:t>
      </w:r>
      <w:r w:rsidRPr="00A32198">
        <w:t>6</w:t>
      </w:r>
      <w:r w:rsidR="00DD638A" w:rsidRPr="00A32198">
        <w:t xml:space="preserve"> млн. лв. за превоз на служители, ползващи право на безплатно пътуване при изпълнение на служебните си задължения, което е </w:t>
      </w:r>
      <w:r w:rsidRPr="00A32198">
        <w:t>75</w:t>
      </w:r>
      <w:r w:rsidR="00DD638A" w:rsidRPr="00A32198">
        <w:t>,</w:t>
      </w:r>
      <w:r w:rsidRPr="00A32198">
        <w:t>1</w:t>
      </w:r>
      <w:r w:rsidR="00DD638A" w:rsidRPr="00A32198">
        <w:t xml:space="preserve"> от годишния план.</w:t>
      </w:r>
    </w:p>
    <w:p w:rsidR="00333B5E" w:rsidRPr="004A3BEC" w:rsidRDefault="00333B5E" w:rsidP="007A2C8D">
      <w:pPr>
        <w:jc w:val="both"/>
        <w:rPr>
          <w:color w:val="4F81BD" w:themeColor="accent1"/>
          <w:sz w:val="12"/>
          <w:szCs w:val="12"/>
        </w:rPr>
      </w:pPr>
    </w:p>
    <w:p w:rsidR="007D19B9" w:rsidRPr="00E64C21" w:rsidRDefault="007D19B9" w:rsidP="007D19B9">
      <w:pPr>
        <w:numPr>
          <w:ilvl w:val="0"/>
          <w:numId w:val="7"/>
        </w:numPr>
        <w:spacing w:after="120"/>
        <w:ind w:left="0" w:firstLine="360"/>
        <w:jc w:val="both"/>
        <w:rPr>
          <w:b/>
          <w:lang w:eastAsia="bg-BG"/>
        </w:rPr>
      </w:pPr>
      <w:r w:rsidRPr="00E64C21">
        <w:rPr>
          <w:b/>
          <w:lang w:eastAsia="bg-BG"/>
        </w:rPr>
        <w:t xml:space="preserve">Разходи за лихви </w:t>
      </w:r>
    </w:p>
    <w:p w:rsidR="007D19B9" w:rsidRPr="00E64C21" w:rsidRDefault="007D19B9" w:rsidP="007D19B9">
      <w:pPr>
        <w:spacing w:after="120"/>
        <w:jc w:val="both"/>
        <w:rPr>
          <w:lang w:eastAsia="bg-BG"/>
        </w:rPr>
      </w:pPr>
      <w:r w:rsidRPr="00E64C21">
        <w:rPr>
          <w:b/>
          <w:lang w:eastAsia="bg-BG"/>
        </w:rPr>
        <w:t xml:space="preserve">Лихвените плащания </w:t>
      </w:r>
      <w:r w:rsidRPr="00E64C21">
        <w:rPr>
          <w:lang w:eastAsia="bg-BG"/>
        </w:rPr>
        <w:t xml:space="preserve">по държавния бюджет към 30.09.2020 г. са в общ размер на </w:t>
      </w:r>
      <w:r w:rsidRPr="00E64C21">
        <w:rPr>
          <w:b/>
          <w:lang w:eastAsia="bg-BG"/>
        </w:rPr>
        <w:t>525,9 млн. лв</w:t>
      </w:r>
      <w:r w:rsidRPr="00E64C21">
        <w:rPr>
          <w:lang w:eastAsia="bg-BG"/>
        </w:rPr>
        <w:t xml:space="preserve">. или 76,0 % от предвидените в годишните разчети. </w:t>
      </w:r>
    </w:p>
    <w:p w:rsidR="007D19B9" w:rsidRPr="00E64C21" w:rsidRDefault="007D19B9" w:rsidP="007D19B9">
      <w:pPr>
        <w:spacing w:after="120"/>
        <w:jc w:val="both"/>
        <w:rPr>
          <w:color w:val="0070C0"/>
          <w:lang w:eastAsia="bg-BG"/>
        </w:rPr>
      </w:pPr>
      <w:r w:rsidRPr="00E64C21">
        <w:rPr>
          <w:lang w:eastAsia="bg-BG"/>
        </w:rPr>
        <w:t xml:space="preserve">Разходите за </w:t>
      </w:r>
      <w:r w:rsidRPr="00E64C21">
        <w:rPr>
          <w:b/>
          <w:lang w:eastAsia="bg-BG"/>
        </w:rPr>
        <w:t>лихви по външни заеми</w:t>
      </w:r>
      <w:r w:rsidRPr="00E64C21">
        <w:rPr>
          <w:lang w:eastAsia="bg-BG"/>
        </w:rPr>
        <w:t xml:space="preserve"> са в размер на </w:t>
      </w:r>
      <w:r w:rsidRPr="00E64C21">
        <w:rPr>
          <w:b/>
          <w:lang w:eastAsia="bg-BG"/>
        </w:rPr>
        <w:t>373,4 млн. лв.,</w:t>
      </w:r>
      <w:r w:rsidRPr="00E64C21">
        <w:rPr>
          <w:lang w:eastAsia="bg-BG"/>
        </w:rPr>
        <w:t xml:space="preserve"> в т.ч. 351,8 млн. лв. по централния бюджет. Разходите за лихви по ДИЗ, управлявани от министерства и ведомства са в размер на 21,7 млн. лв. </w:t>
      </w:r>
      <w:r w:rsidRPr="00E64C21">
        <w:rPr>
          <w:lang w:val="en-US" w:eastAsia="bg-BG"/>
        </w:rPr>
        <w:t>(</w:t>
      </w:r>
      <w:proofErr w:type="gramStart"/>
      <w:r w:rsidRPr="00E64C21">
        <w:rPr>
          <w:lang w:eastAsia="bg-BG"/>
        </w:rPr>
        <w:t>от</w:t>
      </w:r>
      <w:proofErr w:type="gramEnd"/>
      <w:r w:rsidRPr="00E64C21">
        <w:rPr>
          <w:lang w:eastAsia="bg-BG"/>
        </w:rPr>
        <w:t xml:space="preserve"> които 1,7 млн. лв. са по заемите с краен бенефициент търговско дружество</w:t>
      </w:r>
      <w:r w:rsidRPr="00E64C21">
        <w:rPr>
          <w:lang w:val="en-US" w:eastAsia="bg-BG"/>
        </w:rPr>
        <w:t>)</w:t>
      </w:r>
      <w:r w:rsidRPr="00E64C21">
        <w:rPr>
          <w:lang w:eastAsia="bg-BG"/>
        </w:rPr>
        <w:t>.</w:t>
      </w:r>
    </w:p>
    <w:p w:rsidR="007D19B9" w:rsidRPr="00E64C21" w:rsidRDefault="007D19B9" w:rsidP="007D19B9">
      <w:pPr>
        <w:spacing w:after="120"/>
        <w:jc w:val="both"/>
        <w:rPr>
          <w:b/>
          <w:lang w:eastAsia="bg-BG"/>
        </w:rPr>
      </w:pPr>
      <w:r w:rsidRPr="00E64C21">
        <w:rPr>
          <w:lang w:eastAsia="bg-BG"/>
        </w:rPr>
        <w:t>През отчетния период не са използвани средства, предвидени за покриване на риска от активиране на държавни гаранции.</w:t>
      </w:r>
      <w:r w:rsidRPr="00E64C21">
        <w:rPr>
          <w:b/>
          <w:lang w:eastAsia="bg-BG"/>
        </w:rPr>
        <w:t xml:space="preserve"> </w:t>
      </w:r>
    </w:p>
    <w:p w:rsidR="007D19B9" w:rsidRPr="00E64C21" w:rsidRDefault="007D19B9" w:rsidP="007D19B9">
      <w:pPr>
        <w:spacing w:after="60"/>
        <w:jc w:val="both"/>
        <w:rPr>
          <w:lang w:eastAsia="bg-BG"/>
        </w:rPr>
      </w:pPr>
      <w:r w:rsidRPr="00E64C21">
        <w:rPr>
          <w:b/>
          <w:lang w:eastAsia="bg-BG"/>
        </w:rPr>
        <w:t>Лихвите по вътрешни заеми</w:t>
      </w:r>
      <w:r w:rsidRPr="00E64C21">
        <w:rPr>
          <w:lang w:eastAsia="bg-BG"/>
        </w:rPr>
        <w:t xml:space="preserve"> по държавния бюджет </w:t>
      </w:r>
      <w:r w:rsidRPr="00E64C21">
        <w:rPr>
          <w:bCs/>
          <w:lang w:eastAsia="bg-BG"/>
        </w:rPr>
        <w:t xml:space="preserve">към септември </w:t>
      </w:r>
      <w:r w:rsidRPr="00E64C21">
        <w:rPr>
          <w:lang w:eastAsia="bg-BG"/>
        </w:rPr>
        <w:t xml:space="preserve">2020 г. са в размер на </w:t>
      </w:r>
      <w:r w:rsidRPr="00E64C21">
        <w:rPr>
          <w:b/>
          <w:lang w:eastAsia="bg-BG"/>
        </w:rPr>
        <w:t>152,5</w:t>
      </w:r>
      <w:r w:rsidRPr="00E64C21">
        <w:rPr>
          <w:rFonts w:eastAsia="Calibri"/>
          <w:b/>
        </w:rPr>
        <w:t>  </w:t>
      </w:r>
      <w:r w:rsidRPr="00E64C21">
        <w:rPr>
          <w:b/>
          <w:lang w:eastAsia="bg-BG"/>
        </w:rPr>
        <w:t>млн. лв.</w:t>
      </w:r>
      <w:r w:rsidRPr="00E64C21">
        <w:rPr>
          <w:lang w:eastAsia="bg-BG"/>
        </w:rPr>
        <w:t xml:space="preserve"> и представляват лихви по емисии на ДЦК на вътрешния пазар. Платените лихви и отстъпки по ДЦК, емитирани на аукционен принцип са в размер на 170,0 млн. лв. Реализираните при аукционите премии над номинала от емисии ДЦК към 30.09.2020 г. (отчетени в намаление на разходите за лихви по вътрешния дълг) са в размер на (-17,6) млн. лева.</w:t>
      </w:r>
    </w:p>
    <w:p w:rsidR="007D19B9" w:rsidRPr="00E64C21" w:rsidRDefault="007D19B9" w:rsidP="00C4077C">
      <w:pPr>
        <w:numPr>
          <w:ilvl w:val="0"/>
          <w:numId w:val="26"/>
        </w:numPr>
        <w:spacing w:before="120" w:after="120"/>
        <w:ind w:left="425" w:hanging="425"/>
        <w:jc w:val="both"/>
        <w:rPr>
          <w:b/>
          <w:bCs/>
          <w:lang w:eastAsia="bg-BG"/>
        </w:rPr>
      </w:pPr>
      <w:r w:rsidRPr="00E64C21">
        <w:rPr>
          <w:b/>
          <w:bCs/>
          <w:lang w:eastAsia="bg-BG"/>
        </w:rPr>
        <w:t>Нетният размер на трансферите по държавния бюджет</w:t>
      </w:r>
      <w:r w:rsidRPr="00E64C21">
        <w:rPr>
          <w:bCs/>
          <w:lang w:eastAsia="bg-BG"/>
        </w:rPr>
        <w:t xml:space="preserve">  към септември </w:t>
      </w:r>
      <w:r w:rsidRPr="00E64C21">
        <w:rPr>
          <w:lang w:eastAsia="bg-BG"/>
        </w:rPr>
        <w:t>2020 г.</w:t>
      </w:r>
      <w:r w:rsidRPr="00E64C21">
        <w:rPr>
          <w:bCs/>
          <w:lang w:eastAsia="bg-BG"/>
        </w:rPr>
        <w:t xml:space="preserve"> е</w:t>
      </w:r>
      <w:r w:rsidRPr="00E64C21">
        <w:rPr>
          <w:b/>
          <w:bCs/>
          <w:lang w:eastAsia="bg-BG"/>
        </w:rPr>
        <w:t xml:space="preserve"> 9 774,0</w:t>
      </w:r>
      <w:r w:rsidRPr="00E64C21">
        <w:rPr>
          <w:rFonts w:eastAsia="Calibri"/>
          <w:b/>
        </w:rPr>
        <w:t> </w:t>
      </w:r>
      <w:r w:rsidRPr="00E64C21">
        <w:rPr>
          <w:b/>
          <w:bCs/>
          <w:lang w:eastAsia="bg-BG"/>
        </w:rPr>
        <w:t xml:space="preserve">млн. лв.,  </w:t>
      </w:r>
      <w:r w:rsidRPr="00E64C21">
        <w:rPr>
          <w:bCs/>
          <w:lang w:eastAsia="bg-BG"/>
        </w:rPr>
        <w:t>в т.ч.:</w:t>
      </w:r>
      <w:r w:rsidRPr="00E64C21">
        <w:rPr>
          <w:b/>
          <w:bCs/>
          <w:lang w:eastAsia="bg-BG"/>
        </w:rPr>
        <w:t xml:space="preserve"> </w:t>
      </w:r>
    </w:p>
    <w:p w:rsidR="007D19B9" w:rsidRPr="00E64C21" w:rsidRDefault="007D19B9" w:rsidP="00C4077C">
      <w:pPr>
        <w:numPr>
          <w:ilvl w:val="0"/>
          <w:numId w:val="21"/>
        </w:numPr>
        <w:tabs>
          <w:tab w:val="clear" w:pos="700"/>
          <w:tab w:val="left" w:pos="180"/>
          <w:tab w:val="num" w:pos="1495"/>
          <w:tab w:val="num" w:pos="9858"/>
        </w:tabs>
        <w:ind w:left="538" w:hanging="357"/>
        <w:jc w:val="both"/>
        <w:rPr>
          <w:lang w:eastAsia="bg-BG"/>
        </w:rPr>
      </w:pPr>
      <w:r w:rsidRPr="00E64C21">
        <w:rPr>
          <w:lang w:eastAsia="bg-BG"/>
        </w:rPr>
        <w:lastRenderedPageBreak/>
        <w:t>бюджетните  взаимоотношения  с  общините  включват  нето трансфери </w:t>
      </w:r>
      <w:r w:rsidR="001E3519">
        <w:rPr>
          <w:lang w:eastAsia="bg-BG"/>
        </w:rPr>
        <w:t>и временни безлихвени заеми</w:t>
      </w:r>
      <w:r w:rsidRPr="00E64C21">
        <w:rPr>
          <w:lang w:eastAsia="bg-BG"/>
        </w:rPr>
        <w:t xml:space="preserve"> в  размер  на 3 </w:t>
      </w:r>
      <w:r w:rsidR="001E3519">
        <w:rPr>
          <w:lang w:eastAsia="bg-BG"/>
        </w:rPr>
        <w:t>500</w:t>
      </w:r>
      <w:r w:rsidRPr="00E64C21">
        <w:rPr>
          <w:lang w:eastAsia="bg-BG"/>
        </w:rPr>
        <w:t>,</w:t>
      </w:r>
      <w:r w:rsidR="001E3519">
        <w:rPr>
          <w:lang w:eastAsia="bg-BG"/>
        </w:rPr>
        <w:t>1</w:t>
      </w:r>
      <w:r w:rsidRPr="00E64C21">
        <w:rPr>
          <w:lang w:eastAsia="bg-BG"/>
        </w:rPr>
        <w:t> млн. лв., от които субсидии от централния бюджет в размер на 3 197,6 млн. лв., други целеви трансфери от централния бюджет в размер на 92,2 млн. лв., нетни трансфери от/за други бюджети в размер на 211,</w:t>
      </w:r>
      <w:r w:rsidR="001E3519">
        <w:rPr>
          <w:lang w:eastAsia="bg-BG"/>
        </w:rPr>
        <w:t>7</w:t>
      </w:r>
      <w:r w:rsidRPr="00E64C21">
        <w:rPr>
          <w:lang w:eastAsia="bg-BG"/>
        </w:rPr>
        <w:t xml:space="preserve"> млн. лв.</w:t>
      </w:r>
      <w:r w:rsidR="001E3519">
        <w:rPr>
          <w:lang w:eastAsia="bg-BG"/>
        </w:rPr>
        <w:t>,</w:t>
      </w:r>
      <w:r w:rsidRPr="00E64C21">
        <w:rPr>
          <w:lang w:eastAsia="bg-BG"/>
        </w:rPr>
        <w:t xml:space="preserve"> възстановени трансфери от предходни години в централния бюджет – 3,4 млн. лв</w:t>
      </w:r>
      <w:r w:rsidR="001E3519">
        <w:rPr>
          <w:lang w:eastAsia="bg-BG"/>
        </w:rPr>
        <w:t>. и временни безлихвени заеми – 2</w:t>
      </w:r>
      <w:r w:rsidR="000F61D1">
        <w:rPr>
          <w:lang w:eastAsia="bg-BG"/>
        </w:rPr>
        <w:t>,1</w:t>
      </w:r>
      <w:r w:rsidR="001E3519">
        <w:rPr>
          <w:lang w:eastAsia="bg-BG"/>
        </w:rPr>
        <w:t xml:space="preserve">  </w:t>
      </w:r>
      <w:r w:rsidR="00534DA8" w:rsidRPr="00534DA8">
        <w:rPr>
          <w:lang w:eastAsia="bg-BG"/>
        </w:rPr>
        <w:t>млн</w:t>
      </w:r>
      <w:r w:rsidR="001E3519">
        <w:rPr>
          <w:lang w:eastAsia="bg-BG"/>
        </w:rPr>
        <w:t>. лева</w:t>
      </w:r>
      <w:r w:rsidRPr="00E64C21">
        <w:rPr>
          <w:lang w:eastAsia="bg-BG"/>
        </w:rPr>
        <w:t>;</w:t>
      </w:r>
    </w:p>
    <w:p w:rsidR="007D19B9" w:rsidRPr="00E64C21" w:rsidRDefault="007D19B9" w:rsidP="00C4077C">
      <w:pPr>
        <w:numPr>
          <w:ilvl w:val="0"/>
          <w:numId w:val="21"/>
        </w:numPr>
        <w:tabs>
          <w:tab w:val="clear" w:pos="700"/>
          <w:tab w:val="left" w:pos="180"/>
          <w:tab w:val="num" w:pos="1495"/>
          <w:tab w:val="num" w:pos="9858"/>
        </w:tabs>
        <w:ind w:left="538" w:hanging="357"/>
        <w:jc w:val="both"/>
        <w:rPr>
          <w:lang w:eastAsia="bg-BG"/>
        </w:rPr>
      </w:pPr>
      <w:r w:rsidRPr="00E64C21">
        <w:rPr>
          <w:lang w:eastAsia="bg-BG"/>
        </w:rPr>
        <w:t>на социалноосигурителните фондове (нето) – 5 26</w:t>
      </w:r>
      <w:r w:rsidR="00EA5BCD">
        <w:rPr>
          <w:lang w:eastAsia="bg-BG"/>
        </w:rPr>
        <w:t>6</w:t>
      </w:r>
      <w:r w:rsidRPr="00E64C21">
        <w:rPr>
          <w:lang w:eastAsia="bg-BG"/>
        </w:rPr>
        <w:t>,3 млн. лв.,</w:t>
      </w:r>
      <w:r w:rsidRPr="00E64C21">
        <w:rPr>
          <w:b/>
          <w:lang w:eastAsia="bg-BG"/>
        </w:rPr>
        <w:t xml:space="preserve"> </w:t>
      </w:r>
      <w:r w:rsidRPr="00E64C21">
        <w:rPr>
          <w:lang w:eastAsia="bg-BG"/>
        </w:rPr>
        <w:t>което представлява 71,</w:t>
      </w:r>
      <w:r w:rsidR="00EA5BCD">
        <w:rPr>
          <w:lang w:eastAsia="bg-BG"/>
        </w:rPr>
        <w:t>6</w:t>
      </w:r>
      <w:r w:rsidRPr="00E64C21">
        <w:rPr>
          <w:lang w:eastAsia="bg-BG"/>
        </w:rPr>
        <w:t> % от годишния разчет;</w:t>
      </w:r>
    </w:p>
    <w:p w:rsidR="007D19B9" w:rsidRPr="00E64C21" w:rsidRDefault="007D19B9" w:rsidP="00C4077C">
      <w:pPr>
        <w:numPr>
          <w:ilvl w:val="0"/>
          <w:numId w:val="21"/>
        </w:numPr>
        <w:tabs>
          <w:tab w:val="clear" w:pos="700"/>
          <w:tab w:val="left" w:pos="180"/>
          <w:tab w:val="num" w:pos="1495"/>
          <w:tab w:val="num" w:pos="9858"/>
        </w:tabs>
        <w:ind w:left="538" w:hanging="357"/>
        <w:jc w:val="both"/>
        <w:rPr>
          <w:lang w:eastAsia="bg-BG"/>
        </w:rPr>
      </w:pPr>
      <w:r w:rsidRPr="00E64C21">
        <w:rPr>
          <w:lang w:eastAsia="bg-BG"/>
        </w:rPr>
        <w:t>на други автономни бюджети (ДВУ, БАН, ССА, БНТ, БНР и БТА) – 615,6 млн. лв., 80,9 % от годишния разчет.</w:t>
      </w:r>
    </w:p>
    <w:p w:rsidR="007D19B9" w:rsidRPr="00E64C21" w:rsidRDefault="007D19B9" w:rsidP="009A147A">
      <w:pPr>
        <w:numPr>
          <w:ilvl w:val="0"/>
          <w:numId w:val="6"/>
        </w:numPr>
        <w:tabs>
          <w:tab w:val="clear" w:pos="700"/>
          <w:tab w:val="left" w:pos="426"/>
          <w:tab w:val="num" w:pos="786"/>
        </w:tabs>
        <w:spacing w:before="120"/>
        <w:ind w:left="0" w:firstLine="0"/>
        <w:jc w:val="both"/>
        <w:rPr>
          <w:bCs/>
          <w:lang w:eastAsia="bg-BG"/>
        </w:rPr>
      </w:pPr>
      <w:r w:rsidRPr="00E64C21">
        <w:rPr>
          <w:lang w:eastAsia="bg-BG"/>
        </w:rPr>
        <w:t>Частта от</w:t>
      </w:r>
      <w:r w:rsidRPr="00E64C21">
        <w:rPr>
          <w:b/>
          <w:lang w:eastAsia="bg-BG"/>
        </w:rPr>
        <w:t xml:space="preserve"> вноската на Република България в общия бюджет на ЕС, </w:t>
      </w:r>
      <w:r w:rsidRPr="00E64C21">
        <w:rPr>
          <w:lang w:eastAsia="bg-BG"/>
        </w:rPr>
        <w:t>изплатена към 30.09.2020 г. от централния бюджет, възлиза на</w:t>
      </w:r>
      <w:r w:rsidRPr="00E64C21">
        <w:rPr>
          <w:b/>
          <w:lang w:eastAsia="bg-BG"/>
        </w:rPr>
        <w:t xml:space="preserve"> 890,9 млн. лева.</w:t>
      </w:r>
      <w:r w:rsidRPr="00E64C21">
        <w:rPr>
          <w:lang w:eastAsia="bg-BG"/>
        </w:rPr>
        <w:t xml:space="preserve"> </w:t>
      </w:r>
    </w:p>
    <w:p w:rsidR="007D19B9" w:rsidRPr="00E64C21" w:rsidRDefault="007D19B9" w:rsidP="009A147A">
      <w:pPr>
        <w:numPr>
          <w:ilvl w:val="0"/>
          <w:numId w:val="6"/>
        </w:numPr>
        <w:tabs>
          <w:tab w:val="clear" w:pos="700"/>
          <w:tab w:val="num" w:pos="426"/>
          <w:tab w:val="num" w:pos="786"/>
        </w:tabs>
        <w:spacing w:before="240" w:after="240"/>
        <w:ind w:left="0" w:firstLine="0"/>
        <w:jc w:val="both"/>
        <w:rPr>
          <w:sz w:val="16"/>
          <w:szCs w:val="16"/>
          <w:lang w:eastAsia="bg-BG"/>
        </w:rPr>
      </w:pPr>
      <w:r w:rsidRPr="00E64C21">
        <w:rPr>
          <w:b/>
          <w:lang w:eastAsia="bg-BG"/>
        </w:rPr>
        <w:t xml:space="preserve">Бюджетното салдо по държавния бюджет </w:t>
      </w:r>
      <w:r w:rsidRPr="00E64C21">
        <w:rPr>
          <w:lang w:eastAsia="bg-BG"/>
        </w:rPr>
        <w:t xml:space="preserve">към 30.09.2020 г. </w:t>
      </w:r>
      <w:r w:rsidRPr="00E64C21">
        <w:rPr>
          <w:b/>
          <w:lang w:eastAsia="bg-BG"/>
        </w:rPr>
        <w:t xml:space="preserve">е отрицателно </w:t>
      </w:r>
      <w:r w:rsidRPr="00E64C21">
        <w:rPr>
          <w:lang w:eastAsia="bg-BG"/>
        </w:rPr>
        <w:t xml:space="preserve">в размер на </w:t>
      </w:r>
      <w:r w:rsidRPr="00E64C21">
        <w:rPr>
          <w:b/>
          <w:lang w:eastAsia="bg-BG"/>
        </w:rPr>
        <w:t>482,2 млн. лева.</w:t>
      </w:r>
      <w:r w:rsidRPr="00E64C21">
        <w:rPr>
          <w:lang w:eastAsia="bg-BG"/>
        </w:rPr>
        <w:t xml:space="preserve"> </w:t>
      </w:r>
    </w:p>
    <w:p w:rsidR="007D19B9" w:rsidRPr="00E64C21" w:rsidRDefault="007D19B9" w:rsidP="009A147A">
      <w:pPr>
        <w:numPr>
          <w:ilvl w:val="0"/>
          <w:numId w:val="6"/>
        </w:numPr>
        <w:tabs>
          <w:tab w:val="clear" w:pos="700"/>
          <w:tab w:val="num" w:pos="426"/>
          <w:tab w:val="num" w:pos="786"/>
        </w:tabs>
        <w:spacing w:before="240" w:after="240"/>
        <w:ind w:left="0" w:firstLine="0"/>
        <w:jc w:val="both"/>
        <w:rPr>
          <w:b/>
          <w:lang w:eastAsia="bg-BG"/>
        </w:rPr>
      </w:pPr>
      <w:r w:rsidRPr="00E64C21">
        <w:rPr>
          <w:b/>
          <w:lang w:eastAsia="bg-BG"/>
        </w:rPr>
        <w:t>Финансиране на бюджета чрез операции по дълга</w:t>
      </w:r>
    </w:p>
    <w:p w:rsidR="007D19B9" w:rsidRPr="00E64C21" w:rsidRDefault="007D19B9" w:rsidP="007D19B9">
      <w:pPr>
        <w:spacing w:after="120"/>
        <w:jc w:val="both"/>
        <w:rPr>
          <w:lang w:val="en-US" w:eastAsia="bg-BG"/>
        </w:rPr>
      </w:pPr>
      <w:r w:rsidRPr="00E64C21">
        <w:rPr>
          <w:lang w:eastAsia="bg-BG"/>
        </w:rPr>
        <w:t xml:space="preserve">Към 30.09.2020 г. е отчетено положително нетно външно финансиране по централния бюджет в размер на </w:t>
      </w:r>
      <w:r w:rsidRPr="00E64C21">
        <w:rPr>
          <w:lang w:val="en-US" w:eastAsia="bg-BG"/>
        </w:rPr>
        <w:t>5 537</w:t>
      </w:r>
      <w:r w:rsidRPr="00E64C21">
        <w:rPr>
          <w:lang w:eastAsia="bg-BG"/>
        </w:rPr>
        <w:t>,6 млн. лева</w:t>
      </w:r>
      <w:r w:rsidRPr="00E64C21">
        <w:rPr>
          <w:lang w:val="en-US" w:eastAsia="bg-BG"/>
        </w:rPr>
        <w:t xml:space="preserve"> (</w:t>
      </w:r>
      <w:r w:rsidRPr="00E64C21">
        <w:rPr>
          <w:lang w:eastAsia="bg-BG"/>
        </w:rPr>
        <w:t xml:space="preserve">в т. ч. </w:t>
      </w:r>
      <w:r w:rsidRPr="00E64C21">
        <w:rPr>
          <w:lang w:val="en-US" w:eastAsia="bg-BG"/>
        </w:rPr>
        <w:t>0</w:t>
      </w:r>
      <w:proofErr w:type="gramStart"/>
      <w:r w:rsidRPr="00E64C21">
        <w:rPr>
          <w:lang w:eastAsia="bg-BG"/>
        </w:rPr>
        <w:t>,</w:t>
      </w:r>
      <w:r w:rsidRPr="00E64C21">
        <w:rPr>
          <w:lang w:val="en-US" w:eastAsia="bg-BG"/>
        </w:rPr>
        <w:t>9</w:t>
      </w:r>
      <w:proofErr w:type="gramEnd"/>
      <w:r w:rsidRPr="00E64C21">
        <w:rPr>
          <w:lang w:eastAsia="bg-BG"/>
        </w:rPr>
        <w:t xml:space="preserve"> млн. лв. п</w:t>
      </w:r>
      <w:proofErr w:type="spellStart"/>
      <w:r w:rsidRPr="00E64C21">
        <w:rPr>
          <w:lang w:val="en-US" w:eastAsia="bg-BG"/>
        </w:rPr>
        <w:t>олучени</w:t>
      </w:r>
      <w:proofErr w:type="spellEnd"/>
      <w:r w:rsidRPr="00E64C21">
        <w:rPr>
          <w:lang w:val="en-US" w:eastAsia="bg-BG"/>
        </w:rPr>
        <w:t xml:space="preserve"> </w:t>
      </w:r>
      <w:proofErr w:type="spellStart"/>
      <w:r w:rsidRPr="00E64C21">
        <w:rPr>
          <w:lang w:val="en-US" w:eastAsia="bg-BG"/>
        </w:rPr>
        <w:t>погашения</w:t>
      </w:r>
      <w:proofErr w:type="spellEnd"/>
      <w:r w:rsidRPr="00E64C21">
        <w:rPr>
          <w:lang w:val="en-US" w:eastAsia="bg-BG"/>
        </w:rPr>
        <w:t xml:space="preserve"> </w:t>
      </w:r>
      <w:proofErr w:type="spellStart"/>
      <w:r w:rsidRPr="00E64C21">
        <w:rPr>
          <w:lang w:val="en-US" w:eastAsia="bg-BG"/>
        </w:rPr>
        <w:t>по</w:t>
      </w:r>
      <w:proofErr w:type="spellEnd"/>
      <w:r w:rsidRPr="00E64C21">
        <w:rPr>
          <w:lang w:val="en-US" w:eastAsia="bg-BG"/>
        </w:rPr>
        <w:t xml:space="preserve"> </w:t>
      </w:r>
      <w:r w:rsidRPr="00E64C21">
        <w:rPr>
          <w:lang w:eastAsia="bg-BG"/>
        </w:rPr>
        <w:t>предоставени кредити на други държави</w:t>
      </w:r>
      <w:r w:rsidRPr="00E64C21">
        <w:rPr>
          <w:lang w:val="en-US" w:eastAsia="bg-BG"/>
        </w:rPr>
        <w:t>)</w:t>
      </w:r>
      <w:r w:rsidRPr="00E64C21">
        <w:rPr>
          <w:lang w:eastAsia="bg-BG"/>
        </w:rPr>
        <w:t>.</w:t>
      </w:r>
    </w:p>
    <w:p w:rsidR="007D19B9" w:rsidRPr="00E64C21" w:rsidRDefault="007D19B9" w:rsidP="007D19B9">
      <w:pPr>
        <w:spacing w:after="120"/>
        <w:jc w:val="both"/>
        <w:rPr>
          <w:lang w:eastAsia="bg-BG"/>
        </w:rPr>
      </w:pPr>
      <w:r w:rsidRPr="00E64C21">
        <w:rPr>
          <w:lang w:eastAsia="bg-BG"/>
        </w:rPr>
        <w:t xml:space="preserve">На 23 септември 2020 г. </w:t>
      </w:r>
      <w:proofErr w:type="gramStart"/>
      <w:r w:rsidRPr="00E64C21">
        <w:rPr>
          <w:lang w:val="en-US" w:eastAsia="bg-BG"/>
        </w:rPr>
        <w:t>e</w:t>
      </w:r>
      <w:proofErr w:type="gramEnd"/>
      <w:r w:rsidRPr="00E64C21">
        <w:rPr>
          <w:lang w:val="en-US" w:eastAsia="bg-BG"/>
        </w:rPr>
        <w:t xml:space="preserve"> </w:t>
      </w:r>
      <w:r w:rsidRPr="00E64C21">
        <w:rPr>
          <w:lang w:eastAsia="bg-BG"/>
        </w:rPr>
        <w:t>осъществено успешно емитиране на облигации на международните капиталови пазари</w:t>
      </w:r>
      <w:r w:rsidRPr="00E64C21">
        <w:rPr>
          <w:lang w:val="en-US" w:eastAsia="bg-BG"/>
        </w:rPr>
        <w:t xml:space="preserve"> (</w:t>
      </w:r>
      <w:r w:rsidRPr="00E64C21">
        <w:rPr>
          <w:lang w:eastAsia="bg-BG"/>
        </w:rPr>
        <w:t>МКП</w:t>
      </w:r>
      <w:r w:rsidRPr="00E64C21">
        <w:rPr>
          <w:lang w:val="en-US" w:eastAsia="bg-BG"/>
        </w:rPr>
        <w:t>)</w:t>
      </w:r>
      <w:r w:rsidRPr="00E64C21">
        <w:rPr>
          <w:lang w:eastAsia="bg-BG"/>
        </w:rPr>
        <w:t xml:space="preserve"> в общ размер на 2 500,0 млн. евро </w:t>
      </w:r>
      <w:r w:rsidRPr="00E64C21">
        <w:rPr>
          <w:lang w:val="en-US" w:eastAsia="bg-BG"/>
        </w:rPr>
        <w:t>(</w:t>
      </w:r>
      <w:r w:rsidRPr="00E64C21">
        <w:rPr>
          <w:lang w:eastAsia="bg-BG"/>
        </w:rPr>
        <w:t>в т.ч. 10-годишни в обем 1 250,0 млн. евро номинална стойност, 30-годишни – 1 250,0 млн. евро номинална стойност</w:t>
      </w:r>
      <w:r w:rsidRPr="00E64C21">
        <w:rPr>
          <w:lang w:val="en-US" w:eastAsia="bg-BG"/>
        </w:rPr>
        <w:t>)</w:t>
      </w:r>
      <w:r w:rsidRPr="00E64C21">
        <w:rPr>
          <w:lang w:eastAsia="bg-BG"/>
        </w:rPr>
        <w:t>. Постъпленията по централния бюджет от емисиите на МКП възлизат на 4 826,7 млн. лв.</w:t>
      </w:r>
    </w:p>
    <w:p w:rsidR="007D19B9" w:rsidRPr="00E64C21" w:rsidRDefault="007D19B9" w:rsidP="007D19B9">
      <w:pPr>
        <w:spacing w:after="120"/>
        <w:jc w:val="both"/>
        <w:rPr>
          <w:lang w:val="en-US" w:eastAsia="bg-BG"/>
        </w:rPr>
      </w:pPr>
      <w:r w:rsidRPr="00E64C21">
        <w:rPr>
          <w:lang w:eastAsia="bg-BG"/>
        </w:rPr>
        <w:t xml:space="preserve">През отчетния период по централния бюджет са </w:t>
      </w:r>
      <w:r w:rsidRPr="00E64C21">
        <w:rPr>
          <w:b/>
          <w:i/>
          <w:lang w:eastAsia="bg-BG"/>
        </w:rPr>
        <w:t>усвоени</w:t>
      </w:r>
      <w:r w:rsidRPr="00E64C21">
        <w:rPr>
          <w:lang w:eastAsia="bg-BG"/>
        </w:rPr>
        <w:t xml:space="preserve"> 782,3 млн. лв. по заеми от чужбина. Средствата са усвоени, както следва</w:t>
      </w:r>
      <w:r w:rsidRPr="00E64C21">
        <w:rPr>
          <w:lang w:val="en-US" w:eastAsia="bg-BG"/>
        </w:rPr>
        <w:t>:</w:t>
      </w:r>
    </w:p>
    <w:p w:rsidR="007D19B9" w:rsidRPr="00E64C21" w:rsidRDefault="007D19B9" w:rsidP="00C4077C">
      <w:pPr>
        <w:numPr>
          <w:ilvl w:val="0"/>
          <w:numId w:val="27"/>
        </w:numPr>
        <w:tabs>
          <w:tab w:val="left" w:pos="1134"/>
        </w:tabs>
        <w:spacing w:after="60"/>
        <w:ind w:left="0" w:firstLine="851"/>
        <w:jc w:val="both"/>
        <w:rPr>
          <w:lang w:eastAsia="bg-BG"/>
        </w:rPr>
      </w:pPr>
      <w:r w:rsidRPr="00E64C21">
        <w:rPr>
          <w:lang w:eastAsia="bg-BG"/>
        </w:rPr>
        <w:t xml:space="preserve">300,0 млн. евро (586,7 млн. лв.) на три транша (3, 4 и 5) от по 100,0 млн. евро – по </w:t>
      </w:r>
      <w:r w:rsidRPr="00E64C21">
        <w:rPr>
          <w:rFonts w:cs="Arial"/>
          <w:lang w:eastAsia="bg-BG"/>
        </w:rPr>
        <w:t>Финансов договор между Република България и Европейската инвестиционна банка за финансиране на проект „България – съфинансиране по Фондовете на ЕС 2014 – 2020 г. (СПЗ)</w:t>
      </w:r>
      <w:r w:rsidRPr="00E64C21">
        <w:rPr>
          <w:rFonts w:cs="Arial"/>
          <w:vertAlign w:val="superscript"/>
          <w:lang w:eastAsia="bg-BG"/>
        </w:rPr>
        <w:footnoteReference w:id="10"/>
      </w:r>
      <w:r w:rsidRPr="00E64C21">
        <w:rPr>
          <w:rFonts w:cs="Arial"/>
          <w:lang w:eastAsia="bg-BG"/>
        </w:rPr>
        <w:t>“</w:t>
      </w:r>
      <w:r w:rsidRPr="00E64C21">
        <w:rPr>
          <w:lang w:eastAsia="bg-BG"/>
        </w:rPr>
        <w:t xml:space="preserve"> </w:t>
      </w:r>
    </w:p>
    <w:p w:rsidR="007D19B9" w:rsidRPr="00E64C21" w:rsidRDefault="007D19B9" w:rsidP="00C4077C">
      <w:pPr>
        <w:numPr>
          <w:ilvl w:val="0"/>
          <w:numId w:val="27"/>
        </w:numPr>
        <w:tabs>
          <w:tab w:val="left" w:pos="1134"/>
        </w:tabs>
        <w:spacing w:after="60"/>
        <w:ind w:left="0" w:firstLine="851"/>
        <w:jc w:val="both"/>
        <w:rPr>
          <w:lang w:eastAsia="bg-BG"/>
        </w:rPr>
      </w:pPr>
      <w:r w:rsidRPr="00E64C21">
        <w:rPr>
          <w:lang w:eastAsia="bg-BG"/>
        </w:rPr>
        <w:t>100,0 млн. евро (195,6 млн. лв.) - трети транш по Рамково споразумение за заем между Банката за развитие на Съвета на Европа и Република България, Механизъм за съфинансиране на проекти, изпълнявани със средства от ЕС по оперативните програми, съфинансирани от Европейските структурни и инвестиционни фондове за програмния период 2014-2020 г.</w:t>
      </w:r>
    </w:p>
    <w:p w:rsidR="007D19B9" w:rsidRPr="00E64C21" w:rsidRDefault="007D19B9" w:rsidP="007D19B9">
      <w:pPr>
        <w:tabs>
          <w:tab w:val="num" w:pos="900"/>
          <w:tab w:val="num" w:pos="1500"/>
        </w:tabs>
        <w:spacing w:before="120" w:after="60"/>
        <w:jc w:val="both"/>
        <w:rPr>
          <w:lang w:val="en-US" w:eastAsia="bg-BG"/>
        </w:rPr>
      </w:pPr>
      <w:r w:rsidRPr="00E64C21">
        <w:rPr>
          <w:b/>
          <w:i/>
          <w:lang w:eastAsia="bg-BG"/>
        </w:rPr>
        <w:t>Извършените погашения</w:t>
      </w:r>
      <w:r w:rsidRPr="00E64C21">
        <w:rPr>
          <w:lang w:eastAsia="bg-BG"/>
        </w:rPr>
        <w:t xml:space="preserve"> по заеми от чужбина по централния бюджет възлизат на 72,4 млн. лв. и са,</w:t>
      </w:r>
      <w:r w:rsidRPr="00E64C21">
        <w:rPr>
          <w:lang w:val="en-US" w:eastAsia="bg-BG"/>
        </w:rPr>
        <w:t xml:space="preserve"> </w:t>
      </w:r>
      <w:r w:rsidRPr="00E64C21">
        <w:rPr>
          <w:lang w:eastAsia="bg-BG"/>
        </w:rPr>
        <w:t>както следва</w:t>
      </w:r>
      <w:r w:rsidRPr="00E64C21">
        <w:rPr>
          <w:lang w:val="en-US" w:eastAsia="bg-BG"/>
        </w:rPr>
        <w:t>:</w:t>
      </w:r>
    </w:p>
    <w:p w:rsidR="007D19B9" w:rsidRPr="00E64C21" w:rsidRDefault="007D19B9" w:rsidP="00C4077C">
      <w:pPr>
        <w:numPr>
          <w:ilvl w:val="0"/>
          <w:numId w:val="27"/>
        </w:numPr>
        <w:tabs>
          <w:tab w:val="num" w:pos="900"/>
          <w:tab w:val="num" w:pos="1134"/>
        </w:tabs>
        <w:spacing w:before="120" w:after="60"/>
        <w:ind w:left="1276" w:hanging="425"/>
        <w:jc w:val="both"/>
        <w:rPr>
          <w:rFonts w:ascii="Arial" w:hAnsi="Arial" w:cs="Arial"/>
          <w:lang w:eastAsia="bg-BG"/>
        </w:rPr>
      </w:pPr>
      <w:r w:rsidRPr="00E64C21">
        <w:rPr>
          <w:lang w:val="en-US" w:eastAsia="bg-BG"/>
        </w:rPr>
        <w:t xml:space="preserve"> 47</w:t>
      </w:r>
      <w:proofErr w:type="gramStart"/>
      <w:r w:rsidRPr="00E64C21">
        <w:rPr>
          <w:lang w:eastAsia="bg-BG"/>
        </w:rPr>
        <w:t>,6</w:t>
      </w:r>
      <w:proofErr w:type="gramEnd"/>
      <w:r w:rsidRPr="00E64C21">
        <w:rPr>
          <w:lang w:eastAsia="bg-BG"/>
        </w:rPr>
        <w:t xml:space="preserve"> млн. лв. към Международната банка за възстановяване и развитие </w:t>
      </w:r>
    </w:p>
    <w:p w:rsidR="007D19B9" w:rsidRPr="00E64C21" w:rsidRDefault="007D19B9" w:rsidP="00C4077C">
      <w:pPr>
        <w:numPr>
          <w:ilvl w:val="0"/>
          <w:numId w:val="27"/>
        </w:numPr>
        <w:tabs>
          <w:tab w:val="num" w:pos="900"/>
          <w:tab w:val="left" w:pos="1134"/>
        </w:tabs>
        <w:spacing w:before="120" w:after="60"/>
        <w:ind w:left="993" w:hanging="142"/>
        <w:jc w:val="both"/>
        <w:rPr>
          <w:rFonts w:ascii="Arial" w:hAnsi="Arial" w:cs="Arial"/>
          <w:lang w:eastAsia="bg-BG"/>
        </w:rPr>
      </w:pPr>
      <w:r w:rsidRPr="00E64C21">
        <w:rPr>
          <w:lang w:eastAsia="bg-BG"/>
        </w:rPr>
        <w:t xml:space="preserve"> 15,0 млн. лв. към </w:t>
      </w:r>
      <w:r w:rsidRPr="00E64C21">
        <w:rPr>
          <w:rFonts w:cs="Arial"/>
          <w:lang w:eastAsia="bg-BG"/>
        </w:rPr>
        <w:t>Европейската инвестиционна банка</w:t>
      </w:r>
    </w:p>
    <w:p w:rsidR="007D19B9" w:rsidRPr="00E64C21" w:rsidRDefault="007D19B9" w:rsidP="00C4077C">
      <w:pPr>
        <w:numPr>
          <w:ilvl w:val="0"/>
          <w:numId w:val="27"/>
        </w:numPr>
        <w:tabs>
          <w:tab w:val="num" w:pos="900"/>
          <w:tab w:val="left" w:pos="1134"/>
        </w:tabs>
        <w:spacing w:before="120" w:after="60"/>
        <w:ind w:left="993" w:hanging="142"/>
        <w:jc w:val="both"/>
        <w:rPr>
          <w:rFonts w:ascii="Arial" w:hAnsi="Arial" w:cs="Arial"/>
          <w:lang w:eastAsia="bg-BG"/>
        </w:rPr>
      </w:pPr>
      <w:r w:rsidRPr="00E64C21">
        <w:rPr>
          <w:lang w:eastAsia="bg-BG"/>
        </w:rPr>
        <w:t xml:space="preserve"> 9,8 млн. лв. към Банка за развитие на Съвета на Европа</w:t>
      </w:r>
      <w:r w:rsidRPr="00E64C21">
        <w:rPr>
          <w:rFonts w:cs="Arial"/>
          <w:lang w:eastAsia="bg-BG"/>
        </w:rPr>
        <w:t>.</w:t>
      </w:r>
    </w:p>
    <w:p w:rsidR="007D19B9" w:rsidRPr="00E64C21" w:rsidRDefault="007D19B9" w:rsidP="007D19B9">
      <w:pPr>
        <w:spacing w:after="120"/>
        <w:jc w:val="both"/>
        <w:rPr>
          <w:color w:val="0070C0"/>
        </w:rPr>
      </w:pPr>
      <w:r w:rsidRPr="00E64C21">
        <w:rPr>
          <w:lang w:eastAsia="bg-BG"/>
        </w:rPr>
        <w:t xml:space="preserve">По </w:t>
      </w:r>
      <w:r w:rsidRPr="00E64C21">
        <w:rPr>
          <w:b/>
          <w:lang w:eastAsia="bg-BG"/>
        </w:rPr>
        <w:t>държавните инвестиционни заеми</w:t>
      </w:r>
      <w:r w:rsidRPr="00E64C21">
        <w:rPr>
          <w:lang w:eastAsia="bg-BG"/>
        </w:rPr>
        <w:t xml:space="preserve">, управлявани от министерства и ведомства, и ДИЗ с краен бенефициент търговско дружество през отчетния период няма </w:t>
      </w:r>
      <w:r w:rsidRPr="00E64C21">
        <w:rPr>
          <w:b/>
          <w:i/>
          <w:lang w:eastAsia="bg-BG"/>
        </w:rPr>
        <w:t>усвоени</w:t>
      </w:r>
      <w:r w:rsidRPr="00E64C21">
        <w:rPr>
          <w:lang w:eastAsia="bg-BG"/>
        </w:rPr>
        <w:t xml:space="preserve"> средства</w:t>
      </w:r>
      <w:r w:rsidRPr="00E64C21">
        <w:t xml:space="preserve">. </w:t>
      </w:r>
      <w:r w:rsidRPr="00E64C21">
        <w:rPr>
          <w:lang w:eastAsia="bg-BG"/>
        </w:rPr>
        <w:t xml:space="preserve">През месец юли МРРБ е извършило възстановяване по сметка на Световна банка на </w:t>
      </w:r>
      <w:r w:rsidRPr="00E64C21">
        <w:rPr>
          <w:u w:val="single"/>
          <w:lang w:eastAsia="bg-BG"/>
        </w:rPr>
        <w:t>неусвоена остатъчна сума</w:t>
      </w:r>
      <w:r w:rsidRPr="00E64C21">
        <w:rPr>
          <w:lang w:eastAsia="bg-BG"/>
        </w:rPr>
        <w:t xml:space="preserve"> по „Проект за развитие на общинската инфраструктура“, в размер на </w:t>
      </w:r>
      <w:r w:rsidRPr="00E64C21">
        <w:rPr>
          <w:lang w:val="en-US" w:eastAsia="bg-BG"/>
        </w:rPr>
        <w:t>(</w:t>
      </w:r>
      <w:r w:rsidRPr="00E64C21">
        <w:rPr>
          <w:lang w:eastAsia="bg-BG"/>
        </w:rPr>
        <w:t>-1,8 млн. лв.</w:t>
      </w:r>
      <w:r w:rsidRPr="00E64C21">
        <w:rPr>
          <w:lang w:val="en-US" w:eastAsia="bg-BG"/>
        </w:rPr>
        <w:t>)</w:t>
      </w:r>
      <w:r w:rsidRPr="00E64C21">
        <w:rPr>
          <w:lang w:eastAsia="bg-BG"/>
        </w:rPr>
        <w:t>.</w:t>
      </w:r>
    </w:p>
    <w:p w:rsidR="007D19B9" w:rsidRPr="00E64C21" w:rsidRDefault="007D19B9" w:rsidP="007D19B9">
      <w:pPr>
        <w:spacing w:after="120"/>
        <w:jc w:val="both"/>
      </w:pPr>
      <w:r w:rsidRPr="00E64C21">
        <w:rPr>
          <w:b/>
          <w:i/>
          <w:lang w:eastAsia="bg-BG"/>
        </w:rPr>
        <w:lastRenderedPageBreak/>
        <w:t>Изплатените погашения</w:t>
      </w:r>
      <w:r w:rsidRPr="00E64C21">
        <w:rPr>
          <w:lang w:eastAsia="bg-BG"/>
        </w:rPr>
        <w:t xml:space="preserve"> по ДИЗ, управлявани от министерства и ведомства, са в размер на 84,8 млн. лв. По заемите с краен бенефициент търговско дружество извършените погашения са в размер на 10,2 млн. лева.</w:t>
      </w:r>
    </w:p>
    <w:p w:rsidR="007D19B9" w:rsidRPr="00E64C21" w:rsidRDefault="007D19B9" w:rsidP="007D19B9">
      <w:pPr>
        <w:spacing w:after="120"/>
        <w:jc w:val="both"/>
        <w:rPr>
          <w:lang w:eastAsia="bg-BG"/>
        </w:rPr>
      </w:pPr>
      <w:r w:rsidRPr="00E64C21">
        <w:rPr>
          <w:lang w:eastAsia="bg-BG"/>
        </w:rPr>
        <w:t>Не са използвани средства, предвидени за покриване на риска от активиране на държавни гаранции.</w:t>
      </w:r>
    </w:p>
    <w:p w:rsidR="007D19B9" w:rsidRPr="00E64C21" w:rsidRDefault="007D19B9" w:rsidP="007D19B9">
      <w:pPr>
        <w:tabs>
          <w:tab w:val="left" w:pos="9356"/>
        </w:tabs>
        <w:spacing w:after="60"/>
        <w:jc w:val="both"/>
        <w:rPr>
          <w:lang w:eastAsia="bg-BG"/>
        </w:rPr>
      </w:pPr>
      <w:r w:rsidRPr="00E64C21">
        <w:rPr>
          <w:lang w:eastAsia="bg-BG"/>
        </w:rPr>
        <w:t xml:space="preserve">Операции с </w:t>
      </w:r>
      <w:r w:rsidRPr="00E64C21">
        <w:rPr>
          <w:b/>
          <w:lang w:eastAsia="bg-BG"/>
        </w:rPr>
        <w:t xml:space="preserve">държавни ценни книжа </w:t>
      </w:r>
      <w:r w:rsidRPr="00E64C21">
        <w:rPr>
          <w:lang w:eastAsia="bg-BG"/>
        </w:rPr>
        <w:t xml:space="preserve">по централния бюджет </w:t>
      </w:r>
      <w:r w:rsidRPr="00E64C21">
        <w:rPr>
          <w:b/>
          <w:lang w:eastAsia="bg-BG"/>
        </w:rPr>
        <w:t>(позиция във вътрешното финансиране):</w:t>
      </w:r>
      <w:r w:rsidRPr="00E64C21">
        <w:rPr>
          <w:lang w:eastAsia="bg-BG"/>
        </w:rPr>
        <w:t xml:space="preserve"> </w:t>
      </w:r>
    </w:p>
    <w:p w:rsidR="007D19B9" w:rsidRPr="00E64C21" w:rsidRDefault="007D19B9" w:rsidP="007D19B9">
      <w:pPr>
        <w:tabs>
          <w:tab w:val="left" w:pos="9356"/>
        </w:tabs>
        <w:spacing w:after="60"/>
        <w:jc w:val="both"/>
        <w:rPr>
          <w:lang w:eastAsia="bg-BG"/>
        </w:rPr>
      </w:pPr>
      <w:r w:rsidRPr="00E64C21">
        <w:rPr>
          <w:lang w:eastAsia="bg-BG"/>
        </w:rPr>
        <w:t xml:space="preserve">В края на септември 2020 г. е реализирано положително нетно вътрешно финансиране на бюджета с държавни ценни книжа (ДЦК) в размер на 184,9 млн. лв. Общият размер на постъпленията от емисии на ДЦК е 1 197,7 млн. лв. или са емитирани 1 200,0 млн. лв. ДЦК на обща номинална стойност, както следва: петгодишни облигации в обем 600 млн. лв. номинална стойност и облигации с матуритет десет години и 6 месеца с номинална стойност 600 млн. лв. През месец септември не са провеждани </w:t>
      </w:r>
      <w:proofErr w:type="spellStart"/>
      <w:r w:rsidRPr="00E64C21">
        <w:rPr>
          <w:lang w:eastAsia="bg-BG"/>
        </w:rPr>
        <w:t>аукциони</w:t>
      </w:r>
      <w:proofErr w:type="spellEnd"/>
      <w:r w:rsidRPr="00E64C21">
        <w:rPr>
          <w:lang w:eastAsia="bg-BG"/>
        </w:rPr>
        <w:t>.</w:t>
      </w:r>
    </w:p>
    <w:p w:rsidR="007D19B9" w:rsidRPr="00E64C21" w:rsidRDefault="007D19B9" w:rsidP="007D19B9">
      <w:pPr>
        <w:spacing w:after="60"/>
        <w:jc w:val="both"/>
        <w:rPr>
          <w:lang w:eastAsia="bg-BG"/>
        </w:rPr>
      </w:pPr>
      <w:r w:rsidRPr="00E64C21">
        <w:rPr>
          <w:lang w:eastAsia="bg-BG"/>
        </w:rPr>
        <w:t>Отчетените погашения за периода са в размер на 1 012,8 млн.</w:t>
      </w:r>
      <w:r w:rsidRPr="00E64C21">
        <w:rPr>
          <w:lang w:val="en-US" w:eastAsia="bg-BG"/>
        </w:rPr>
        <w:t xml:space="preserve"> </w:t>
      </w:r>
      <w:r w:rsidRPr="00E64C21">
        <w:rPr>
          <w:lang w:eastAsia="bg-BG"/>
        </w:rPr>
        <w:t xml:space="preserve">лв., в т.ч. през януари 2020 г. МФ погаси емисия 7-годишни ДЦК от 2013 г. в обем от 165 млн. евро (322,7 млн. лв.); през февруари 2020 г. е изплатена емисия 5-годишни ДЦК от 2015 г. в размер на 400 млн. лв. номинална стойност.; през </w:t>
      </w:r>
      <w:r w:rsidRPr="00E64C21">
        <w:rPr>
          <w:rFonts w:eastAsia="Calibri"/>
        </w:rPr>
        <w:t xml:space="preserve">юли </w:t>
      </w:r>
      <w:r w:rsidRPr="00E64C21">
        <w:rPr>
          <w:lang w:eastAsia="bg-BG"/>
        </w:rPr>
        <w:t>2020 г. е изплатена емисия 10-годишни ДЦК от 2010 г. в обем на 290,1 млн. лева.</w:t>
      </w:r>
    </w:p>
    <w:p w:rsidR="007D19B9" w:rsidRPr="00FF0BC9" w:rsidRDefault="007D19B9" w:rsidP="007D19B9">
      <w:pPr>
        <w:pStyle w:val="Heading1"/>
        <w:numPr>
          <w:ilvl w:val="1"/>
          <w:numId w:val="10"/>
        </w:numPr>
        <w:tabs>
          <w:tab w:val="left" w:pos="993"/>
        </w:tabs>
        <w:spacing w:before="240" w:after="120"/>
        <w:ind w:left="709" w:right="-108" w:hanging="142"/>
        <w:jc w:val="both"/>
        <w:rPr>
          <w:sz w:val="24"/>
        </w:rPr>
      </w:pPr>
      <w:r w:rsidRPr="00FF0BC9">
        <w:rPr>
          <w:sz w:val="24"/>
        </w:rPr>
        <w:t>Бюджет на съдебната власт</w:t>
      </w:r>
    </w:p>
    <w:p w:rsidR="007D19B9" w:rsidRPr="004A3BEC" w:rsidRDefault="007D19B9" w:rsidP="007D19B9">
      <w:pPr>
        <w:ind w:firstLine="567"/>
        <w:jc w:val="both"/>
        <w:rPr>
          <w:color w:val="4F81BD" w:themeColor="accent1"/>
        </w:rPr>
      </w:pPr>
      <w:r w:rsidRPr="000435C7">
        <w:t xml:space="preserve">Със ЗДБРБ за 2020 г. са предвидени общо </w:t>
      </w:r>
      <w:r w:rsidRPr="000435C7">
        <w:rPr>
          <w:b/>
        </w:rPr>
        <w:t>приходи</w:t>
      </w:r>
      <w:r w:rsidRPr="000435C7">
        <w:t xml:space="preserve"> по бюджета на съдебната власт в размер на 116,0 млн.</w:t>
      </w:r>
      <w:r w:rsidRPr="000435C7">
        <w:rPr>
          <w:lang w:val="en-US"/>
        </w:rPr>
        <w:t xml:space="preserve"> </w:t>
      </w:r>
      <w:r w:rsidRPr="000435C7">
        <w:t>лв., от тях 100,0 млн.</w:t>
      </w:r>
      <w:r w:rsidRPr="000435C7">
        <w:rPr>
          <w:lang w:val="en-US"/>
        </w:rPr>
        <w:t xml:space="preserve"> </w:t>
      </w:r>
      <w:r w:rsidRPr="000435C7">
        <w:t xml:space="preserve">лв. са приходи от съдебни такси. За деветмесечието на 2020 г. </w:t>
      </w:r>
      <w:r w:rsidRPr="00105397">
        <w:t xml:space="preserve">са отчетени приходи в размер на 72,8 млн. лв. (62,8 % от планираните), от които 61,2 млн. лв. - </w:t>
      </w:r>
      <w:r w:rsidRPr="00872729">
        <w:t>приходи от съдебни такси. За сравнение, към 30.09.2019 г. са отчетени общо приходи в размер на 81,9 млн. лв. (70,6 % от закона), от които 69,1 млн. лв. - приходи от съдебни такси.</w:t>
      </w:r>
    </w:p>
    <w:p w:rsidR="007D19B9" w:rsidRPr="00D568E2" w:rsidRDefault="007D19B9" w:rsidP="007D19B9">
      <w:pPr>
        <w:ind w:firstLine="567"/>
        <w:jc w:val="both"/>
        <w:rPr>
          <w:lang w:val="en-US"/>
        </w:rPr>
      </w:pPr>
      <w:r w:rsidRPr="003E3A58">
        <w:rPr>
          <w:b/>
        </w:rPr>
        <w:t xml:space="preserve">Разходите </w:t>
      </w:r>
      <w:r w:rsidRPr="003E3A58">
        <w:t>по бюдже</w:t>
      </w:r>
      <w:r w:rsidRPr="005447D8">
        <w:t>та на съдебната власт</w:t>
      </w:r>
      <w:r w:rsidRPr="005447D8">
        <w:rPr>
          <w:b/>
        </w:rPr>
        <w:t xml:space="preserve"> </w:t>
      </w:r>
      <w:r w:rsidRPr="005447D8">
        <w:t>към 30.09.2020 г.</w:t>
      </w:r>
      <w:r w:rsidRPr="005447D8">
        <w:rPr>
          <w:b/>
        </w:rPr>
        <w:t xml:space="preserve"> </w:t>
      </w:r>
      <w:r w:rsidRPr="005447D8">
        <w:t xml:space="preserve">са в размер на 538,9 млн. лв. или 69,9 % от планираните за годината (771,3 млн. лв.). За сравнение, през същия период на 2019 г. са отчетени разходи в размер 497,0 млн. лв., които представляват 70,6 % от </w:t>
      </w:r>
      <w:r w:rsidRPr="00D568E2">
        <w:t>определените с годишния закон 704,3 млн. лева. За деветмесечието на 2020 г. с най-голям относителен дял от отчетените разходи са тези за персонал – 9</w:t>
      </w:r>
      <w:r>
        <w:t>1</w:t>
      </w:r>
      <w:r w:rsidRPr="00D568E2">
        <w:t>,6 % (</w:t>
      </w:r>
      <w:r>
        <w:t>493,6</w:t>
      </w:r>
      <w:r w:rsidRPr="00D568E2">
        <w:t xml:space="preserve"> млн. лв.).</w:t>
      </w:r>
    </w:p>
    <w:p w:rsidR="00F521AA" w:rsidRPr="005A7FA3" w:rsidRDefault="00F521AA" w:rsidP="00777CBA">
      <w:pPr>
        <w:pStyle w:val="Heading1"/>
        <w:numPr>
          <w:ilvl w:val="0"/>
          <w:numId w:val="10"/>
        </w:numPr>
        <w:spacing w:before="360" w:after="120"/>
        <w:ind w:left="748" w:right="-108" w:hanging="391"/>
        <w:jc w:val="both"/>
        <w:rPr>
          <w:sz w:val="24"/>
        </w:rPr>
      </w:pPr>
      <w:r w:rsidRPr="005A7FA3">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rsidR="00F521AA" w:rsidRPr="005A7FA3" w:rsidRDefault="00F521AA" w:rsidP="00F521AA">
      <w:pPr>
        <w:pStyle w:val="Heading1"/>
        <w:numPr>
          <w:ilvl w:val="1"/>
          <w:numId w:val="10"/>
        </w:numPr>
        <w:spacing w:after="120"/>
        <w:ind w:left="788" w:right="-108" w:hanging="431"/>
        <w:jc w:val="both"/>
        <w:rPr>
          <w:sz w:val="24"/>
          <w:lang w:val="en-US"/>
        </w:rPr>
      </w:pPr>
      <w:r w:rsidRPr="005A7FA3">
        <w:rPr>
          <w:sz w:val="24"/>
        </w:rPr>
        <w:t xml:space="preserve"> Сметка за Европейски средства на Разплащателна агенция към Държавен фонд „Земеделие” </w:t>
      </w:r>
    </w:p>
    <w:p w:rsidR="005A7FA3" w:rsidRPr="00393C99" w:rsidRDefault="005A7FA3" w:rsidP="00C4077C">
      <w:pPr>
        <w:numPr>
          <w:ilvl w:val="0"/>
          <w:numId w:val="23"/>
        </w:numPr>
        <w:tabs>
          <w:tab w:val="num" w:pos="540"/>
        </w:tabs>
        <w:spacing w:before="120" w:after="120" w:line="276" w:lineRule="auto"/>
        <w:contextualSpacing/>
        <w:jc w:val="both"/>
        <w:rPr>
          <w:b/>
          <w:color w:val="000000" w:themeColor="text1"/>
          <w:lang w:eastAsia="bg-BG"/>
        </w:rPr>
      </w:pPr>
      <w:r w:rsidRPr="00393C99">
        <w:rPr>
          <w:b/>
          <w:color w:val="000000" w:themeColor="text1"/>
          <w:lang w:eastAsia="bg-BG"/>
        </w:rPr>
        <w:t>Приходи</w:t>
      </w:r>
    </w:p>
    <w:p w:rsidR="005A7FA3" w:rsidRPr="00393C99" w:rsidRDefault="005A7FA3" w:rsidP="005A7FA3">
      <w:pPr>
        <w:ind w:firstLine="567"/>
        <w:jc w:val="both"/>
        <w:rPr>
          <w:color w:val="000000" w:themeColor="text1"/>
        </w:rPr>
      </w:pPr>
      <w:r w:rsidRPr="00393C99">
        <w:rPr>
          <w:color w:val="000000" w:themeColor="text1"/>
        </w:rPr>
        <w:t>За 2020 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891,3 млн. лева. Към 30.0</w:t>
      </w:r>
      <w:r w:rsidRPr="00393C99">
        <w:rPr>
          <w:color w:val="000000" w:themeColor="text1"/>
          <w:lang w:val="en-US"/>
        </w:rPr>
        <w:t>9</w:t>
      </w:r>
      <w:r w:rsidRPr="00393C99">
        <w:rPr>
          <w:color w:val="000000" w:themeColor="text1"/>
        </w:rPr>
        <w:t>.2020 г. постъпленията са в размер на 2</w:t>
      </w:r>
      <w:r w:rsidRPr="00393C99">
        <w:rPr>
          <w:color w:val="000000" w:themeColor="text1"/>
          <w:lang w:val="en-US"/>
        </w:rPr>
        <w:t>92</w:t>
      </w:r>
      <w:r w:rsidRPr="00393C99">
        <w:rPr>
          <w:color w:val="000000" w:themeColor="text1"/>
        </w:rPr>
        <w:t xml:space="preserve">,6 млн. лв., което представлява </w:t>
      </w:r>
      <w:r w:rsidRPr="00393C99">
        <w:rPr>
          <w:color w:val="000000" w:themeColor="text1"/>
          <w:lang w:val="en-US"/>
        </w:rPr>
        <w:t>32</w:t>
      </w:r>
      <w:r w:rsidRPr="00393C99">
        <w:rPr>
          <w:color w:val="000000" w:themeColor="text1"/>
        </w:rPr>
        <w:t>,</w:t>
      </w:r>
      <w:r w:rsidRPr="00393C99">
        <w:rPr>
          <w:color w:val="000000" w:themeColor="text1"/>
          <w:lang w:val="en-US"/>
        </w:rPr>
        <w:t>8</w:t>
      </w:r>
      <w:r w:rsidRPr="00393C99">
        <w:rPr>
          <w:color w:val="000000" w:themeColor="text1"/>
        </w:rPr>
        <w:t xml:space="preserve"> % от годишния план, при </w:t>
      </w:r>
      <w:r w:rsidRPr="00393C99">
        <w:rPr>
          <w:color w:val="000000" w:themeColor="text1"/>
          <w:lang w:val="en-US"/>
        </w:rPr>
        <w:t>32</w:t>
      </w:r>
      <w:r w:rsidRPr="00393C99">
        <w:rPr>
          <w:color w:val="000000" w:themeColor="text1"/>
        </w:rPr>
        <w:t>,</w:t>
      </w:r>
      <w:r w:rsidRPr="00393C99">
        <w:rPr>
          <w:color w:val="000000" w:themeColor="text1"/>
          <w:lang w:val="en-US"/>
        </w:rPr>
        <w:t>9</w:t>
      </w:r>
      <w:r w:rsidRPr="00393C99">
        <w:rPr>
          <w:color w:val="000000" w:themeColor="text1"/>
        </w:rPr>
        <w:t xml:space="preserve"> % изпълнение на годишния план за същия период на предходната година.</w:t>
      </w:r>
      <w:r w:rsidRPr="00393C99">
        <w:rPr>
          <w:color w:val="000000" w:themeColor="text1"/>
          <w:lang w:val="en-US"/>
        </w:rPr>
        <w:t xml:space="preserve"> </w:t>
      </w:r>
      <w:r w:rsidRPr="00393C99">
        <w:rPr>
          <w:rFonts w:eastAsiaTheme="minorHAnsi"/>
          <w:color w:val="000000" w:themeColor="text1"/>
        </w:rPr>
        <w:t>Приходната част е формирана от помощи и дарения от чужбина, приходи от наказателни лихви и коректив на касови постъпления, разпределени както следва:</w:t>
      </w:r>
    </w:p>
    <w:p w:rsidR="005A7FA3" w:rsidRPr="00393C99"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393C99">
        <w:rPr>
          <w:b/>
          <w:i/>
          <w:color w:val="000000" w:themeColor="text1"/>
        </w:rPr>
        <w:t>Текущи помощи и дарения от Европейския съюз</w:t>
      </w:r>
    </w:p>
    <w:p w:rsidR="005A7FA3" w:rsidRPr="00FE5D0F" w:rsidRDefault="005A7FA3" w:rsidP="005A7FA3">
      <w:pPr>
        <w:ind w:firstLine="567"/>
        <w:jc w:val="both"/>
        <w:rPr>
          <w:color w:val="000000" w:themeColor="text1"/>
        </w:rPr>
      </w:pPr>
      <w:r w:rsidRPr="00393C99">
        <w:rPr>
          <w:color w:val="000000" w:themeColor="text1"/>
        </w:rPr>
        <w:t xml:space="preserve">Общият размер на получените приходи, отчетени в „Текущи помощи и дарения от Европейския съюз“ към края на деветмесечието на 2020 г. е 41,2 млн. лв. при планирани за годината </w:t>
      </w:r>
      <w:r w:rsidRPr="00FE5D0F">
        <w:rPr>
          <w:color w:val="000000" w:themeColor="text1"/>
        </w:rPr>
        <w:t>средства в размер на 153,6 млн. лева.</w:t>
      </w:r>
    </w:p>
    <w:p w:rsidR="005A7FA3" w:rsidRPr="00FE5D0F" w:rsidRDefault="005A7FA3" w:rsidP="005A7FA3">
      <w:pPr>
        <w:ind w:firstLine="567"/>
        <w:jc w:val="both"/>
        <w:rPr>
          <w:color w:val="000000" w:themeColor="text1"/>
          <w:lang w:val="en-US"/>
        </w:rPr>
      </w:pPr>
      <w:r w:rsidRPr="00FE5D0F">
        <w:rPr>
          <w:color w:val="000000" w:themeColor="text1"/>
        </w:rPr>
        <w:t xml:space="preserve">Получените текущи приходи от възстановяване на средства от Европейски земеделски фонд за развитие на селските райони (ЕЗФРСР) по линия на ПРСР, без директни плащания, </w:t>
      </w:r>
      <w:r w:rsidRPr="00FE5D0F">
        <w:rPr>
          <w:color w:val="000000" w:themeColor="text1"/>
        </w:rPr>
        <w:lastRenderedPageBreak/>
        <w:t>към 30.09.2020 г. са 32,0 млн. лв., което е 23,7 % от планираните за годината 134,7 млн. лева.</w:t>
      </w:r>
      <w:r w:rsidRPr="00FE5D0F">
        <w:rPr>
          <w:color w:val="000000" w:themeColor="text1"/>
          <w:lang w:val="en-US"/>
        </w:rPr>
        <w:t xml:space="preserve"> </w:t>
      </w:r>
      <w:r w:rsidRPr="00FE5D0F">
        <w:rPr>
          <w:color w:val="000000" w:themeColor="text1"/>
        </w:rPr>
        <w:t>За сравнение, изпълнението на плана за деветмесечието на 2019 г. е 17,2 процента.</w:t>
      </w:r>
    </w:p>
    <w:p w:rsidR="005A7FA3" w:rsidRPr="00537C9C" w:rsidRDefault="005A7FA3" w:rsidP="005A7FA3">
      <w:pPr>
        <w:ind w:firstLine="567"/>
        <w:jc w:val="both"/>
        <w:rPr>
          <w:color w:val="000000" w:themeColor="text1"/>
        </w:rPr>
      </w:pPr>
      <w:r w:rsidRPr="00537C9C">
        <w:rPr>
          <w:color w:val="000000" w:themeColor="text1"/>
        </w:rPr>
        <w:t xml:space="preserve">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(EФГЗ) към 30.09.2020 г. са 6,5 млн. лв., което представлява 68,4 % от планираните за годината 9,5 млн. лева. За сравнение, за същия период на предходната година възстановените суми по това направление са 53,9 % от годишния план. </w:t>
      </w:r>
    </w:p>
    <w:p w:rsidR="005A7FA3" w:rsidRPr="00B724DB" w:rsidRDefault="005A7FA3" w:rsidP="005A7FA3">
      <w:pPr>
        <w:ind w:firstLine="567"/>
        <w:jc w:val="both"/>
        <w:rPr>
          <w:color w:val="000000" w:themeColor="text1"/>
        </w:rPr>
      </w:pPr>
      <w:r w:rsidRPr="00B724DB">
        <w:rPr>
          <w:color w:val="000000" w:themeColor="text1"/>
        </w:rPr>
        <w:t xml:space="preserve">През деветмесечието на 2020 г. са получени 2,7 млн. лв. текущи приходи от възстановяване от Европейския фонд за морско дело и рибарство (ЕФМДР), което представлява 28,4 % от планираните за годината 9,5 млн. лева. За същия период на предходната година изпълнението е било 74,0 %. </w:t>
      </w:r>
    </w:p>
    <w:p w:rsidR="005A7FA3" w:rsidRPr="00B724DB"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B724DB">
        <w:rPr>
          <w:b/>
          <w:i/>
          <w:color w:val="000000" w:themeColor="text1"/>
        </w:rPr>
        <w:t>Капиталови помощи и дарения от Европейския съюз</w:t>
      </w:r>
    </w:p>
    <w:p w:rsidR="005A7FA3" w:rsidRPr="00373E79" w:rsidRDefault="005A7FA3" w:rsidP="005A7FA3">
      <w:pPr>
        <w:ind w:firstLine="567"/>
        <w:jc w:val="both"/>
        <w:rPr>
          <w:color w:val="000000" w:themeColor="text1"/>
        </w:rPr>
      </w:pPr>
      <w:r w:rsidRPr="00373E79">
        <w:rPr>
          <w:color w:val="000000" w:themeColor="text1"/>
        </w:rPr>
        <w:t xml:space="preserve">Общият размер на получените приходи, отчетени в „Капиталови помощи и дарения от Европейския съюз“ към 30.09.2020 г. е 254,2 млн. лв. при планирани за годината </w:t>
      </w:r>
      <w:r w:rsidRPr="00373E79">
        <w:rPr>
          <w:color w:val="000000" w:themeColor="text1"/>
          <w:lang w:val="en-US"/>
        </w:rPr>
        <w:t>737</w:t>
      </w:r>
      <w:r w:rsidRPr="00373E79">
        <w:rPr>
          <w:color w:val="000000" w:themeColor="text1"/>
        </w:rPr>
        <w:t>,</w:t>
      </w:r>
      <w:r w:rsidRPr="00373E79">
        <w:rPr>
          <w:color w:val="000000" w:themeColor="text1"/>
          <w:lang w:val="en-US"/>
        </w:rPr>
        <w:t>6</w:t>
      </w:r>
      <w:r w:rsidRPr="00373E79">
        <w:rPr>
          <w:color w:val="000000" w:themeColor="text1"/>
        </w:rPr>
        <w:t xml:space="preserve"> млн. лева.</w:t>
      </w:r>
    </w:p>
    <w:p w:rsidR="005A7FA3" w:rsidRPr="00881DB2" w:rsidRDefault="005A7FA3" w:rsidP="005A7FA3">
      <w:pPr>
        <w:ind w:firstLine="567"/>
        <w:jc w:val="both"/>
        <w:rPr>
          <w:color w:val="000000" w:themeColor="text1"/>
        </w:rPr>
      </w:pPr>
      <w:r w:rsidRPr="00881DB2">
        <w:rPr>
          <w:color w:val="000000" w:themeColor="text1"/>
        </w:rPr>
        <w:t xml:space="preserve">Получените капиталови приходи от ЕЗФРСР по линия на ПРСР без директни плащания до 30.09.2020 г. са 236,0 млн. лв., което е 33,3  % от годишния план </w:t>
      </w:r>
      <w:r w:rsidRPr="00881DB2">
        <w:rPr>
          <w:color w:val="000000" w:themeColor="text1"/>
          <w:lang w:val="en-US"/>
        </w:rPr>
        <w:t>(709</w:t>
      </w:r>
      <w:r w:rsidRPr="00881DB2">
        <w:rPr>
          <w:color w:val="000000" w:themeColor="text1"/>
        </w:rPr>
        <w:t>,</w:t>
      </w:r>
      <w:r w:rsidRPr="00881DB2">
        <w:rPr>
          <w:color w:val="000000" w:themeColor="text1"/>
          <w:lang w:val="en-US"/>
        </w:rPr>
        <w:t>6</w:t>
      </w:r>
      <w:r w:rsidRPr="00881DB2">
        <w:rPr>
          <w:color w:val="000000" w:themeColor="text1"/>
        </w:rPr>
        <w:t xml:space="preserve"> млн. лв.</w:t>
      </w:r>
      <w:r w:rsidRPr="00881DB2">
        <w:rPr>
          <w:color w:val="000000" w:themeColor="text1"/>
          <w:lang w:val="en-US"/>
        </w:rPr>
        <w:t>).</w:t>
      </w:r>
      <w:r w:rsidRPr="00881DB2">
        <w:rPr>
          <w:color w:val="000000" w:themeColor="text1"/>
        </w:rPr>
        <w:t xml:space="preserve"> За сравнение, през деветмесечието на 2019 г. са получени 234,3 млн. лева.</w:t>
      </w:r>
    </w:p>
    <w:p w:rsidR="005A7FA3" w:rsidRPr="00881DB2" w:rsidRDefault="005A7FA3" w:rsidP="005A7FA3">
      <w:pPr>
        <w:ind w:firstLine="567"/>
        <w:jc w:val="both"/>
        <w:rPr>
          <w:color w:val="000000" w:themeColor="text1"/>
        </w:rPr>
      </w:pPr>
      <w:r w:rsidRPr="00881DB2">
        <w:rPr>
          <w:color w:val="000000" w:themeColor="text1"/>
        </w:rPr>
        <w:t xml:space="preserve">През деветмесечието на 2020 г. са  получени капиталови приходи в размер на 18,2 млн. лв. </w:t>
      </w:r>
      <w:r w:rsidRPr="00881DB2">
        <w:rPr>
          <w:rFonts w:eastAsiaTheme="minorHAnsi"/>
          <w:color w:val="000000" w:themeColor="text1"/>
        </w:rPr>
        <w:t>от фонд ЕФМДР</w:t>
      </w:r>
      <w:r w:rsidRPr="00881DB2">
        <w:rPr>
          <w:color w:val="000000" w:themeColor="text1"/>
        </w:rPr>
        <w:t xml:space="preserve"> при планирани за годината 28,0 млн. лв., което е 65,0</w:t>
      </w:r>
      <w:r w:rsidRPr="00881DB2">
        <w:rPr>
          <w:rFonts w:eastAsiaTheme="minorHAnsi"/>
          <w:color w:val="000000" w:themeColor="text1"/>
        </w:rPr>
        <w:t xml:space="preserve"> % изпълнение на плана за годината. </w:t>
      </w:r>
      <w:r w:rsidRPr="00881DB2">
        <w:rPr>
          <w:color w:val="000000" w:themeColor="text1"/>
        </w:rPr>
        <w:t>За сравнение, изпълнението на годишния план към 30.09.2019 г. е 33,2 процента.</w:t>
      </w:r>
    </w:p>
    <w:p w:rsidR="005A7FA3" w:rsidRPr="00C070BC" w:rsidRDefault="005A7FA3" w:rsidP="00C4077C">
      <w:pPr>
        <w:numPr>
          <w:ilvl w:val="0"/>
          <w:numId w:val="22"/>
        </w:numPr>
        <w:tabs>
          <w:tab w:val="left" w:pos="993"/>
        </w:tabs>
        <w:spacing w:before="120" w:after="120"/>
        <w:ind w:left="1321" w:firstLine="567"/>
        <w:jc w:val="both"/>
        <w:rPr>
          <w:b/>
          <w:i/>
          <w:color w:val="000000" w:themeColor="text1"/>
        </w:rPr>
      </w:pPr>
      <w:r w:rsidRPr="00C070BC">
        <w:rPr>
          <w:b/>
          <w:i/>
          <w:color w:val="000000" w:themeColor="text1"/>
        </w:rPr>
        <w:t>Приходи от наказателни лихви</w:t>
      </w:r>
    </w:p>
    <w:p w:rsidR="005A7FA3" w:rsidRPr="00B67306" w:rsidRDefault="005A7FA3" w:rsidP="005A7FA3">
      <w:pPr>
        <w:tabs>
          <w:tab w:val="left" w:pos="993"/>
        </w:tabs>
        <w:spacing w:before="120" w:after="120"/>
        <w:ind w:firstLine="567"/>
        <w:jc w:val="both"/>
        <w:rPr>
          <w:color w:val="000000" w:themeColor="text1"/>
        </w:rPr>
      </w:pPr>
      <w:r w:rsidRPr="00C070BC">
        <w:rPr>
          <w:color w:val="000000" w:themeColor="text1"/>
        </w:rPr>
        <w:t xml:space="preserve">През деветмесечието на 2020 г. са отчетени приходи от получени наказателни лихви, </w:t>
      </w:r>
      <w:r w:rsidRPr="00B67306">
        <w:rPr>
          <w:color w:val="000000" w:themeColor="text1"/>
        </w:rPr>
        <w:t>свързани с вземания за възстановяване на средства от ЕК в размер на 0,2 млн. лева.</w:t>
      </w:r>
    </w:p>
    <w:p w:rsidR="005A7FA3" w:rsidRPr="00B67306" w:rsidRDefault="005A7FA3" w:rsidP="00C4077C">
      <w:pPr>
        <w:numPr>
          <w:ilvl w:val="0"/>
          <w:numId w:val="22"/>
        </w:numPr>
        <w:tabs>
          <w:tab w:val="left" w:pos="993"/>
        </w:tabs>
        <w:spacing w:before="120" w:after="120"/>
        <w:ind w:left="1321" w:firstLine="567"/>
        <w:jc w:val="both"/>
        <w:rPr>
          <w:b/>
          <w:i/>
          <w:color w:val="000000" w:themeColor="text1"/>
        </w:rPr>
      </w:pPr>
      <w:r w:rsidRPr="00B67306">
        <w:rPr>
          <w:b/>
          <w:i/>
          <w:color w:val="000000" w:themeColor="text1"/>
        </w:rPr>
        <w:t xml:space="preserve">Коректив на касови постъпления </w:t>
      </w:r>
    </w:p>
    <w:p w:rsidR="005A7FA3" w:rsidRPr="00B67306" w:rsidRDefault="005A7FA3" w:rsidP="005A7FA3">
      <w:pPr>
        <w:tabs>
          <w:tab w:val="left" w:pos="993"/>
        </w:tabs>
        <w:spacing w:before="120" w:after="120"/>
        <w:ind w:firstLine="567"/>
        <w:jc w:val="both"/>
        <w:rPr>
          <w:bCs/>
          <w:iCs/>
          <w:color w:val="000000" w:themeColor="text1"/>
          <w:lang w:val="en-US"/>
        </w:rPr>
      </w:pPr>
      <w:r w:rsidRPr="00B67306">
        <w:rPr>
          <w:bCs/>
          <w:iCs/>
          <w:color w:val="000000" w:themeColor="text1"/>
        </w:rPr>
        <w:t>Към 30.09.2020 г. отчетеният коректив на касови постъпления възлиза на -3,0 млн. лева. Той е формиран от принудително събрани суми от НАП, за които не е извършен превод на средства по сметката на ДФЗ-РА.</w:t>
      </w:r>
    </w:p>
    <w:p w:rsidR="005A7FA3" w:rsidRPr="00B67306" w:rsidRDefault="005A7FA3" w:rsidP="005A7FA3">
      <w:pPr>
        <w:ind w:firstLine="567"/>
        <w:jc w:val="both"/>
        <w:rPr>
          <w:color w:val="000000" w:themeColor="text1"/>
          <w:sz w:val="10"/>
        </w:rPr>
      </w:pPr>
    </w:p>
    <w:p w:rsidR="005A7FA3" w:rsidRPr="00B67306" w:rsidRDefault="005A7FA3" w:rsidP="00C4077C">
      <w:pPr>
        <w:numPr>
          <w:ilvl w:val="0"/>
          <w:numId w:val="23"/>
        </w:numPr>
        <w:tabs>
          <w:tab w:val="num" w:pos="540"/>
        </w:tabs>
        <w:spacing w:before="120" w:after="120" w:line="276" w:lineRule="auto"/>
        <w:contextualSpacing/>
        <w:jc w:val="both"/>
        <w:rPr>
          <w:b/>
          <w:color w:val="000000" w:themeColor="text1"/>
          <w:lang w:eastAsia="bg-BG"/>
        </w:rPr>
      </w:pPr>
      <w:r w:rsidRPr="00B67306">
        <w:rPr>
          <w:b/>
          <w:color w:val="000000" w:themeColor="text1"/>
          <w:lang w:eastAsia="bg-BG"/>
        </w:rPr>
        <w:t xml:space="preserve">Разходи </w:t>
      </w:r>
    </w:p>
    <w:p w:rsidR="005A7FA3" w:rsidRPr="000C6F76" w:rsidRDefault="005A7FA3" w:rsidP="005A7FA3">
      <w:pPr>
        <w:ind w:firstLine="567"/>
        <w:jc w:val="both"/>
        <w:rPr>
          <w:color w:val="000000" w:themeColor="text1"/>
        </w:rPr>
      </w:pPr>
      <w:r w:rsidRPr="000C6F76">
        <w:rPr>
          <w:color w:val="000000" w:themeColor="text1"/>
        </w:rPr>
        <w:t xml:space="preserve">Общият размер на планираните за 2020 г. разходи по утвърдените годишни разчети на сметката за средства от Европейския съюз на Разплащателната агенция към ДФ „Земеделие” е 1 037,9 млн. лева. </w:t>
      </w:r>
    </w:p>
    <w:p w:rsidR="005A7FA3" w:rsidRPr="00330DBD" w:rsidRDefault="005A7FA3" w:rsidP="005A7FA3">
      <w:pPr>
        <w:ind w:firstLine="567"/>
        <w:jc w:val="both"/>
        <w:rPr>
          <w:color w:val="000000" w:themeColor="text1"/>
        </w:rPr>
      </w:pPr>
      <w:r w:rsidRPr="00330DBD">
        <w:rPr>
          <w:color w:val="000000" w:themeColor="text1"/>
        </w:rPr>
        <w:t>Уточненият план на субсидиите за текуща дейност и капиталовите трансфери за 2020 г. е 732,5 млн. лева. Изпълнението към 30.09.2020 г. възлиза на 26,9 % от годишния план и е в размер на 196,8 млн. лева.</w:t>
      </w:r>
    </w:p>
    <w:p w:rsidR="005A7FA3" w:rsidRPr="00330DBD" w:rsidRDefault="005A7FA3" w:rsidP="005A7FA3">
      <w:pPr>
        <w:ind w:firstLine="567"/>
        <w:jc w:val="both"/>
        <w:rPr>
          <w:color w:val="000000" w:themeColor="text1"/>
        </w:rPr>
      </w:pPr>
      <w:r w:rsidRPr="00330DBD">
        <w:rPr>
          <w:color w:val="000000" w:themeColor="text1"/>
        </w:rPr>
        <w:t>Разпределението на разходите е както следва:</w:t>
      </w:r>
    </w:p>
    <w:p w:rsidR="005A7FA3" w:rsidRPr="006600EF"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6600EF">
        <w:rPr>
          <w:b/>
          <w:i/>
          <w:color w:val="000000" w:themeColor="text1"/>
        </w:rPr>
        <w:t>Субсидии и други текущи трансфери за нефинансови предприятия</w:t>
      </w:r>
    </w:p>
    <w:p w:rsidR="005A7FA3" w:rsidRPr="006600EF" w:rsidRDefault="005A7FA3" w:rsidP="005A7FA3">
      <w:pPr>
        <w:ind w:firstLine="567"/>
        <w:jc w:val="both"/>
        <w:rPr>
          <w:color w:val="000000" w:themeColor="text1"/>
        </w:rPr>
      </w:pPr>
      <w:r w:rsidRPr="006600EF">
        <w:rPr>
          <w:color w:val="000000" w:themeColor="text1"/>
        </w:rPr>
        <w:t>За 2020 г. са планирани средства в размер на 278,3 млн. лв. за субсидии и други текущи трансфери за нефинансови предприятия. Отчетените към края на деветмесечието средства представляват 22,4 % от планираните за годината и са в размер на 62,3 млн. лева. За същия период на предходната година, изпълнението е 90,8 млн. лева.</w:t>
      </w:r>
    </w:p>
    <w:p w:rsidR="005A7FA3" w:rsidRPr="00FA6014" w:rsidRDefault="005A7FA3" w:rsidP="005A7FA3">
      <w:pPr>
        <w:ind w:firstLine="567"/>
        <w:jc w:val="both"/>
        <w:rPr>
          <w:color w:val="000000" w:themeColor="text1"/>
        </w:rPr>
      </w:pPr>
      <w:r w:rsidRPr="00FA6014">
        <w:rPr>
          <w:color w:val="000000" w:themeColor="text1"/>
        </w:rPr>
        <w:t>Изпълнението по дейности е както следва:</w:t>
      </w:r>
    </w:p>
    <w:p w:rsidR="005A7FA3" w:rsidRPr="00FA6014" w:rsidRDefault="005A7FA3" w:rsidP="005A7FA3">
      <w:pPr>
        <w:ind w:firstLine="567"/>
        <w:contextualSpacing/>
        <w:jc w:val="both"/>
        <w:rPr>
          <w:color w:val="000000" w:themeColor="text1"/>
        </w:rPr>
      </w:pPr>
      <w:r w:rsidRPr="00FA6014">
        <w:rPr>
          <w:color w:val="000000" w:themeColor="text1"/>
        </w:rPr>
        <w:t>- национално съфинансиране към ЕЗФРСР за директни плащания – 39,6 млн. лв., изпълнение 53,0 % на планираните за годината 74,7 млн. лева;</w:t>
      </w:r>
    </w:p>
    <w:p w:rsidR="005A7FA3" w:rsidRPr="00AD4398" w:rsidRDefault="005A7FA3" w:rsidP="005A7FA3">
      <w:pPr>
        <w:ind w:firstLine="567"/>
        <w:contextualSpacing/>
        <w:jc w:val="both"/>
        <w:rPr>
          <w:color w:val="000000" w:themeColor="text1"/>
        </w:rPr>
      </w:pPr>
      <w:r w:rsidRPr="00AD4398">
        <w:rPr>
          <w:color w:val="000000" w:themeColor="text1"/>
        </w:rPr>
        <w:t>- текущи субсидии по Програмата за развитие на селските райони – 3,5 млн. лв., изпълнение от 2,4 % на планираните за годината 147,4 млн. лева;</w:t>
      </w:r>
    </w:p>
    <w:p w:rsidR="005A7FA3" w:rsidRPr="00AD4398" w:rsidRDefault="005A7FA3" w:rsidP="005A7FA3">
      <w:pPr>
        <w:tabs>
          <w:tab w:val="left" w:pos="851"/>
          <w:tab w:val="left" w:pos="1134"/>
        </w:tabs>
        <w:ind w:firstLine="567"/>
        <w:contextualSpacing/>
        <w:jc w:val="both"/>
        <w:rPr>
          <w:color w:val="000000" w:themeColor="text1"/>
        </w:rPr>
      </w:pPr>
      <w:r w:rsidRPr="00AD4398">
        <w:rPr>
          <w:color w:val="000000" w:themeColor="text1"/>
        </w:rPr>
        <w:t>- текущи субсидии за пазарни мерки – 18,0 млн. лв., изпълнение от 32,0 % на планираните за 2020 г. 56,2 млн. лева.</w:t>
      </w:r>
    </w:p>
    <w:p w:rsidR="005A7FA3" w:rsidRPr="00AD4398"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AD4398">
        <w:rPr>
          <w:b/>
          <w:i/>
          <w:color w:val="000000" w:themeColor="text1"/>
        </w:rPr>
        <w:lastRenderedPageBreak/>
        <w:t>Субсидии и други текущи трансфери за юридически лица с нестопанска цел</w:t>
      </w:r>
    </w:p>
    <w:p w:rsidR="005A7FA3" w:rsidRPr="00D0145D" w:rsidRDefault="005A7FA3" w:rsidP="005A7FA3">
      <w:pPr>
        <w:ind w:firstLine="567"/>
        <w:contextualSpacing/>
        <w:jc w:val="both"/>
        <w:rPr>
          <w:color w:val="000000" w:themeColor="text1"/>
        </w:rPr>
      </w:pPr>
      <w:r w:rsidRPr="004A3BEC">
        <w:rPr>
          <w:color w:val="4F81BD" w:themeColor="accent1"/>
        </w:rPr>
        <w:tab/>
      </w:r>
      <w:r w:rsidRPr="0079124B">
        <w:rPr>
          <w:color w:val="000000" w:themeColor="text1"/>
        </w:rPr>
        <w:t>За 2020 г. за субсидии и други текущи трансфери за юридически лица с нестопанска цел са планирани 12,5 млн. лева. Към края на деветмесечието са отчетени разходи в размер на 9,</w:t>
      </w:r>
      <w:proofErr w:type="spellStart"/>
      <w:r w:rsidRPr="0079124B">
        <w:rPr>
          <w:color w:val="000000" w:themeColor="text1"/>
        </w:rPr>
        <w:t>9</w:t>
      </w:r>
      <w:proofErr w:type="spellEnd"/>
      <w:r w:rsidRPr="0079124B">
        <w:rPr>
          <w:color w:val="000000" w:themeColor="text1"/>
        </w:rPr>
        <w:t xml:space="preserve"> млн. лв. при </w:t>
      </w:r>
      <w:r w:rsidRPr="00D0145D">
        <w:rPr>
          <w:color w:val="000000" w:themeColor="text1"/>
        </w:rPr>
        <w:t>10,0 млн. лв. за същия период на 2019 година.</w:t>
      </w:r>
    </w:p>
    <w:p w:rsidR="005A7FA3" w:rsidRPr="00D0145D" w:rsidRDefault="005A7FA3" w:rsidP="005A7FA3">
      <w:pPr>
        <w:ind w:firstLine="567"/>
        <w:contextualSpacing/>
        <w:jc w:val="both"/>
        <w:rPr>
          <w:color w:val="000000" w:themeColor="text1"/>
        </w:rPr>
      </w:pPr>
      <w:r w:rsidRPr="00D0145D">
        <w:rPr>
          <w:color w:val="000000" w:themeColor="text1"/>
        </w:rPr>
        <w:t>Разпределението по дейности е както следва:</w:t>
      </w:r>
    </w:p>
    <w:p w:rsidR="005A7FA3" w:rsidRPr="00D0145D" w:rsidRDefault="005A7FA3" w:rsidP="005A7FA3">
      <w:pPr>
        <w:ind w:firstLine="567"/>
        <w:contextualSpacing/>
        <w:jc w:val="both"/>
        <w:rPr>
          <w:color w:val="000000" w:themeColor="text1"/>
        </w:rPr>
      </w:pPr>
      <w:r w:rsidRPr="00D0145D">
        <w:rPr>
          <w:color w:val="000000" w:themeColor="text1"/>
        </w:rPr>
        <w:t xml:space="preserve">-  национално съфинансиране към ЕЗФРСР за директни плащания  – 0,1 млн. лева; </w:t>
      </w:r>
    </w:p>
    <w:p w:rsidR="005A7FA3" w:rsidRPr="00D0145D" w:rsidRDefault="005A7FA3" w:rsidP="005A7FA3">
      <w:pPr>
        <w:tabs>
          <w:tab w:val="left" w:pos="851"/>
        </w:tabs>
        <w:ind w:firstLine="567"/>
        <w:contextualSpacing/>
        <w:jc w:val="both"/>
        <w:rPr>
          <w:color w:val="000000" w:themeColor="text1"/>
        </w:rPr>
      </w:pPr>
      <w:r w:rsidRPr="00D0145D">
        <w:rPr>
          <w:color w:val="000000" w:themeColor="text1"/>
        </w:rPr>
        <w:t>-  текущи субсидии по ПМДР – 1,5 млн. лв. при планирани 0,8 млн. лева;</w:t>
      </w:r>
    </w:p>
    <w:p w:rsidR="005A7FA3" w:rsidRPr="00D0145D" w:rsidRDefault="005A7FA3" w:rsidP="005A7FA3">
      <w:pPr>
        <w:ind w:firstLine="567"/>
        <w:contextualSpacing/>
        <w:jc w:val="both"/>
        <w:rPr>
          <w:color w:val="000000" w:themeColor="text1"/>
        </w:rPr>
      </w:pPr>
      <w:r w:rsidRPr="00D0145D">
        <w:rPr>
          <w:color w:val="000000" w:themeColor="text1"/>
        </w:rPr>
        <w:t>- текущи субсидии по Програмата за развитие на селските райони – 8,3 млн. лв., изпълнение 70,9 % на планираните 11,7 млн. лева;</w:t>
      </w:r>
    </w:p>
    <w:p w:rsidR="005A7FA3" w:rsidRPr="00D0145D" w:rsidRDefault="005A7FA3" w:rsidP="005A7FA3">
      <w:pPr>
        <w:ind w:firstLine="567"/>
        <w:contextualSpacing/>
        <w:jc w:val="both"/>
        <w:rPr>
          <w:color w:val="000000" w:themeColor="text1"/>
        </w:rPr>
      </w:pPr>
      <w:r w:rsidRPr="00D0145D">
        <w:rPr>
          <w:color w:val="000000" w:themeColor="text1"/>
        </w:rPr>
        <w:t>-  текущи субсидии за пазарни мерки – няма усвоени средства през първото полугодие при планирани за годината 0,1 млн. лева.</w:t>
      </w:r>
    </w:p>
    <w:p w:rsidR="005A7FA3" w:rsidRPr="00120442"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120442">
        <w:rPr>
          <w:b/>
          <w:i/>
          <w:color w:val="000000" w:themeColor="text1"/>
        </w:rPr>
        <w:t>Капиталови трансфери за нефинансови предприятия</w:t>
      </w:r>
    </w:p>
    <w:p w:rsidR="005A7FA3" w:rsidRPr="00120442" w:rsidRDefault="005A7FA3" w:rsidP="005A7FA3">
      <w:pPr>
        <w:ind w:firstLine="567"/>
        <w:jc w:val="both"/>
        <w:rPr>
          <w:color w:val="000000" w:themeColor="text1"/>
        </w:rPr>
      </w:pPr>
      <w:r w:rsidRPr="00120442">
        <w:rPr>
          <w:color w:val="000000" w:themeColor="text1"/>
        </w:rPr>
        <w:t>За 2020 г. за капиталови трансфери за нефинансови предприятия са планирани 412,9 млн. лева. Към 30.09.2020 г. са отчетени 117,8 млн. лв., което е 28,5 % изпълнение на годишния план. Изпълнението за същия период на предходната година е 126,6 млн. лева.</w:t>
      </w:r>
    </w:p>
    <w:p w:rsidR="005A7FA3" w:rsidRPr="00120442" w:rsidRDefault="005A7FA3" w:rsidP="005A7FA3">
      <w:pPr>
        <w:ind w:firstLine="567"/>
        <w:jc w:val="both"/>
        <w:rPr>
          <w:color w:val="000000" w:themeColor="text1"/>
        </w:rPr>
      </w:pPr>
      <w:r w:rsidRPr="00120442">
        <w:rPr>
          <w:color w:val="000000" w:themeColor="text1"/>
        </w:rPr>
        <w:t>Разпределението по дейности е както следва:</w:t>
      </w:r>
    </w:p>
    <w:p w:rsidR="005A7FA3" w:rsidRPr="00120442" w:rsidRDefault="005A7FA3" w:rsidP="005A7FA3">
      <w:pPr>
        <w:ind w:firstLine="567"/>
        <w:contextualSpacing/>
        <w:jc w:val="both"/>
        <w:rPr>
          <w:color w:val="000000" w:themeColor="text1"/>
        </w:rPr>
      </w:pPr>
      <w:r w:rsidRPr="00120442">
        <w:rPr>
          <w:color w:val="000000" w:themeColor="text1"/>
        </w:rPr>
        <w:t xml:space="preserve">-  капиталови трансфери по Програмата за морско дело и рибарство </w:t>
      </w:r>
      <w:r w:rsidRPr="00120442">
        <w:rPr>
          <w:color w:val="000000" w:themeColor="text1"/>
          <w:lang w:val="en-US"/>
        </w:rPr>
        <w:t>(</w:t>
      </w:r>
      <w:r w:rsidRPr="00120442">
        <w:rPr>
          <w:color w:val="000000" w:themeColor="text1"/>
        </w:rPr>
        <w:t>ПМДР</w:t>
      </w:r>
      <w:r w:rsidRPr="00120442">
        <w:rPr>
          <w:color w:val="000000" w:themeColor="text1"/>
          <w:lang w:val="en-US"/>
        </w:rPr>
        <w:t>)</w:t>
      </w:r>
      <w:r w:rsidRPr="00120442">
        <w:rPr>
          <w:color w:val="000000" w:themeColor="text1"/>
        </w:rPr>
        <w:t xml:space="preserve"> – 3,9 млн. лв., което е 8,5 %  изпълнение на годишния план (45,9 млн. лева);</w:t>
      </w:r>
    </w:p>
    <w:p w:rsidR="005A7FA3" w:rsidRPr="00120442" w:rsidRDefault="005A7FA3" w:rsidP="005A7FA3">
      <w:pPr>
        <w:ind w:firstLine="567"/>
        <w:contextualSpacing/>
        <w:jc w:val="both"/>
        <w:rPr>
          <w:color w:val="000000" w:themeColor="text1"/>
        </w:rPr>
      </w:pPr>
      <w:r w:rsidRPr="00120442">
        <w:rPr>
          <w:color w:val="000000" w:themeColor="text1"/>
        </w:rPr>
        <w:t>-  капиталови трансфери по ПРСР – 112,2 млн. лв., 30,8 %  изпълнение на годишния план (364,7 млн. лв.);</w:t>
      </w:r>
    </w:p>
    <w:p w:rsidR="005A7FA3" w:rsidRPr="00120442" w:rsidRDefault="005A7FA3" w:rsidP="005A7FA3">
      <w:pPr>
        <w:ind w:firstLine="567"/>
        <w:contextualSpacing/>
        <w:jc w:val="both"/>
        <w:rPr>
          <w:color w:val="000000" w:themeColor="text1"/>
        </w:rPr>
      </w:pPr>
      <w:r w:rsidRPr="00120442">
        <w:rPr>
          <w:color w:val="000000" w:themeColor="text1"/>
        </w:rPr>
        <w:t xml:space="preserve">-  капиталови трансфери за пазарни мерки – 1,7 млн. лв. при планирани в разчетите за годината 2,3 млн. лева. </w:t>
      </w:r>
    </w:p>
    <w:p w:rsidR="005A7FA3" w:rsidRPr="00120442" w:rsidRDefault="005A7FA3" w:rsidP="00C4077C">
      <w:pPr>
        <w:numPr>
          <w:ilvl w:val="0"/>
          <w:numId w:val="22"/>
        </w:numPr>
        <w:tabs>
          <w:tab w:val="left" w:pos="993"/>
        </w:tabs>
        <w:spacing w:before="120" w:after="120" w:line="276" w:lineRule="auto"/>
        <w:ind w:left="1321" w:firstLine="567"/>
        <w:jc w:val="both"/>
        <w:rPr>
          <w:b/>
          <w:i/>
          <w:color w:val="000000" w:themeColor="text1"/>
        </w:rPr>
      </w:pPr>
      <w:r w:rsidRPr="00120442">
        <w:rPr>
          <w:b/>
          <w:i/>
          <w:color w:val="000000" w:themeColor="text1"/>
        </w:rPr>
        <w:t>Капиталови трансфери за организации с нестопанска цел</w:t>
      </w:r>
    </w:p>
    <w:p w:rsidR="005A7FA3" w:rsidRPr="00120442" w:rsidRDefault="005A7FA3" w:rsidP="005A7FA3">
      <w:pPr>
        <w:ind w:firstLine="567"/>
        <w:jc w:val="both"/>
        <w:rPr>
          <w:color w:val="000000" w:themeColor="text1"/>
        </w:rPr>
      </w:pPr>
      <w:r w:rsidRPr="00120442">
        <w:rPr>
          <w:color w:val="000000" w:themeColor="text1"/>
        </w:rPr>
        <w:t xml:space="preserve">За 2020 г. са планирани капиталови трансфери за организации с нестопанска цел в размер на 28,8 млн. лева. Към 30.09.2020 г. са отчетени капиталови трансфери в размер на 6,8 млн. лв., 23,6 % изпълнение на годишния план, при отчетени 20,1 млн. лв. за същия период на предходната година. </w:t>
      </w:r>
    </w:p>
    <w:p w:rsidR="005A7FA3" w:rsidRPr="00120442" w:rsidRDefault="005A7FA3" w:rsidP="005A7FA3">
      <w:pPr>
        <w:ind w:firstLine="567"/>
        <w:jc w:val="both"/>
        <w:rPr>
          <w:color w:val="000000" w:themeColor="text1"/>
        </w:rPr>
      </w:pPr>
      <w:r w:rsidRPr="00120442">
        <w:rPr>
          <w:color w:val="000000" w:themeColor="text1"/>
        </w:rPr>
        <w:t>Разпределението по дейности е както следва:</w:t>
      </w:r>
    </w:p>
    <w:p w:rsidR="005A7FA3" w:rsidRPr="001C734D" w:rsidRDefault="005A7FA3" w:rsidP="005A7FA3">
      <w:pPr>
        <w:ind w:firstLine="567"/>
        <w:contextualSpacing/>
        <w:jc w:val="both"/>
        <w:rPr>
          <w:color w:val="000000" w:themeColor="text1"/>
        </w:rPr>
      </w:pPr>
      <w:r w:rsidRPr="001C734D">
        <w:rPr>
          <w:color w:val="000000" w:themeColor="text1"/>
        </w:rPr>
        <w:t xml:space="preserve">-  капиталови трансфери по Програмата за морско дело и рибарство </w:t>
      </w:r>
      <w:r w:rsidRPr="001C734D">
        <w:rPr>
          <w:color w:val="000000" w:themeColor="text1"/>
          <w:lang w:val="en-US"/>
        </w:rPr>
        <w:t>(</w:t>
      </w:r>
      <w:r w:rsidRPr="001C734D">
        <w:rPr>
          <w:color w:val="000000" w:themeColor="text1"/>
        </w:rPr>
        <w:t>ПМДР</w:t>
      </w:r>
      <w:r w:rsidRPr="001C734D">
        <w:rPr>
          <w:color w:val="000000" w:themeColor="text1"/>
          <w:lang w:val="en-US"/>
        </w:rPr>
        <w:t>)</w:t>
      </w:r>
      <w:r w:rsidRPr="001C734D">
        <w:rPr>
          <w:color w:val="000000" w:themeColor="text1"/>
        </w:rPr>
        <w:t xml:space="preserve"> – няма усвоени средства при планирани за годината 2,0 млн. лв.;</w:t>
      </w:r>
    </w:p>
    <w:p w:rsidR="005A7FA3" w:rsidRPr="001C734D" w:rsidRDefault="005A7FA3" w:rsidP="005A7FA3">
      <w:pPr>
        <w:ind w:firstLine="567"/>
        <w:contextualSpacing/>
        <w:jc w:val="both"/>
        <w:rPr>
          <w:color w:val="000000" w:themeColor="text1"/>
        </w:rPr>
      </w:pPr>
      <w:r w:rsidRPr="001C734D">
        <w:rPr>
          <w:color w:val="000000" w:themeColor="text1"/>
        </w:rPr>
        <w:t>-  капиталови трансфери по ПРСР – 6,8 млн. лв., 25,4 %  изпълнение на годишния план (26,8 млн. лв.).</w:t>
      </w:r>
    </w:p>
    <w:p w:rsidR="005A7FA3" w:rsidRPr="001C734D" w:rsidRDefault="005A7FA3" w:rsidP="005A7FA3">
      <w:pPr>
        <w:ind w:firstLine="567"/>
        <w:contextualSpacing/>
        <w:jc w:val="both"/>
        <w:rPr>
          <w:color w:val="000000" w:themeColor="text1"/>
        </w:rPr>
      </w:pPr>
      <w:r w:rsidRPr="001C734D">
        <w:rPr>
          <w:color w:val="000000" w:themeColor="text1"/>
        </w:rPr>
        <w:t>Планираните разходи в размер 305,3 млн. лв., в т.ч.: за заплати и възнаграждения на персонала 9,3 млн. лв., задължителни осигурителни вноски от работодатели 2,7 млн. лв., издръжка 11,4 млн. лв. и придобиване на ДМА 281,9 млн. лв., подлежат на отчитане в § 63-00 „Трансфери между сметки за средствата от ЕС“.</w:t>
      </w:r>
    </w:p>
    <w:p w:rsidR="005A7FA3" w:rsidRPr="00555D7B" w:rsidRDefault="005A7FA3" w:rsidP="005A7FA3">
      <w:pPr>
        <w:ind w:firstLine="567"/>
        <w:jc w:val="both"/>
        <w:rPr>
          <w:b/>
          <w:sz w:val="12"/>
          <w:u w:val="single"/>
        </w:rPr>
      </w:pPr>
    </w:p>
    <w:p w:rsidR="005A7FA3" w:rsidRPr="00555D7B" w:rsidRDefault="005A7FA3" w:rsidP="00C4077C">
      <w:pPr>
        <w:numPr>
          <w:ilvl w:val="0"/>
          <w:numId w:val="23"/>
        </w:numPr>
        <w:tabs>
          <w:tab w:val="num" w:pos="540"/>
        </w:tabs>
        <w:spacing w:before="120" w:after="120" w:line="276" w:lineRule="auto"/>
        <w:contextualSpacing/>
        <w:jc w:val="both"/>
        <w:rPr>
          <w:b/>
          <w:lang w:eastAsia="bg-BG"/>
        </w:rPr>
      </w:pPr>
      <w:r w:rsidRPr="00555D7B">
        <w:rPr>
          <w:b/>
          <w:lang w:eastAsia="bg-BG"/>
        </w:rPr>
        <w:t xml:space="preserve">Трансфери </w:t>
      </w:r>
    </w:p>
    <w:p w:rsidR="005A7FA3" w:rsidRPr="00555D7B" w:rsidRDefault="005A7FA3" w:rsidP="005A7FA3">
      <w:pPr>
        <w:ind w:firstLine="567"/>
        <w:jc w:val="both"/>
        <w:rPr>
          <w:lang w:val="en-US"/>
        </w:rPr>
      </w:pPr>
      <w:r w:rsidRPr="00555D7B">
        <w:t>В частта на трансферите, в касовия отчет на ДФЗ-РА към 30.0</w:t>
      </w:r>
      <w:r w:rsidRPr="00555D7B">
        <w:rPr>
          <w:lang w:val="en-US"/>
        </w:rPr>
        <w:t>9</w:t>
      </w:r>
      <w:r w:rsidRPr="00555D7B">
        <w:t>.2020 г. са отразени следните касови потоци:</w:t>
      </w:r>
    </w:p>
    <w:p w:rsidR="005A7FA3" w:rsidRPr="0092418C" w:rsidRDefault="005A7FA3" w:rsidP="00C4077C">
      <w:pPr>
        <w:numPr>
          <w:ilvl w:val="0"/>
          <w:numId w:val="22"/>
        </w:numPr>
        <w:tabs>
          <w:tab w:val="left" w:pos="993"/>
        </w:tabs>
        <w:spacing w:before="120" w:after="120" w:line="276" w:lineRule="auto"/>
        <w:ind w:left="1321" w:firstLine="567"/>
        <w:jc w:val="both"/>
        <w:rPr>
          <w:b/>
          <w:i/>
        </w:rPr>
      </w:pPr>
      <w:r w:rsidRPr="0092418C">
        <w:rPr>
          <w:b/>
          <w:i/>
        </w:rPr>
        <w:t xml:space="preserve">Трансфери между бюджети и сметки за средства от Европейския съюз </w:t>
      </w:r>
    </w:p>
    <w:p w:rsidR="005A7FA3" w:rsidRPr="0092418C" w:rsidRDefault="005A7FA3" w:rsidP="005A7FA3">
      <w:pPr>
        <w:ind w:firstLine="567"/>
        <w:jc w:val="both"/>
      </w:pPr>
      <w:r w:rsidRPr="0092418C">
        <w:t xml:space="preserve">Получените трансфери от бюджетни сметки на бюджетни организации и общини са формирани при възстановяване на суми по вземания по ПРСР, ПМДР и директни плащания. Към 30.09.2020 г. техният размер е </w:t>
      </w:r>
      <w:r w:rsidRPr="0092418C">
        <w:rPr>
          <w:lang w:val="en-US"/>
        </w:rPr>
        <w:t>1</w:t>
      </w:r>
      <w:r w:rsidRPr="0092418C">
        <w:t>,</w:t>
      </w:r>
      <w:r w:rsidRPr="0092418C">
        <w:rPr>
          <w:lang w:val="en-US"/>
        </w:rPr>
        <w:t>8</w:t>
      </w:r>
      <w:r w:rsidRPr="0092418C">
        <w:t xml:space="preserve"> млн. лева. </w:t>
      </w:r>
    </w:p>
    <w:p w:rsidR="005A7FA3" w:rsidRPr="0092418C" w:rsidRDefault="005A7FA3" w:rsidP="005A7FA3">
      <w:pPr>
        <w:ind w:firstLine="567"/>
        <w:jc w:val="both"/>
      </w:pPr>
      <w:r w:rsidRPr="0092418C">
        <w:tab/>
        <w:t>Предоставените през деветмесечието на 2020 г. трансфери във връзка с чл.14 от Закона за подпомагане на земеделските производители възлизат на 0,4 млн. лева.</w:t>
      </w:r>
    </w:p>
    <w:p w:rsidR="005A7FA3" w:rsidRPr="0092418C" w:rsidRDefault="005A7FA3" w:rsidP="00C4077C">
      <w:pPr>
        <w:numPr>
          <w:ilvl w:val="0"/>
          <w:numId w:val="22"/>
        </w:numPr>
        <w:tabs>
          <w:tab w:val="left" w:pos="993"/>
        </w:tabs>
        <w:spacing w:before="120" w:after="120" w:line="276" w:lineRule="auto"/>
        <w:ind w:left="1321" w:firstLine="567"/>
        <w:jc w:val="both"/>
        <w:rPr>
          <w:b/>
          <w:i/>
        </w:rPr>
      </w:pPr>
      <w:r w:rsidRPr="0092418C">
        <w:rPr>
          <w:b/>
          <w:i/>
        </w:rPr>
        <w:t>Трансфери между сметки за средства от Европейския съюз</w:t>
      </w:r>
    </w:p>
    <w:p w:rsidR="005A7FA3" w:rsidRPr="0092418C" w:rsidRDefault="005A7FA3" w:rsidP="005A7FA3">
      <w:pPr>
        <w:ind w:firstLine="567"/>
        <w:jc w:val="both"/>
      </w:pPr>
      <w:r w:rsidRPr="0092418C">
        <w:lastRenderedPageBreak/>
        <w:t>Предоставените трансфери са формирани от изплатените субсидии и възстановените суми от публични бенефициенти. Към края на деветмесечието на 2020 г. са отчетени 193,3 млн. лв., в т.ч.:</w:t>
      </w:r>
    </w:p>
    <w:p w:rsidR="005A7FA3" w:rsidRPr="0092418C" w:rsidRDefault="005A7FA3" w:rsidP="00C4077C">
      <w:pPr>
        <w:pStyle w:val="ListParagraph"/>
        <w:numPr>
          <w:ilvl w:val="0"/>
          <w:numId w:val="21"/>
        </w:numPr>
        <w:tabs>
          <w:tab w:val="left" w:pos="1080"/>
        </w:tabs>
        <w:spacing w:line="240" w:lineRule="auto"/>
        <w:ind w:left="706" w:firstLine="14"/>
        <w:rPr>
          <w:rFonts w:ascii="Times New Roman" w:hAnsi="Times New Roman"/>
        </w:rPr>
      </w:pPr>
      <w:r w:rsidRPr="0092418C">
        <w:rPr>
          <w:rFonts w:ascii="Times New Roman" w:hAnsi="Times New Roman"/>
        </w:rPr>
        <w:t>по Програмата за развитие на селските райони – 191,9 млн. лева;</w:t>
      </w:r>
    </w:p>
    <w:p w:rsidR="005A7FA3" w:rsidRPr="0092418C" w:rsidRDefault="005A7FA3" w:rsidP="00C4077C">
      <w:pPr>
        <w:pStyle w:val="ListParagraph"/>
        <w:numPr>
          <w:ilvl w:val="0"/>
          <w:numId w:val="21"/>
        </w:numPr>
        <w:tabs>
          <w:tab w:val="left" w:pos="1080"/>
        </w:tabs>
        <w:spacing w:line="240" w:lineRule="auto"/>
        <w:ind w:left="706" w:firstLine="14"/>
        <w:rPr>
          <w:rFonts w:ascii="Times New Roman" w:hAnsi="Times New Roman"/>
        </w:rPr>
      </w:pPr>
      <w:r w:rsidRPr="0092418C">
        <w:rPr>
          <w:rFonts w:ascii="Times New Roman" w:hAnsi="Times New Roman"/>
        </w:rPr>
        <w:t>национално съфинансиране към директни плащания: 0,1 млн. лева;</w:t>
      </w:r>
    </w:p>
    <w:p w:rsidR="005A7FA3" w:rsidRPr="0092418C" w:rsidRDefault="005A7FA3" w:rsidP="00C4077C">
      <w:pPr>
        <w:pStyle w:val="ListParagraph"/>
        <w:numPr>
          <w:ilvl w:val="0"/>
          <w:numId w:val="21"/>
        </w:numPr>
        <w:tabs>
          <w:tab w:val="left" w:pos="1080"/>
        </w:tabs>
        <w:spacing w:line="240" w:lineRule="auto"/>
        <w:ind w:left="706" w:firstLine="14"/>
        <w:rPr>
          <w:rFonts w:ascii="Times New Roman" w:hAnsi="Times New Roman"/>
        </w:rPr>
      </w:pPr>
      <w:r w:rsidRPr="0092418C">
        <w:rPr>
          <w:rFonts w:ascii="Times New Roman" w:hAnsi="Times New Roman"/>
        </w:rPr>
        <w:t>по Програмата за морско дело и рибарство: 1,2 млн. лева;</w:t>
      </w:r>
    </w:p>
    <w:p w:rsidR="005A7FA3" w:rsidRPr="0092418C" w:rsidRDefault="005A7FA3" w:rsidP="00C4077C">
      <w:pPr>
        <w:pStyle w:val="ListParagraph"/>
        <w:numPr>
          <w:ilvl w:val="0"/>
          <w:numId w:val="21"/>
        </w:numPr>
        <w:tabs>
          <w:tab w:val="left" w:pos="1080"/>
        </w:tabs>
        <w:spacing w:line="240" w:lineRule="auto"/>
        <w:ind w:left="706" w:firstLine="14"/>
        <w:rPr>
          <w:rFonts w:ascii="Times New Roman" w:hAnsi="Times New Roman"/>
        </w:rPr>
      </w:pPr>
      <w:r w:rsidRPr="0092418C">
        <w:rPr>
          <w:rFonts w:ascii="Times New Roman" w:hAnsi="Times New Roman"/>
        </w:rPr>
        <w:t>училищни схеми: 0,03 млн. лева.</w:t>
      </w:r>
    </w:p>
    <w:p w:rsidR="005A7FA3" w:rsidRPr="00BC09F0" w:rsidRDefault="005A7FA3" w:rsidP="005A7FA3">
      <w:pPr>
        <w:ind w:firstLine="567"/>
        <w:jc w:val="both"/>
      </w:pPr>
      <w:r w:rsidRPr="00BC09F0">
        <w:t>За деветмесечи</w:t>
      </w:r>
      <w:r w:rsidR="00552CD5">
        <w:t xml:space="preserve">ето на </w:t>
      </w:r>
      <w:r w:rsidR="00CE2339" w:rsidRPr="00CE2339">
        <w:t xml:space="preserve">предходната </w:t>
      </w:r>
      <w:r w:rsidR="00552CD5">
        <w:t>2019 г. са предоставени</w:t>
      </w:r>
      <w:r w:rsidRPr="00BC09F0">
        <w:t xml:space="preserve"> трансфери в размер на 200,3</w:t>
      </w:r>
      <w:r w:rsidR="00B608CB">
        <w:t> </w:t>
      </w:r>
      <w:r w:rsidRPr="00BC09F0">
        <w:t>млн. лева.</w:t>
      </w:r>
    </w:p>
    <w:p w:rsidR="005A7FA3" w:rsidRPr="00BC09F0" w:rsidRDefault="005A7FA3" w:rsidP="005A7FA3">
      <w:pPr>
        <w:tabs>
          <w:tab w:val="left" w:pos="540"/>
        </w:tabs>
        <w:ind w:firstLine="567"/>
        <w:jc w:val="both"/>
      </w:pPr>
      <w:r w:rsidRPr="00BC09F0">
        <w:rPr>
          <w:lang w:eastAsia="bg-BG"/>
        </w:rPr>
        <w:tab/>
      </w:r>
    </w:p>
    <w:p w:rsidR="005A7FA3" w:rsidRPr="00DD4E4B" w:rsidRDefault="005A7FA3" w:rsidP="00C4077C">
      <w:pPr>
        <w:numPr>
          <w:ilvl w:val="0"/>
          <w:numId w:val="23"/>
        </w:numPr>
        <w:tabs>
          <w:tab w:val="num" w:pos="540"/>
        </w:tabs>
        <w:spacing w:before="120" w:after="120" w:line="276" w:lineRule="auto"/>
        <w:contextualSpacing/>
        <w:jc w:val="both"/>
        <w:rPr>
          <w:b/>
          <w:lang w:eastAsia="bg-BG"/>
        </w:rPr>
      </w:pPr>
      <w:r w:rsidRPr="00DD4E4B">
        <w:rPr>
          <w:b/>
          <w:lang w:eastAsia="bg-BG"/>
        </w:rPr>
        <w:t>Финансиране</w:t>
      </w:r>
    </w:p>
    <w:p w:rsidR="005A7FA3" w:rsidRPr="00DD4E4B" w:rsidRDefault="005A7FA3" w:rsidP="005A7FA3">
      <w:pPr>
        <w:ind w:firstLine="567"/>
        <w:jc w:val="both"/>
      </w:pPr>
      <w:r w:rsidRPr="00DD4E4B">
        <w:t>Към 30.09.2020 г. извършените плащания, възстановените суми, разчетът с централния бюджет и операциите с чужди средства, включени в отчетността в „Друго финансиране“ са в размер на 96,1 млн. лева.</w:t>
      </w:r>
    </w:p>
    <w:p w:rsidR="005A7FA3" w:rsidRPr="00DD4E4B" w:rsidRDefault="005A7FA3" w:rsidP="005A7FA3">
      <w:pPr>
        <w:ind w:firstLine="567"/>
        <w:jc w:val="both"/>
        <w:rPr>
          <w:lang w:eastAsia="bg-BG"/>
        </w:rPr>
      </w:pPr>
      <w:r w:rsidRPr="00DD4E4B">
        <w:rPr>
          <w:lang w:eastAsia="bg-BG"/>
        </w:rPr>
        <w:t xml:space="preserve">Към 30.09.2020 г. са отчетени плащания в общ размер 903,5 млн. лв., 48,5 % от годишните разчети </w:t>
      </w:r>
      <w:r w:rsidRPr="00DD4E4B">
        <w:rPr>
          <w:lang w:val="en-US" w:eastAsia="bg-BG"/>
        </w:rPr>
        <w:t>(</w:t>
      </w:r>
      <w:r w:rsidRPr="00DD4E4B">
        <w:rPr>
          <w:lang w:eastAsia="bg-BG"/>
        </w:rPr>
        <w:t>1 861,0 млн. лв.</w:t>
      </w:r>
      <w:r w:rsidRPr="00DD4E4B">
        <w:rPr>
          <w:lang w:val="en-US" w:eastAsia="bg-BG"/>
        </w:rPr>
        <w:t>)</w:t>
      </w:r>
      <w:r w:rsidRPr="00DD4E4B">
        <w:rPr>
          <w:lang w:eastAsia="bg-BG"/>
        </w:rPr>
        <w:t xml:space="preserve"> при 957,4 млн. лв. за деветмесечието на 2019 г.</w:t>
      </w:r>
    </w:p>
    <w:p w:rsidR="005A7FA3" w:rsidRPr="00DD4E4B" w:rsidRDefault="005A7FA3" w:rsidP="005A7FA3">
      <w:pPr>
        <w:ind w:firstLine="567"/>
        <w:jc w:val="both"/>
        <w:rPr>
          <w:lang w:eastAsia="bg-BG"/>
        </w:rPr>
      </w:pPr>
      <w:r w:rsidRPr="00DD4E4B">
        <w:rPr>
          <w:lang w:eastAsia="bg-BG"/>
        </w:rPr>
        <w:t>Отчетени са плащания по следните направления:</w:t>
      </w:r>
    </w:p>
    <w:p w:rsidR="005A7FA3" w:rsidRPr="00DD4E4B" w:rsidRDefault="005A7FA3" w:rsidP="00C4077C">
      <w:pPr>
        <w:numPr>
          <w:ilvl w:val="0"/>
          <w:numId w:val="24"/>
        </w:numPr>
        <w:tabs>
          <w:tab w:val="left" w:pos="993"/>
        </w:tabs>
        <w:ind w:left="0" w:firstLine="562"/>
        <w:contextualSpacing/>
        <w:jc w:val="both"/>
        <w:rPr>
          <w:szCs w:val="20"/>
        </w:rPr>
      </w:pPr>
      <w:r w:rsidRPr="00DD4E4B">
        <w:rPr>
          <w:szCs w:val="20"/>
        </w:rPr>
        <w:t>779,2 млн. лв. за директни плащания за сметка на ЕФГЗ, представляващи 49,7 % от планираните 1 567,4 млн. лева;</w:t>
      </w:r>
    </w:p>
    <w:p w:rsidR="005A7FA3" w:rsidRPr="00DD4E4B" w:rsidRDefault="005A7FA3" w:rsidP="00C4077C">
      <w:pPr>
        <w:numPr>
          <w:ilvl w:val="0"/>
          <w:numId w:val="24"/>
        </w:numPr>
        <w:tabs>
          <w:tab w:val="left" w:pos="993"/>
        </w:tabs>
        <w:ind w:left="0" w:firstLine="562"/>
        <w:contextualSpacing/>
        <w:jc w:val="both"/>
        <w:rPr>
          <w:szCs w:val="20"/>
        </w:rPr>
      </w:pPr>
      <w:r w:rsidRPr="00DD4E4B">
        <w:rPr>
          <w:szCs w:val="20"/>
        </w:rPr>
        <w:t>121,3 млн. лв. средства от ЕЗФРСР, прехвърлени към директни плащания, което е 54,1 % от планираните 224,2 млн. лева;</w:t>
      </w:r>
    </w:p>
    <w:p w:rsidR="005A7FA3" w:rsidRPr="00DD4E4B" w:rsidRDefault="005A7FA3" w:rsidP="00C4077C">
      <w:pPr>
        <w:numPr>
          <w:ilvl w:val="0"/>
          <w:numId w:val="24"/>
        </w:numPr>
        <w:tabs>
          <w:tab w:val="left" w:pos="993"/>
        </w:tabs>
        <w:ind w:left="0" w:firstLine="562"/>
        <w:contextualSpacing/>
        <w:jc w:val="both"/>
        <w:rPr>
          <w:szCs w:val="20"/>
        </w:rPr>
      </w:pPr>
      <w:r w:rsidRPr="00DD4E4B">
        <w:rPr>
          <w:szCs w:val="20"/>
        </w:rPr>
        <w:t>2,7 млн. лв. за пазарни мерки при годишен разчет 39,5 млн. лева;</w:t>
      </w:r>
    </w:p>
    <w:p w:rsidR="005A7FA3" w:rsidRPr="00DD4E4B" w:rsidRDefault="005A7FA3" w:rsidP="00C4077C">
      <w:pPr>
        <w:numPr>
          <w:ilvl w:val="0"/>
          <w:numId w:val="24"/>
        </w:numPr>
        <w:tabs>
          <w:tab w:val="left" w:pos="993"/>
        </w:tabs>
        <w:ind w:left="0" w:firstLine="562"/>
        <w:contextualSpacing/>
        <w:jc w:val="both"/>
        <w:rPr>
          <w:szCs w:val="20"/>
        </w:rPr>
      </w:pPr>
      <w:r w:rsidRPr="00DD4E4B">
        <w:rPr>
          <w:szCs w:val="20"/>
        </w:rPr>
        <w:t>0,2 млн. лв. суми за преструктуриране, при планирани 29,8 млн. лева.</w:t>
      </w:r>
    </w:p>
    <w:p w:rsidR="005A7FA3" w:rsidRPr="004A3BEC" w:rsidRDefault="005A7FA3" w:rsidP="005A7FA3">
      <w:pPr>
        <w:ind w:firstLine="567"/>
        <w:jc w:val="both"/>
        <w:rPr>
          <w:color w:val="4F81BD" w:themeColor="accent1"/>
          <w:sz w:val="12"/>
          <w:szCs w:val="12"/>
          <w:lang w:eastAsia="bg-BG"/>
        </w:rPr>
      </w:pPr>
    </w:p>
    <w:p w:rsidR="005A7FA3" w:rsidRPr="006745DE" w:rsidRDefault="005A7FA3" w:rsidP="005A7FA3">
      <w:pPr>
        <w:ind w:firstLine="567"/>
        <w:jc w:val="both"/>
        <w:rPr>
          <w:lang w:eastAsia="bg-BG"/>
        </w:rPr>
      </w:pPr>
      <w:r w:rsidRPr="006745DE">
        <w:rPr>
          <w:lang w:eastAsia="bg-BG"/>
        </w:rPr>
        <w:t>Възстановените суми от Европейския съюз към 30.09.2020 г. възлизат общо на 1 667,3</w:t>
      </w:r>
      <w:r w:rsidRPr="006745DE">
        <w:t> </w:t>
      </w:r>
      <w:r w:rsidRPr="006745DE">
        <w:rPr>
          <w:lang w:eastAsia="bg-BG"/>
        </w:rPr>
        <w:t xml:space="preserve">млн. лв., което е 91,1 % от планираните 1 842,0 млн. лева. </w:t>
      </w:r>
    </w:p>
    <w:p w:rsidR="005A7FA3" w:rsidRPr="0057148A" w:rsidRDefault="005A7FA3" w:rsidP="005A7FA3">
      <w:pPr>
        <w:ind w:firstLine="567"/>
        <w:jc w:val="both"/>
        <w:rPr>
          <w:lang w:eastAsia="bg-BG"/>
        </w:rPr>
      </w:pPr>
      <w:r w:rsidRPr="0057148A">
        <w:rPr>
          <w:lang w:eastAsia="bg-BG"/>
        </w:rPr>
        <w:t>Възстановени са суми по следните направления:</w:t>
      </w:r>
    </w:p>
    <w:p w:rsidR="005A7FA3" w:rsidRPr="0057148A" w:rsidRDefault="005A7FA3" w:rsidP="00C4077C">
      <w:pPr>
        <w:numPr>
          <w:ilvl w:val="0"/>
          <w:numId w:val="24"/>
        </w:numPr>
        <w:tabs>
          <w:tab w:val="left" w:pos="993"/>
        </w:tabs>
        <w:ind w:left="0" w:firstLine="562"/>
        <w:contextualSpacing/>
        <w:jc w:val="both"/>
        <w:rPr>
          <w:szCs w:val="20"/>
        </w:rPr>
      </w:pPr>
      <w:r w:rsidRPr="0057148A">
        <w:rPr>
          <w:szCs w:val="20"/>
        </w:rPr>
        <w:t>1 499,2 млн. лв. за директни плащания от ЕФГЗ – 96,2 % от заложените 1 558,2 млн. лева;</w:t>
      </w:r>
    </w:p>
    <w:p w:rsidR="005A7FA3" w:rsidRPr="0057148A" w:rsidRDefault="005A7FA3" w:rsidP="00C4077C">
      <w:pPr>
        <w:numPr>
          <w:ilvl w:val="0"/>
          <w:numId w:val="24"/>
        </w:numPr>
        <w:tabs>
          <w:tab w:val="left" w:pos="993"/>
        </w:tabs>
        <w:ind w:left="0" w:firstLine="562"/>
        <w:contextualSpacing/>
        <w:jc w:val="both"/>
        <w:rPr>
          <w:szCs w:val="20"/>
        </w:rPr>
      </w:pPr>
      <w:r w:rsidRPr="0057148A">
        <w:rPr>
          <w:szCs w:val="20"/>
        </w:rPr>
        <w:t xml:space="preserve">177,9 млн. лв. от ЕЗФРСР, прехвърлени към директни плащания – 78,5 % от заложените 226,5 млн. лева; </w:t>
      </w:r>
    </w:p>
    <w:p w:rsidR="005A7FA3" w:rsidRPr="0057148A" w:rsidRDefault="005A7FA3" w:rsidP="00C4077C">
      <w:pPr>
        <w:numPr>
          <w:ilvl w:val="0"/>
          <w:numId w:val="24"/>
        </w:numPr>
        <w:tabs>
          <w:tab w:val="left" w:pos="993"/>
        </w:tabs>
        <w:ind w:left="0" w:firstLine="562"/>
        <w:contextualSpacing/>
        <w:jc w:val="both"/>
        <w:rPr>
          <w:szCs w:val="20"/>
        </w:rPr>
      </w:pPr>
      <w:r w:rsidRPr="0057148A">
        <w:rPr>
          <w:szCs w:val="20"/>
        </w:rPr>
        <w:t>0,2 млн. лв. за пазарни мерки от ЕФГЗ  при планирани 30,3 млн. лева;</w:t>
      </w:r>
    </w:p>
    <w:p w:rsidR="005A7FA3" w:rsidRPr="0057148A" w:rsidRDefault="005A7FA3" w:rsidP="00C4077C">
      <w:pPr>
        <w:numPr>
          <w:ilvl w:val="0"/>
          <w:numId w:val="24"/>
        </w:numPr>
        <w:tabs>
          <w:tab w:val="left" w:pos="993"/>
        </w:tabs>
        <w:ind w:left="0" w:firstLine="562"/>
        <w:contextualSpacing/>
        <w:jc w:val="both"/>
      </w:pPr>
      <w:r w:rsidRPr="0057148A">
        <w:rPr>
          <w:szCs w:val="20"/>
        </w:rPr>
        <w:t>0,2 млн. лв. суми за преструктуриране, при планирани 27,0</w:t>
      </w:r>
      <w:r w:rsidRPr="0057148A">
        <w:t> </w:t>
      </w:r>
      <w:r w:rsidRPr="0057148A">
        <w:rPr>
          <w:szCs w:val="20"/>
        </w:rPr>
        <w:t>млн. лева.</w:t>
      </w:r>
    </w:p>
    <w:p w:rsidR="005A7FA3" w:rsidRPr="0057148A" w:rsidRDefault="005A7FA3" w:rsidP="005A7FA3">
      <w:pPr>
        <w:spacing w:before="120"/>
        <w:ind w:firstLine="567"/>
        <w:jc w:val="both"/>
        <w:rPr>
          <w:lang w:val="en-US"/>
        </w:rPr>
      </w:pPr>
      <w:r w:rsidRPr="0057148A">
        <w:t xml:space="preserve">Предоставените суми (нето) по разчети с ЦБ за финансиране на плащания при недостиг на средства по сметки възлизат на 677,5 млн. лева. при планирани -100,1 млн. лева. </w:t>
      </w:r>
    </w:p>
    <w:p w:rsidR="005A7FA3" w:rsidRPr="0057148A" w:rsidRDefault="005A7FA3" w:rsidP="005A7FA3">
      <w:pPr>
        <w:tabs>
          <w:tab w:val="left" w:pos="540"/>
        </w:tabs>
        <w:spacing w:before="120"/>
        <w:jc w:val="both"/>
        <w:rPr>
          <w:lang w:eastAsia="bg-BG"/>
        </w:rPr>
      </w:pPr>
      <w:r w:rsidRPr="0057148A">
        <w:rPr>
          <w:lang w:val="en-US" w:eastAsia="bg-BG"/>
        </w:rPr>
        <w:tab/>
      </w:r>
      <w:r w:rsidRPr="0057148A">
        <w:t>За деветмесечието на 2020 г. сумата по разчети за поети данъци, формирани от удържан и внесен окончателен данък на физически лица, съгл. чл. 65, ал. 14 от ЗДДФЛ възлиза нето на -0,1 млн. лева.</w:t>
      </w:r>
    </w:p>
    <w:p w:rsidR="005A7FA3" w:rsidRPr="0057148A" w:rsidRDefault="005A7FA3" w:rsidP="005A7FA3">
      <w:pPr>
        <w:rPr>
          <w:lang w:val="en-US"/>
        </w:rPr>
      </w:pPr>
    </w:p>
    <w:p w:rsidR="005A7FA3" w:rsidRPr="0057148A" w:rsidRDefault="005A7FA3" w:rsidP="005A7FA3">
      <w:pPr>
        <w:pStyle w:val="Heading1"/>
        <w:numPr>
          <w:ilvl w:val="1"/>
          <w:numId w:val="10"/>
        </w:numPr>
        <w:ind w:left="788" w:right="-108" w:hanging="431"/>
        <w:jc w:val="both"/>
        <w:rPr>
          <w:sz w:val="24"/>
        </w:rPr>
      </w:pPr>
      <w:r w:rsidRPr="0057148A">
        <w:rPr>
          <w:sz w:val="24"/>
        </w:rPr>
        <w:t>Национален фонд към Министерство на финансите</w:t>
      </w:r>
    </w:p>
    <w:p w:rsidR="005A7FA3" w:rsidRPr="00FE1145" w:rsidRDefault="005A7FA3" w:rsidP="00B611F8">
      <w:pPr>
        <w:pStyle w:val="BodyTextIndent"/>
        <w:spacing w:before="120"/>
        <w:ind w:left="0" w:firstLine="686"/>
        <w:jc w:val="both"/>
        <w:rPr>
          <w:bCs/>
          <w:color w:val="365F91" w:themeColor="accent1" w:themeShade="BF"/>
        </w:rPr>
      </w:pPr>
      <w:r w:rsidRPr="00FE4C39">
        <w:rPr>
          <w:bCs/>
        </w:rPr>
        <w:t>По сметките на НФ към 3</w:t>
      </w:r>
      <w:r w:rsidRPr="00FE4C39">
        <w:rPr>
          <w:bCs/>
          <w:lang w:val="ru-RU"/>
        </w:rPr>
        <w:t>0</w:t>
      </w:r>
      <w:r w:rsidRPr="00FE4C39">
        <w:rPr>
          <w:bCs/>
        </w:rPr>
        <w:t>.</w:t>
      </w:r>
      <w:r w:rsidRPr="00FE4C39">
        <w:rPr>
          <w:bCs/>
          <w:lang w:val="ru-RU"/>
        </w:rPr>
        <w:t>09</w:t>
      </w:r>
      <w:r w:rsidRPr="00FE4C39">
        <w:rPr>
          <w:bCs/>
        </w:rPr>
        <w:t>.2020 г. са постъпили приходи  (нето) в размер на 1</w:t>
      </w:r>
      <w:r>
        <w:rPr>
          <w:bCs/>
        </w:rPr>
        <w:t> </w:t>
      </w:r>
      <w:r w:rsidRPr="00FE4C39">
        <w:rPr>
          <w:bCs/>
        </w:rPr>
        <w:t>589</w:t>
      </w:r>
      <w:r>
        <w:rPr>
          <w:bCs/>
        </w:rPr>
        <w:t>,</w:t>
      </w:r>
      <w:r w:rsidRPr="00FE4C39">
        <w:rPr>
          <w:bCs/>
          <w:lang w:val="ru-RU"/>
        </w:rPr>
        <w:t>5</w:t>
      </w:r>
      <w:r w:rsidRPr="00FE4C39">
        <w:rPr>
          <w:bCs/>
        </w:rPr>
        <w:t xml:space="preserve"> млн. лева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и Фонда за европейско подпомагане на най-нуждаещите се лица (ФЕПНЛ) на ЕС за финансовата рамка 2014–2020 г., Финансовия механизъм на Европейското икономическо пространство (ФМ на ЕИП) 2009–2014 г. и 2014–2021 г., Норвежкия финансов механизъм (НФМ) 2009–2014 г. и 2014–2021 г., двустранните програми за трансгранично сътрудничество по външните граници на EС (ПТСВГ) за периода 2014–2020 г. и Българо-швейцарската програма за сътрудничество (БШПС),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w:t>
      </w:r>
      <w:r w:rsidRPr="00FE4C39">
        <w:rPr>
          <w:bCs/>
        </w:rPr>
        <w:lastRenderedPageBreak/>
        <w:t>финансиране по ПТСВГ и изплатените средства от получения ресурс към бенефициенти извън страната.</w:t>
      </w:r>
    </w:p>
    <w:p w:rsidR="005A7FA3" w:rsidRPr="00491B88" w:rsidRDefault="005A7FA3" w:rsidP="005A7FA3">
      <w:pPr>
        <w:pStyle w:val="BodyTextIndent"/>
        <w:ind w:left="0" w:firstLine="686"/>
        <w:jc w:val="both"/>
        <w:rPr>
          <w:bCs/>
        </w:rPr>
      </w:pPr>
      <w:r w:rsidRPr="00B15000">
        <w:rPr>
          <w:bCs/>
        </w:rPr>
        <w:t>Извършените разходи (нето) за периода с натрупване чрез сметките на НФ възлизат на 435</w:t>
      </w:r>
      <w:r>
        <w:rPr>
          <w:bCs/>
        </w:rPr>
        <w:t>,</w:t>
      </w:r>
      <w:r w:rsidRPr="00B15000">
        <w:rPr>
          <w:bCs/>
        </w:rPr>
        <w:t>1 млн. лева. По видове разходи изпълнението е както следва</w:t>
      </w:r>
      <w:r w:rsidRPr="00491B88">
        <w:rPr>
          <w:bCs/>
        </w:rPr>
        <w:t>: 54</w:t>
      </w:r>
      <w:r>
        <w:rPr>
          <w:bCs/>
        </w:rPr>
        <w:t>,</w:t>
      </w:r>
      <w:r w:rsidRPr="00491B88">
        <w:rPr>
          <w:bCs/>
        </w:rPr>
        <w:t>48</w:t>
      </w:r>
      <w:r>
        <w:rPr>
          <w:bCs/>
        </w:rPr>
        <w:t xml:space="preserve"> </w:t>
      </w:r>
      <w:r w:rsidRPr="00491B88">
        <w:rPr>
          <w:bCs/>
        </w:rPr>
        <w:t>% от общата стойност са капиталови трансфери, 44</w:t>
      </w:r>
      <w:r>
        <w:rPr>
          <w:bCs/>
        </w:rPr>
        <w:t>,</w:t>
      </w:r>
      <w:r w:rsidRPr="00491B88">
        <w:rPr>
          <w:bCs/>
        </w:rPr>
        <w:t>41</w:t>
      </w:r>
      <w:r>
        <w:rPr>
          <w:bCs/>
        </w:rPr>
        <w:t xml:space="preserve"> </w:t>
      </w:r>
      <w:r w:rsidRPr="00491B88">
        <w:rPr>
          <w:bCs/>
        </w:rPr>
        <w:t>% са субсидии, 1</w:t>
      </w:r>
      <w:r>
        <w:rPr>
          <w:bCs/>
        </w:rPr>
        <w:t>,</w:t>
      </w:r>
      <w:r w:rsidRPr="00491B88">
        <w:rPr>
          <w:bCs/>
        </w:rPr>
        <w:t>10</w:t>
      </w:r>
      <w:r>
        <w:rPr>
          <w:bCs/>
        </w:rPr>
        <w:t xml:space="preserve"> </w:t>
      </w:r>
      <w:r w:rsidRPr="00491B88">
        <w:rPr>
          <w:bCs/>
        </w:rPr>
        <w:t>% предоставени текущи и капиталови трансфери за чужбина и 0</w:t>
      </w:r>
      <w:r>
        <w:rPr>
          <w:bCs/>
        </w:rPr>
        <w:t>,</w:t>
      </w:r>
      <w:r w:rsidRPr="00491B88">
        <w:rPr>
          <w:bCs/>
        </w:rPr>
        <w:t>01</w:t>
      </w:r>
      <w:r>
        <w:rPr>
          <w:bCs/>
        </w:rPr>
        <w:t xml:space="preserve"> </w:t>
      </w:r>
      <w:r w:rsidRPr="00491B88">
        <w:rPr>
          <w:bCs/>
        </w:rPr>
        <w:t>% - издръжка.</w:t>
      </w:r>
    </w:p>
    <w:p w:rsidR="005A7FA3" w:rsidRPr="00447D22" w:rsidRDefault="005A7FA3" w:rsidP="005A7FA3">
      <w:pPr>
        <w:pStyle w:val="BodyTextIndent"/>
        <w:ind w:left="0" w:firstLine="686"/>
        <w:jc w:val="both"/>
        <w:rPr>
          <w:bCs/>
        </w:rPr>
      </w:pPr>
      <w:r w:rsidRPr="00447D22">
        <w:rPr>
          <w:bCs/>
        </w:rPr>
        <w:t>Трансферите (нето), временните безлихвени заеми (нето) и временна възмездна финансова помощ за разглеждания период са на стойност 921</w:t>
      </w:r>
      <w:r>
        <w:rPr>
          <w:bCs/>
        </w:rPr>
        <w:t>,</w:t>
      </w:r>
      <w:r w:rsidRPr="00447D22">
        <w:rPr>
          <w:bCs/>
          <w:lang w:val="ru-RU"/>
        </w:rPr>
        <w:t>7</w:t>
      </w:r>
      <w:r w:rsidRPr="00447D22">
        <w:rPr>
          <w:bCs/>
        </w:rPr>
        <w:t xml:space="preserve"> млн. лв. (включват предоставените трансфери към бенефициенти по Оперативните програми (ОП) на ЕС - програмен период 2014 – 2020 г., ПТСВГ за периода 2014 – 2020 г., ФМ на ЕИП 2014–2021 г., НФМ 2014–2021 г. и БШПС,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бенефициенти – бюджетни организации, които са за сметка на средства, предоставени от държавите-партньори по ПТСВГ.</w:t>
      </w:r>
    </w:p>
    <w:p w:rsidR="005A7FA3" w:rsidRPr="00E632B5" w:rsidRDefault="005A7FA3" w:rsidP="005A7FA3">
      <w:pPr>
        <w:pStyle w:val="BodyTextIndent"/>
        <w:ind w:left="0" w:firstLine="686"/>
        <w:jc w:val="both"/>
        <w:rPr>
          <w:bCs/>
        </w:rPr>
      </w:pPr>
      <w:r w:rsidRPr="00FE1145">
        <w:rPr>
          <w:bCs/>
          <w:color w:val="365F91" w:themeColor="accent1" w:themeShade="BF"/>
        </w:rPr>
        <w:t xml:space="preserve"> </w:t>
      </w:r>
      <w:r w:rsidRPr="00E632B5">
        <w:rPr>
          <w:bCs/>
        </w:rPr>
        <w:t>Във връзка с изпълнение на ОП - програмен период 2014 – 2020 г., ЕИП и НФМ 2014–2021 г. и ПТСВГ 2014 – 2020 г. по сметките на НФ са получени трансфери от централния бюджет на стойност 207</w:t>
      </w:r>
      <w:r>
        <w:rPr>
          <w:bCs/>
        </w:rPr>
        <w:t>,</w:t>
      </w:r>
      <w:r w:rsidRPr="00E632B5">
        <w:rPr>
          <w:bCs/>
        </w:rPr>
        <w:t>7 млн. лева.</w:t>
      </w:r>
    </w:p>
    <w:p w:rsidR="005A7FA3" w:rsidRPr="00047546" w:rsidRDefault="005A7FA3" w:rsidP="005A7FA3">
      <w:pPr>
        <w:pStyle w:val="BodyTextIndent"/>
        <w:ind w:left="0" w:firstLine="686"/>
        <w:jc w:val="both"/>
        <w:rPr>
          <w:bCs/>
        </w:rPr>
      </w:pPr>
      <w:r w:rsidRPr="00047546">
        <w:rPr>
          <w:bCs/>
        </w:rPr>
        <w:t>О</w:t>
      </w:r>
      <w:r>
        <w:rPr>
          <w:bCs/>
        </w:rPr>
        <w:t>тчетената към 30.09.2020 г.</w:t>
      </w:r>
      <w:r w:rsidRPr="00047546">
        <w:rPr>
          <w:bCs/>
        </w:rPr>
        <w:t xml:space="preserve"> други приходи (корективи за касови постъпления), са в размер на </w:t>
      </w:r>
      <w:r>
        <w:rPr>
          <w:bCs/>
        </w:rPr>
        <w:t>-</w:t>
      </w:r>
      <w:r w:rsidRPr="00047546">
        <w:rPr>
          <w:bCs/>
        </w:rPr>
        <w:t>1</w:t>
      </w:r>
      <w:r>
        <w:rPr>
          <w:bCs/>
        </w:rPr>
        <w:t>,</w:t>
      </w:r>
      <w:r w:rsidRPr="00047546">
        <w:rPr>
          <w:bCs/>
          <w:lang w:val="ru-RU"/>
        </w:rPr>
        <w:t>0</w:t>
      </w:r>
      <w:r w:rsidRPr="00047546">
        <w:rPr>
          <w:bCs/>
        </w:rPr>
        <w:t xml:space="preserve"> млн. лева.</w:t>
      </w:r>
    </w:p>
    <w:p w:rsidR="005A7FA3" w:rsidRPr="00B624E1" w:rsidRDefault="005A7FA3" w:rsidP="005A7FA3">
      <w:pPr>
        <w:pStyle w:val="BodyTextIndent"/>
        <w:ind w:left="0" w:firstLine="686"/>
        <w:jc w:val="both"/>
        <w:rPr>
          <w:bCs/>
        </w:rPr>
      </w:pPr>
      <w:r w:rsidRPr="00047546">
        <w:rPr>
          <w:bCs/>
        </w:rPr>
        <w:t>Наличностите по сметката за средства от ЕС на НФ към 30.09.2020 г. възлизат на 3</w:t>
      </w:r>
      <w:r>
        <w:rPr>
          <w:bCs/>
        </w:rPr>
        <w:t> </w:t>
      </w:r>
      <w:r w:rsidRPr="00047546">
        <w:rPr>
          <w:bCs/>
        </w:rPr>
        <w:t>028</w:t>
      </w:r>
      <w:r>
        <w:rPr>
          <w:bCs/>
        </w:rPr>
        <w:t>,</w:t>
      </w:r>
      <w:r w:rsidRPr="00047546">
        <w:rPr>
          <w:bCs/>
        </w:rPr>
        <w:t xml:space="preserve">6 млн. лв. (в отчета на НФ са включени и наличностите </w:t>
      </w:r>
      <w:r w:rsidRPr="00B624E1">
        <w:rPr>
          <w:bCs/>
        </w:rPr>
        <w:t>на Фонда мениджър на финансови инструменти в България (Фонд на фондовете), които са на стойност 191</w:t>
      </w:r>
      <w:r>
        <w:rPr>
          <w:bCs/>
        </w:rPr>
        <w:t>,</w:t>
      </w:r>
      <w:r w:rsidRPr="00B624E1">
        <w:rPr>
          <w:bCs/>
        </w:rPr>
        <w:t>3 млн. лв.), като в БНБ наличните средства са в размер на 3</w:t>
      </w:r>
      <w:r>
        <w:rPr>
          <w:bCs/>
        </w:rPr>
        <w:t> </w:t>
      </w:r>
      <w:r w:rsidRPr="00B624E1">
        <w:rPr>
          <w:bCs/>
        </w:rPr>
        <w:t>028</w:t>
      </w:r>
      <w:r>
        <w:rPr>
          <w:bCs/>
        </w:rPr>
        <w:t>,</w:t>
      </w:r>
      <w:r w:rsidRPr="00B624E1">
        <w:rPr>
          <w:bCs/>
        </w:rPr>
        <w:t>5 млн. лв., а в търговските банки (</w:t>
      </w:r>
      <w:proofErr w:type="spellStart"/>
      <w:r w:rsidRPr="00B624E1">
        <w:rPr>
          <w:bCs/>
        </w:rPr>
        <w:t>УниКредит</w:t>
      </w:r>
      <w:proofErr w:type="spellEnd"/>
      <w:r w:rsidRPr="00B624E1">
        <w:rPr>
          <w:bCs/>
        </w:rPr>
        <w:t xml:space="preserve"> Булбанк АД и Банка ДСК ЕАД) са в размер на 0</w:t>
      </w:r>
      <w:r>
        <w:rPr>
          <w:bCs/>
        </w:rPr>
        <w:t>,</w:t>
      </w:r>
      <w:r w:rsidRPr="00B624E1">
        <w:rPr>
          <w:bCs/>
          <w:lang w:val="en-US"/>
        </w:rPr>
        <w:t>0</w:t>
      </w:r>
      <w:r w:rsidRPr="00B624E1">
        <w:rPr>
          <w:bCs/>
        </w:rPr>
        <w:t>8 млн. лева.</w:t>
      </w:r>
    </w:p>
    <w:p w:rsidR="005A7FA3" w:rsidRPr="00494917" w:rsidRDefault="005A7FA3" w:rsidP="005A7FA3">
      <w:pPr>
        <w:pStyle w:val="BodyTextIndent"/>
        <w:spacing w:before="120"/>
        <w:ind w:left="0" w:firstLine="686"/>
        <w:jc w:val="both"/>
        <w:rPr>
          <w:b/>
          <w:bCs/>
        </w:rPr>
      </w:pPr>
      <w:r w:rsidRPr="00494917">
        <w:rPr>
          <w:b/>
          <w:bCs/>
        </w:rPr>
        <w:t xml:space="preserve">Структурни и </w:t>
      </w:r>
      <w:proofErr w:type="spellStart"/>
      <w:r w:rsidRPr="00494917">
        <w:rPr>
          <w:b/>
          <w:bCs/>
        </w:rPr>
        <w:t>Кохезионен</w:t>
      </w:r>
      <w:proofErr w:type="spellEnd"/>
      <w:r w:rsidRPr="00494917">
        <w:rPr>
          <w:b/>
          <w:bCs/>
        </w:rPr>
        <w:t xml:space="preserve"> фондове (СКФ) 2007 – 2013 г.</w:t>
      </w:r>
    </w:p>
    <w:p w:rsidR="005A7FA3" w:rsidRPr="00494917" w:rsidRDefault="005A7FA3" w:rsidP="005A7FA3">
      <w:pPr>
        <w:pStyle w:val="BodyTextIndent"/>
        <w:ind w:left="0" w:firstLine="686"/>
        <w:jc w:val="both"/>
        <w:rPr>
          <w:bCs/>
        </w:rPr>
      </w:pPr>
      <w:r w:rsidRPr="00494917">
        <w:rPr>
          <w:bCs/>
        </w:rPr>
        <w:t>През отчетния период са постъпили (нето) възстановени суми от бенефициенти по сметките на Национален фонд на стойност на 1</w:t>
      </w:r>
      <w:r>
        <w:rPr>
          <w:bCs/>
        </w:rPr>
        <w:t>,</w:t>
      </w:r>
      <w:r w:rsidRPr="00494917">
        <w:rPr>
          <w:bCs/>
        </w:rPr>
        <w:t>3 млн. л</w:t>
      </w:r>
      <w:r>
        <w:rPr>
          <w:bCs/>
        </w:rPr>
        <w:t>е</w:t>
      </w:r>
      <w:r w:rsidRPr="00494917">
        <w:rPr>
          <w:bCs/>
        </w:rPr>
        <w:t>в</w:t>
      </w:r>
      <w:r>
        <w:rPr>
          <w:bCs/>
        </w:rPr>
        <w:t>а</w:t>
      </w:r>
      <w:r w:rsidRPr="00494917">
        <w:rPr>
          <w:bCs/>
        </w:rPr>
        <w:t>.</w:t>
      </w:r>
    </w:p>
    <w:p w:rsidR="005A7FA3" w:rsidRPr="00FE1145" w:rsidRDefault="005A7FA3" w:rsidP="005A7FA3">
      <w:pPr>
        <w:pStyle w:val="BodyTextIndent"/>
        <w:ind w:left="0" w:firstLine="686"/>
        <w:jc w:val="both"/>
        <w:rPr>
          <w:bCs/>
          <w:color w:val="365F91" w:themeColor="accent1" w:themeShade="BF"/>
        </w:rPr>
      </w:pPr>
      <w:r w:rsidRPr="00494917">
        <w:rPr>
          <w:bCs/>
        </w:rPr>
        <w:t>През отчетния период е възстановено авансово финансиране, предоставено по реда на ДДС6/2011 г. на бюджетни организации на стойност на 1</w:t>
      </w:r>
      <w:r>
        <w:rPr>
          <w:bCs/>
        </w:rPr>
        <w:t>,</w:t>
      </w:r>
      <w:r w:rsidRPr="00494917">
        <w:rPr>
          <w:bCs/>
        </w:rPr>
        <w:t>2 млн. л</w:t>
      </w:r>
      <w:r>
        <w:rPr>
          <w:bCs/>
        </w:rPr>
        <w:t>е</w:t>
      </w:r>
      <w:r w:rsidRPr="00494917">
        <w:rPr>
          <w:bCs/>
        </w:rPr>
        <w:t>в</w:t>
      </w:r>
      <w:r>
        <w:rPr>
          <w:bCs/>
        </w:rPr>
        <w:t>а</w:t>
      </w:r>
      <w:r w:rsidRPr="00494917">
        <w:rPr>
          <w:bCs/>
        </w:rPr>
        <w:t>.</w:t>
      </w:r>
      <w:r w:rsidRPr="00FE1145">
        <w:rPr>
          <w:bCs/>
          <w:color w:val="365F91" w:themeColor="accent1" w:themeShade="BF"/>
        </w:rPr>
        <w:t xml:space="preserve"> </w:t>
      </w:r>
    </w:p>
    <w:p w:rsidR="005A7FA3" w:rsidRPr="001A5617" w:rsidRDefault="005A7FA3" w:rsidP="005A7FA3">
      <w:pPr>
        <w:pStyle w:val="BodyTextIndent"/>
        <w:spacing w:before="120"/>
        <w:ind w:left="0" w:firstLine="686"/>
        <w:jc w:val="both"/>
        <w:rPr>
          <w:b/>
          <w:bCs/>
        </w:rPr>
      </w:pPr>
      <w:r w:rsidRPr="001A5617">
        <w:rPr>
          <w:bCs/>
        </w:rPr>
        <w:tab/>
        <w:t xml:space="preserve"> </w:t>
      </w:r>
      <w:r w:rsidRPr="001A5617">
        <w:rPr>
          <w:b/>
          <w:bCs/>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rsidR="005A7FA3" w:rsidRPr="005B52DF" w:rsidRDefault="005A7FA3" w:rsidP="005A7FA3">
      <w:pPr>
        <w:pStyle w:val="BodyTextIndent"/>
        <w:ind w:left="0" w:firstLine="686"/>
        <w:jc w:val="both"/>
        <w:rPr>
          <w:bCs/>
        </w:rPr>
      </w:pPr>
      <w:r w:rsidRPr="001A5617">
        <w:rPr>
          <w:bCs/>
        </w:rPr>
        <w:tab/>
        <w:t>Общо получените средства (нето) от ЕК за периода са в размер на 1</w:t>
      </w:r>
      <w:r>
        <w:rPr>
          <w:bCs/>
        </w:rPr>
        <w:t> </w:t>
      </w:r>
      <w:r w:rsidRPr="001A5617">
        <w:rPr>
          <w:bCs/>
        </w:rPr>
        <w:t>540</w:t>
      </w:r>
      <w:r>
        <w:rPr>
          <w:bCs/>
        </w:rPr>
        <w:t>,</w:t>
      </w:r>
      <w:r w:rsidRPr="001A5617">
        <w:rPr>
          <w:bCs/>
        </w:rPr>
        <w:t xml:space="preserve">1 млн. лв., включващи възстановени средства от ЕК, както и авансите (бруто) за 2020 </w:t>
      </w:r>
      <w:r w:rsidRPr="005B52DF">
        <w:rPr>
          <w:bCs/>
        </w:rPr>
        <w:t>г. и са разпределени както следва:</w:t>
      </w:r>
    </w:p>
    <w:p w:rsidR="005A7FA3" w:rsidRPr="005B52DF" w:rsidRDefault="005A7FA3" w:rsidP="005A7FA3">
      <w:pPr>
        <w:pStyle w:val="BodyTextIndent"/>
        <w:numPr>
          <w:ilvl w:val="0"/>
          <w:numId w:val="12"/>
        </w:numPr>
        <w:tabs>
          <w:tab w:val="clear" w:pos="1101"/>
          <w:tab w:val="num" w:pos="786"/>
        </w:tabs>
        <w:spacing w:after="0"/>
        <w:ind w:left="810"/>
        <w:jc w:val="both"/>
        <w:rPr>
          <w:bCs/>
        </w:rPr>
      </w:pPr>
      <w:r w:rsidRPr="005B52DF">
        <w:rPr>
          <w:bCs/>
        </w:rPr>
        <w:t>ОП „Иновации и конкурентоспособност” – 164</w:t>
      </w:r>
      <w:r>
        <w:rPr>
          <w:bCs/>
        </w:rPr>
        <w:t>,</w:t>
      </w:r>
      <w:r w:rsidRPr="005B52DF">
        <w:rPr>
          <w:bCs/>
        </w:rPr>
        <w:t xml:space="preserve">4 млн. лв.;  </w:t>
      </w:r>
    </w:p>
    <w:p w:rsidR="005A7FA3" w:rsidRPr="005B52DF" w:rsidRDefault="005A7FA3" w:rsidP="005A7FA3">
      <w:pPr>
        <w:pStyle w:val="BodyTextIndent"/>
        <w:numPr>
          <w:ilvl w:val="0"/>
          <w:numId w:val="12"/>
        </w:numPr>
        <w:tabs>
          <w:tab w:val="clear" w:pos="1101"/>
          <w:tab w:val="num" w:pos="786"/>
        </w:tabs>
        <w:spacing w:after="0"/>
        <w:ind w:left="810"/>
        <w:jc w:val="both"/>
        <w:rPr>
          <w:bCs/>
        </w:rPr>
      </w:pPr>
      <w:r w:rsidRPr="005B52DF">
        <w:rPr>
          <w:bCs/>
        </w:rPr>
        <w:t>ОП „Добро управление” – 62</w:t>
      </w:r>
      <w:r>
        <w:rPr>
          <w:bCs/>
        </w:rPr>
        <w:t>,</w:t>
      </w:r>
      <w:r w:rsidRPr="005B52DF">
        <w:rPr>
          <w:bCs/>
        </w:rPr>
        <w:t>2 млн. лв.;</w:t>
      </w:r>
    </w:p>
    <w:p w:rsidR="005A7FA3" w:rsidRPr="005B52DF" w:rsidRDefault="005A7FA3" w:rsidP="005A7FA3">
      <w:pPr>
        <w:pStyle w:val="BodyTextIndent"/>
        <w:numPr>
          <w:ilvl w:val="0"/>
          <w:numId w:val="12"/>
        </w:numPr>
        <w:tabs>
          <w:tab w:val="clear" w:pos="1101"/>
          <w:tab w:val="num" w:pos="786"/>
        </w:tabs>
        <w:spacing w:after="0"/>
        <w:ind w:left="810"/>
        <w:jc w:val="both"/>
        <w:rPr>
          <w:bCs/>
        </w:rPr>
      </w:pPr>
      <w:r w:rsidRPr="005B52DF">
        <w:rPr>
          <w:bCs/>
        </w:rPr>
        <w:t>ОП „Транспорт и транспортна инфраструктура” – 3</w:t>
      </w:r>
      <w:r>
        <w:rPr>
          <w:bCs/>
        </w:rPr>
        <w:t>20,0</w:t>
      </w:r>
      <w:r w:rsidRPr="005B52DF">
        <w:rPr>
          <w:bCs/>
        </w:rPr>
        <w:t xml:space="preserve"> млн. лв.;</w:t>
      </w:r>
    </w:p>
    <w:p w:rsidR="005A7FA3" w:rsidRPr="005B52DF" w:rsidRDefault="005A7FA3" w:rsidP="005A7FA3">
      <w:pPr>
        <w:pStyle w:val="BodyTextIndent"/>
        <w:numPr>
          <w:ilvl w:val="0"/>
          <w:numId w:val="12"/>
        </w:numPr>
        <w:tabs>
          <w:tab w:val="clear" w:pos="1101"/>
          <w:tab w:val="num" w:pos="786"/>
        </w:tabs>
        <w:spacing w:after="0"/>
        <w:ind w:left="810"/>
        <w:jc w:val="both"/>
        <w:rPr>
          <w:bCs/>
        </w:rPr>
      </w:pPr>
      <w:r w:rsidRPr="005B52DF">
        <w:rPr>
          <w:bCs/>
        </w:rPr>
        <w:t>ОП „Околна среда 2014 – 2020 г.“ – 344</w:t>
      </w:r>
      <w:r>
        <w:rPr>
          <w:bCs/>
        </w:rPr>
        <w:t>,</w:t>
      </w:r>
      <w:r w:rsidRPr="005B52DF">
        <w:rPr>
          <w:bCs/>
        </w:rPr>
        <w:t>6 млн. лв.;</w:t>
      </w:r>
    </w:p>
    <w:p w:rsidR="005A7FA3" w:rsidRPr="005B52DF" w:rsidRDefault="005A7FA3" w:rsidP="005A7FA3">
      <w:pPr>
        <w:pStyle w:val="BodyTextIndent"/>
        <w:numPr>
          <w:ilvl w:val="0"/>
          <w:numId w:val="12"/>
        </w:numPr>
        <w:tabs>
          <w:tab w:val="clear" w:pos="1101"/>
          <w:tab w:val="num" w:pos="786"/>
        </w:tabs>
        <w:spacing w:after="0"/>
        <w:ind w:left="810"/>
        <w:jc w:val="both"/>
        <w:rPr>
          <w:bCs/>
        </w:rPr>
      </w:pPr>
      <w:r w:rsidRPr="005B52DF">
        <w:rPr>
          <w:bCs/>
        </w:rPr>
        <w:t>ОП „Развитие на човешките ресурси 2014 - 2020 г.” – 208</w:t>
      </w:r>
      <w:r>
        <w:rPr>
          <w:bCs/>
        </w:rPr>
        <w:t>,</w:t>
      </w:r>
      <w:r w:rsidRPr="005B52DF">
        <w:rPr>
          <w:bCs/>
        </w:rPr>
        <w:t>2 млн. лв.;</w:t>
      </w:r>
    </w:p>
    <w:p w:rsidR="005A7FA3" w:rsidRPr="005B52DF" w:rsidRDefault="005A7FA3" w:rsidP="005A7FA3">
      <w:pPr>
        <w:pStyle w:val="BodyTextIndent"/>
        <w:numPr>
          <w:ilvl w:val="0"/>
          <w:numId w:val="12"/>
        </w:numPr>
        <w:tabs>
          <w:tab w:val="clear" w:pos="1101"/>
          <w:tab w:val="num" w:pos="786"/>
        </w:tabs>
        <w:spacing w:after="0"/>
        <w:ind w:left="810"/>
        <w:jc w:val="both"/>
        <w:rPr>
          <w:bCs/>
        </w:rPr>
      </w:pPr>
      <w:r w:rsidRPr="005B52DF">
        <w:rPr>
          <w:bCs/>
        </w:rPr>
        <w:t>Инициативата за младежка заетост – 13</w:t>
      </w:r>
      <w:r>
        <w:rPr>
          <w:bCs/>
        </w:rPr>
        <w:t>,</w:t>
      </w:r>
      <w:r w:rsidRPr="005B52DF">
        <w:rPr>
          <w:bCs/>
        </w:rPr>
        <w:t>3 млн. лв.;</w:t>
      </w:r>
    </w:p>
    <w:p w:rsidR="005A7FA3" w:rsidRPr="005B52DF" w:rsidRDefault="005A7FA3" w:rsidP="005A7FA3">
      <w:pPr>
        <w:pStyle w:val="BodyTextIndent"/>
        <w:numPr>
          <w:ilvl w:val="0"/>
          <w:numId w:val="12"/>
        </w:numPr>
        <w:tabs>
          <w:tab w:val="clear" w:pos="1101"/>
          <w:tab w:val="num" w:pos="786"/>
        </w:tabs>
        <w:spacing w:after="0"/>
        <w:ind w:left="810"/>
        <w:jc w:val="both"/>
        <w:rPr>
          <w:bCs/>
        </w:rPr>
      </w:pPr>
      <w:r w:rsidRPr="005B52DF">
        <w:rPr>
          <w:bCs/>
        </w:rPr>
        <w:t>ОП „Региони в растеж“ – 268</w:t>
      </w:r>
      <w:r>
        <w:rPr>
          <w:bCs/>
        </w:rPr>
        <w:t>,</w:t>
      </w:r>
      <w:r w:rsidRPr="005B52DF">
        <w:rPr>
          <w:bCs/>
        </w:rPr>
        <w:t>4 млн. лв.;</w:t>
      </w:r>
    </w:p>
    <w:p w:rsidR="005A7FA3" w:rsidRPr="005B52DF" w:rsidRDefault="005A7FA3" w:rsidP="005A7FA3">
      <w:pPr>
        <w:pStyle w:val="BodyTextIndent"/>
        <w:numPr>
          <w:ilvl w:val="0"/>
          <w:numId w:val="12"/>
        </w:numPr>
        <w:tabs>
          <w:tab w:val="clear" w:pos="1101"/>
          <w:tab w:val="num" w:pos="786"/>
        </w:tabs>
        <w:spacing w:after="0"/>
        <w:ind w:left="810"/>
        <w:jc w:val="both"/>
        <w:rPr>
          <w:bCs/>
        </w:rPr>
      </w:pPr>
      <w:r w:rsidRPr="005B52DF">
        <w:rPr>
          <w:bCs/>
        </w:rPr>
        <w:t>ОП за храни и/или основно материално подпомагане от Фонда за европейско подпомагане на най-нуждаещите се лица в България за периода 2014 – 2020 г. – 42</w:t>
      </w:r>
      <w:r>
        <w:rPr>
          <w:bCs/>
        </w:rPr>
        <w:t>,</w:t>
      </w:r>
      <w:r w:rsidRPr="005B52DF">
        <w:rPr>
          <w:bCs/>
        </w:rPr>
        <w:t>8 млн.</w:t>
      </w:r>
      <w:r>
        <w:rPr>
          <w:bCs/>
        </w:rPr>
        <w:t> </w:t>
      </w:r>
      <w:r w:rsidRPr="005B52DF">
        <w:rPr>
          <w:bCs/>
        </w:rPr>
        <w:t>лв. и</w:t>
      </w:r>
    </w:p>
    <w:p w:rsidR="005A7FA3" w:rsidRPr="005B52DF" w:rsidRDefault="005A7FA3" w:rsidP="005A7FA3">
      <w:pPr>
        <w:pStyle w:val="BodyTextIndent"/>
        <w:numPr>
          <w:ilvl w:val="0"/>
          <w:numId w:val="12"/>
        </w:numPr>
        <w:tabs>
          <w:tab w:val="clear" w:pos="1101"/>
          <w:tab w:val="num" w:pos="786"/>
        </w:tabs>
        <w:spacing w:after="0"/>
        <w:ind w:left="810"/>
        <w:jc w:val="both"/>
        <w:rPr>
          <w:bCs/>
        </w:rPr>
      </w:pPr>
      <w:r w:rsidRPr="005B52DF">
        <w:rPr>
          <w:bCs/>
        </w:rPr>
        <w:t>ОП „Наука и образование за интелигентен растеж” – 116</w:t>
      </w:r>
      <w:r>
        <w:rPr>
          <w:bCs/>
        </w:rPr>
        <w:t>,</w:t>
      </w:r>
      <w:r w:rsidRPr="005B52DF">
        <w:rPr>
          <w:bCs/>
        </w:rPr>
        <w:t>2 млн. л</w:t>
      </w:r>
      <w:r>
        <w:rPr>
          <w:bCs/>
        </w:rPr>
        <w:t>е</w:t>
      </w:r>
      <w:r w:rsidRPr="005B52DF">
        <w:rPr>
          <w:bCs/>
        </w:rPr>
        <w:t>в</w:t>
      </w:r>
      <w:r>
        <w:rPr>
          <w:bCs/>
        </w:rPr>
        <w:t>а</w:t>
      </w:r>
      <w:r w:rsidRPr="005B52DF">
        <w:rPr>
          <w:bCs/>
        </w:rPr>
        <w:t>.</w:t>
      </w:r>
    </w:p>
    <w:p w:rsidR="005A7FA3" w:rsidRPr="005B52DF" w:rsidRDefault="005A7FA3" w:rsidP="00A61FD1">
      <w:pPr>
        <w:pStyle w:val="BodyTextIndent"/>
        <w:spacing w:before="120"/>
        <w:ind w:left="0" w:firstLine="539"/>
        <w:jc w:val="both"/>
        <w:rPr>
          <w:bCs/>
        </w:rPr>
      </w:pPr>
      <w:r w:rsidRPr="005B52DF">
        <w:rPr>
          <w:bCs/>
        </w:rPr>
        <w:lastRenderedPageBreak/>
        <w:t xml:space="preserve">Направените разходи (нето) по Оперативни програми и трансферите (нето) към бюджетни организации и операции с активи към края на </w:t>
      </w:r>
      <w:r>
        <w:rPr>
          <w:bCs/>
        </w:rPr>
        <w:t>деветмесечието</w:t>
      </w:r>
      <w:r w:rsidRPr="005B52DF">
        <w:rPr>
          <w:bCs/>
        </w:rPr>
        <w:t xml:space="preserve"> са на стойност 1</w:t>
      </w:r>
      <w:r>
        <w:rPr>
          <w:bCs/>
        </w:rPr>
        <w:t> </w:t>
      </w:r>
      <w:r w:rsidRPr="005B52DF">
        <w:rPr>
          <w:bCs/>
        </w:rPr>
        <w:t>286</w:t>
      </w:r>
      <w:r>
        <w:rPr>
          <w:bCs/>
        </w:rPr>
        <w:t>,</w:t>
      </w:r>
      <w:r w:rsidRPr="005B52DF">
        <w:rPr>
          <w:bCs/>
        </w:rPr>
        <w:t>8 млн. лв., като разпределението по Оперативни програми е следното:</w:t>
      </w:r>
    </w:p>
    <w:p w:rsidR="005A7FA3" w:rsidRPr="007879E6" w:rsidRDefault="005A7FA3" w:rsidP="005A7FA3">
      <w:pPr>
        <w:pStyle w:val="BodyTextIndent"/>
        <w:numPr>
          <w:ilvl w:val="0"/>
          <w:numId w:val="12"/>
        </w:numPr>
        <w:tabs>
          <w:tab w:val="clear" w:pos="1101"/>
          <w:tab w:val="num" w:pos="786"/>
        </w:tabs>
        <w:spacing w:after="0"/>
        <w:ind w:left="900"/>
        <w:jc w:val="both"/>
        <w:rPr>
          <w:bCs/>
        </w:rPr>
      </w:pPr>
      <w:r w:rsidRPr="007879E6">
        <w:rPr>
          <w:bCs/>
        </w:rPr>
        <w:t>ОП „Развитие на човешките ресурси 2014 - 2020 г.” – 253</w:t>
      </w:r>
      <w:r>
        <w:rPr>
          <w:bCs/>
        </w:rPr>
        <w:t>,</w:t>
      </w:r>
      <w:r w:rsidRPr="007879E6">
        <w:rPr>
          <w:bCs/>
        </w:rPr>
        <w:t>7 млн. лв.;</w:t>
      </w:r>
    </w:p>
    <w:p w:rsidR="005A7FA3" w:rsidRPr="00A35376" w:rsidRDefault="005A7FA3" w:rsidP="005A7FA3">
      <w:pPr>
        <w:pStyle w:val="BodyTextIndent"/>
        <w:numPr>
          <w:ilvl w:val="0"/>
          <w:numId w:val="12"/>
        </w:numPr>
        <w:tabs>
          <w:tab w:val="clear" w:pos="1101"/>
          <w:tab w:val="num" w:pos="786"/>
        </w:tabs>
        <w:spacing w:after="0"/>
        <w:ind w:left="900"/>
        <w:jc w:val="both"/>
        <w:rPr>
          <w:bCs/>
        </w:rPr>
      </w:pPr>
      <w:r w:rsidRPr="00A35376">
        <w:rPr>
          <w:bCs/>
        </w:rPr>
        <w:t>Инициативата за младежка заетост – 16</w:t>
      </w:r>
      <w:r>
        <w:rPr>
          <w:bCs/>
        </w:rPr>
        <w:t>,</w:t>
      </w:r>
      <w:r w:rsidRPr="00A35376">
        <w:rPr>
          <w:bCs/>
        </w:rPr>
        <w:t>9 млн. лв.;</w:t>
      </w:r>
    </w:p>
    <w:p w:rsidR="005A7FA3" w:rsidRPr="00A35376" w:rsidRDefault="005A7FA3" w:rsidP="005A7FA3">
      <w:pPr>
        <w:pStyle w:val="BodyTextIndent"/>
        <w:numPr>
          <w:ilvl w:val="0"/>
          <w:numId w:val="12"/>
        </w:numPr>
        <w:tabs>
          <w:tab w:val="clear" w:pos="1101"/>
          <w:tab w:val="num" w:pos="786"/>
        </w:tabs>
        <w:spacing w:after="0"/>
        <w:ind w:left="900"/>
        <w:jc w:val="both"/>
        <w:rPr>
          <w:bCs/>
        </w:rPr>
      </w:pPr>
      <w:r w:rsidRPr="00A35376">
        <w:rPr>
          <w:bCs/>
        </w:rPr>
        <w:t>ОП за храни и/или основно материално подпомагане от Фонда за европейско подпомагане на най-нуждаещите се лица в България за периода 2014 – 2020 г. – 33</w:t>
      </w:r>
      <w:r>
        <w:rPr>
          <w:bCs/>
        </w:rPr>
        <w:t>,</w:t>
      </w:r>
      <w:r w:rsidRPr="00A35376">
        <w:rPr>
          <w:bCs/>
        </w:rPr>
        <w:t>7 млн. лева;</w:t>
      </w:r>
    </w:p>
    <w:p w:rsidR="005A7FA3" w:rsidRPr="00A35376" w:rsidRDefault="005A7FA3" w:rsidP="005A7FA3">
      <w:pPr>
        <w:pStyle w:val="BodyTextIndent"/>
        <w:numPr>
          <w:ilvl w:val="0"/>
          <w:numId w:val="12"/>
        </w:numPr>
        <w:tabs>
          <w:tab w:val="clear" w:pos="1101"/>
          <w:tab w:val="num" w:pos="786"/>
        </w:tabs>
        <w:spacing w:after="0"/>
        <w:ind w:left="900"/>
        <w:jc w:val="both"/>
        <w:rPr>
          <w:bCs/>
        </w:rPr>
      </w:pPr>
      <w:r w:rsidRPr="00A35376">
        <w:rPr>
          <w:bCs/>
        </w:rPr>
        <w:t>ОП „Иновации и конкурентоспособност” – 261</w:t>
      </w:r>
      <w:r>
        <w:rPr>
          <w:bCs/>
        </w:rPr>
        <w:t>,</w:t>
      </w:r>
      <w:r w:rsidRPr="00A35376">
        <w:rPr>
          <w:bCs/>
        </w:rPr>
        <w:t>7 млн. лв.;</w:t>
      </w:r>
    </w:p>
    <w:p w:rsidR="005A7FA3" w:rsidRPr="00A35376" w:rsidRDefault="005A7FA3" w:rsidP="005A7FA3">
      <w:pPr>
        <w:pStyle w:val="BodyTextIndent"/>
        <w:numPr>
          <w:ilvl w:val="0"/>
          <w:numId w:val="12"/>
        </w:numPr>
        <w:tabs>
          <w:tab w:val="clear" w:pos="1101"/>
          <w:tab w:val="num" w:pos="786"/>
        </w:tabs>
        <w:spacing w:after="0"/>
        <w:ind w:left="900"/>
        <w:jc w:val="both"/>
        <w:rPr>
          <w:bCs/>
        </w:rPr>
      </w:pPr>
      <w:r w:rsidRPr="00A35376">
        <w:rPr>
          <w:bCs/>
        </w:rPr>
        <w:t>ОП „Добро управление” – 44</w:t>
      </w:r>
      <w:r>
        <w:rPr>
          <w:bCs/>
        </w:rPr>
        <w:t>,</w:t>
      </w:r>
      <w:r w:rsidRPr="00A35376">
        <w:rPr>
          <w:bCs/>
        </w:rPr>
        <w:t>3 млн. лв.;</w:t>
      </w:r>
    </w:p>
    <w:p w:rsidR="005A7FA3" w:rsidRPr="00A35376" w:rsidRDefault="005A7FA3" w:rsidP="005A7FA3">
      <w:pPr>
        <w:pStyle w:val="BodyTextIndent"/>
        <w:numPr>
          <w:ilvl w:val="0"/>
          <w:numId w:val="12"/>
        </w:numPr>
        <w:tabs>
          <w:tab w:val="clear" w:pos="1101"/>
          <w:tab w:val="num" w:pos="786"/>
        </w:tabs>
        <w:spacing w:after="0"/>
        <w:ind w:left="900"/>
        <w:jc w:val="both"/>
        <w:rPr>
          <w:bCs/>
        </w:rPr>
      </w:pPr>
      <w:r w:rsidRPr="00A35376">
        <w:rPr>
          <w:bCs/>
        </w:rPr>
        <w:t>ОП „Региони в растеж“ – 175</w:t>
      </w:r>
      <w:r>
        <w:rPr>
          <w:bCs/>
        </w:rPr>
        <w:t>,</w:t>
      </w:r>
      <w:r w:rsidRPr="00A35376">
        <w:rPr>
          <w:bCs/>
        </w:rPr>
        <w:t>1 млн. лв.;</w:t>
      </w:r>
    </w:p>
    <w:p w:rsidR="005A7FA3" w:rsidRPr="00DB6E01" w:rsidRDefault="005A7FA3" w:rsidP="005A7FA3">
      <w:pPr>
        <w:pStyle w:val="BodyTextIndent"/>
        <w:numPr>
          <w:ilvl w:val="0"/>
          <w:numId w:val="12"/>
        </w:numPr>
        <w:tabs>
          <w:tab w:val="clear" w:pos="1101"/>
          <w:tab w:val="num" w:pos="786"/>
        </w:tabs>
        <w:spacing w:after="0"/>
        <w:ind w:left="900"/>
        <w:jc w:val="both"/>
        <w:rPr>
          <w:bCs/>
        </w:rPr>
      </w:pPr>
      <w:r w:rsidRPr="00A35376">
        <w:rPr>
          <w:bCs/>
        </w:rPr>
        <w:t>ОП „Транспорт и транспортна инфраструктура” – 189</w:t>
      </w:r>
      <w:r>
        <w:rPr>
          <w:bCs/>
        </w:rPr>
        <w:t>,</w:t>
      </w:r>
      <w:r w:rsidRPr="00A35376">
        <w:rPr>
          <w:bCs/>
        </w:rPr>
        <w:t xml:space="preserve">3 </w:t>
      </w:r>
      <w:r w:rsidRPr="00DB6E01">
        <w:rPr>
          <w:bCs/>
        </w:rPr>
        <w:t>млн. лв.;</w:t>
      </w:r>
    </w:p>
    <w:p w:rsidR="005A7FA3" w:rsidRPr="00DB6E01" w:rsidRDefault="005A7FA3" w:rsidP="005A7FA3">
      <w:pPr>
        <w:pStyle w:val="BodyTextIndent"/>
        <w:numPr>
          <w:ilvl w:val="0"/>
          <w:numId w:val="12"/>
        </w:numPr>
        <w:tabs>
          <w:tab w:val="clear" w:pos="1101"/>
          <w:tab w:val="num" w:pos="786"/>
        </w:tabs>
        <w:spacing w:after="0"/>
        <w:ind w:left="900"/>
        <w:jc w:val="both"/>
        <w:rPr>
          <w:bCs/>
        </w:rPr>
      </w:pPr>
      <w:r w:rsidRPr="00DB6E01">
        <w:rPr>
          <w:bCs/>
        </w:rPr>
        <w:t>ОП „Наука и образование за интелигентен растеж” – 124</w:t>
      </w:r>
      <w:r>
        <w:rPr>
          <w:bCs/>
        </w:rPr>
        <w:t>,</w:t>
      </w:r>
      <w:r w:rsidRPr="00DB6E01">
        <w:rPr>
          <w:bCs/>
        </w:rPr>
        <w:t>8 млн. лв. и</w:t>
      </w:r>
    </w:p>
    <w:p w:rsidR="005A7FA3" w:rsidRPr="00DB6E01" w:rsidRDefault="005A7FA3" w:rsidP="005A7FA3">
      <w:pPr>
        <w:pStyle w:val="BodyTextIndent"/>
        <w:numPr>
          <w:ilvl w:val="0"/>
          <w:numId w:val="12"/>
        </w:numPr>
        <w:tabs>
          <w:tab w:val="clear" w:pos="1101"/>
          <w:tab w:val="num" w:pos="786"/>
        </w:tabs>
        <w:spacing w:after="0"/>
        <w:ind w:left="900"/>
        <w:jc w:val="both"/>
        <w:rPr>
          <w:bCs/>
        </w:rPr>
      </w:pPr>
      <w:r w:rsidRPr="00DB6E01">
        <w:rPr>
          <w:bCs/>
        </w:rPr>
        <w:t>ОП „Околна среда 2014 – 2020 г.“ – 187</w:t>
      </w:r>
      <w:r>
        <w:rPr>
          <w:bCs/>
        </w:rPr>
        <w:t>,</w:t>
      </w:r>
      <w:r w:rsidRPr="00DB6E01">
        <w:rPr>
          <w:bCs/>
        </w:rPr>
        <w:t>3 млн. л</w:t>
      </w:r>
      <w:r>
        <w:rPr>
          <w:bCs/>
        </w:rPr>
        <w:t>е</w:t>
      </w:r>
      <w:r w:rsidRPr="00DB6E01">
        <w:rPr>
          <w:bCs/>
        </w:rPr>
        <w:t>в</w:t>
      </w:r>
      <w:r>
        <w:rPr>
          <w:bCs/>
        </w:rPr>
        <w:t>а</w:t>
      </w:r>
      <w:r w:rsidRPr="00DB6E01">
        <w:rPr>
          <w:bCs/>
        </w:rPr>
        <w:t>.</w:t>
      </w:r>
    </w:p>
    <w:p w:rsidR="005A7FA3" w:rsidRPr="00D91E48" w:rsidRDefault="005A7FA3" w:rsidP="005A7FA3">
      <w:pPr>
        <w:pStyle w:val="BodyTextIndent"/>
        <w:ind w:left="0" w:firstLine="540"/>
        <w:jc w:val="both"/>
        <w:rPr>
          <w:bCs/>
        </w:rPr>
      </w:pPr>
      <w:r>
        <w:rPr>
          <w:bCs/>
        </w:rPr>
        <w:t xml:space="preserve">   </w:t>
      </w:r>
      <w:r w:rsidRPr="00D91E48">
        <w:rPr>
          <w:bCs/>
        </w:rPr>
        <w:t xml:space="preserve">Предоставеното авансово финансиране по реда на ДДС 6/2011 г. към бюджетни организации за периода е на стойност </w:t>
      </w:r>
      <w:r>
        <w:rPr>
          <w:bCs/>
          <w:lang w:val="en-US"/>
        </w:rPr>
        <w:t>45</w:t>
      </w:r>
      <w:r>
        <w:rPr>
          <w:bCs/>
        </w:rPr>
        <w:t>,</w:t>
      </w:r>
      <w:r>
        <w:rPr>
          <w:bCs/>
          <w:lang w:val="en-US"/>
        </w:rPr>
        <w:t>4</w:t>
      </w:r>
      <w:r w:rsidRPr="00D91E48">
        <w:rPr>
          <w:bCs/>
        </w:rPr>
        <w:t xml:space="preserve"> млн. лева, а възстановените средства – 2</w:t>
      </w:r>
      <w:r>
        <w:rPr>
          <w:bCs/>
          <w:lang w:val="en-US"/>
        </w:rPr>
        <w:t>0</w:t>
      </w:r>
      <w:r>
        <w:rPr>
          <w:bCs/>
        </w:rPr>
        <w:t>,</w:t>
      </w:r>
      <w:r>
        <w:rPr>
          <w:bCs/>
          <w:lang w:val="en-US"/>
        </w:rPr>
        <w:t>0</w:t>
      </w:r>
      <w:r w:rsidRPr="00D91E48">
        <w:rPr>
          <w:bCs/>
        </w:rPr>
        <w:t xml:space="preserve"> млн. лева.</w:t>
      </w:r>
    </w:p>
    <w:p w:rsidR="005A7FA3" w:rsidRPr="007912BD" w:rsidRDefault="005A7FA3" w:rsidP="005A7FA3">
      <w:pPr>
        <w:pStyle w:val="BodyTextIndent"/>
        <w:ind w:left="0"/>
        <w:jc w:val="both"/>
        <w:rPr>
          <w:bCs/>
        </w:rPr>
      </w:pPr>
      <w:r w:rsidRPr="00AA7F42">
        <w:rPr>
          <w:bCs/>
        </w:rPr>
        <w:t>В сумата на предоставеното авансово финансиране по реда на ДДС6/2011 г. е включена и предоставена възмездна финансова помощ в размер на 20</w:t>
      </w:r>
      <w:r>
        <w:rPr>
          <w:bCs/>
        </w:rPr>
        <w:t>,</w:t>
      </w:r>
      <w:r w:rsidRPr="00AA7F42">
        <w:rPr>
          <w:bCs/>
        </w:rPr>
        <w:t>6 млн. лева на ОП „Транспорт и транспортна инфраструктура”.</w:t>
      </w:r>
    </w:p>
    <w:p w:rsidR="005A7FA3" w:rsidRPr="00FE1145" w:rsidRDefault="005A7FA3" w:rsidP="005A7FA3">
      <w:pPr>
        <w:pStyle w:val="BodyTextIndent"/>
        <w:ind w:left="0" w:firstLine="708"/>
        <w:jc w:val="both"/>
        <w:rPr>
          <w:bCs/>
          <w:color w:val="365F91" w:themeColor="accent1" w:themeShade="BF"/>
        </w:rPr>
      </w:pPr>
      <w:r w:rsidRPr="00292960">
        <w:rPr>
          <w:bCs/>
        </w:rPr>
        <w:t xml:space="preserve">След разрешение от ЕК част от средствата по оперативни програми бяха насочени за борба с разпространението на корона вируса и преодоляване на последиците от него. Съвместно с УО по отделните оперативни програми бяха идентифицирани потенциалните ресурси, програми и мерки, които бяха мобилизирани за непосредствен отговор на задълбочаващата се криза. Въз основа на информацията за вътрешното разпределение на ресурса по програми и необходимия допълнителен бюджет за финансиране на конкретни мерки, бяха определени трансфери на средства от и към определени оперативни програми, позволяващи финансиране на необходими предвид ситуацията мерки. </w:t>
      </w:r>
    </w:p>
    <w:p w:rsidR="005A7FA3" w:rsidRPr="007C3ECF" w:rsidRDefault="005A7FA3" w:rsidP="005A7FA3">
      <w:pPr>
        <w:pStyle w:val="BodyTextIndent"/>
        <w:ind w:left="0"/>
        <w:jc w:val="both"/>
      </w:pPr>
      <w:r>
        <w:rPr>
          <w:bCs/>
        </w:rPr>
        <w:t>Финансовият</w:t>
      </w:r>
      <w:r w:rsidRPr="007C3ECF">
        <w:rPr>
          <w:bCs/>
        </w:rPr>
        <w:t xml:space="preserve"> пакет</w:t>
      </w:r>
      <w:r>
        <w:rPr>
          <w:bCs/>
        </w:rPr>
        <w:t xml:space="preserve"> е в размер на </w:t>
      </w:r>
      <w:r w:rsidRPr="007C3ECF">
        <w:rPr>
          <w:bCs/>
        </w:rPr>
        <w:t>2</w:t>
      </w:r>
      <w:r>
        <w:rPr>
          <w:bCs/>
        </w:rPr>
        <w:t> </w:t>
      </w:r>
      <w:r w:rsidRPr="007C3ECF">
        <w:rPr>
          <w:bCs/>
        </w:rPr>
        <w:t>537</w:t>
      </w:r>
      <w:r>
        <w:rPr>
          <w:bCs/>
        </w:rPr>
        <w:t>,0</w:t>
      </w:r>
      <w:r w:rsidRPr="007C3ECF">
        <w:rPr>
          <w:bCs/>
        </w:rPr>
        <w:t xml:space="preserve"> млн. лева, с който ще бъдат финансирани мерки от социално-икономически характер за подкрепа на непосредствено засегнатите от кризата лица и предприятия. За източници служат вътрешен ресурс от недоговорени и спестени от текущи операции средства </w:t>
      </w:r>
      <w:r w:rsidRPr="007C3ECF">
        <w:rPr>
          <w:bCs/>
          <w:lang w:val="en-US"/>
        </w:rPr>
        <w:t>(</w:t>
      </w:r>
      <w:r w:rsidRPr="007C3ECF">
        <w:rPr>
          <w:bCs/>
        </w:rPr>
        <w:t>ОП „Региони в растеж“</w:t>
      </w:r>
      <w:r w:rsidRPr="007C3ECF">
        <w:rPr>
          <w:bCs/>
          <w:lang w:val="en-US"/>
        </w:rPr>
        <w:t>)</w:t>
      </w:r>
      <w:r w:rsidRPr="007C3ECF">
        <w:rPr>
          <w:bCs/>
        </w:rPr>
        <w:t>, както и прехвърляне на средства към оперативни програми „Развитие на човешките ресурси“</w:t>
      </w:r>
      <w:r w:rsidRPr="007C3ECF">
        <w:rPr>
          <w:bCs/>
          <w:lang w:val="en-US"/>
        </w:rPr>
        <w:t xml:space="preserve"> </w:t>
      </w:r>
      <w:r w:rsidRPr="007C3ECF">
        <w:rPr>
          <w:bCs/>
        </w:rPr>
        <w:t>и „Иновации и конкурентоспособност“. Прехвърлянето на средства между оперативните програми и насочването им към специфични мерки за минимизиране на отрицателните последици от епидемичното разпространение на COVD-19 стартира с Решение на Министерския съвет № 256 от 14.04.2020 г., като последва и изменение и на самите програми.</w:t>
      </w:r>
      <w:r w:rsidRPr="007C3ECF">
        <w:t xml:space="preserve"> </w:t>
      </w:r>
    </w:p>
    <w:p w:rsidR="005A7FA3" w:rsidRPr="007C3ECF" w:rsidRDefault="005A7FA3" w:rsidP="005A7FA3">
      <w:pPr>
        <w:pStyle w:val="BodyTextIndent"/>
        <w:ind w:left="0"/>
        <w:jc w:val="both"/>
      </w:pPr>
      <w:r w:rsidRPr="007C3ECF">
        <w:t>В допълнение на мерките, с Решение № 573 от 14.08.2020 г. на МС се одобри индикативно финансово разпределение по оперативни програми 2014 – 2020 г. на средствата за България от Европейския съюз в подкрепа на преодоляването на последиците от кризата, предизвикана от пандемията от COVID-19, и подготовка за екологично, цифрово и устойчиво възстановяване на икономиката (REACT-EU), като заделения</w:t>
      </w:r>
      <w:r>
        <w:t>т</w:t>
      </w:r>
      <w:r w:rsidRPr="007C3ECF">
        <w:t xml:space="preserve"> ресурс за България е в размер на 1</w:t>
      </w:r>
      <w:r>
        <w:t> </w:t>
      </w:r>
      <w:r w:rsidRPr="007C3ECF">
        <w:t>283</w:t>
      </w:r>
      <w:r>
        <w:t>,0</w:t>
      </w:r>
      <w:r w:rsidRPr="007C3ECF">
        <w:t xml:space="preserve"> млн. лева.</w:t>
      </w:r>
    </w:p>
    <w:p w:rsidR="005A7FA3" w:rsidRPr="007C3ECF" w:rsidRDefault="005A7FA3" w:rsidP="005A7FA3">
      <w:pPr>
        <w:pStyle w:val="BodyTextIndent"/>
        <w:ind w:left="0"/>
        <w:jc w:val="both"/>
        <w:rPr>
          <w:bCs/>
          <w:highlight w:val="yellow"/>
        </w:rPr>
      </w:pPr>
      <w:r>
        <w:rPr>
          <w:bCs/>
        </w:rPr>
        <w:t>Ч</w:t>
      </w:r>
      <w:r w:rsidRPr="007C3ECF">
        <w:rPr>
          <w:bCs/>
        </w:rPr>
        <w:t xml:space="preserve">аст от мерките </w:t>
      </w:r>
      <w:r w:rsidRPr="004B4A95">
        <w:rPr>
          <w:bCs/>
        </w:rPr>
        <w:t>за минимизиране на отрицателните последици от епидемичното разпространение на COVD-19</w:t>
      </w:r>
      <w:r>
        <w:rPr>
          <w:bCs/>
        </w:rPr>
        <w:t xml:space="preserve"> </w:t>
      </w:r>
      <w:r w:rsidRPr="007C3ECF">
        <w:rPr>
          <w:bCs/>
        </w:rPr>
        <w:t>вече са в процес на реализация и очакванията са до края на годината разплатените средства по тях да бъдат в размер на над 600</w:t>
      </w:r>
      <w:r>
        <w:rPr>
          <w:bCs/>
        </w:rPr>
        <w:t>,0</w:t>
      </w:r>
      <w:r w:rsidRPr="007C3ECF">
        <w:rPr>
          <w:bCs/>
        </w:rPr>
        <w:t xml:space="preserve"> млн. лева.</w:t>
      </w:r>
    </w:p>
    <w:p w:rsidR="005A7FA3" w:rsidRPr="007C3ECF" w:rsidRDefault="005A7FA3" w:rsidP="005A7FA3">
      <w:pPr>
        <w:pStyle w:val="BodyTextIndent"/>
        <w:ind w:left="0"/>
        <w:jc w:val="both"/>
        <w:rPr>
          <w:bCs/>
        </w:rPr>
      </w:pPr>
      <w:r w:rsidRPr="007C3ECF">
        <w:rPr>
          <w:bCs/>
        </w:rPr>
        <w:t>Спрямо заложените разходи и трансфери в план-сметката на НФ изпълнението за третото тримесечие с натрупване 2020 г. е над 60</w:t>
      </w:r>
      <w:r>
        <w:rPr>
          <w:bCs/>
        </w:rPr>
        <w:t xml:space="preserve"> </w:t>
      </w:r>
      <w:r w:rsidRPr="007C3ECF">
        <w:rPr>
          <w:bCs/>
        </w:rPr>
        <w:t>%, като се очаква до края на годината изпълнението да достигне пълния размер на заложеното във връзка със засиления темп на плащане по оперативните програми през последното тримесечие на годината, както и усвояването на осигурения финансов ресурс по гореспоменатите мерки.</w:t>
      </w:r>
    </w:p>
    <w:p w:rsidR="005A7FA3" w:rsidRPr="00BD6B41" w:rsidRDefault="005A7FA3" w:rsidP="005A7FA3">
      <w:pPr>
        <w:pStyle w:val="BodyTextIndent"/>
        <w:spacing w:before="120"/>
        <w:ind w:left="0" w:firstLine="686"/>
        <w:jc w:val="both"/>
        <w:rPr>
          <w:b/>
          <w:bCs/>
          <w:lang w:val="en-US"/>
        </w:rPr>
      </w:pPr>
      <w:r w:rsidRPr="0012254A">
        <w:rPr>
          <w:b/>
          <w:bCs/>
        </w:rPr>
        <w:lastRenderedPageBreak/>
        <w:t>Програма ФАР и Преходен финансов инструмент</w:t>
      </w:r>
    </w:p>
    <w:p w:rsidR="005A7FA3" w:rsidRPr="0012254A" w:rsidRDefault="005A7FA3" w:rsidP="005A7FA3">
      <w:pPr>
        <w:pStyle w:val="BodyTextIndent"/>
        <w:ind w:left="0" w:firstLine="686"/>
        <w:jc w:val="both"/>
        <w:rPr>
          <w:bCs/>
        </w:rPr>
      </w:pPr>
      <w:r w:rsidRPr="0012254A">
        <w:rPr>
          <w:bCs/>
        </w:rPr>
        <w:t>През отчетния период са възстановени суми от бенефициенти по сметките на Национален фонд на стойност 0</w:t>
      </w:r>
      <w:r>
        <w:rPr>
          <w:bCs/>
        </w:rPr>
        <w:t>,</w:t>
      </w:r>
      <w:r w:rsidRPr="0012254A">
        <w:rPr>
          <w:bCs/>
        </w:rPr>
        <w:t>02 млн. л</w:t>
      </w:r>
      <w:r>
        <w:rPr>
          <w:bCs/>
        </w:rPr>
        <w:t>е</w:t>
      </w:r>
      <w:r w:rsidRPr="0012254A">
        <w:rPr>
          <w:bCs/>
        </w:rPr>
        <w:t>в</w:t>
      </w:r>
      <w:r>
        <w:rPr>
          <w:bCs/>
        </w:rPr>
        <w:t>а</w:t>
      </w:r>
      <w:r w:rsidRPr="0012254A">
        <w:rPr>
          <w:bCs/>
        </w:rPr>
        <w:t>.</w:t>
      </w:r>
    </w:p>
    <w:p w:rsidR="005A7FA3" w:rsidRPr="005D4A1A" w:rsidRDefault="005A7FA3" w:rsidP="005A7FA3">
      <w:pPr>
        <w:pStyle w:val="BodyTextIndent"/>
        <w:spacing w:before="120"/>
        <w:ind w:left="0" w:firstLine="686"/>
        <w:jc w:val="both"/>
        <w:rPr>
          <w:b/>
          <w:bCs/>
        </w:rPr>
      </w:pPr>
      <w:r w:rsidRPr="005D4A1A">
        <w:rPr>
          <w:b/>
          <w:bCs/>
        </w:rPr>
        <w:t xml:space="preserve">Програма САПАРД </w:t>
      </w:r>
    </w:p>
    <w:p w:rsidR="005A7FA3" w:rsidRPr="005D4A1A" w:rsidRDefault="005A7FA3" w:rsidP="005A7FA3">
      <w:pPr>
        <w:pStyle w:val="BodyTextIndent"/>
        <w:ind w:left="0" w:firstLine="686"/>
        <w:jc w:val="both"/>
        <w:rPr>
          <w:bCs/>
        </w:rPr>
      </w:pPr>
      <w:r w:rsidRPr="005D4A1A">
        <w:rPr>
          <w:bCs/>
        </w:rPr>
        <w:t>През периода са извършени възстановявания от бенефициенти по дългове на стойност 0</w:t>
      </w:r>
      <w:r>
        <w:rPr>
          <w:bCs/>
        </w:rPr>
        <w:t>,</w:t>
      </w:r>
      <w:r w:rsidRPr="005D4A1A">
        <w:rPr>
          <w:bCs/>
        </w:rPr>
        <w:t>1 млн. л</w:t>
      </w:r>
      <w:r>
        <w:rPr>
          <w:bCs/>
        </w:rPr>
        <w:t>е</w:t>
      </w:r>
      <w:r w:rsidRPr="005D4A1A">
        <w:rPr>
          <w:bCs/>
        </w:rPr>
        <w:t>в</w:t>
      </w:r>
      <w:r>
        <w:rPr>
          <w:bCs/>
        </w:rPr>
        <w:t>а</w:t>
      </w:r>
      <w:r w:rsidRPr="005D4A1A">
        <w:rPr>
          <w:bCs/>
        </w:rPr>
        <w:t>.</w:t>
      </w:r>
    </w:p>
    <w:p w:rsidR="005A7FA3" w:rsidRPr="00FE763C" w:rsidRDefault="005A7FA3" w:rsidP="005A7FA3">
      <w:pPr>
        <w:pStyle w:val="BodyTextIndent"/>
        <w:spacing w:before="120"/>
        <w:ind w:left="0" w:firstLine="686"/>
        <w:jc w:val="both"/>
        <w:rPr>
          <w:b/>
          <w:bCs/>
        </w:rPr>
      </w:pPr>
      <w:r w:rsidRPr="00FE1145">
        <w:rPr>
          <w:bCs/>
          <w:color w:val="365F91" w:themeColor="accent1" w:themeShade="BF"/>
        </w:rPr>
        <w:tab/>
      </w:r>
      <w:r w:rsidRPr="00FE763C">
        <w:rPr>
          <w:b/>
          <w:bCs/>
        </w:rPr>
        <w:t>Двустранни програми за трансгранично сътрудничество по външните граници на Европейския съюз 2014 – 2020 г.</w:t>
      </w:r>
    </w:p>
    <w:p w:rsidR="005A7FA3" w:rsidRPr="00FE763C" w:rsidRDefault="005A7FA3" w:rsidP="005A7FA3">
      <w:pPr>
        <w:pStyle w:val="BodyTextIndent"/>
        <w:ind w:left="0" w:firstLine="686"/>
        <w:jc w:val="both"/>
        <w:rPr>
          <w:bCs/>
        </w:rPr>
      </w:pPr>
      <w:r w:rsidRPr="00FE763C">
        <w:rPr>
          <w:bCs/>
        </w:rPr>
        <w:t>Получените средства към 30.09.2020 г. са на стойност 12</w:t>
      </w:r>
      <w:r>
        <w:rPr>
          <w:bCs/>
        </w:rPr>
        <w:t>,</w:t>
      </w:r>
      <w:r w:rsidRPr="00FE763C">
        <w:rPr>
          <w:bCs/>
        </w:rPr>
        <w:t>9 млн. лв., представляващи възстановени разходи от ЕК и постъпили средства за съфинансиране от страните-партньори, както разпределени към администратори в чужбина за сметка на средствата, получени от страната-партньор.</w:t>
      </w:r>
    </w:p>
    <w:p w:rsidR="005A7FA3" w:rsidRPr="00C33492" w:rsidRDefault="005A7FA3" w:rsidP="005A7FA3">
      <w:pPr>
        <w:pStyle w:val="BodyTextIndent"/>
        <w:ind w:left="0" w:firstLine="686"/>
        <w:jc w:val="both"/>
        <w:rPr>
          <w:b/>
          <w:bCs/>
        </w:rPr>
      </w:pPr>
      <w:r w:rsidRPr="00C33492">
        <w:rPr>
          <w:bCs/>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14</w:t>
      </w:r>
      <w:r>
        <w:rPr>
          <w:bCs/>
        </w:rPr>
        <w:t>,</w:t>
      </w:r>
      <w:r w:rsidRPr="00C33492">
        <w:rPr>
          <w:bCs/>
          <w:lang w:val="ru-RU"/>
        </w:rPr>
        <w:t>6</w:t>
      </w:r>
      <w:r w:rsidRPr="00C33492">
        <w:rPr>
          <w:bCs/>
        </w:rPr>
        <w:t xml:space="preserve"> млн. лв., включително за плащания към бенефициенти в страната, извършени за сметка на полученото финансиране от страната-партньор по тези програми. </w:t>
      </w:r>
    </w:p>
    <w:p w:rsidR="005A7FA3" w:rsidRPr="00B415B1" w:rsidRDefault="005A7FA3" w:rsidP="005A7FA3">
      <w:pPr>
        <w:pStyle w:val="BodyTextIndent"/>
        <w:spacing w:before="120"/>
        <w:ind w:left="0"/>
        <w:jc w:val="both"/>
        <w:rPr>
          <w:b/>
          <w:bCs/>
        </w:rPr>
      </w:pPr>
      <w:r w:rsidRPr="00B415B1">
        <w:rPr>
          <w:b/>
          <w:bCs/>
        </w:rPr>
        <w:t>Финансов механизъм на Европейското икономическо пространство и Норвежки финансов механизъм за периода 2009-2014 г. и 2014-2021 г.</w:t>
      </w:r>
    </w:p>
    <w:p w:rsidR="005A7FA3" w:rsidRPr="00B415B1" w:rsidRDefault="005A7FA3" w:rsidP="005A7FA3">
      <w:pPr>
        <w:pStyle w:val="BodyTextIndent"/>
        <w:ind w:left="0" w:firstLine="708"/>
        <w:jc w:val="both"/>
        <w:rPr>
          <w:bCs/>
        </w:rPr>
      </w:pPr>
      <w:r w:rsidRPr="00B415B1">
        <w:rPr>
          <w:bCs/>
        </w:rPr>
        <w:t>Възстановените към Офиса от НФ средства общо по ЕИП и НФМ за периода са на стойност 0</w:t>
      </w:r>
      <w:r>
        <w:rPr>
          <w:bCs/>
        </w:rPr>
        <w:t>,</w:t>
      </w:r>
      <w:proofErr w:type="spellStart"/>
      <w:r w:rsidRPr="00B415B1">
        <w:rPr>
          <w:bCs/>
        </w:rPr>
        <w:t>0</w:t>
      </w:r>
      <w:proofErr w:type="spellEnd"/>
      <w:r w:rsidRPr="00B415B1">
        <w:rPr>
          <w:bCs/>
          <w:lang w:val="en-US"/>
        </w:rPr>
        <w:t>0</w:t>
      </w:r>
      <w:r w:rsidRPr="00B415B1">
        <w:rPr>
          <w:bCs/>
        </w:rPr>
        <w:t>8 млн. лева, а получените са в размер на 13</w:t>
      </w:r>
      <w:r>
        <w:rPr>
          <w:bCs/>
        </w:rPr>
        <w:t>,</w:t>
      </w:r>
      <w:r w:rsidRPr="00B415B1">
        <w:rPr>
          <w:bCs/>
          <w:lang w:val="en-US"/>
        </w:rPr>
        <w:t>9</w:t>
      </w:r>
      <w:r w:rsidRPr="00B415B1">
        <w:rPr>
          <w:bCs/>
        </w:rPr>
        <w:t xml:space="preserve"> млн. лева.</w:t>
      </w:r>
    </w:p>
    <w:p w:rsidR="005A7FA3" w:rsidRPr="001A5617" w:rsidRDefault="005A7FA3" w:rsidP="005A7FA3">
      <w:pPr>
        <w:pStyle w:val="BodyTextIndent"/>
        <w:ind w:left="0" w:firstLine="686"/>
        <w:jc w:val="both"/>
        <w:rPr>
          <w:bCs/>
        </w:rPr>
      </w:pPr>
      <w:r w:rsidRPr="00B415B1">
        <w:rPr>
          <w:bCs/>
        </w:rPr>
        <w:t>Сумата на разходите и трансферите (нето) към 30.09.2020 г. с натрупване са на обща стойност 16</w:t>
      </w:r>
      <w:r>
        <w:rPr>
          <w:bCs/>
        </w:rPr>
        <w:t>,0</w:t>
      </w:r>
      <w:r w:rsidRPr="001A5617">
        <w:rPr>
          <w:bCs/>
        </w:rPr>
        <w:t xml:space="preserve"> млн. лева.</w:t>
      </w:r>
    </w:p>
    <w:p w:rsidR="005A7FA3" w:rsidRPr="001A5617" w:rsidRDefault="005A7FA3" w:rsidP="005A7FA3">
      <w:pPr>
        <w:pStyle w:val="BodyTextIndent"/>
        <w:spacing w:before="120"/>
        <w:ind w:left="0" w:firstLine="686"/>
        <w:jc w:val="both"/>
        <w:rPr>
          <w:b/>
          <w:bCs/>
        </w:rPr>
      </w:pPr>
      <w:r w:rsidRPr="001A5617">
        <w:rPr>
          <w:b/>
          <w:bCs/>
        </w:rPr>
        <w:t>Българо-швейцарска програма за сътрудничество за намаляване на икономическите и социални неравенства в рамките на разширения Европейски съюз</w:t>
      </w:r>
    </w:p>
    <w:p w:rsidR="005A7FA3" w:rsidRPr="001A5617" w:rsidRDefault="005A7FA3" w:rsidP="005A7FA3">
      <w:pPr>
        <w:pStyle w:val="BodyTextIndent"/>
        <w:ind w:left="0" w:firstLine="686"/>
        <w:jc w:val="both"/>
        <w:rPr>
          <w:bCs/>
        </w:rPr>
      </w:pPr>
      <w:r w:rsidRPr="001A5617">
        <w:rPr>
          <w:bCs/>
        </w:rPr>
        <w:t>Получените средства по програмата за периода са в размер на 30</w:t>
      </w:r>
      <w:r>
        <w:rPr>
          <w:bCs/>
        </w:rPr>
        <w:t>,</w:t>
      </w:r>
      <w:r w:rsidRPr="001A5617">
        <w:rPr>
          <w:bCs/>
        </w:rPr>
        <w:t>3 млн. лева.</w:t>
      </w:r>
    </w:p>
    <w:p w:rsidR="005A7FA3" w:rsidRPr="001A5617" w:rsidRDefault="005A7FA3" w:rsidP="005A7FA3">
      <w:pPr>
        <w:pStyle w:val="BodyTextIndent"/>
        <w:ind w:left="0" w:firstLine="686"/>
        <w:jc w:val="both"/>
        <w:rPr>
          <w:bCs/>
        </w:rPr>
      </w:pPr>
      <w:r w:rsidRPr="001A5617">
        <w:rPr>
          <w:bCs/>
        </w:rPr>
        <w:t>Извършените изходящи трансфери към бенефициенти-бюджетни организации от началото на годината са в размер на 32</w:t>
      </w:r>
      <w:r>
        <w:rPr>
          <w:bCs/>
        </w:rPr>
        <w:t>,</w:t>
      </w:r>
      <w:r w:rsidRPr="001A5617">
        <w:rPr>
          <w:bCs/>
        </w:rPr>
        <w:t>9 млн. лева.</w:t>
      </w:r>
    </w:p>
    <w:p w:rsidR="00251963" w:rsidRPr="006C7B81" w:rsidRDefault="00251963" w:rsidP="00F0069C">
      <w:pPr>
        <w:pStyle w:val="Heading1"/>
        <w:numPr>
          <w:ilvl w:val="0"/>
          <w:numId w:val="10"/>
        </w:numPr>
        <w:spacing w:before="480"/>
        <w:ind w:left="533" w:right="-108" w:hanging="391"/>
        <w:jc w:val="both"/>
        <w:rPr>
          <w:sz w:val="24"/>
        </w:rPr>
      </w:pPr>
      <w:r w:rsidRPr="006C7B81">
        <w:rPr>
          <w:sz w:val="24"/>
        </w:rPr>
        <w:t>Бюджети на социално и здравно-осигурителните фондове и бюджети по чл. 13, ал. 2 и ал. 3 на Закона за публичните финанси</w:t>
      </w:r>
    </w:p>
    <w:p w:rsidR="00251963" w:rsidRPr="006C7B81" w:rsidRDefault="00251963" w:rsidP="00394407">
      <w:pPr>
        <w:pStyle w:val="Heading1"/>
        <w:numPr>
          <w:ilvl w:val="1"/>
          <w:numId w:val="10"/>
        </w:numPr>
        <w:spacing w:before="240"/>
        <w:ind w:left="788" w:right="-108" w:hanging="431"/>
        <w:jc w:val="both"/>
        <w:rPr>
          <w:sz w:val="24"/>
          <w:lang w:val="en-US"/>
        </w:rPr>
      </w:pPr>
      <w:r w:rsidRPr="006C7B81">
        <w:rPr>
          <w:sz w:val="24"/>
        </w:rPr>
        <w:t>Социално и здравно-осигурителни фондове</w:t>
      </w:r>
    </w:p>
    <w:p w:rsidR="00251963" w:rsidRPr="006C7B81" w:rsidRDefault="00251963" w:rsidP="00394407">
      <w:pPr>
        <w:numPr>
          <w:ilvl w:val="1"/>
          <w:numId w:val="6"/>
        </w:numPr>
        <w:spacing w:before="240" w:line="276" w:lineRule="auto"/>
        <w:ind w:left="992" w:hanging="357"/>
        <w:jc w:val="both"/>
        <w:rPr>
          <w:b/>
          <w:bCs/>
        </w:rPr>
      </w:pPr>
      <w:r w:rsidRPr="006C7B81">
        <w:rPr>
          <w:b/>
        </w:rPr>
        <w:t>Държавно обществено осигуряване</w:t>
      </w:r>
    </w:p>
    <w:p w:rsidR="00925EDD" w:rsidRDefault="00925EDD" w:rsidP="00925EDD">
      <w:pPr>
        <w:ind w:firstLine="567"/>
        <w:jc w:val="both"/>
      </w:pPr>
      <w:r>
        <w:t xml:space="preserve">Със Закон за изменение на ЗБДОО за 2020 г., обн. В ДВ, бр. 84 от 29.09.2020 г., се направиха промени, свързани с размера и срока на получаване на паричните обезщетения за безработица, които влязоха в сила от 1 октомври 2020 г. Те са част от пакета социално-икономически мерки на правителството във връзка с възникналата ситуация поради разпространението на COVID-19, чрез които се цели осигуряване на подкрепа на безработните лица в условията на пандемия. С § 1 от закона се изменени чл. 11 от ЗБДОО за 2020 г., с  което минималният дневен размер на паричното обезщетение за безработица се повиши от 9,00 лв. на 12,00 лв. от 1 октомври 2020 г., а с преходната разпоредба на § 2 срокът за получаване на парично обезщетение за безработица по чл. 54б, ал. 4 от Кодекса за социално осигуряване (когато лицето е придобило право на обезщетение в период, по-малък от 3 години от предходното ползване) се повиши от 4 на 7 месеца. </w:t>
      </w:r>
    </w:p>
    <w:p w:rsidR="00925EDD" w:rsidRDefault="00925EDD" w:rsidP="00925EDD">
      <w:pPr>
        <w:ind w:firstLine="567"/>
        <w:jc w:val="both"/>
      </w:pPr>
      <w:r>
        <w:t xml:space="preserve">Общият допълнителен разход за двете мерки възлиза на </w:t>
      </w:r>
      <w:r w:rsidR="003F2C83">
        <w:t xml:space="preserve">14,0 млн. лв. </w:t>
      </w:r>
      <w:r>
        <w:t xml:space="preserve">за 2020 г., но увеличените </w:t>
      </w:r>
      <w:r>
        <w:rPr>
          <w:lang w:val="en-US"/>
        </w:rPr>
        <w:t xml:space="preserve">с </w:t>
      </w:r>
      <w:proofErr w:type="spellStart"/>
      <w:r>
        <w:rPr>
          <w:lang w:val="en-US"/>
        </w:rPr>
        <w:t>актуализацията</w:t>
      </w:r>
      <w:proofErr w:type="spellEnd"/>
      <w:r>
        <w:rPr>
          <w:lang w:val="en-US"/>
        </w:rPr>
        <w:t xml:space="preserve"> </w:t>
      </w:r>
      <w:r>
        <w:t xml:space="preserve"> от м. април 2020 г. разходи на фонд „Безработица“ с 1,0 млрд. лв. и оценките за очакваното изпълнение на консолидирания бюджет на държавното </w:t>
      </w:r>
      <w:r>
        <w:lastRenderedPageBreak/>
        <w:t>обществено осигуряване показаха, че в края на годината ще са налице достатъчно средства по бюджета на фонда за обезпечаване на повишените му разходи.</w:t>
      </w:r>
    </w:p>
    <w:p w:rsidR="00925EDD" w:rsidRDefault="00925EDD" w:rsidP="00925EDD">
      <w:pPr>
        <w:ind w:firstLine="567"/>
        <w:jc w:val="both"/>
        <w:rPr>
          <w:color w:val="4F81BD" w:themeColor="accent1"/>
        </w:rPr>
      </w:pPr>
      <w:r>
        <w:t xml:space="preserve">Общата сума на </w:t>
      </w:r>
      <w:r>
        <w:rPr>
          <w:b/>
        </w:rPr>
        <w:t>приходите, помощите и даренията</w:t>
      </w:r>
      <w:r>
        <w:t xml:space="preserve"> по бюджета на Държавното обществено осигуряване (ДОО) към 30.09.2020 г. възлиза на 5 904,2 млн. лв.</w:t>
      </w:r>
      <w:r>
        <w:rPr>
          <w:bCs/>
        </w:rPr>
        <w:t>, което представлява 76,5 % от заложените в актуализирания бюджет на ДОО за 20</w:t>
      </w:r>
      <w:r>
        <w:rPr>
          <w:bCs/>
          <w:lang w:val="en-US"/>
        </w:rPr>
        <w:t>20</w:t>
      </w:r>
      <w:r>
        <w:rPr>
          <w:bCs/>
        </w:rPr>
        <w:t xml:space="preserve"> г. 7 </w:t>
      </w:r>
      <w:r>
        <w:rPr>
          <w:bCs/>
          <w:lang w:val="en-US"/>
        </w:rPr>
        <w:t>713</w:t>
      </w:r>
      <w:r>
        <w:rPr>
          <w:bCs/>
        </w:rPr>
        <w:t>,2 млн.</w:t>
      </w:r>
      <w:r w:rsidR="00CF4ADE">
        <w:rPr>
          <w:bCs/>
          <w:lang w:val="en-US"/>
        </w:rPr>
        <w:t> </w:t>
      </w:r>
      <w:r>
        <w:rPr>
          <w:bCs/>
        </w:rPr>
        <w:t>лв.</w:t>
      </w:r>
      <w:r>
        <w:t xml:space="preserve"> </w:t>
      </w:r>
      <w:r>
        <w:rPr>
          <w:bCs/>
        </w:rPr>
        <w:t xml:space="preserve">Най-голям е делът на приходите от осигурителни вноски, които за отчетния период са в размер на 5 758,4 млн. лв. и представляват 97,5 % от общите приходи. </w:t>
      </w:r>
    </w:p>
    <w:p w:rsidR="00925EDD" w:rsidRDefault="00925EDD" w:rsidP="00925EDD">
      <w:pPr>
        <w:ind w:firstLine="709"/>
        <w:jc w:val="both"/>
        <w:rPr>
          <w:rFonts w:eastAsia="Calibri"/>
          <w:color w:val="4F81BD" w:themeColor="accent1"/>
        </w:rPr>
      </w:pPr>
      <w:r>
        <w:t xml:space="preserve">Съпоставени с първите девет месеца на 2019 г., приходите по бюджета на ДОО нарастват с 203,4 млн. лв. (3,6 %). </w:t>
      </w:r>
      <w:r>
        <w:rPr>
          <w:bCs/>
        </w:rPr>
        <w:t>Върху състоянието на приходите през 20</w:t>
      </w:r>
      <w:r>
        <w:rPr>
          <w:bCs/>
          <w:lang w:val="en-US"/>
        </w:rPr>
        <w:t>20</w:t>
      </w:r>
      <w:r>
        <w:rPr>
          <w:bCs/>
        </w:rPr>
        <w:t xml:space="preserve"> г. влияние оказват следните административни мерки: з</w:t>
      </w:r>
      <w:r>
        <w:t>апазване равнищата на минималните осигурителни доходи по основните икономически дейности и квалификационни групи професии от 201</w:t>
      </w:r>
      <w:r>
        <w:rPr>
          <w:lang w:val="en-US"/>
        </w:rPr>
        <w:t>9</w:t>
      </w:r>
      <w:r>
        <w:t xml:space="preserve"> г., с изключение на позициите, които са под новия размер на минималната работна заплата за 20</w:t>
      </w:r>
      <w:r>
        <w:rPr>
          <w:lang w:val="en-US"/>
        </w:rPr>
        <w:t>20</w:t>
      </w:r>
      <w:r>
        <w:t> г. (</w:t>
      </w:r>
      <w:r>
        <w:rPr>
          <w:lang w:val="en-US"/>
        </w:rPr>
        <w:t>610</w:t>
      </w:r>
      <w:r>
        <w:t xml:space="preserve"> лв.) и съответно те бяха приравнени на нея, с което се постигна средно нарастване на минималните осигурителни доходи през 20</w:t>
      </w:r>
      <w:r>
        <w:rPr>
          <w:lang w:val="en-US"/>
        </w:rPr>
        <w:t xml:space="preserve">20 </w:t>
      </w:r>
      <w:r>
        <w:t xml:space="preserve">г. с около </w:t>
      </w:r>
      <w:r>
        <w:rPr>
          <w:lang w:val="en-US"/>
        </w:rPr>
        <w:t>5</w:t>
      </w:r>
      <w:r>
        <w:t>,</w:t>
      </w:r>
      <w:r>
        <w:rPr>
          <w:lang w:val="en-US"/>
        </w:rPr>
        <w:t>5</w:t>
      </w:r>
      <w:r>
        <w:t xml:space="preserve"> на сто спрямо 201</w:t>
      </w:r>
      <w:r>
        <w:rPr>
          <w:lang w:val="en-US"/>
        </w:rPr>
        <w:t>9</w:t>
      </w:r>
      <w:r>
        <w:t xml:space="preserve"> година; увеличението  от 1.</w:t>
      </w:r>
      <w:proofErr w:type="spellStart"/>
      <w:r>
        <w:t>1</w:t>
      </w:r>
      <w:proofErr w:type="spellEnd"/>
      <w:r>
        <w:t xml:space="preserve">.2020 г. с 10 % на разходите за персонал в бюджетната сфера; увеличението от 1.8.2020 г. с 30 % на заплатите на служители, ангажирани в борбата с пандемията и администрации с ниски възнаграждения и поредната стъпка от увеличението на възнагражденията в сектор „Образование“. </w:t>
      </w:r>
    </w:p>
    <w:p w:rsidR="00925EDD" w:rsidRDefault="00925EDD" w:rsidP="00925EDD">
      <w:pPr>
        <w:ind w:firstLine="567"/>
        <w:jc w:val="both"/>
        <w:rPr>
          <w:bCs/>
        </w:rPr>
      </w:pPr>
      <w:r>
        <w:rPr>
          <w:bCs/>
        </w:rPr>
        <w:t xml:space="preserve">Отчетените неданъчни приходи към края на септември 2020 г. по бюджета на ДОО възлизат на 145,9 млн. лв., в т.ч. 128,0 млн. лв. постъпили средства по чл. 4б, чл. 4в и чл. 69б от Кодекса за социално осигуряване </w:t>
      </w:r>
      <w:r>
        <w:rPr>
          <w:bCs/>
          <w:lang w:val="en-US"/>
        </w:rPr>
        <w:t>(</w:t>
      </w:r>
      <w:r>
        <w:rPr>
          <w:bCs/>
        </w:rPr>
        <w:t>КСО</w:t>
      </w:r>
      <w:r>
        <w:t xml:space="preserve">) </w:t>
      </w:r>
      <w:r>
        <w:rPr>
          <w:bCs/>
        </w:rPr>
        <w:t>(п</w:t>
      </w:r>
      <w:r>
        <w:t xml:space="preserve">рехвърлени </w:t>
      </w:r>
      <w:r>
        <w:rPr>
          <w:lang w:val="en-US"/>
        </w:rPr>
        <w:t>(</w:t>
      </w:r>
      <w:r>
        <w:t>възстановени</w:t>
      </w:r>
      <w:r>
        <w:rPr>
          <w:lang w:val="en-US"/>
        </w:rPr>
        <w:t>)</w:t>
      </w:r>
      <w:r>
        <w:t xml:space="preserve"> акумулирани средства от осигурителни вноски).</w:t>
      </w:r>
      <w:r>
        <w:rPr>
          <w:bCs/>
        </w:rPr>
        <w:t xml:space="preserve"> </w:t>
      </w:r>
    </w:p>
    <w:p w:rsidR="00925EDD" w:rsidRDefault="00925EDD" w:rsidP="00925EDD">
      <w:pPr>
        <w:tabs>
          <w:tab w:val="num" w:pos="1499"/>
          <w:tab w:val="num" w:pos="2148"/>
        </w:tabs>
        <w:ind w:firstLine="567"/>
        <w:jc w:val="both"/>
      </w:pPr>
      <w:r>
        <w:rPr>
          <w:bCs/>
        </w:rPr>
        <w:t xml:space="preserve">Размерът на извършените </w:t>
      </w:r>
      <w:r>
        <w:rPr>
          <w:b/>
          <w:bCs/>
        </w:rPr>
        <w:t xml:space="preserve">разходи </w:t>
      </w:r>
      <w:r>
        <w:rPr>
          <w:bCs/>
        </w:rPr>
        <w:t>за първите девет месеца на 2020 г. по бюджета на ДОО е 9 915,7 млн. лв., което представлява 73,7 % от предвидените средства по актуализирания бюджет за 20</w:t>
      </w:r>
      <w:r>
        <w:rPr>
          <w:bCs/>
          <w:lang w:val="en-US"/>
        </w:rPr>
        <w:t>20</w:t>
      </w:r>
      <w:r>
        <w:rPr>
          <w:bCs/>
        </w:rPr>
        <w:t xml:space="preserve"> г. Спрямо същия период на миналата година, общо разходите по бюджета на ДОО са с 1 343,0 млн. лв. (15,7 %) повече. От структурна гледна точка с най-голям относителен дял в общите разходи са разходите за пенсии, обезщетения и помощи, изплащани на основание Кодекса за социално осигуряване – общо 9 501,5 млн. лв. или 95,8 % от общия размер на разходите за отчетния период. Отчетените разходи за </w:t>
      </w:r>
      <w:r>
        <w:rPr>
          <w:b/>
          <w:bCs/>
        </w:rPr>
        <w:t>пенсии</w:t>
      </w:r>
      <w:r>
        <w:rPr>
          <w:bCs/>
        </w:rPr>
        <w:t xml:space="preserve"> по бюджета на ДОО към 30.09.2020 г. възлизат на 8 076,8 млн. лв., което е със 799,6 млн. лв. повече спрямо първите девет месеца на 2019 г. </w:t>
      </w:r>
      <w:r>
        <w:t xml:space="preserve">Отчетените разходи за </w:t>
      </w:r>
      <w:r>
        <w:rPr>
          <w:b/>
        </w:rPr>
        <w:t>краткосрочни обезщетения и помощи по КСО</w:t>
      </w:r>
      <w:r>
        <w:t xml:space="preserve"> са в размер на 1 424,7 млн. лева. Спрямо същия период на миналата година изплатените обезщетения по КСО са с 217,1 млн. лв. (18,0 %) повече.</w:t>
      </w:r>
    </w:p>
    <w:p w:rsidR="00925EDD" w:rsidRDefault="00925EDD" w:rsidP="00925EDD">
      <w:pPr>
        <w:tabs>
          <w:tab w:val="num" w:pos="1499"/>
          <w:tab w:val="num" w:pos="2148"/>
        </w:tabs>
        <w:ind w:firstLine="567"/>
        <w:jc w:val="both"/>
        <w:rPr>
          <w:color w:val="4F81BD" w:themeColor="accent1"/>
        </w:rPr>
      </w:pPr>
      <w:r>
        <w:t xml:space="preserve">В изпълнение на ангажиментите си по ПМС № 55 от 30 март 2020 г. и ПМС № 151 от 3 юли 2020 г., с които се регламентира действието на мярката „60/40“, НОИ е изплатил средства за запазване на заетостта в общ размер на </w:t>
      </w:r>
      <w:r>
        <w:rPr>
          <w:b/>
        </w:rPr>
        <w:t xml:space="preserve">320,6 млн. лева. </w:t>
      </w:r>
      <w:r>
        <w:t>Разходите са за сметка на бюджета на фонд „Безработица“ на ДОО.</w:t>
      </w:r>
    </w:p>
    <w:p w:rsidR="00925EDD" w:rsidRDefault="00925EDD" w:rsidP="00C4077C">
      <w:pPr>
        <w:numPr>
          <w:ilvl w:val="1"/>
          <w:numId w:val="28"/>
        </w:numPr>
        <w:tabs>
          <w:tab w:val="num" w:pos="709"/>
          <w:tab w:val="left" w:pos="851"/>
          <w:tab w:val="left" w:pos="1134"/>
        </w:tabs>
        <w:spacing w:before="240" w:line="276" w:lineRule="auto"/>
        <w:ind w:left="709" w:hanging="357"/>
        <w:jc w:val="both"/>
        <w:rPr>
          <w:b/>
          <w:bCs/>
        </w:rPr>
      </w:pPr>
      <w:r>
        <w:rPr>
          <w:b/>
          <w:bCs/>
        </w:rPr>
        <w:t>Национална здравноосигурителна каса</w:t>
      </w:r>
    </w:p>
    <w:p w:rsidR="00925EDD" w:rsidRDefault="00925EDD" w:rsidP="00925EDD">
      <w:pPr>
        <w:ind w:firstLine="567"/>
        <w:jc w:val="both"/>
      </w:pPr>
      <w:r>
        <w:t xml:space="preserve">Общият размер на събраните </w:t>
      </w:r>
      <w:r>
        <w:rPr>
          <w:b/>
        </w:rPr>
        <w:t>приходи</w:t>
      </w:r>
      <w:r>
        <w:t xml:space="preserve"> по бюджета на НЗОК за първите девет месеца на 2020 г. възлиза на 2 243,2 млн. лв., което представлява 71,7 % от предвидените със Закона за бюджета на НЗОК (ЗБНЗОК) за 2020 г. – 3 127,7 млн. лева. Постъпленията от здравноосигурителни вноски са в размер на 2 229,8 млн. лв., което е 71,8 % изпълнение на утвърдените със ЗБНЗОК за 2020 г. средства в размер на 3 107,1 млн. лева. Събраните неданъчни приходи за деветмесечието на 2020 г. са 13,4 млн. лв. или 65,2 % от заложените в ЗБНЗОК за 2020 г., като основната част от тях са приходи от глоби, санкции и наказателни лихви. </w:t>
      </w:r>
    </w:p>
    <w:p w:rsidR="00925EDD" w:rsidRDefault="00925EDD" w:rsidP="00925EDD">
      <w:pPr>
        <w:ind w:firstLine="567"/>
        <w:jc w:val="both"/>
        <w:rPr>
          <w:color w:val="4F81BD" w:themeColor="accent1"/>
        </w:rPr>
      </w:pPr>
      <w:r>
        <w:t>Полученият трансфер от МЗ за</w:t>
      </w:r>
      <w:r>
        <w:rPr>
          <w:szCs w:val="20"/>
        </w:rPr>
        <w:t xml:space="preserve">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здравнонеосигурени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за сумите по чл. 37, ал. 6 от Закона за здравното осигуряване (ЗЗО) и за медицински изделия, помощни средства, приспособления и </w:t>
      </w:r>
      <w:r>
        <w:rPr>
          <w:szCs w:val="20"/>
        </w:rPr>
        <w:lastRenderedPageBreak/>
        <w:t>съоръжения за хората с увреждания извън обхвата на задължителното здравно осигуряване за отчетния период</w:t>
      </w:r>
      <w:r>
        <w:rPr>
          <w:szCs w:val="20"/>
          <w:lang w:val="en-US"/>
        </w:rPr>
        <w:t xml:space="preserve"> e</w:t>
      </w:r>
      <w:r>
        <w:rPr>
          <w:szCs w:val="20"/>
        </w:rPr>
        <w:t xml:space="preserve"> в размер на 54,2</w:t>
      </w:r>
      <w:r>
        <w:t xml:space="preserve"> млн. лева. </w:t>
      </w:r>
    </w:p>
    <w:p w:rsidR="00925EDD" w:rsidRDefault="00925EDD" w:rsidP="00925EDD">
      <w:pPr>
        <w:ind w:firstLine="567"/>
        <w:jc w:val="both"/>
      </w:pPr>
      <w:r>
        <w:t>Трансферите за здравно осигуряване от централния бюджет за периода са 1 150,5 млн. лв.</w:t>
      </w:r>
    </w:p>
    <w:p w:rsidR="00925EDD" w:rsidRDefault="00925EDD" w:rsidP="00925EDD">
      <w:pPr>
        <w:ind w:firstLine="567"/>
        <w:jc w:val="both"/>
      </w:pPr>
      <w:r>
        <w:t xml:space="preserve">Отчетените </w:t>
      </w:r>
      <w:r>
        <w:rPr>
          <w:b/>
        </w:rPr>
        <w:t>разходи</w:t>
      </w:r>
      <w:r>
        <w:t xml:space="preserve"> към 30.0</w:t>
      </w:r>
      <w:r>
        <w:rPr>
          <w:lang w:val="en-US"/>
        </w:rPr>
        <w:t>9</w:t>
      </w:r>
      <w:r>
        <w:t xml:space="preserve">.2020 г. са в размер на </w:t>
      </w:r>
      <w:r>
        <w:rPr>
          <w:lang w:val="en-US"/>
        </w:rPr>
        <w:t>3</w:t>
      </w:r>
      <w:r>
        <w:t> </w:t>
      </w:r>
      <w:r>
        <w:rPr>
          <w:lang w:val="en-US"/>
        </w:rPr>
        <w:t>202</w:t>
      </w:r>
      <w:r>
        <w:t>,</w:t>
      </w:r>
      <w:r>
        <w:rPr>
          <w:lang w:val="en-US"/>
        </w:rPr>
        <w:t>6</w:t>
      </w:r>
      <w:r>
        <w:t xml:space="preserve"> млн. лв. и представляват </w:t>
      </w:r>
      <w:r>
        <w:rPr>
          <w:lang w:val="en-US"/>
        </w:rPr>
        <w:t>67</w:t>
      </w:r>
      <w:r>
        <w:t>,</w:t>
      </w:r>
      <w:r>
        <w:rPr>
          <w:lang w:val="en-US"/>
        </w:rPr>
        <w:t>6</w:t>
      </w:r>
      <w:r>
        <w:t xml:space="preserve"> % от предвидените в ЗБНЗОК за 2020 г. 4 739,2 млн. лева. Най-голям относителен дял (97,1 %) заемат здравноосигурителните плащания, които възлизат на </w:t>
      </w:r>
      <w:r>
        <w:rPr>
          <w:lang w:val="en-US"/>
        </w:rPr>
        <w:t>3 108</w:t>
      </w:r>
      <w:r>
        <w:t>,</w:t>
      </w:r>
      <w:r>
        <w:rPr>
          <w:lang w:val="en-US"/>
        </w:rPr>
        <w:t>2</w:t>
      </w:r>
      <w:r>
        <w:t xml:space="preserve"> млн. лева. В отделните направления на здравноосигурителни плащания изпълнението на бюджета за деветмесечието на 2020 г. е следното:</w:t>
      </w:r>
    </w:p>
    <w:p w:rsidR="00925EDD" w:rsidRDefault="00925EDD" w:rsidP="00C4077C">
      <w:pPr>
        <w:numPr>
          <w:ilvl w:val="0"/>
          <w:numId w:val="29"/>
        </w:numPr>
        <w:tabs>
          <w:tab w:val="num" w:pos="0"/>
          <w:tab w:val="left" w:pos="720"/>
          <w:tab w:val="left" w:pos="1134"/>
        </w:tabs>
        <w:spacing w:before="120" w:line="276" w:lineRule="auto"/>
        <w:ind w:hanging="6169"/>
        <w:jc w:val="both"/>
        <w:rPr>
          <w:bCs/>
        </w:rPr>
      </w:pPr>
      <w:r>
        <w:rPr>
          <w:b/>
          <w:i/>
        </w:rPr>
        <w:t>първична извънболнична медицинска помощ</w:t>
      </w:r>
      <w:r>
        <w:rPr>
          <w:i/>
        </w:rPr>
        <w:t xml:space="preserve"> –</w:t>
      </w:r>
      <w:r>
        <w:t xml:space="preserve"> 183,5 млн. лева;</w:t>
      </w:r>
      <w:r>
        <w:rPr>
          <w:bCs/>
        </w:rPr>
        <w:t xml:space="preserve"> </w:t>
      </w:r>
    </w:p>
    <w:p w:rsidR="00925EDD" w:rsidRDefault="00925EDD" w:rsidP="00C4077C">
      <w:pPr>
        <w:numPr>
          <w:ilvl w:val="0"/>
          <w:numId w:val="29"/>
        </w:numPr>
        <w:tabs>
          <w:tab w:val="num" w:pos="0"/>
          <w:tab w:val="left" w:pos="720"/>
          <w:tab w:val="left" w:pos="1134"/>
        </w:tabs>
        <w:spacing w:line="276" w:lineRule="auto"/>
        <w:ind w:hanging="6169"/>
        <w:jc w:val="both"/>
        <w:rPr>
          <w:i/>
        </w:rPr>
      </w:pPr>
      <w:r>
        <w:rPr>
          <w:b/>
          <w:i/>
        </w:rPr>
        <w:t xml:space="preserve">специализирана извънболнична медицинска помощ </w:t>
      </w:r>
      <w:r>
        <w:t xml:space="preserve"> – 191,0 млн. лева;</w:t>
      </w:r>
    </w:p>
    <w:p w:rsidR="00925EDD" w:rsidRDefault="00925EDD" w:rsidP="00C4077C">
      <w:pPr>
        <w:numPr>
          <w:ilvl w:val="0"/>
          <w:numId w:val="29"/>
        </w:numPr>
        <w:tabs>
          <w:tab w:val="num" w:pos="0"/>
          <w:tab w:val="left" w:pos="720"/>
          <w:tab w:val="left" w:pos="1134"/>
        </w:tabs>
        <w:spacing w:line="276" w:lineRule="auto"/>
        <w:ind w:hanging="6169"/>
        <w:jc w:val="both"/>
        <w:rPr>
          <w:b/>
        </w:rPr>
      </w:pPr>
      <w:r>
        <w:rPr>
          <w:b/>
          <w:i/>
        </w:rPr>
        <w:t xml:space="preserve">дентална помощ – </w:t>
      </w:r>
      <w:r>
        <w:t>145,5 млн. лева;</w:t>
      </w:r>
    </w:p>
    <w:p w:rsidR="00925EDD" w:rsidRDefault="00925EDD" w:rsidP="00C4077C">
      <w:pPr>
        <w:numPr>
          <w:ilvl w:val="0"/>
          <w:numId w:val="29"/>
        </w:numPr>
        <w:tabs>
          <w:tab w:val="num" w:pos="0"/>
          <w:tab w:val="left" w:pos="720"/>
          <w:tab w:val="left" w:pos="1134"/>
        </w:tabs>
        <w:spacing w:line="276" w:lineRule="auto"/>
        <w:ind w:hanging="6169"/>
        <w:jc w:val="both"/>
        <w:rPr>
          <w:b/>
          <w:i/>
        </w:rPr>
      </w:pPr>
      <w:r>
        <w:rPr>
          <w:b/>
          <w:i/>
        </w:rPr>
        <w:t xml:space="preserve">медико-диагностична дейност – </w:t>
      </w:r>
      <w:r>
        <w:t>71,8 млн. лева;</w:t>
      </w:r>
      <w:r>
        <w:rPr>
          <w:b/>
          <w:i/>
        </w:rPr>
        <w:t xml:space="preserve"> </w:t>
      </w:r>
    </w:p>
    <w:p w:rsidR="00925EDD" w:rsidRDefault="00925EDD" w:rsidP="00C4077C">
      <w:pPr>
        <w:numPr>
          <w:ilvl w:val="0"/>
          <w:numId w:val="29"/>
        </w:numPr>
        <w:tabs>
          <w:tab w:val="num" w:pos="0"/>
          <w:tab w:val="left" w:pos="1134"/>
        </w:tabs>
        <w:spacing w:line="276" w:lineRule="auto"/>
        <w:ind w:left="1134" w:hanging="425"/>
        <w:jc w:val="both"/>
      </w:pPr>
      <w:r>
        <w:rPr>
          <w:b/>
          <w:i/>
        </w:rPr>
        <w:t xml:space="preserve">лекарствени продукти, медицински изделия и диетични храни за домашно лечение на територията на страната </w:t>
      </w:r>
      <w:r>
        <w:rPr>
          <w:b/>
          <w:i/>
          <w:lang w:val="en-US"/>
        </w:rPr>
        <w:t xml:space="preserve"> - </w:t>
      </w:r>
      <w:r>
        <w:t>605,0 млн. лв.</w:t>
      </w:r>
    </w:p>
    <w:p w:rsidR="00925EDD" w:rsidRDefault="00925EDD" w:rsidP="00C4077C">
      <w:pPr>
        <w:numPr>
          <w:ilvl w:val="0"/>
          <w:numId w:val="29"/>
        </w:numPr>
        <w:tabs>
          <w:tab w:val="num" w:pos="0"/>
          <w:tab w:val="left" w:pos="1134"/>
          <w:tab w:val="num" w:pos="6096"/>
        </w:tabs>
        <w:spacing w:line="276" w:lineRule="auto"/>
        <w:ind w:left="1134" w:hanging="425"/>
        <w:jc w:val="both"/>
      </w:pPr>
      <w:r>
        <w:rPr>
          <w:b/>
          <w:i/>
          <w:lang w:val="en-US"/>
        </w:rPr>
        <w:t xml:space="preserve"> </w:t>
      </w:r>
      <w:r>
        <w:rPr>
          <w:b/>
          <w:i/>
        </w:rPr>
        <w:t xml:space="preserve">лекарствени продукти за лечение на злокачествени заболявания в условията на болнична медицинска помощ </w:t>
      </w:r>
      <w:r>
        <w:t xml:space="preserve"> – 367,8 млн. лева;</w:t>
      </w:r>
    </w:p>
    <w:p w:rsidR="00925EDD" w:rsidRDefault="00925EDD" w:rsidP="00C4077C">
      <w:pPr>
        <w:numPr>
          <w:ilvl w:val="0"/>
          <w:numId w:val="29"/>
        </w:numPr>
        <w:tabs>
          <w:tab w:val="num" w:pos="0"/>
          <w:tab w:val="left" w:pos="720"/>
          <w:tab w:val="num" w:pos="1134"/>
        </w:tabs>
        <w:spacing w:line="276" w:lineRule="auto"/>
        <w:ind w:left="1134" w:hanging="425"/>
        <w:jc w:val="both"/>
        <w:rPr>
          <w:color w:val="4F81BD" w:themeColor="accent1"/>
        </w:rPr>
      </w:pPr>
      <w:r>
        <w:rPr>
          <w:b/>
          <w:i/>
        </w:rPr>
        <w:t>медицински изделия, прилагани в болничната  помощ –</w:t>
      </w:r>
      <w:r>
        <w:t xml:space="preserve"> 53,3 млн. лева;</w:t>
      </w:r>
    </w:p>
    <w:p w:rsidR="00925EDD" w:rsidRDefault="00925EDD" w:rsidP="00C4077C">
      <w:pPr>
        <w:numPr>
          <w:ilvl w:val="0"/>
          <w:numId w:val="29"/>
        </w:numPr>
        <w:tabs>
          <w:tab w:val="num" w:pos="0"/>
          <w:tab w:val="left" w:pos="720"/>
          <w:tab w:val="left" w:pos="1134"/>
        </w:tabs>
        <w:spacing w:line="276" w:lineRule="auto"/>
        <w:ind w:hanging="6169"/>
        <w:jc w:val="both"/>
        <w:rPr>
          <w:color w:val="4F81BD" w:themeColor="accent1"/>
        </w:rPr>
      </w:pPr>
      <w:r>
        <w:rPr>
          <w:b/>
          <w:i/>
        </w:rPr>
        <w:t>болнична медицинска помощ –</w:t>
      </w:r>
      <w:r>
        <w:t xml:space="preserve"> 1 438,1 млн. лева.</w:t>
      </w:r>
      <w:r>
        <w:tab/>
      </w:r>
      <w:r>
        <w:rPr>
          <w:color w:val="4F81BD" w:themeColor="accent1"/>
        </w:rPr>
        <w:t xml:space="preserve"> </w:t>
      </w:r>
    </w:p>
    <w:p w:rsidR="00925EDD" w:rsidRDefault="00925EDD" w:rsidP="00C4077C">
      <w:pPr>
        <w:numPr>
          <w:ilvl w:val="0"/>
          <w:numId w:val="29"/>
        </w:numPr>
        <w:tabs>
          <w:tab w:val="num" w:pos="0"/>
          <w:tab w:val="left" w:pos="720"/>
          <w:tab w:val="left" w:pos="1134"/>
        </w:tabs>
        <w:spacing w:line="276" w:lineRule="auto"/>
        <w:ind w:hanging="6169"/>
        <w:jc w:val="both"/>
      </w:pPr>
      <w:r>
        <w:rPr>
          <w:b/>
          <w:i/>
        </w:rPr>
        <w:t xml:space="preserve">други здравноосигурителни плащания – </w:t>
      </w:r>
      <w:r>
        <w:t>52,3 млн. лева.</w:t>
      </w:r>
    </w:p>
    <w:p w:rsidR="00925EDD" w:rsidRDefault="00925EDD" w:rsidP="00925EDD">
      <w:pPr>
        <w:spacing w:before="120"/>
        <w:ind w:firstLine="567"/>
        <w:jc w:val="both"/>
      </w:pPr>
      <w:r>
        <w:t>Като здравноосигурителни плащания следва да се третират и преведените 74,7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3 182,9 млн. лв.</w:t>
      </w:r>
    </w:p>
    <w:p w:rsidR="00925EDD" w:rsidRDefault="00925EDD" w:rsidP="00925EDD">
      <w:pPr>
        <w:ind w:firstLine="567"/>
        <w:jc w:val="both"/>
      </w:pPr>
      <w:r>
        <w:t>За периода са отчетени плащания в размер на 48,6 млн. лв. от предоставения трансфер  от Министерството на здравеопазването за дейности за здравнонеосигурени лица, лекарствени продукти и за потребителска такса.</w:t>
      </w:r>
    </w:p>
    <w:p w:rsidR="00925EDD" w:rsidRDefault="00925EDD" w:rsidP="00925EDD">
      <w:pPr>
        <w:ind w:firstLine="567"/>
        <w:jc w:val="both"/>
        <w:rPr>
          <w:color w:val="4F81BD" w:themeColor="accent1"/>
        </w:rPr>
      </w:pPr>
      <w:r>
        <w:t>По бюджета на НЗОК за 2020 година са утвърдени 57,6 млн. лв. за административни разходи на институцията, които включват разходите за персонал, текуща издръжка и плащане на данъци, такси и др. За първите девет месеца са отчетени 43,4 млн. лв., което представлява 75,4 % от годишния разчет. Усвоените средства за административни разходи заемат 1,4 на сто в структурата на общите разходи за отчетния период.</w:t>
      </w:r>
    </w:p>
    <w:p w:rsidR="00CF6248" w:rsidRPr="004A3BEC" w:rsidRDefault="00CF6248" w:rsidP="00CF6248">
      <w:pPr>
        <w:tabs>
          <w:tab w:val="num" w:pos="1499"/>
          <w:tab w:val="num" w:pos="2148"/>
        </w:tabs>
        <w:spacing w:after="120"/>
        <w:ind w:firstLine="567"/>
        <w:jc w:val="both"/>
        <w:rPr>
          <w:color w:val="4F81BD" w:themeColor="accent1"/>
          <w:sz w:val="8"/>
        </w:rPr>
      </w:pPr>
    </w:p>
    <w:p w:rsidR="00BD2711" w:rsidRPr="004F38D9" w:rsidRDefault="00BD2711" w:rsidP="00780EBC">
      <w:pPr>
        <w:pStyle w:val="Heading1"/>
        <w:numPr>
          <w:ilvl w:val="1"/>
          <w:numId w:val="10"/>
        </w:numPr>
        <w:spacing w:before="240"/>
        <w:ind w:left="788" w:right="-108" w:hanging="431"/>
        <w:jc w:val="both"/>
        <w:rPr>
          <w:sz w:val="24"/>
        </w:rPr>
      </w:pPr>
      <w:r w:rsidRPr="004F38D9">
        <w:rPr>
          <w:sz w:val="24"/>
        </w:rPr>
        <w:t>Общински бюджети</w:t>
      </w:r>
    </w:p>
    <w:p w:rsidR="007C7AB4" w:rsidRPr="004F38D9" w:rsidRDefault="007C7AB4" w:rsidP="007C7AB4">
      <w:pPr>
        <w:numPr>
          <w:ilvl w:val="0"/>
          <w:numId w:val="8"/>
        </w:numPr>
        <w:tabs>
          <w:tab w:val="num" w:pos="540"/>
        </w:tabs>
        <w:spacing w:before="240" w:line="276" w:lineRule="auto"/>
        <w:ind w:left="714" w:hanging="147"/>
        <w:jc w:val="both"/>
        <w:rPr>
          <w:b/>
        </w:rPr>
      </w:pPr>
      <w:r w:rsidRPr="004F38D9">
        <w:rPr>
          <w:b/>
        </w:rPr>
        <w:t>Приходи</w:t>
      </w:r>
    </w:p>
    <w:p w:rsidR="00C0241A" w:rsidRPr="007753B1" w:rsidRDefault="00D55AAA" w:rsidP="00C0241A">
      <w:pPr>
        <w:ind w:firstLine="567"/>
        <w:jc w:val="both"/>
      </w:pPr>
      <w:r w:rsidRPr="007C6714">
        <w:t>Собствените приходи по бюджетите на общините към 30.0</w:t>
      </w:r>
      <w:r w:rsidRPr="005F7237">
        <w:t>9</w:t>
      </w:r>
      <w:r w:rsidRPr="007C6714">
        <w:t xml:space="preserve">.2020 г. са в размер на </w:t>
      </w:r>
      <w:r w:rsidRPr="005F7237">
        <w:t>1</w:t>
      </w:r>
      <w:r>
        <w:rPr>
          <w:lang w:val="en-US"/>
        </w:rPr>
        <w:t> </w:t>
      </w:r>
      <w:r w:rsidRPr="005F7237">
        <w:t>781</w:t>
      </w:r>
      <w:r w:rsidRPr="007C6714">
        <w:t>,</w:t>
      </w:r>
      <w:r w:rsidRPr="005F7237">
        <w:t>7</w:t>
      </w:r>
      <w:r w:rsidRPr="007C6714">
        <w:rPr>
          <w:bCs/>
        </w:rPr>
        <w:t> м</w:t>
      </w:r>
      <w:r w:rsidRPr="007C6714">
        <w:t xml:space="preserve">лн. лв., което представлява </w:t>
      </w:r>
      <w:r w:rsidRPr="005F7237">
        <w:t>70,1</w:t>
      </w:r>
      <w:r w:rsidRPr="007C6714">
        <w:t xml:space="preserve"> % от разчетените към ЗДБРБ за 2020 г. постъпления в размер на </w:t>
      </w:r>
      <w:r w:rsidRPr="007C6714">
        <w:rPr>
          <w:bCs/>
        </w:rPr>
        <w:t>2 540</w:t>
      </w:r>
      <w:r w:rsidRPr="005F7237">
        <w:rPr>
          <w:bCs/>
        </w:rPr>
        <w:t>,</w:t>
      </w:r>
      <w:r w:rsidRPr="007C6714">
        <w:rPr>
          <w:bCs/>
        </w:rPr>
        <w:t>1</w:t>
      </w:r>
      <w:r w:rsidRPr="007C6714">
        <w:t xml:space="preserve"> млн. лв</w:t>
      </w:r>
      <w:r>
        <w:t>.</w:t>
      </w:r>
      <w:r w:rsidRPr="005F7237">
        <w:t xml:space="preserve"> </w:t>
      </w:r>
      <w:r w:rsidRPr="007C6714">
        <w:t>и с</w:t>
      </w:r>
      <w:r w:rsidRPr="005F7237">
        <w:t xml:space="preserve"> 83</w:t>
      </w:r>
      <w:r w:rsidRPr="007C6714">
        <w:t>,</w:t>
      </w:r>
      <w:r w:rsidRPr="005F7237">
        <w:t>5</w:t>
      </w:r>
      <w:r w:rsidRPr="007C6714">
        <w:t xml:space="preserve"> млн. лв. по-малко спрямо събраните за същия период през </w:t>
      </w:r>
      <w:r w:rsidRPr="00D55AAA">
        <w:t xml:space="preserve">2019 г., вследствие на негативните последици от пандемията с </w:t>
      </w:r>
      <w:r w:rsidRPr="00D55AAA">
        <w:rPr>
          <w:lang w:val="en-US"/>
        </w:rPr>
        <w:t>COVID-19,</w:t>
      </w:r>
      <w:r w:rsidRPr="00D55AAA">
        <w:t xml:space="preserve"> обявеното извънредно положение на територията на Република България от 13 март 2020 г</w:t>
      </w:r>
      <w:r w:rsidRPr="00D55AAA">
        <w:rPr>
          <w:lang w:val="en-US"/>
        </w:rPr>
        <w:t xml:space="preserve">., </w:t>
      </w:r>
      <w:r w:rsidRPr="00D55AAA">
        <w:t xml:space="preserve">и въведената след него извънредна епидемиологична обстановка. </w:t>
      </w:r>
      <w:r w:rsidR="00C0241A" w:rsidRPr="00D55AAA">
        <w:rPr>
          <w:i/>
        </w:rPr>
        <w:t>Данъчните приходи</w:t>
      </w:r>
      <w:r w:rsidR="00C0241A" w:rsidRPr="00D55AAA">
        <w:t xml:space="preserve"> по общинските</w:t>
      </w:r>
      <w:r w:rsidR="00C0241A" w:rsidRPr="00FC73CD">
        <w:t xml:space="preserve"> бюджети са в размер на </w:t>
      </w:r>
      <w:r w:rsidR="00C0241A" w:rsidRPr="005F7237">
        <w:t>822</w:t>
      </w:r>
      <w:r w:rsidR="00C0241A" w:rsidRPr="00FC73CD">
        <w:t>,</w:t>
      </w:r>
      <w:r w:rsidR="00C0241A" w:rsidRPr="005F7237">
        <w:t>2</w:t>
      </w:r>
      <w:r w:rsidR="00C0241A" w:rsidRPr="00FC73CD">
        <w:t xml:space="preserve"> млн. лв. или </w:t>
      </w:r>
      <w:r w:rsidR="00C0241A" w:rsidRPr="005F7237">
        <w:t>75</w:t>
      </w:r>
      <w:r w:rsidR="00C0241A" w:rsidRPr="00FC73CD">
        <w:t>,</w:t>
      </w:r>
      <w:r w:rsidR="00C0241A" w:rsidRPr="005F7237">
        <w:t>7</w:t>
      </w:r>
      <w:r w:rsidR="00C0241A" w:rsidRPr="00FC73CD">
        <w:t xml:space="preserve"> % от годишните разчети към ЗДБРБ за 2020 г. и с </w:t>
      </w:r>
      <w:r w:rsidR="00C0241A" w:rsidRPr="005F7237">
        <w:t>1</w:t>
      </w:r>
      <w:r w:rsidR="00C0241A" w:rsidRPr="00FC73CD">
        <w:t>,</w:t>
      </w:r>
      <w:r w:rsidR="00C0241A" w:rsidRPr="005F7237">
        <w:t>8</w:t>
      </w:r>
      <w:r w:rsidR="00C0241A" w:rsidRPr="00FC73CD">
        <w:t xml:space="preserve"> % </w:t>
      </w:r>
      <w:r w:rsidR="002379C9" w:rsidRPr="002379C9">
        <w:t xml:space="preserve">повече </w:t>
      </w:r>
      <w:r w:rsidR="00C0241A" w:rsidRPr="00FC73CD">
        <w:t xml:space="preserve">спрямо тези за същия период на предходната година. </w:t>
      </w:r>
      <w:r w:rsidR="00C0241A" w:rsidRPr="00FC73CD">
        <w:rPr>
          <w:bCs/>
        </w:rPr>
        <w:t xml:space="preserve">От </w:t>
      </w:r>
      <w:r w:rsidR="00C0241A" w:rsidRPr="00FC73CD">
        <w:rPr>
          <w:bCs/>
          <w:i/>
        </w:rPr>
        <w:t>имуществени данъци по Закона за местните данъци и такси</w:t>
      </w:r>
      <w:r w:rsidR="00C0241A" w:rsidRPr="00FC73CD">
        <w:rPr>
          <w:bCs/>
        </w:rPr>
        <w:t xml:space="preserve"> в местните бюджети към 30 септември 2020 г. са постъпили общо 811,8 млн.</w:t>
      </w:r>
      <w:r w:rsidR="00C0241A" w:rsidRPr="00FC73CD">
        <w:t xml:space="preserve"> </w:t>
      </w:r>
      <w:r w:rsidR="00C0241A" w:rsidRPr="00FC73CD">
        <w:rPr>
          <w:bCs/>
        </w:rPr>
        <w:t>лв., което представлява 76,1 % от годишния разчет. С най-значителен дял в приходите от имуществени данъци са данъкът върху превозните средства – 36,9 % и данъкът върху недвижимите имоти – 34,5 %, следват данъкът върху придобиване на имущество по дарения и възмезден начин – 27,5</w:t>
      </w:r>
      <w:r w:rsidR="00C0241A" w:rsidRPr="00FC73CD">
        <w:rPr>
          <w:bCs/>
          <w:lang w:val="en-US"/>
        </w:rPr>
        <w:t> </w:t>
      </w:r>
      <w:r w:rsidR="00C0241A" w:rsidRPr="00FC73CD">
        <w:rPr>
          <w:bCs/>
        </w:rPr>
        <w:t>% и туристически данък – 1,</w:t>
      </w:r>
      <w:proofErr w:type="spellStart"/>
      <w:r w:rsidR="00C0241A" w:rsidRPr="00FC73CD">
        <w:rPr>
          <w:bCs/>
        </w:rPr>
        <w:t>1</w:t>
      </w:r>
      <w:proofErr w:type="spellEnd"/>
      <w:r w:rsidR="00C0241A" w:rsidRPr="00FC73CD">
        <w:rPr>
          <w:bCs/>
        </w:rPr>
        <w:t xml:space="preserve"> %.</w:t>
      </w:r>
      <w:r w:rsidR="00C0241A" w:rsidRPr="00FC73CD">
        <w:t xml:space="preserve"> През отчетния период по бюджетите на общините са постъпили 10,3 млн. лв. от </w:t>
      </w:r>
      <w:r w:rsidR="00C0241A" w:rsidRPr="00FC73CD">
        <w:rPr>
          <w:i/>
        </w:rPr>
        <w:t xml:space="preserve">патентен данък и </w:t>
      </w:r>
      <w:r w:rsidR="00C0241A" w:rsidRPr="00FC73CD">
        <w:rPr>
          <w:i/>
        </w:rPr>
        <w:lastRenderedPageBreak/>
        <w:t>данък върху таксиметров превоз на пътници</w:t>
      </w:r>
      <w:r w:rsidR="00C0241A" w:rsidRPr="00FC73CD">
        <w:t xml:space="preserve"> (53,5 % от годишния разчет) и 0,02 млн</w:t>
      </w:r>
      <w:r w:rsidR="00C0241A" w:rsidRPr="007753B1">
        <w:t xml:space="preserve">. лв. приходи от други данъци. </w:t>
      </w:r>
    </w:p>
    <w:p w:rsidR="00C0241A" w:rsidRPr="003B1A40" w:rsidRDefault="00C0241A" w:rsidP="00C0241A">
      <w:pPr>
        <w:ind w:firstLine="567"/>
        <w:jc w:val="both"/>
      </w:pPr>
      <w:r w:rsidRPr="007753B1">
        <w:t xml:space="preserve">Общият размер на </w:t>
      </w:r>
      <w:r w:rsidRPr="007753B1">
        <w:rPr>
          <w:i/>
        </w:rPr>
        <w:t>неданъчните приходи</w:t>
      </w:r>
      <w:r w:rsidRPr="007753B1">
        <w:t xml:space="preserve"> по местните бюджети към 30 септември 2020 г. е 944,0 млн. лв. или 66,2 % от разчетите към ЗДБРБ за 20</w:t>
      </w:r>
      <w:r w:rsidRPr="005F7237">
        <w:t>20</w:t>
      </w:r>
      <w:r w:rsidRPr="007753B1">
        <w:t xml:space="preserve"> г. Най-голям относителен дял заемат приходите от общински такси, които възлизат на 649,1 млн. лв. </w:t>
      </w:r>
      <w:r w:rsidRPr="005F7237">
        <w:t>(</w:t>
      </w:r>
      <w:r w:rsidRPr="007753B1">
        <w:t>74,2 % от разчетените за годината</w:t>
      </w:r>
      <w:r w:rsidRPr="005F7237">
        <w:t>)</w:t>
      </w:r>
      <w:r w:rsidRPr="007753B1">
        <w:t xml:space="preserve">, следват приходите и доходите от собственост – </w:t>
      </w:r>
      <w:r w:rsidRPr="003B1A40">
        <w:t xml:space="preserve">185,0 млн. лв. </w:t>
      </w:r>
      <w:r w:rsidRPr="005F7237">
        <w:t>(</w:t>
      </w:r>
      <w:r w:rsidRPr="003B1A40">
        <w:t>58,0 % от разчетените за 20</w:t>
      </w:r>
      <w:r w:rsidRPr="005F7237">
        <w:t>20</w:t>
      </w:r>
      <w:r w:rsidRPr="003B1A40">
        <w:t xml:space="preserve"> г.</w:t>
      </w:r>
      <w:r w:rsidRPr="005F7237">
        <w:t>)</w:t>
      </w:r>
      <w:r w:rsidRPr="003B1A40">
        <w:t>, постъпленията</w:t>
      </w:r>
      <w:r w:rsidRPr="005F7237">
        <w:t xml:space="preserve"> </w:t>
      </w:r>
      <w:r w:rsidRPr="003B1A40">
        <w:t xml:space="preserve">от продажба на нефинансови активи – 50,6 млн. лв. </w:t>
      </w:r>
      <w:r w:rsidRPr="005F7237">
        <w:t>(</w:t>
      </w:r>
      <w:r w:rsidRPr="003B1A40">
        <w:t>33,8 % от разчета за 20</w:t>
      </w:r>
      <w:r w:rsidRPr="005F7237">
        <w:t>20</w:t>
      </w:r>
      <w:r w:rsidRPr="003B1A40">
        <w:t xml:space="preserve"> г.</w:t>
      </w:r>
      <w:r w:rsidRPr="005F7237">
        <w:t xml:space="preserve">), </w:t>
      </w:r>
      <w:r w:rsidRPr="003B1A40">
        <w:t xml:space="preserve">постъпленията от глоби, санкции и наказателни лихви – </w:t>
      </w:r>
      <w:r w:rsidR="00286274">
        <w:t>46,1 </w:t>
      </w:r>
      <w:r w:rsidRPr="003B1A40">
        <w:t xml:space="preserve">млн. лв. </w:t>
      </w:r>
      <w:r w:rsidRPr="005F7237">
        <w:t>(</w:t>
      </w:r>
      <w:r w:rsidRPr="003B1A40">
        <w:t>55,8 % от планираните</w:t>
      </w:r>
      <w:r w:rsidRPr="005F7237">
        <w:t>)</w:t>
      </w:r>
      <w:r w:rsidRPr="003B1A40">
        <w:t xml:space="preserve"> и приходите от концесии 42,5 млн. лв. </w:t>
      </w:r>
      <w:r w:rsidRPr="005F7237">
        <w:t>(</w:t>
      </w:r>
      <w:r w:rsidRPr="003B1A40">
        <w:t>89,0 % от разчета за 20</w:t>
      </w:r>
      <w:r w:rsidRPr="005F7237">
        <w:t>20</w:t>
      </w:r>
      <w:r w:rsidRPr="003B1A40">
        <w:t xml:space="preserve"> година</w:t>
      </w:r>
      <w:r w:rsidRPr="005F7237">
        <w:t>)</w:t>
      </w:r>
      <w:r w:rsidRPr="003B1A40">
        <w:t>.</w:t>
      </w:r>
    </w:p>
    <w:p w:rsidR="00C0241A" w:rsidRPr="003B1A40" w:rsidRDefault="00C0241A" w:rsidP="00C0241A">
      <w:pPr>
        <w:ind w:firstLine="567"/>
        <w:jc w:val="both"/>
      </w:pPr>
      <w:r w:rsidRPr="003B1A40">
        <w:t xml:space="preserve">През отчетния период по общинските бюджети са постъпили 15,5 млн. лв. приходи от </w:t>
      </w:r>
      <w:r w:rsidRPr="003B1A40">
        <w:rPr>
          <w:i/>
        </w:rPr>
        <w:t>помощи и дарения</w:t>
      </w:r>
      <w:r w:rsidRPr="003B1A40">
        <w:t xml:space="preserve">, което е 54,9 % от разчетените за годината 28,2 млн. лева. </w:t>
      </w:r>
    </w:p>
    <w:p w:rsidR="00C0241A" w:rsidRPr="003B1A40" w:rsidRDefault="00C0241A" w:rsidP="00C0241A">
      <w:pPr>
        <w:numPr>
          <w:ilvl w:val="0"/>
          <w:numId w:val="8"/>
        </w:numPr>
        <w:tabs>
          <w:tab w:val="num" w:pos="540"/>
        </w:tabs>
        <w:spacing w:before="240" w:line="276" w:lineRule="auto"/>
        <w:ind w:left="714" w:hanging="147"/>
        <w:jc w:val="both"/>
        <w:rPr>
          <w:b/>
        </w:rPr>
      </w:pPr>
      <w:r w:rsidRPr="003B1A40">
        <w:rPr>
          <w:b/>
        </w:rPr>
        <w:t>Разходи</w:t>
      </w:r>
    </w:p>
    <w:p w:rsidR="00C0241A" w:rsidRPr="004A3BEC" w:rsidRDefault="00C0241A" w:rsidP="00C0241A">
      <w:pPr>
        <w:ind w:firstLine="567"/>
        <w:jc w:val="both"/>
        <w:rPr>
          <w:color w:val="4F81BD" w:themeColor="accent1"/>
        </w:rPr>
      </w:pPr>
      <w:r w:rsidRPr="003B1A40">
        <w:t>Към 30.0</w:t>
      </w:r>
      <w:r w:rsidRPr="005F7237">
        <w:t>9</w:t>
      </w:r>
      <w:r w:rsidRPr="003B1A40">
        <w:t>.2020 г. общините са отчели общо разходи в размер на 4</w:t>
      </w:r>
      <w:r w:rsidRPr="003B1A40">
        <w:rPr>
          <w:lang w:val="en-US"/>
        </w:rPr>
        <w:t> </w:t>
      </w:r>
      <w:r w:rsidRPr="003B1A40">
        <w:t>942</w:t>
      </w:r>
      <w:r w:rsidRPr="005F7237">
        <w:t>,</w:t>
      </w:r>
      <w:r w:rsidRPr="003B1A40">
        <w:t>0</w:t>
      </w:r>
      <w:r w:rsidRPr="005F7237">
        <w:t xml:space="preserve"> </w:t>
      </w:r>
      <w:r w:rsidRPr="003B1A40">
        <w:t>млн. лв., които представляват 73,5 %</w:t>
      </w:r>
      <w:r w:rsidRPr="005F7237">
        <w:t xml:space="preserve"> </w:t>
      </w:r>
      <w:r w:rsidRPr="003B1A40">
        <w:t>спрямо разчетите по ЗДБРБ за 2020 година.</w:t>
      </w:r>
    </w:p>
    <w:p w:rsidR="00C0241A" w:rsidRPr="004A3BEC" w:rsidRDefault="00C0241A" w:rsidP="00C0241A">
      <w:pPr>
        <w:ind w:firstLine="567"/>
        <w:jc w:val="both"/>
        <w:rPr>
          <w:color w:val="4F81BD" w:themeColor="accent1"/>
        </w:rPr>
      </w:pPr>
      <w:r w:rsidRPr="003B1A40">
        <w:rPr>
          <w:i/>
        </w:rPr>
        <w:t>Нелихвените разходи</w:t>
      </w:r>
      <w:r w:rsidRPr="003B1A40">
        <w:t xml:space="preserve"> възлизат на 4 91</w:t>
      </w:r>
      <w:r w:rsidRPr="005F7237">
        <w:t>5</w:t>
      </w:r>
      <w:r w:rsidRPr="003B1A40">
        <w:t>,3 млн. лв. или 73,5 % от годишния разчет. Разходите за персонал (</w:t>
      </w:r>
      <w:r w:rsidRPr="003B1A40">
        <w:rPr>
          <w:bCs/>
        </w:rPr>
        <w:t>заплати и възнаграждения, други възнаграждения и плащания за персонала и осигури</w:t>
      </w:r>
      <w:r w:rsidRPr="00B964A3">
        <w:rPr>
          <w:bCs/>
        </w:rPr>
        <w:t>телни вноски)</w:t>
      </w:r>
      <w:r w:rsidRPr="00B964A3">
        <w:t xml:space="preserve"> са в размер на 2</w:t>
      </w:r>
      <w:r w:rsidRPr="005F7237">
        <w:t xml:space="preserve"> </w:t>
      </w:r>
      <w:r w:rsidRPr="00B964A3">
        <w:t xml:space="preserve">863,6 млн. лв. или 75,7 % от планираните за 2020 г. Разходите за издръжка </w:t>
      </w:r>
      <w:r w:rsidRPr="00B964A3">
        <w:rPr>
          <w:bCs/>
        </w:rPr>
        <w:t>(вкл. разходи за членски внос и участие в нетърговски организации и дейности, платени данъци, такси и административни санкции)</w:t>
      </w:r>
      <w:r w:rsidRPr="00B964A3">
        <w:t xml:space="preserve"> са в размер на</w:t>
      </w:r>
      <w:r w:rsidRPr="00B964A3">
        <w:rPr>
          <w:lang w:val="en-US"/>
        </w:rPr>
        <w:t> </w:t>
      </w:r>
      <w:r w:rsidRPr="00B964A3">
        <w:t>1</w:t>
      </w:r>
      <w:r w:rsidR="00B120BC">
        <w:t> </w:t>
      </w:r>
      <w:r w:rsidRPr="00B964A3">
        <w:t xml:space="preserve">284,7 млн. лв., 75,8 % от годишния разчет. Разходите за субсидии са в размер на </w:t>
      </w:r>
      <w:r w:rsidRPr="005F7237">
        <w:t>1</w:t>
      </w:r>
      <w:r w:rsidRPr="00B964A3">
        <w:t>76,5 млн. лева</w:t>
      </w:r>
      <w:r w:rsidRPr="005F7237">
        <w:t xml:space="preserve"> (</w:t>
      </w:r>
      <w:r w:rsidRPr="00B964A3">
        <w:t>127</w:t>
      </w:r>
      <w:r w:rsidRPr="005F7237">
        <w:t>,</w:t>
      </w:r>
      <w:r w:rsidRPr="00B964A3">
        <w:t>7</w:t>
      </w:r>
      <w:r w:rsidRPr="005F7237">
        <w:t xml:space="preserve"> % </w:t>
      </w:r>
      <w:r w:rsidRPr="00B964A3">
        <w:t>от годишния разчет</w:t>
      </w:r>
      <w:r w:rsidRPr="005F7237">
        <w:t>)</w:t>
      </w:r>
      <w:r w:rsidRPr="00B964A3">
        <w:t>. 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w:t>
      </w:r>
      <w:r w:rsidRPr="005F7237">
        <w:t xml:space="preserve"> (</w:t>
      </w:r>
      <w:r w:rsidRPr="00B964A3">
        <w:t>отчитат се в местните дейности</w:t>
      </w:r>
      <w:r w:rsidRPr="005F7237">
        <w:t>)</w:t>
      </w:r>
      <w:r w:rsidRPr="00B964A3">
        <w:t>.</w:t>
      </w:r>
      <w:r w:rsidRPr="00B964A3">
        <w:rPr>
          <w:bCs/>
        </w:rPr>
        <w:t xml:space="preserve"> Социалните разходи (</w:t>
      </w:r>
      <w:r w:rsidRPr="00B964A3">
        <w:t xml:space="preserve">текущи трансфери, обезщетения и помощи за домакинствата, </w:t>
      </w:r>
      <w:r w:rsidRPr="00B964A3">
        <w:rPr>
          <w:bCs/>
        </w:rPr>
        <w:t>вкл. разходите за стипендии)</w:t>
      </w:r>
      <w:r w:rsidRPr="00B964A3">
        <w:t xml:space="preserve"> са в размер на 122,3 млн. лв., което е 94,3 % от разчетите към ЗДБРБ за 2020 година.  </w:t>
      </w:r>
    </w:p>
    <w:p w:rsidR="00C0241A" w:rsidRPr="00B964A3" w:rsidRDefault="00C0241A" w:rsidP="00C0241A">
      <w:pPr>
        <w:ind w:firstLine="567"/>
      </w:pPr>
      <w:r w:rsidRPr="00B964A3">
        <w:t>Капиталовите разходи са в размер на 468,2 млн. лв. или 49,5 % от разчетите към ЗДБРБ за 2020 година.</w:t>
      </w:r>
    </w:p>
    <w:p w:rsidR="00C0241A" w:rsidRPr="004A3BEC" w:rsidRDefault="00C0241A" w:rsidP="00C0241A">
      <w:pPr>
        <w:ind w:firstLine="567"/>
        <w:jc w:val="both"/>
        <w:rPr>
          <w:color w:val="4F81BD" w:themeColor="accent1"/>
        </w:rPr>
      </w:pPr>
      <w:r w:rsidRPr="00B964A3">
        <w:rPr>
          <w:i/>
        </w:rPr>
        <w:t>Разходите за лихви</w:t>
      </w:r>
      <w:r w:rsidRPr="00B964A3">
        <w:t xml:space="preserve"> възлизат на 26,7 млн. лв. и са 80,1 % от разчета за 2020 г. </w:t>
      </w:r>
      <w:r w:rsidRPr="00BC0483">
        <w:t xml:space="preserve">Лихвените плащания по заеми от чужбина са в размер на 13,0 млн. лв., по облигационни заеми - </w:t>
      </w:r>
      <w:r w:rsidRPr="005F7237">
        <w:t>1</w:t>
      </w:r>
      <w:r w:rsidRPr="00BC0483">
        <w:t xml:space="preserve">,7 млн. лв., по други вътрешни заеми </w:t>
      </w:r>
      <w:r w:rsidR="00B81DE8" w:rsidRPr="00B81DE8">
        <w:t xml:space="preserve">и задължения </w:t>
      </w:r>
      <w:r w:rsidRPr="00BC0483">
        <w:t>(банкови, заеми към „ФЛАГ“ ЕАД</w:t>
      </w:r>
      <w:r w:rsidR="00B81DE8">
        <w:t xml:space="preserve">, </w:t>
      </w:r>
      <w:r w:rsidR="00B81DE8" w:rsidRPr="00B81DE8">
        <w:t>финансови лизинги</w:t>
      </w:r>
      <w:r w:rsidRPr="00BC0483">
        <w:t xml:space="preserve"> и др.) са 8,9 млн. лв., по заеми, предоставени от ЦБ и бюджетни организации са 0,1</w:t>
      </w:r>
      <w:r w:rsidR="00F32FCB">
        <w:t> </w:t>
      </w:r>
      <w:r w:rsidRPr="00BC0483">
        <w:t>млн. лв., а отчетените други лихвени плащания (по изпълнителни листове, за забавено изпълнение по сключени договори и др.) са в размер на 3,0 млн. лева.</w:t>
      </w:r>
    </w:p>
    <w:p w:rsidR="00C0241A" w:rsidRPr="00BC0483" w:rsidRDefault="00C0241A" w:rsidP="00C0241A">
      <w:pPr>
        <w:tabs>
          <w:tab w:val="center" w:pos="4153"/>
          <w:tab w:val="right" w:pos="8306"/>
        </w:tabs>
        <w:ind w:firstLine="567"/>
        <w:jc w:val="both"/>
      </w:pPr>
      <w:r w:rsidRPr="00BC0483">
        <w:t>Общият размер на отчетените разходи за дофинансиране на делегираните от държавата дейности с местни приходи е 134,1 млн. лева.</w:t>
      </w:r>
    </w:p>
    <w:p w:rsidR="00C0241A" w:rsidRPr="00BC0483" w:rsidRDefault="00C0241A" w:rsidP="00C0241A">
      <w:pPr>
        <w:numPr>
          <w:ilvl w:val="0"/>
          <w:numId w:val="8"/>
        </w:numPr>
        <w:tabs>
          <w:tab w:val="num" w:pos="540"/>
        </w:tabs>
        <w:spacing w:before="120" w:line="276" w:lineRule="auto"/>
        <w:ind w:left="714" w:hanging="147"/>
        <w:jc w:val="both"/>
        <w:rPr>
          <w:b/>
        </w:rPr>
      </w:pPr>
      <w:r w:rsidRPr="00BC0483">
        <w:rPr>
          <w:b/>
        </w:rPr>
        <w:t>Финансиране</w:t>
      </w:r>
    </w:p>
    <w:p w:rsidR="00C0241A" w:rsidRPr="00BC0483" w:rsidRDefault="00C0241A" w:rsidP="00C0241A">
      <w:pPr>
        <w:ind w:firstLine="567"/>
        <w:jc w:val="both"/>
        <w:rPr>
          <w:color w:val="4F81BD" w:themeColor="accent1"/>
        </w:rPr>
      </w:pPr>
      <w:r w:rsidRPr="00BC0483">
        <w:t>Към 30.0</w:t>
      </w:r>
      <w:r w:rsidRPr="005F7237">
        <w:t>9</w:t>
      </w:r>
      <w:r w:rsidRPr="00BC0483">
        <w:t xml:space="preserve">.2020 г. по общинските бюджети са </w:t>
      </w:r>
      <w:r w:rsidRPr="00BC0483">
        <w:rPr>
          <w:i/>
        </w:rPr>
        <w:t>получени</w:t>
      </w:r>
      <w:r w:rsidRPr="00BC0483">
        <w:t xml:space="preserve"> заемни средства от договори с чуждестранни кредитори в размер на 1,</w:t>
      </w:r>
      <w:proofErr w:type="spellStart"/>
      <w:r w:rsidRPr="00BC0483">
        <w:t>1</w:t>
      </w:r>
      <w:proofErr w:type="spellEnd"/>
      <w:r w:rsidRPr="00BC0483">
        <w:t xml:space="preserve"> млн. лв.</w:t>
      </w:r>
      <w:r w:rsidRPr="005F7237">
        <w:t xml:space="preserve"> (</w:t>
      </w:r>
      <w:r w:rsidRPr="00BC0483">
        <w:t>получен от община Варна транш по договор от 2018 г.</w:t>
      </w:r>
      <w:r w:rsidRPr="005F7237">
        <w:t>)</w:t>
      </w:r>
      <w:r w:rsidRPr="00BC0483">
        <w:t xml:space="preserve"> Изплатените </w:t>
      </w:r>
      <w:r w:rsidRPr="00BC0483">
        <w:rPr>
          <w:i/>
        </w:rPr>
        <w:t>погашения по заеми</w:t>
      </w:r>
      <w:r w:rsidRPr="00BC0483">
        <w:t xml:space="preserve"> от чужбина са в размер на 3</w:t>
      </w:r>
      <w:r w:rsidRPr="005F7237">
        <w:t>0</w:t>
      </w:r>
      <w:r w:rsidRPr="00BC0483">
        <w:t xml:space="preserve">,4 млн. лева. </w:t>
      </w:r>
      <w:r w:rsidRPr="005F7237">
        <w:t>(</w:t>
      </w:r>
      <w:r w:rsidRPr="00BC0483">
        <w:t>от Столична община 26,7 млн. лв., от община Варна – 0,9 млн. лв., от Пловдив – 1,5 млн. лв., от община Бургас – 1,0 млн. лв. и от община Ловеч – 0,3 млн. лв.</w:t>
      </w:r>
      <w:r w:rsidRPr="005F7237">
        <w:t>)</w:t>
      </w:r>
      <w:r w:rsidRPr="00BC0483">
        <w:t>.</w:t>
      </w:r>
    </w:p>
    <w:p w:rsidR="00C0241A" w:rsidRPr="004A3BEC" w:rsidRDefault="00C0241A" w:rsidP="00C0241A">
      <w:pPr>
        <w:ind w:firstLine="567"/>
        <w:jc w:val="both"/>
        <w:rPr>
          <w:color w:val="4F81BD" w:themeColor="accent1"/>
        </w:rPr>
      </w:pPr>
      <w:r w:rsidRPr="009148EC">
        <w:t>За отчетния период получените заемни средства от банки в страната са в размер на 45,2</w:t>
      </w:r>
      <w:r w:rsidR="00984DA3">
        <w:t> </w:t>
      </w:r>
      <w:r w:rsidRPr="009148EC">
        <w:t xml:space="preserve">млн. лв., а от други местни лица </w:t>
      </w:r>
      <w:r w:rsidRPr="005F7237">
        <w:t>(</w:t>
      </w:r>
      <w:r w:rsidRPr="009148EC">
        <w:t xml:space="preserve">ФЛАГ ЕАД, Фонд „Енергийна ефективност и </w:t>
      </w:r>
      <w:proofErr w:type="spellStart"/>
      <w:r w:rsidRPr="009148EC">
        <w:t>възобновяеми</w:t>
      </w:r>
      <w:proofErr w:type="spellEnd"/>
      <w:r w:rsidRPr="009148EC">
        <w:t xml:space="preserve"> източници“ и др.</w:t>
      </w:r>
      <w:r w:rsidRPr="005F7237">
        <w:t>)</w:t>
      </w:r>
      <w:r w:rsidRPr="009148EC">
        <w:t xml:space="preserve"> общините са получили заеми в размер на </w:t>
      </w:r>
      <w:r w:rsidR="007476EA" w:rsidRPr="007476EA">
        <w:t>87,</w:t>
      </w:r>
      <w:r w:rsidR="00407BE4">
        <w:t>4</w:t>
      </w:r>
      <w:r w:rsidR="007476EA" w:rsidRPr="007476EA">
        <w:t xml:space="preserve"> </w:t>
      </w:r>
      <w:r w:rsidRPr="009148EC">
        <w:t>млн. лв.</w:t>
      </w:r>
      <w:r w:rsidRPr="005F7237">
        <w:t xml:space="preserve"> (</w:t>
      </w:r>
      <w:r w:rsidRPr="009148EC">
        <w:t>в т.ч. 80,1 млн. лв. от ФЛАГ ЕАД</w:t>
      </w:r>
      <w:r w:rsidRPr="005F7237">
        <w:t>)</w:t>
      </w:r>
      <w:r w:rsidRPr="009148EC">
        <w:t xml:space="preserve"> или общо получените заемни средства са </w:t>
      </w:r>
      <w:r w:rsidR="007476EA" w:rsidRPr="007476EA">
        <w:t>132,</w:t>
      </w:r>
      <w:r w:rsidR="001401CC">
        <w:t>6</w:t>
      </w:r>
      <w:r w:rsidR="007476EA" w:rsidRPr="007476EA">
        <w:t xml:space="preserve"> </w:t>
      </w:r>
      <w:r w:rsidRPr="009148EC">
        <w:t xml:space="preserve">млн. лв. Изплатените главници  по банкови заеми от страната са 33,9 млн. лв., а по заеми от други лица са 63,1 млн. лв. (в т.ч. </w:t>
      </w:r>
      <w:r w:rsidR="007476EA">
        <w:rPr>
          <w:lang w:val="en-US"/>
        </w:rPr>
        <w:t>61</w:t>
      </w:r>
      <w:proofErr w:type="gramStart"/>
      <w:r w:rsidR="007476EA">
        <w:t>,8</w:t>
      </w:r>
      <w:proofErr w:type="gramEnd"/>
      <w:r w:rsidR="007476EA">
        <w:t> </w:t>
      </w:r>
      <w:r w:rsidRPr="009148EC">
        <w:t>млн. лв. към ФЛАГ ЕАД) или общо платените главници са в размер на 97,0 млн. лв.</w:t>
      </w:r>
    </w:p>
    <w:p w:rsidR="00C0241A" w:rsidRPr="009148EC" w:rsidRDefault="00C0241A" w:rsidP="00C0241A">
      <w:pPr>
        <w:ind w:firstLine="567"/>
        <w:jc w:val="both"/>
      </w:pPr>
      <w:r w:rsidRPr="009148EC">
        <w:lastRenderedPageBreak/>
        <w:t>Погашенията по емитирани през предходни периоди общински ценни книжа са в размер на 9,</w:t>
      </w:r>
      <w:proofErr w:type="spellStart"/>
      <w:r w:rsidRPr="009148EC">
        <w:t>9</w:t>
      </w:r>
      <w:proofErr w:type="spellEnd"/>
      <w:r w:rsidRPr="009148EC">
        <w:t xml:space="preserve"> млн. лв. и са отчетени от 7 общини. За отчетния период няма емитиран нов дълг.</w:t>
      </w:r>
    </w:p>
    <w:p w:rsidR="00C0241A" w:rsidRPr="004A3BEC" w:rsidRDefault="00C0241A" w:rsidP="00C0241A">
      <w:pPr>
        <w:ind w:firstLine="567"/>
        <w:jc w:val="both"/>
        <w:rPr>
          <w:color w:val="4F81BD" w:themeColor="accent1"/>
        </w:rPr>
      </w:pPr>
      <w:r w:rsidRPr="009148EC">
        <w:t>Другото финансиране /нето/ по общинските бюджети към 30.0</w:t>
      </w:r>
      <w:r w:rsidRPr="005F7237">
        <w:t>9</w:t>
      </w:r>
      <w:r w:rsidRPr="009148EC">
        <w:t xml:space="preserve">.2020 г. е  отрицателно - 37,9 млн. лв., като съществена част от него представлява отчетеното превеждане /резервиране/ на суми по реда на чл. 60 и чл. 64 от Закона за управление на отпадъците по сметката за чужди средства на съответната РИОСВ. За периода нетният размер на задълженията и погашенията по финансов лизинг и търговски кредити като форми на дълг е в размер на (-0,5) млн. лева. </w:t>
      </w:r>
    </w:p>
    <w:p w:rsidR="00C0241A" w:rsidRPr="009148EC" w:rsidRDefault="00C0241A" w:rsidP="00C0241A">
      <w:pPr>
        <w:ind w:firstLine="708"/>
        <w:jc w:val="both"/>
      </w:pPr>
      <w:r w:rsidRPr="009148EC">
        <w:t>Нетният размер на събраните средства и извършени плащания от общините за сметка на други бюджети, сметки и фондове е в размер на 3,9 млн. лв.</w:t>
      </w:r>
    </w:p>
    <w:p w:rsidR="00C0241A" w:rsidRPr="009148EC" w:rsidRDefault="00C0241A" w:rsidP="00C0241A">
      <w:pPr>
        <w:ind w:firstLine="720"/>
        <w:jc w:val="both"/>
        <w:rPr>
          <w:lang w:eastAsia="bg-BG"/>
        </w:rPr>
      </w:pPr>
      <w:r w:rsidRPr="009148EC">
        <w:rPr>
          <w:lang w:eastAsia="bg-BG"/>
        </w:rPr>
        <w:t>Към 30.0</w:t>
      </w:r>
      <w:r w:rsidRPr="005F7237">
        <w:rPr>
          <w:lang w:eastAsia="bg-BG"/>
        </w:rPr>
        <w:t>9</w:t>
      </w:r>
      <w:r w:rsidRPr="009148EC">
        <w:rPr>
          <w:lang w:eastAsia="bg-BG"/>
        </w:rPr>
        <w:t xml:space="preserve">.2020 г. отчетеният от общините нетен размер на операциите по придобиване на дялове, акции и съучастия е в размер на (-0,6) млн. лв., а на предоставената възмездна финансова помощ </w:t>
      </w:r>
      <w:r w:rsidRPr="005F7237">
        <w:rPr>
          <w:lang w:eastAsia="bg-BG"/>
        </w:rPr>
        <w:t>(нето)</w:t>
      </w:r>
      <w:r w:rsidRPr="009148EC">
        <w:rPr>
          <w:lang w:eastAsia="bg-BG"/>
        </w:rPr>
        <w:t xml:space="preserve"> от общините е (-2,4) млн. лв. </w:t>
      </w:r>
    </w:p>
    <w:p w:rsidR="00C0241A" w:rsidRPr="009148EC" w:rsidRDefault="00C0241A" w:rsidP="00C0241A">
      <w:pPr>
        <w:ind w:firstLine="720"/>
        <w:jc w:val="both"/>
        <w:rPr>
          <w:lang w:eastAsia="bg-BG"/>
        </w:rPr>
      </w:pPr>
      <w:r w:rsidRPr="009148EC">
        <w:rPr>
          <w:lang w:eastAsia="bg-BG"/>
        </w:rPr>
        <w:t xml:space="preserve">Общините приключиха </w:t>
      </w:r>
      <w:r w:rsidR="00C62735" w:rsidRPr="00C62735">
        <w:rPr>
          <w:lang w:eastAsia="bg-BG"/>
        </w:rPr>
        <w:t xml:space="preserve">деветмесечието </w:t>
      </w:r>
      <w:r w:rsidRPr="009148EC">
        <w:rPr>
          <w:lang w:eastAsia="bg-BG"/>
        </w:rPr>
        <w:t>на 2020 г. с бюджетни наличности (по банкови сметки и в каса) в размер на 1 162,2 млн. лв., като 554,3 млн. лв. (47,7 %) са отчетени като остатък в делегираните от държавата дейности.</w:t>
      </w:r>
    </w:p>
    <w:p w:rsidR="00C0241A" w:rsidRPr="004A3BEC" w:rsidRDefault="00C0241A" w:rsidP="00C0241A">
      <w:pPr>
        <w:pStyle w:val="BodyText"/>
        <w:spacing w:after="120"/>
        <w:ind w:firstLine="567"/>
        <w:rPr>
          <w:color w:val="4F81BD" w:themeColor="accent1"/>
          <w:sz w:val="18"/>
          <w:szCs w:val="12"/>
        </w:rPr>
      </w:pPr>
    </w:p>
    <w:p w:rsidR="00C0241A" w:rsidRPr="009148EC" w:rsidRDefault="00C0241A" w:rsidP="00C0241A">
      <w:pPr>
        <w:pStyle w:val="Heading1"/>
        <w:spacing w:after="120"/>
        <w:ind w:left="568" w:right="-108"/>
        <w:jc w:val="both"/>
        <w:rPr>
          <w:sz w:val="24"/>
        </w:rPr>
      </w:pPr>
      <w:r w:rsidRPr="009148EC">
        <w:rPr>
          <w:sz w:val="24"/>
        </w:rPr>
        <w:t>4.3 Бюджети на Българската национална телевизия (БНТ), Българското национално радио (БНР) и Българската телеграфна агенция (БТА)</w:t>
      </w:r>
    </w:p>
    <w:p w:rsidR="00C0241A" w:rsidRPr="005F7237" w:rsidRDefault="00C0241A" w:rsidP="00C0241A">
      <w:pPr>
        <w:spacing w:before="240"/>
        <w:ind w:firstLine="567"/>
        <w:jc w:val="both"/>
        <w:rPr>
          <w:szCs w:val="20"/>
        </w:rPr>
      </w:pPr>
      <w:r w:rsidRPr="005F7237">
        <w:rPr>
          <w:b/>
          <w:color w:val="4F81BD" w:themeColor="accent1"/>
        </w:rPr>
        <w:t xml:space="preserve"> </w:t>
      </w:r>
      <w:r w:rsidRPr="005F7237">
        <w:rPr>
          <w:b/>
        </w:rPr>
        <w:t>Приходите на БНТ</w:t>
      </w:r>
      <w:r w:rsidRPr="005F7237">
        <w:t xml:space="preserve"> към 30.09.2020 г. са в размер на 3,5 млн. лв. при планирани за годината 7,5 млн. лв. или за отчетния период са постъпили 46,9 % от планираните за годината. По-ниският процент изпълнение на приходите се дължи на отчетени по-ниски постъпления от рекламна дейност. </w:t>
      </w:r>
      <w:r w:rsidRPr="005F7237">
        <w:rPr>
          <w:szCs w:val="20"/>
        </w:rPr>
        <w:t>Отчетените приходи са постъпления от продажби на услуги, стоки и продукция (реклама, спонсорство, технически услуги, почивно дело, продажба на програми) и</w:t>
      </w:r>
      <w:r w:rsidRPr="005F7237">
        <w:rPr>
          <w:b/>
          <w:szCs w:val="20"/>
        </w:rPr>
        <w:t xml:space="preserve"> </w:t>
      </w:r>
      <w:r w:rsidRPr="005F7237">
        <w:rPr>
          <w:szCs w:val="20"/>
        </w:rPr>
        <w:t xml:space="preserve">наеми на имущество. </w:t>
      </w:r>
    </w:p>
    <w:p w:rsidR="00C0241A" w:rsidRPr="00BC41BE" w:rsidRDefault="00C0241A" w:rsidP="00C0241A">
      <w:pPr>
        <w:spacing w:line="276" w:lineRule="auto"/>
        <w:ind w:firstLine="708"/>
        <w:jc w:val="both"/>
        <w:rPr>
          <w:szCs w:val="20"/>
        </w:rPr>
      </w:pPr>
      <w:r w:rsidRPr="006E7178">
        <w:t xml:space="preserve">Отчетените </w:t>
      </w:r>
      <w:r w:rsidRPr="006E7178">
        <w:rPr>
          <w:b/>
        </w:rPr>
        <w:t>разходи</w:t>
      </w:r>
      <w:r w:rsidRPr="006E7178">
        <w:t xml:space="preserve"> </w:t>
      </w:r>
      <w:r w:rsidRPr="006E7178">
        <w:rPr>
          <w:b/>
        </w:rPr>
        <w:t>на БНТ</w:t>
      </w:r>
      <w:r w:rsidRPr="006E7178">
        <w:t xml:space="preserve"> към 30.09.2020 г. са в размер на 52,9 млн. лв. или 66,9 % от предвидените разходи в годишния разчет. </w:t>
      </w:r>
      <w:r w:rsidRPr="006E7178">
        <w:rPr>
          <w:szCs w:val="20"/>
        </w:rPr>
        <w:t xml:space="preserve">За периода са отчетени 40,8 млн. лв. текущи разходи и 12,1 млн. лв. капиталови разходи. По бюджета на БНТ, в частта на финансирането са отчетени задължения по търговски кредит в размер на 2,4 млн. лв. (задължения за отстъпени права за излъчване на чужди програми) и погашения по търговски кредит в размер на 4,2 млн. лв. </w:t>
      </w:r>
      <w:r w:rsidRPr="00BC41BE">
        <w:rPr>
          <w:szCs w:val="20"/>
        </w:rPr>
        <w:t>(</w:t>
      </w:r>
      <w:r w:rsidRPr="00253A1C">
        <w:rPr>
          <w:szCs w:val="20"/>
        </w:rPr>
        <w:t>погашения на задължения по договори от предходната година за такси за разпространение на програмите – 2,0 млн. лв. и за отстъпени права за излъчване на чужди програми и придобиване на транспортни средства – 2,</w:t>
      </w:r>
      <w:proofErr w:type="spellStart"/>
      <w:r w:rsidRPr="00253A1C">
        <w:rPr>
          <w:szCs w:val="20"/>
        </w:rPr>
        <w:t>2</w:t>
      </w:r>
      <w:proofErr w:type="spellEnd"/>
      <w:r w:rsidRPr="00253A1C">
        <w:rPr>
          <w:szCs w:val="20"/>
        </w:rPr>
        <w:t xml:space="preserve"> млн. лв.</w:t>
      </w:r>
      <w:r w:rsidRPr="00BC41BE">
        <w:rPr>
          <w:szCs w:val="20"/>
        </w:rPr>
        <w:t>)</w:t>
      </w:r>
      <w:r w:rsidRPr="00253A1C">
        <w:rPr>
          <w:szCs w:val="20"/>
        </w:rPr>
        <w:t>.</w:t>
      </w:r>
    </w:p>
    <w:p w:rsidR="00C0241A" w:rsidRPr="004A3BEC" w:rsidRDefault="00C0241A" w:rsidP="00C0241A">
      <w:pPr>
        <w:ind w:firstLine="567"/>
        <w:jc w:val="both"/>
        <w:rPr>
          <w:color w:val="4F81BD" w:themeColor="accent1"/>
        </w:rPr>
      </w:pPr>
      <w:r w:rsidRPr="004A3BEC">
        <w:rPr>
          <w:color w:val="4F81BD" w:themeColor="accent1"/>
          <w:szCs w:val="20"/>
        </w:rPr>
        <w:t xml:space="preserve">  </w:t>
      </w:r>
      <w:r w:rsidRPr="006E7178">
        <w:rPr>
          <w:szCs w:val="20"/>
        </w:rPr>
        <w:t xml:space="preserve">В разпределението на разходите по бюджета на обществената медия е включен преходния остатък за 2019 г. (съгл. чл. 70, ал. 6 от Закона за радиото и телевизията) в размер на 0,7 млн. лв. 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rsidR="00C0241A" w:rsidRPr="006E7178" w:rsidRDefault="00C0241A" w:rsidP="00C0241A">
      <w:pPr>
        <w:spacing w:line="276" w:lineRule="auto"/>
        <w:ind w:firstLine="567"/>
        <w:jc w:val="both"/>
        <w:rPr>
          <w:szCs w:val="20"/>
        </w:rPr>
      </w:pPr>
      <w:r w:rsidRPr="006E7178">
        <w:t xml:space="preserve">Общо утвърдените </w:t>
      </w:r>
      <w:r w:rsidRPr="006E7178">
        <w:rPr>
          <w:b/>
          <w:i/>
        </w:rPr>
        <w:t>бюджетни взаимоотношения на БНТ с централния бюджет</w:t>
      </w:r>
      <w:r w:rsidRPr="006E7178">
        <w:t xml:space="preserve"> за 2020 г. са в размер на </w:t>
      </w:r>
      <w:r w:rsidRPr="006E7178">
        <w:rPr>
          <w:szCs w:val="20"/>
        </w:rPr>
        <w:t>70,9 млн. лв., съгласно чл. 48, т. 2 от ЗДБРБ за 2020 г.  За отчетния период е усвоена сума в размер на 53,</w:t>
      </w:r>
      <w:r w:rsidR="003A38E7">
        <w:rPr>
          <w:szCs w:val="20"/>
        </w:rPr>
        <w:t>1</w:t>
      </w:r>
      <w:r w:rsidRPr="006E7178">
        <w:rPr>
          <w:szCs w:val="20"/>
        </w:rPr>
        <w:t xml:space="preserve"> млн. лв. или </w:t>
      </w:r>
      <w:r w:rsidR="003A38E7">
        <w:rPr>
          <w:szCs w:val="20"/>
        </w:rPr>
        <w:t>74,9</w:t>
      </w:r>
      <w:r w:rsidRPr="006E7178">
        <w:rPr>
          <w:szCs w:val="20"/>
        </w:rPr>
        <w:t xml:space="preserve"> % от размера на определените със ЗДБРБ за 2020 г. бюджетни взаимоотношения на БНТ с централния бюджет.</w:t>
      </w:r>
    </w:p>
    <w:p w:rsidR="00C0241A" w:rsidRPr="004A3BEC" w:rsidRDefault="00C0241A" w:rsidP="00C0241A">
      <w:pPr>
        <w:spacing w:before="240"/>
        <w:ind w:firstLine="567"/>
        <w:jc w:val="both"/>
        <w:rPr>
          <w:color w:val="4F81BD" w:themeColor="accent1"/>
        </w:rPr>
      </w:pPr>
      <w:r w:rsidRPr="006E7178">
        <w:rPr>
          <w:b/>
        </w:rPr>
        <w:t>Приходите по бюджета на БНР</w:t>
      </w:r>
      <w:r w:rsidRPr="006E7178">
        <w:t xml:space="preserve"> към 30.09. 2020 г. са в размер на</w:t>
      </w:r>
      <w:r w:rsidRPr="00FB28AB">
        <w:t xml:space="preserve"> 0,8 млн. лв., което представлява 39,2 % от планираните за годината 2,1 млн. лв.</w:t>
      </w:r>
      <w:r w:rsidRPr="00FB28AB">
        <w:rPr>
          <w:szCs w:val="20"/>
        </w:rPr>
        <w:t xml:space="preserve"> По-ниският процент изпълнение на приходите се дължи на отчетени по-ниски постъпления от рекламна дейност. Отчетените приходи са постъпления от продажби на услуги, стоки и продукция (реклама, спонсорски съобщения, технически услуги, съвместни проекти, приходи от концертна дейност, лицензионна дейност и др.), наеми на имущество и др.</w:t>
      </w:r>
    </w:p>
    <w:p w:rsidR="00C0241A" w:rsidRPr="00FB28AB" w:rsidRDefault="00C0241A" w:rsidP="00C0241A">
      <w:pPr>
        <w:ind w:firstLine="567"/>
        <w:jc w:val="both"/>
        <w:rPr>
          <w:szCs w:val="20"/>
        </w:rPr>
      </w:pPr>
      <w:r w:rsidRPr="00FB28AB">
        <w:rPr>
          <w:szCs w:val="20"/>
        </w:rPr>
        <w:t xml:space="preserve">Изпълнението на </w:t>
      </w:r>
      <w:r w:rsidRPr="00FB28AB">
        <w:rPr>
          <w:b/>
          <w:szCs w:val="20"/>
        </w:rPr>
        <w:t>разходите</w:t>
      </w:r>
      <w:r w:rsidRPr="00FB28AB">
        <w:rPr>
          <w:szCs w:val="20"/>
        </w:rPr>
        <w:t xml:space="preserve"> </w:t>
      </w:r>
      <w:r w:rsidRPr="00FB28AB">
        <w:rPr>
          <w:b/>
          <w:szCs w:val="20"/>
        </w:rPr>
        <w:t>по бюджета на</w:t>
      </w:r>
      <w:r w:rsidRPr="00FB28AB">
        <w:rPr>
          <w:szCs w:val="20"/>
        </w:rPr>
        <w:t xml:space="preserve"> </w:t>
      </w:r>
      <w:r w:rsidRPr="00FB28AB">
        <w:rPr>
          <w:b/>
          <w:szCs w:val="20"/>
        </w:rPr>
        <w:t xml:space="preserve">БНР </w:t>
      </w:r>
      <w:r w:rsidRPr="00FB28AB">
        <w:rPr>
          <w:szCs w:val="20"/>
        </w:rPr>
        <w:t xml:space="preserve">възлиза на 34,7 млн. лв. или 69,7 % </w:t>
      </w:r>
      <w:r w:rsidRPr="00FB28AB">
        <w:t xml:space="preserve">от годишния разчет по ЗДБРБ за 2020 г. </w:t>
      </w:r>
      <w:r w:rsidRPr="00FB28AB">
        <w:rPr>
          <w:szCs w:val="20"/>
        </w:rPr>
        <w:t xml:space="preserve">За периода са отчетени 33,7 млн. лв. текущи разходи и 1,0 млн. лв. капиталови разходи. Средствата са усвоени за реализирането на основните цели и дейности на БНР по подготовката, създаването и разпространението на национални и </w:t>
      </w:r>
      <w:r w:rsidRPr="00FB28AB">
        <w:rPr>
          <w:szCs w:val="20"/>
        </w:rPr>
        <w:lastRenderedPageBreak/>
        <w:t xml:space="preserve">регионални програми съгласно разпоредбите на Закона за радиото и телевизията. В разпределението на разходите по бюджета на БНР е включен преходния остатък за 2019 г. (съгл. чл. 70, ал. 6 от Закона за радиото и телевизията) в размер на 0,3 млн. лева. </w:t>
      </w:r>
    </w:p>
    <w:p w:rsidR="00C0241A" w:rsidRPr="00FB28AB" w:rsidRDefault="00C0241A" w:rsidP="00C0241A">
      <w:pPr>
        <w:ind w:firstLine="567"/>
        <w:jc w:val="both"/>
        <w:rPr>
          <w:szCs w:val="20"/>
        </w:rPr>
      </w:pPr>
      <w:r w:rsidRPr="00FB28AB">
        <w:t>Общо утвърдените</w:t>
      </w:r>
      <w:r w:rsidRPr="00FB28AB">
        <w:rPr>
          <w:b/>
        </w:rPr>
        <w:t xml:space="preserve"> </w:t>
      </w:r>
      <w:r w:rsidRPr="00FB28AB">
        <w:rPr>
          <w:b/>
          <w:i/>
          <w:szCs w:val="20"/>
        </w:rPr>
        <w:t>бюджетни взаимоотношения на БНР с централния бюджет</w:t>
      </w:r>
      <w:r w:rsidRPr="00FB28AB">
        <w:rPr>
          <w:szCs w:val="20"/>
        </w:rPr>
        <w:t xml:space="preserve"> за 2020 г. са в размер на 47,0 млн. лв., съгласно чл. 48, т. 1 от ЗДБРБ за 2020 г.  За отчетния период е усвоена сума в размер на 36,8 млн. лв. или 78,2</w:t>
      </w:r>
      <w:r w:rsidR="00870074">
        <w:rPr>
          <w:szCs w:val="20"/>
        </w:rPr>
        <w:t xml:space="preserve"> </w:t>
      </w:r>
      <w:r w:rsidRPr="00FB28AB">
        <w:rPr>
          <w:szCs w:val="20"/>
        </w:rPr>
        <w:t>% от размера на определените със ЗДБРБ за 2020 г. бюджетни взаимоотношения на БНР с централния бюджет.</w:t>
      </w:r>
    </w:p>
    <w:p w:rsidR="00C0241A" w:rsidRPr="005F7237" w:rsidRDefault="00C0241A" w:rsidP="00C0241A">
      <w:pPr>
        <w:spacing w:before="240"/>
        <w:ind w:firstLine="567"/>
        <w:jc w:val="both"/>
        <w:rPr>
          <w:szCs w:val="20"/>
        </w:rPr>
      </w:pPr>
      <w:r w:rsidRPr="005F7237">
        <w:rPr>
          <w:b/>
          <w:szCs w:val="20"/>
        </w:rPr>
        <w:t xml:space="preserve">Приходите на БТА </w:t>
      </w:r>
      <w:r w:rsidRPr="005F7237">
        <w:rPr>
          <w:szCs w:val="20"/>
        </w:rPr>
        <w:t>към 30.09.2020 г. са 0,9 млн. лв. или 55,2 % от предвидените за годината, като това са основно постъпления от продажба на информационни продукти и услуги.</w:t>
      </w:r>
    </w:p>
    <w:p w:rsidR="00C0241A" w:rsidRPr="005F7237" w:rsidRDefault="00C0241A" w:rsidP="00C0241A">
      <w:pPr>
        <w:ind w:firstLine="567"/>
        <w:jc w:val="both"/>
        <w:rPr>
          <w:szCs w:val="20"/>
        </w:rPr>
      </w:pPr>
      <w:r w:rsidRPr="005F7237">
        <w:rPr>
          <w:b/>
          <w:szCs w:val="20"/>
        </w:rPr>
        <w:t xml:space="preserve">Отчетените разходи на </w:t>
      </w:r>
      <w:r w:rsidRPr="005F7237">
        <w:rPr>
          <w:szCs w:val="20"/>
        </w:rPr>
        <w:t>БТА за периода са 5,2 млн. лв., което е 70,1 % от годишния разчет за 2020 г.</w:t>
      </w:r>
    </w:p>
    <w:p w:rsidR="00C0241A" w:rsidRPr="005F7237" w:rsidRDefault="00C0241A" w:rsidP="00C0241A">
      <w:pPr>
        <w:ind w:firstLine="567"/>
        <w:jc w:val="both"/>
        <w:rPr>
          <w:sz w:val="18"/>
        </w:rPr>
      </w:pPr>
      <w:r w:rsidRPr="005F7237">
        <w:rPr>
          <w:szCs w:val="20"/>
        </w:rPr>
        <w:t>Общо утвърдените</w:t>
      </w:r>
      <w:r w:rsidRPr="005F7237">
        <w:rPr>
          <w:b/>
          <w:i/>
        </w:rPr>
        <w:t xml:space="preserve"> бюджетни взаимоотношения на БТА с централния бюджет</w:t>
      </w:r>
      <w:r w:rsidRPr="005F7237">
        <w:rPr>
          <w:szCs w:val="20"/>
        </w:rPr>
        <w:t xml:space="preserve"> за 2020 г. са в размер на 5,8 млн. лв. Отчетените трансфери са в размер</w:t>
      </w:r>
      <w:r w:rsidRPr="005F7237">
        <w:rPr>
          <w:b/>
          <w:szCs w:val="20"/>
        </w:rPr>
        <w:t xml:space="preserve"> </w:t>
      </w:r>
      <w:r w:rsidRPr="005F7237">
        <w:rPr>
          <w:szCs w:val="20"/>
        </w:rPr>
        <w:t xml:space="preserve">на 4,3 млн. лв. или 74,4 % от средствата, определени за БТА със ЗДБРБ за 2020 година. </w:t>
      </w:r>
    </w:p>
    <w:p w:rsidR="00463AAA" w:rsidRPr="004A3BEC" w:rsidRDefault="00463AAA" w:rsidP="00844C3E">
      <w:pPr>
        <w:jc w:val="both"/>
        <w:rPr>
          <w:color w:val="4F81BD" w:themeColor="accent1"/>
          <w:szCs w:val="20"/>
        </w:rPr>
      </w:pPr>
    </w:p>
    <w:p w:rsidR="00053B0F" w:rsidRPr="004A3BEC" w:rsidRDefault="00053B0F" w:rsidP="00053B0F">
      <w:pPr>
        <w:pStyle w:val="Title"/>
        <w:jc w:val="both"/>
        <w:rPr>
          <w:color w:val="4F81BD" w:themeColor="accent1"/>
          <w:sz w:val="18"/>
        </w:rPr>
      </w:pPr>
    </w:p>
    <w:p w:rsidR="00E81A7F" w:rsidRPr="006147D5" w:rsidRDefault="00053B0F" w:rsidP="00053B0F">
      <w:pPr>
        <w:pStyle w:val="Title"/>
        <w:jc w:val="both"/>
        <w:rPr>
          <w:lang w:val="en-US"/>
        </w:rPr>
      </w:pPr>
      <w:r w:rsidRPr="006147D5">
        <w:t xml:space="preserve">Министерство на финансите, </w:t>
      </w:r>
      <w:r w:rsidR="006147D5" w:rsidRPr="006147D5">
        <w:t xml:space="preserve">ноември </w:t>
      </w:r>
      <w:r w:rsidRPr="006147D5">
        <w:t>20</w:t>
      </w:r>
      <w:r w:rsidR="00792BF4" w:rsidRPr="006147D5">
        <w:t>20</w:t>
      </w:r>
      <w:r w:rsidRPr="006147D5">
        <w:t xml:space="preserve"> г.</w:t>
      </w:r>
    </w:p>
    <w:p w:rsidR="00BE00EA" w:rsidRPr="004A3BEC" w:rsidRDefault="00BE00EA" w:rsidP="00053B0F">
      <w:pPr>
        <w:pStyle w:val="Title"/>
        <w:jc w:val="both"/>
        <w:rPr>
          <w:color w:val="4F81BD" w:themeColor="accent1"/>
          <w:lang w:val="en-US"/>
        </w:rPr>
      </w:pPr>
    </w:p>
    <w:p w:rsidR="00BE00EA" w:rsidRPr="004A3BEC" w:rsidRDefault="00BE00EA" w:rsidP="00053B0F">
      <w:pPr>
        <w:pStyle w:val="Title"/>
        <w:jc w:val="both"/>
        <w:rPr>
          <w:color w:val="4F81BD" w:themeColor="accent1"/>
          <w:lang w:val="en-US"/>
        </w:rPr>
      </w:pPr>
    </w:p>
    <w:p w:rsidR="00BE00EA" w:rsidRDefault="00BE00EA" w:rsidP="00053B0F">
      <w:pPr>
        <w:pStyle w:val="Title"/>
        <w:jc w:val="both"/>
        <w:rPr>
          <w:color w:val="4F81BD" w:themeColor="accent1"/>
        </w:rPr>
      </w:pPr>
    </w:p>
    <w:p w:rsidR="00524292" w:rsidRDefault="00524292" w:rsidP="00053B0F">
      <w:pPr>
        <w:pStyle w:val="Title"/>
        <w:jc w:val="both"/>
        <w:rPr>
          <w:color w:val="4F81BD" w:themeColor="accent1"/>
        </w:rPr>
      </w:pPr>
    </w:p>
    <w:p w:rsidR="00524292" w:rsidRDefault="00524292" w:rsidP="00053B0F">
      <w:pPr>
        <w:pStyle w:val="Title"/>
        <w:jc w:val="both"/>
        <w:rPr>
          <w:color w:val="4F81BD" w:themeColor="accent1"/>
        </w:rPr>
      </w:pPr>
    </w:p>
    <w:p w:rsidR="00524292" w:rsidRPr="00524292" w:rsidRDefault="00524292" w:rsidP="00053B0F">
      <w:pPr>
        <w:pStyle w:val="Title"/>
        <w:jc w:val="both"/>
        <w:rPr>
          <w:color w:val="4F81BD" w:themeColor="accent1"/>
        </w:rPr>
      </w:pPr>
    </w:p>
    <w:p w:rsidR="00E81A7F" w:rsidRPr="004A3BEC" w:rsidRDefault="00E81A7F" w:rsidP="00053B0F">
      <w:pPr>
        <w:pStyle w:val="Title"/>
        <w:jc w:val="both"/>
        <w:rPr>
          <w:color w:val="4F81BD" w:themeColor="accent1"/>
          <w:lang w:val="en-US"/>
        </w:rPr>
      </w:pPr>
    </w:p>
    <w:sectPr w:rsidR="00E81A7F" w:rsidRPr="004A3BEC" w:rsidSect="00944338">
      <w:footerReference w:type="even" r:id="rId10"/>
      <w:footerReference w:type="default" r:id="rId11"/>
      <w:endnotePr>
        <w:numFmt w:val="decimal"/>
      </w:endnotePr>
      <w:type w:val="continuous"/>
      <w:pgSz w:w="11906" w:h="16838"/>
      <w:pgMar w:top="709" w:right="991" w:bottom="426"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1D1" w:rsidRDefault="000F61D1">
      <w:r>
        <w:separator/>
      </w:r>
    </w:p>
  </w:endnote>
  <w:endnote w:type="continuationSeparator" w:id="0">
    <w:p w:rsidR="000F61D1" w:rsidRDefault="000F61D1">
      <w:r>
        <w:continuationSeparator/>
      </w:r>
    </w:p>
  </w:endnote>
  <w:endnote w:type="continuationNotice" w:id="1">
    <w:p w:rsidR="000F61D1" w:rsidRDefault="000F61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utura Bk">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1D1" w:rsidRDefault="000F61D1"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61D1" w:rsidRDefault="000F61D1" w:rsidP="00A741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1D1" w:rsidRDefault="000F61D1"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1BE2">
      <w:rPr>
        <w:rStyle w:val="PageNumber"/>
        <w:noProof/>
      </w:rPr>
      <w:t>28</w:t>
    </w:r>
    <w:r>
      <w:rPr>
        <w:rStyle w:val="PageNumber"/>
      </w:rPr>
      <w:fldChar w:fldCharType="end"/>
    </w:r>
  </w:p>
  <w:p w:rsidR="000F61D1" w:rsidRDefault="000F61D1" w:rsidP="00A741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1D1" w:rsidRDefault="000F61D1">
      <w:r>
        <w:separator/>
      </w:r>
    </w:p>
  </w:footnote>
  <w:footnote w:type="continuationSeparator" w:id="0">
    <w:p w:rsidR="000F61D1" w:rsidRDefault="000F61D1">
      <w:r>
        <w:continuationSeparator/>
      </w:r>
    </w:p>
  </w:footnote>
  <w:footnote w:type="continuationNotice" w:id="1">
    <w:p w:rsidR="000F61D1" w:rsidRDefault="000F61D1"/>
  </w:footnote>
  <w:footnote w:id="2">
    <w:p w:rsidR="000F61D1" w:rsidRDefault="000F61D1" w:rsidP="00D00AB4">
      <w:pPr>
        <w:pStyle w:val="FootnoteText"/>
        <w:jc w:val="both"/>
      </w:pPr>
      <w:r>
        <w:rPr>
          <w:rStyle w:val="FootnoteReference"/>
        </w:rPr>
        <w:footnoteRef/>
      </w:r>
      <w:r>
        <w:t xml:space="preserve"> </w:t>
      </w:r>
      <w:r w:rsidRPr="00335B65">
        <w:rPr>
          <w:sz w:val="18"/>
          <w:szCs w:val="16"/>
          <w:lang w:val="bg-BG"/>
        </w:rPr>
        <w:t xml:space="preserve">Обхваща държавния бюджет и бюджетите на общините, социалноосигурителните фондове, ДВУ, БАН, БНР, БНТ, БТА, бюджетите по чл.14, ал.4 от ЗПФ, както и сметките за средствата от ЕС и сметките за чужди средства на бюджетните организации. </w:t>
      </w:r>
    </w:p>
  </w:footnote>
  <w:footnote w:id="3">
    <w:p w:rsidR="000F61D1" w:rsidRPr="00B70BD3" w:rsidRDefault="000F61D1" w:rsidP="00103EDE">
      <w:pPr>
        <w:pStyle w:val="FootnoteText"/>
        <w:jc w:val="both"/>
        <w:rPr>
          <w:sz w:val="18"/>
          <w:szCs w:val="18"/>
        </w:rPr>
      </w:pPr>
      <w:r w:rsidRPr="00B70BD3">
        <w:rPr>
          <w:rStyle w:val="FootnoteReference"/>
          <w:sz w:val="18"/>
          <w:szCs w:val="18"/>
        </w:rPr>
        <w:footnoteRef/>
      </w:r>
      <w:r w:rsidRPr="00B70BD3">
        <w:rPr>
          <w:sz w:val="18"/>
          <w:szCs w:val="18"/>
        </w:rPr>
        <w:t xml:space="preserve"> </w:t>
      </w:r>
      <w:r w:rsidRPr="00B70BD3">
        <w:rPr>
          <w:sz w:val="18"/>
          <w:szCs w:val="18"/>
          <w:lang w:val="bg-BG"/>
        </w:rPr>
        <w:t>Поради извършено закръгление в млн. лв., някои сумарни позиции в Таблица №1</w:t>
      </w:r>
      <w:r>
        <w:rPr>
          <w:sz w:val="18"/>
          <w:szCs w:val="18"/>
          <w:lang w:val="bg-BG"/>
        </w:rPr>
        <w:t>,</w:t>
      </w:r>
      <w:r w:rsidRPr="00B70BD3">
        <w:rPr>
          <w:sz w:val="18"/>
          <w:szCs w:val="18"/>
          <w:lang w:val="bg-BG"/>
        </w:rPr>
        <w:t xml:space="preserve"> Таблица  №2</w:t>
      </w:r>
      <w:r>
        <w:rPr>
          <w:sz w:val="18"/>
          <w:szCs w:val="18"/>
          <w:lang w:val="bg-BG"/>
        </w:rPr>
        <w:t xml:space="preserve"> и в текста </w:t>
      </w:r>
      <w:r w:rsidRPr="00B70BD3">
        <w:rPr>
          <w:sz w:val="18"/>
          <w:szCs w:val="18"/>
          <w:lang w:val="bg-BG"/>
        </w:rPr>
        <w:t>не се изчерпват от съставните им числа.</w:t>
      </w:r>
    </w:p>
  </w:footnote>
  <w:footnote w:id="4">
    <w:p w:rsidR="000F61D1" w:rsidRPr="003F3760" w:rsidRDefault="000F61D1" w:rsidP="00103EDE">
      <w:pPr>
        <w:pStyle w:val="FootnoteText"/>
        <w:rPr>
          <w:lang w:val="bg-BG"/>
        </w:rPr>
      </w:pPr>
      <w:r w:rsidRPr="002734B2">
        <w:rPr>
          <w:rStyle w:val="FootnoteReference"/>
          <w:lang w:val="bg-BG"/>
        </w:rPr>
        <w:footnoteRef/>
      </w:r>
      <w:r w:rsidRPr="002734B2">
        <w:rPr>
          <w:lang w:val="bg-BG"/>
        </w:rPr>
        <w:t xml:space="preserve"> </w:t>
      </w:r>
      <w:r w:rsidRPr="002734B2">
        <w:rPr>
          <w:sz w:val="18"/>
          <w:lang w:val="bg-BG"/>
        </w:rPr>
        <w:t>Разчети към ЗИД на ЗДБРБ за 2020 г. (</w:t>
      </w:r>
      <w:proofErr w:type="spellStart"/>
      <w:r w:rsidRPr="002734B2">
        <w:rPr>
          <w:sz w:val="18"/>
          <w:lang w:val="bg-BG"/>
        </w:rPr>
        <w:t>Обн</w:t>
      </w:r>
      <w:proofErr w:type="spellEnd"/>
      <w:r w:rsidRPr="002734B2">
        <w:rPr>
          <w:sz w:val="18"/>
          <w:lang w:val="bg-BG"/>
        </w:rPr>
        <w:t>., ДВ, бр. 34 от 2020 г., в сила от 09.04.2020 г.)</w:t>
      </w:r>
    </w:p>
  </w:footnote>
  <w:footnote w:id="5">
    <w:p w:rsidR="000F61D1" w:rsidRPr="00E74802" w:rsidRDefault="000F61D1" w:rsidP="00103EDE">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6">
    <w:p w:rsidR="000F61D1" w:rsidRPr="00DF79A3" w:rsidRDefault="000F61D1" w:rsidP="00103EDE">
      <w:pPr>
        <w:pStyle w:val="FootnoteText"/>
        <w:rPr>
          <w:lang w:val="bg-BG"/>
        </w:rPr>
      </w:pPr>
      <w:r w:rsidRPr="00E60ABC">
        <w:rPr>
          <w:rStyle w:val="FootnoteReference"/>
          <w:sz w:val="18"/>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7">
    <w:p w:rsidR="000F61D1" w:rsidRPr="00BA6AD2" w:rsidRDefault="000F61D1" w:rsidP="00103EDE">
      <w:pPr>
        <w:pStyle w:val="FootnoteText"/>
        <w:jc w:val="both"/>
        <w:rPr>
          <w:sz w:val="18"/>
          <w:szCs w:val="18"/>
          <w:lang w:val="bg-BG"/>
        </w:rPr>
      </w:pPr>
      <w:r w:rsidRPr="00182A94">
        <w:rPr>
          <w:rStyle w:val="FootnoteReference"/>
          <w:sz w:val="18"/>
          <w:szCs w:val="18"/>
          <w:lang w:val="bg-BG"/>
        </w:rPr>
        <w:footnoteRef/>
      </w:r>
      <w:r w:rsidRPr="00182A94">
        <w:rPr>
          <w:sz w:val="18"/>
          <w:szCs w:val="18"/>
          <w:lang w:val="bg-BG"/>
        </w:rPr>
        <w:t xml:space="preserve"> Поради извършено закръгление в млн. лв., някои сумарни позиции в Таблица №1</w:t>
      </w:r>
      <w:r>
        <w:rPr>
          <w:sz w:val="18"/>
          <w:szCs w:val="18"/>
          <w:lang w:val="bg-BG"/>
        </w:rPr>
        <w:t xml:space="preserve">, </w:t>
      </w:r>
      <w:r w:rsidRPr="00182A94">
        <w:rPr>
          <w:sz w:val="18"/>
          <w:szCs w:val="18"/>
          <w:lang w:val="bg-BG"/>
        </w:rPr>
        <w:t>Таблица №</w:t>
      </w:r>
      <w:r>
        <w:rPr>
          <w:sz w:val="18"/>
          <w:szCs w:val="18"/>
          <w:lang w:val="bg-BG"/>
        </w:rPr>
        <w:t>2</w:t>
      </w:r>
      <w:r w:rsidRPr="00182A94">
        <w:rPr>
          <w:sz w:val="18"/>
          <w:szCs w:val="18"/>
          <w:lang w:val="bg-BG"/>
        </w:rPr>
        <w:t xml:space="preserve"> и в текста не се изчерпват от </w:t>
      </w:r>
      <w:r w:rsidRPr="00BA6AD2">
        <w:rPr>
          <w:sz w:val="18"/>
          <w:szCs w:val="18"/>
          <w:lang w:val="bg-BG"/>
        </w:rPr>
        <w:t>съставните им числа.</w:t>
      </w:r>
    </w:p>
  </w:footnote>
  <w:footnote w:id="8">
    <w:p w:rsidR="000F61D1" w:rsidRPr="00AB5027" w:rsidRDefault="000F61D1" w:rsidP="00103EDE">
      <w:pPr>
        <w:pStyle w:val="FootnoteText"/>
        <w:rPr>
          <w:sz w:val="18"/>
        </w:rPr>
      </w:pPr>
      <w:r w:rsidRPr="00A6085D">
        <w:rPr>
          <w:rStyle w:val="FootnoteReference"/>
          <w:sz w:val="18"/>
        </w:rPr>
        <w:footnoteRef/>
      </w:r>
      <w:r w:rsidRPr="00A6085D">
        <w:rPr>
          <w:sz w:val="18"/>
        </w:rPr>
        <w:t xml:space="preserve"> </w:t>
      </w:r>
      <w:proofErr w:type="spellStart"/>
      <w:r w:rsidRPr="00A6085D">
        <w:rPr>
          <w:sz w:val="18"/>
        </w:rPr>
        <w:t>Разчети</w:t>
      </w:r>
      <w:proofErr w:type="spellEnd"/>
      <w:r w:rsidRPr="00A6085D">
        <w:rPr>
          <w:sz w:val="18"/>
        </w:rPr>
        <w:t xml:space="preserve"> </w:t>
      </w:r>
      <w:proofErr w:type="spellStart"/>
      <w:r w:rsidRPr="00A6085D">
        <w:rPr>
          <w:sz w:val="18"/>
        </w:rPr>
        <w:t>към</w:t>
      </w:r>
      <w:proofErr w:type="spellEnd"/>
      <w:r w:rsidRPr="00A6085D">
        <w:rPr>
          <w:sz w:val="18"/>
        </w:rPr>
        <w:t xml:space="preserve"> ЗИД на ЗДБРБ </w:t>
      </w:r>
      <w:proofErr w:type="spellStart"/>
      <w:r w:rsidRPr="00A6085D">
        <w:rPr>
          <w:sz w:val="18"/>
        </w:rPr>
        <w:t>за</w:t>
      </w:r>
      <w:proofErr w:type="spellEnd"/>
      <w:r w:rsidRPr="00A6085D">
        <w:rPr>
          <w:sz w:val="18"/>
        </w:rPr>
        <w:t xml:space="preserve"> 2020 г. (Обн., ДВ, </w:t>
      </w:r>
      <w:proofErr w:type="spellStart"/>
      <w:r w:rsidRPr="00A6085D">
        <w:rPr>
          <w:sz w:val="18"/>
        </w:rPr>
        <w:t>бр</w:t>
      </w:r>
      <w:proofErr w:type="spellEnd"/>
      <w:r w:rsidRPr="00A6085D">
        <w:rPr>
          <w:sz w:val="18"/>
        </w:rPr>
        <w:t xml:space="preserve">. 34 </w:t>
      </w:r>
      <w:proofErr w:type="spellStart"/>
      <w:r w:rsidRPr="00A6085D">
        <w:rPr>
          <w:sz w:val="18"/>
        </w:rPr>
        <w:t>от</w:t>
      </w:r>
      <w:proofErr w:type="spellEnd"/>
      <w:r w:rsidRPr="00A6085D">
        <w:rPr>
          <w:sz w:val="18"/>
        </w:rPr>
        <w:t xml:space="preserve"> 2020 г., в </w:t>
      </w:r>
      <w:proofErr w:type="spellStart"/>
      <w:r w:rsidRPr="00A6085D">
        <w:rPr>
          <w:sz w:val="18"/>
        </w:rPr>
        <w:t>сила</w:t>
      </w:r>
      <w:proofErr w:type="spellEnd"/>
      <w:r w:rsidRPr="00A6085D">
        <w:rPr>
          <w:sz w:val="18"/>
        </w:rPr>
        <w:t xml:space="preserve"> </w:t>
      </w:r>
      <w:proofErr w:type="spellStart"/>
      <w:r w:rsidRPr="00A6085D">
        <w:rPr>
          <w:sz w:val="18"/>
        </w:rPr>
        <w:t>от</w:t>
      </w:r>
      <w:proofErr w:type="spellEnd"/>
      <w:r w:rsidRPr="00A6085D">
        <w:rPr>
          <w:sz w:val="18"/>
        </w:rPr>
        <w:t xml:space="preserve"> 09.04.2020 г.)</w:t>
      </w:r>
    </w:p>
  </w:footnote>
  <w:footnote w:id="9">
    <w:p w:rsidR="000F61D1" w:rsidRPr="006C2AFF" w:rsidRDefault="000F61D1" w:rsidP="00103EDE">
      <w:pPr>
        <w:pStyle w:val="FootnoteText"/>
        <w:jc w:val="both"/>
        <w:rPr>
          <w:sz w:val="18"/>
          <w:szCs w:val="18"/>
        </w:rPr>
      </w:pPr>
      <w:r w:rsidRPr="00EB7087">
        <w:rPr>
          <w:rStyle w:val="FootnoteReference"/>
        </w:rPr>
        <w:footnoteRef/>
      </w:r>
      <w:r w:rsidRPr="00B94753">
        <w:rPr>
          <w:sz w:val="18"/>
          <w:szCs w:val="18"/>
        </w:rPr>
        <w:t xml:space="preserve"> </w:t>
      </w:r>
      <w:proofErr w:type="gramStart"/>
      <w:r w:rsidRPr="00B94753">
        <w:rPr>
          <w:sz w:val="18"/>
          <w:szCs w:val="18"/>
        </w:rPr>
        <w:t xml:space="preserve">В </w:t>
      </w:r>
      <w:proofErr w:type="spellStart"/>
      <w:r w:rsidRPr="00B94753">
        <w:rPr>
          <w:sz w:val="18"/>
          <w:szCs w:val="18"/>
        </w:rPr>
        <w:t>позицията</w:t>
      </w:r>
      <w:proofErr w:type="spellEnd"/>
      <w:r w:rsidRPr="00B94753">
        <w:rPr>
          <w:sz w:val="18"/>
          <w:szCs w:val="18"/>
        </w:rPr>
        <w:t xml:space="preserve"> "</w:t>
      </w:r>
      <w:proofErr w:type="spellStart"/>
      <w:r w:rsidRPr="00B94753">
        <w:rPr>
          <w:sz w:val="18"/>
          <w:szCs w:val="18"/>
        </w:rPr>
        <w:t>Резерв</w:t>
      </w:r>
      <w:proofErr w:type="spellEnd"/>
      <w:r w:rsidRPr="00B94753">
        <w:rPr>
          <w:sz w:val="18"/>
          <w:szCs w:val="18"/>
        </w:rPr>
        <w:t xml:space="preserve"> </w:t>
      </w:r>
      <w:proofErr w:type="spellStart"/>
      <w:r w:rsidRPr="00B94753">
        <w:rPr>
          <w:sz w:val="18"/>
          <w:szCs w:val="18"/>
        </w:rPr>
        <w:t>за</w:t>
      </w:r>
      <w:proofErr w:type="spellEnd"/>
      <w:r w:rsidRPr="00B94753">
        <w:rPr>
          <w:sz w:val="18"/>
          <w:szCs w:val="18"/>
        </w:rPr>
        <w:t xml:space="preserve"> </w:t>
      </w:r>
      <w:proofErr w:type="spellStart"/>
      <w:r w:rsidRPr="00B94753">
        <w:rPr>
          <w:sz w:val="18"/>
          <w:szCs w:val="18"/>
        </w:rPr>
        <w:t>непредвидени</w:t>
      </w:r>
      <w:proofErr w:type="spellEnd"/>
      <w:r w:rsidRPr="00B94753">
        <w:rPr>
          <w:sz w:val="18"/>
          <w:szCs w:val="18"/>
        </w:rPr>
        <w:t xml:space="preserve"> и </w:t>
      </w:r>
      <w:proofErr w:type="spellStart"/>
      <w:r w:rsidRPr="00B94753">
        <w:rPr>
          <w:sz w:val="18"/>
          <w:szCs w:val="18"/>
        </w:rPr>
        <w:t>неотложни</w:t>
      </w:r>
      <w:proofErr w:type="spellEnd"/>
      <w:r w:rsidRPr="00B94753">
        <w:rPr>
          <w:sz w:val="18"/>
          <w:szCs w:val="18"/>
        </w:rPr>
        <w:t xml:space="preserve"> </w:t>
      </w:r>
      <w:proofErr w:type="spellStart"/>
      <w:r w:rsidRPr="00B94753">
        <w:rPr>
          <w:sz w:val="18"/>
          <w:szCs w:val="18"/>
        </w:rPr>
        <w:t>разходи</w:t>
      </w:r>
      <w:proofErr w:type="spellEnd"/>
      <w:r w:rsidRPr="00B94753">
        <w:rPr>
          <w:sz w:val="18"/>
          <w:szCs w:val="18"/>
        </w:rPr>
        <w:t xml:space="preserve">" </w:t>
      </w:r>
      <w:proofErr w:type="spellStart"/>
      <w:r w:rsidRPr="00B94753">
        <w:rPr>
          <w:sz w:val="18"/>
          <w:szCs w:val="18"/>
        </w:rPr>
        <w:t>се</w:t>
      </w:r>
      <w:proofErr w:type="spellEnd"/>
      <w:r w:rsidRPr="00B94753">
        <w:rPr>
          <w:sz w:val="18"/>
          <w:szCs w:val="18"/>
        </w:rPr>
        <w:t xml:space="preserve"> </w:t>
      </w:r>
      <w:proofErr w:type="spellStart"/>
      <w:r w:rsidRPr="00B94753">
        <w:rPr>
          <w:sz w:val="18"/>
          <w:szCs w:val="18"/>
        </w:rPr>
        <w:t>посочват</w:t>
      </w:r>
      <w:proofErr w:type="spellEnd"/>
      <w:r w:rsidRPr="00B94753">
        <w:rPr>
          <w:sz w:val="18"/>
          <w:szCs w:val="18"/>
        </w:rPr>
        <w:t xml:space="preserve"> </w:t>
      </w:r>
      <w:proofErr w:type="spellStart"/>
      <w:r w:rsidRPr="00B94753">
        <w:rPr>
          <w:sz w:val="18"/>
          <w:szCs w:val="18"/>
        </w:rPr>
        <w:t>само</w:t>
      </w:r>
      <w:proofErr w:type="spellEnd"/>
      <w:r w:rsidRPr="00B94753">
        <w:rPr>
          <w:sz w:val="18"/>
          <w:szCs w:val="18"/>
        </w:rPr>
        <w:t xml:space="preserve"> </w:t>
      </w:r>
      <w:proofErr w:type="spellStart"/>
      <w:r w:rsidRPr="00B94753">
        <w:rPr>
          <w:sz w:val="18"/>
          <w:szCs w:val="18"/>
        </w:rPr>
        <w:t>данните</w:t>
      </w:r>
      <w:proofErr w:type="spellEnd"/>
      <w:r w:rsidRPr="00B94753">
        <w:rPr>
          <w:sz w:val="18"/>
          <w:szCs w:val="18"/>
        </w:rPr>
        <w:t xml:space="preserve"> </w:t>
      </w:r>
      <w:proofErr w:type="spellStart"/>
      <w:r w:rsidRPr="00B94753">
        <w:rPr>
          <w:sz w:val="18"/>
          <w:szCs w:val="18"/>
        </w:rPr>
        <w:t>по</w:t>
      </w:r>
      <w:proofErr w:type="spellEnd"/>
      <w:r w:rsidRPr="00B94753">
        <w:rPr>
          <w:sz w:val="18"/>
          <w:szCs w:val="18"/>
        </w:rPr>
        <w:t xml:space="preserve"> </w:t>
      </w:r>
      <w:proofErr w:type="spellStart"/>
      <w:r w:rsidRPr="00B94753">
        <w:rPr>
          <w:sz w:val="18"/>
          <w:szCs w:val="18"/>
        </w:rPr>
        <w:t>разчет</w:t>
      </w:r>
      <w:proofErr w:type="spellEnd"/>
      <w:r w:rsidRPr="00B94753">
        <w:rPr>
          <w:sz w:val="18"/>
          <w:szCs w:val="18"/>
        </w:rPr>
        <w:t>.</w:t>
      </w:r>
      <w:proofErr w:type="gramEnd"/>
      <w:r w:rsidRPr="00B94753">
        <w:rPr>
          <w:sz w:val="18"/>
          <w:szCs w:val="18"/>
        </w:rPr>
        <w:t xml:space="preserve"> </w:t>
      </w:r>
      <w:proofErr w:type="spellStart"/>
      <w:proofErr w:type="gramStart"/>
      <w:r w:rsidRPr="00B94753">
        <w:rPr>
          <w:sz w:val="18"/>
          <w:szCs w:val="18"/>
        </w:rPr>
        <w:t>Разходите</w:t>
      </w:r>
      <w:proofErr w:type="spellEnd"/>
      <w:r w:rsidRPr="00B94753">
        <w:rPr>
          <w:sz w:val="18"/>
          <w:szCs w:val="18"/>
        </w:rPr>
        <w:t xml:space="preserve"> </w:t>
      </w:r>
      <w:proofErr w:type="spellStart"/>
      <w:r w:rsidRPr="00B94753">
        <w:rPr>
          <w:sz w:val="18"/>
          <w:szCs w:val="18"/>
        </w:rPr>
        <w:t>по</w:t>
      </w:r>
      <w:proofErr w:type="spellEnd"/>
      <w:r w:rsidRPr="00B94753">
        <w:rPr>
          <w:sz w:val="18"/>
          <w:szCs w:val="18"/>
        </w:rPr>
        <w:t xml:space="preserve"> </w:t>
      </w:r>
      <w:proofErr w:type="spellStart"/>
      <w:r w:rsidRPr="00B94753">
        <w:rPr>
          <w:sz w:val="18"/>
          <w:szCs w:val="18"/>
        </w:rPr>
        <w:t>отчет</w:t>
      </w:r>
      <w:proofErr w:type="spellEnd"/>
      <w:r w:rsidRPr="00B94753">
        <w:rPr>
          <w:sz w:val="18"/>
          <w:szCs w:val="18"/>
        </w:rPr>
        <w:t xml:space="preserve"> </w:t>
      </w:r>
      <w:proofErr w:type="spellStart"/>
      <w:r w:rsidRPr="00B94753">
        <w:rPr>
          <w:sz w:val="18"/>
          <w:szCs w:val="18"/>
        </w:rPr>
        <w:t>се</w:t>
      </w:r>
      <w:proofErr w:type="spellEnd"/>
      <w:r w:rsidRPr="00B94753">
        <w:rPr>
          <w:sz w:val="18"/>
          <w:szCs w:val="18"/>
        </w:rPr>
        <w:t xml:space="preserve"> </w:t>
      </w:r>
      <w:proofErr w:type="spellStart"/>
      <w:r w:rsidRPr="00B94753">
        <w:rPr>
          <w:sz w:val="18"/>
          <w:szCs w:val="18"/>
        </w:rPr>
        <w:t>отразяват</w:t>
      </w:r>
      <w:proofErr w:type="spellEnd"/>
      <w:r w:rsidRPr="00B94753">
        <w:rPr>
          <w:sz w:val="18"/>
          <w:szCs w:val="18"/>
        </w:rPr>
        <w:t xml:space="preserve"> </w:t>
      </w:r>
      <w:proofErr w:type="spellStart"/>
      <w:r w:rsidRPr="00B94753">
        <w:rPr>
          <w:sz w:val="18"/>
          <w:szCs w:val="18"/>
        </w:rPr>
        <w:t>по</w:t>
      </w:r>
      <w:proofErr w:type="spellEnd"/>
      <w:r w:rsidRPr="00B94753">
        <w:rPr>
          <w:sz w:val="18"/>
          <w:szCs w:val="18"/>
        </w:rPr>
        <w:t xml:space="preserve"> </w:t>
      </w:r>
      <w:proofErr w:type="spellStart"/>
      <w:r w:rsidRPr="00B94753">
        <w:rPr>
          <w:sz w:val="18"/>
          <w:szCs w:val="18"/>
        </w:rPr>
        <w:t>съответните</w:t>
      </w:r>
      <w:proofErr w:type="spellEnd"/>
      <w:r w:rsidRPr="00B94753">
        <w:rPr>
          <w:sz w:val="18"/>
          <w:szCs w:val="18"/>
        </w:rPr>
        <w:t xml:space="preserve"> </w:t>
      </w:r>
      <w:proofErr w:type="spellStart"/>
      <w:r w:rsidRPr="00B94753">
        <w:rPr>
          <w:sz w:val="18"/>
          <w:szCs w:val="18"/>
        </w:rPr>
        <w:t>разходни</w:t>
      </w:r>
      <w:proofErr w:type="spellEnd"/>
      <w:r w:rsidRPr="00B94753">
        <w:rPr>
          <w:sz w:val="18"/>
          <w:szCs w:val="18"/>
        </w:rPr>
        <w:t xml:space="preserve"> </w:t>
      </w:r>
      <w:proofErr w:type="spellStart"/>
      <w:r w:rsidRPr="00B94753">
        <w:rPr>
          <w:sz w:val="18"/>
          <w:szCs w:val="18"/>
        </w:rPr>
        <w:t>позиции</w:t>
      </w:r>
      <w:proofErr w:type="spellEnd"/>
      <w:r w:rsidRPr="00B94753">
        <w:rPr>
          <w:sz w:val="18"/>
          <w:szCs w:val="18"/>
        </w:rPr>
        <w:t xml:space="preserve">, </w:t>
      </w:r>
      <w:proofErr w:type="spellStart"/>
      <w:r w:rsidRPr="00B94753">
        <w:rPr>
          <w:sz w:val="18"/>
          <w:szCs w:val="18"/>
        </w:rPr>
        <w:t>към</w:t>
      </w:r>
      <w:proofErr w:type="spellEnd"/>
      <w:r w:rsidRPr="00B94753">
        <w:rPr>
          <w:sz w:val="18"/>
          <w:szCs w:val="18"/>
        </w:rPr>
        <w:t xml:space="preserve"> </w:t>
      </w:r>
      <w:proofErr w:type="spellStart"/>
      <w:r w:rsidRPr="00B94753">
        <w:rPr>
          <w:sz w:val="18"/>
          <w:szCs w:val="18"/>
        </w:rPr>
        <w:t>които</w:t>
      </w:r>
      <w:proofErr w:type="spellEnd"/>
      <w:r w:rsidRPr="00B94753">
        <w:rPr>
          <w:sz w:val="18"/>
          <w:szCs w:val="18"/>
        </w:rPr>
        <w:t xml:space="preserve"> </w:t>
      </w:r>
      <w:proofErr w:type="spellStart"/>
      <w:r w:rsidRPr="00B94753">
        <w:rPr>
          <w:sz w:val="18"/>
          <w:szCs w:val="18"/>
        </w:rPr>
        <w:t>се</w:t>
      </w:r>
      <w:proofErr w:type="spellEnd"/>
      <w:r w:rsidRPr="00B94753">
        <w:rPr>
          <w:sz w:val="18"/>
          <w:szCs w:val="18"/>
        </w:rPr>
        <w:t xml:space="preserve"> </w:t>
      </w:r>
      <w:proofErr w:type="spellStart"/>
      <w:r w:rsidRPr="00B94753">
        <w:rPr>
          <w:sz w:val="18"/>
          <w:szCs w:val="18"/>
        </w:rPr>
        <w:t>отнасят</w:t>
      </w:r>
      <w:proofErr w:type="spellEnd"/>
      <w:r w:rsidRPr="00B94753">
        <w:rPr>
          <w:sz w:val="18"/>
          <w:szCs w:val="18"/>
        </w:rPr>
        <w:t xml:space="preserve"> </w:t>
      </w:r>
      <w:proofErr w:type="spellStart"/>
      <w:r w:rsidRPr="00B94753">
        <w:rPr>
          <w:sz w:val="18"/>
          <w:szCs w:val="18"/>
        </w:rPr>
        <w:t>извършените</w:t>
      </w:r>
      <w:proofErr w:type="spellEnd"/>
      <w:r w:rsidRPr="00B94753">
        <w:rPr>
          <w:sz w:val="18"/>
          <w:szCs w:val="18"/>
        </w:rPr>
        <w:t xml:space="preserve"> </w:t>
      </w:r>
      <w:proofErr w:type="spellStart"/>
      <w:r w:rsidRPr="00B94753">
        <w:rPr>
          <w:sz w:val="18"/>
          <w:szCs w:val="18"/>
        </w:rPr>
        <w:t>разходи</w:t>
      </w:r>
      <w:proofErr w:type="spellEnd"/>
      <w:r w:rsidRPr="00B94753">
        <w:rPr>
          <w:sz w:val="18"/>
          <w:szCs w:val="18"/>
        </w:rPr>
        <w:t>.</w:t>
      </w:r>
      <w:proofErr w:type="gramEnd"/>
    </w:p>
  </w:footnote>
  <w:footnote w:id="10">
    <w:p w:rsidR="000F61D1" w:rsidRDefault="000F61D1" w:rsidP="007D19B9">
      <w:pPr>
        <w:pStyle w:val="FootnoteText"/>
      </w:pPr>
      <w:r>
        <w:rPr>
          <w:rStyle w:val="FootnoteReference"/>
        </w:rPr>
        <w:footnoteRef/>
      </w:r>
      <w:r>
        <w:t xml:space="preserve"> </w:t>
      </w:r>
      <w:proofErr w:type="spellStart"/>
      <w:r w:rsidRPr="005E0D4A">
        <w:rPr>
          <w:sz w:val="18"/>
        </w:rPr>
        <w:t>Структурен</w:t>
      </w:r>
      <w:proofErr w:type="spellEnd"/>
      <w:r w:rsidRPr="005E0D4A">
        <w:rPr>
          <w:sz w:val="18"/>
        </w:rPr>
        <w:t xml:space="preserve"> </w:t>
      </w:r>
      <w:proofErr w:type="spellStart"/>
      <w:r w:rsidRPr="005E0D4A">
        <w:rPr>
          <w:sz w:val="18"/>
        </w:rPr>
        <w:t>програмен</w:t>
      </w:r>
      <w:proofErr w:type="spellEnd"/>
      <w:r w:rsidRPr="005E0D4A">
        <w:rPr>
          <w:sz w:val="18"/>
        </w:rPr>
        <w:t xml:space="preserve"> </w:t>
      </w:r>
      <w:proofErr w:type="spellStart"/>
      <w:r w:rsidRPr="005E0D4A">
        <w:rPr>
          <w:sz w:val="18"/>
        </w:rPr>
        <w:t>заем</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194083D"/>
    <w:multiLevelType w:val="hybridMultilevel"/>
    <w:tmpl w:val="B434DC02"/>
    <w:lvl w:ilvl="0" w:tplc="54C466F6">
      <w:numFmt w:val="bullet"/>
      <w:lvlText w:val="-"/>
      <w:lvlJc w:val="left"/>
      <w:pPr>
        <w:tabs>
          <w:tab w:val="num" w:pos="1500"/>
        </w:tabs>
        <w:ind w:left="15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224A377B"/>
    <w:multiLevelType w:val="hybridMultilevel"/>
    <w:tmpl w:val="62A490A4"/>
    <w:lvl w:ilvl="0" w:tplc="0402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BF11F5"/>
    <w:multiLevelType w:val="hybridMultilevel"/>
    <w:tmpl w:val="1EE24D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3AF86BBB"/>
    <w:multiLevelType w:val="hybridMultilevel"/>
    <w:tmpl w:val="C65EBD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1">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5">
    <w:nsid w:val="53A41434"/>
    <w:multiLevelType w:val="hybridMultilevel"/>
    <w:tmpl w:val="D4069CA2"/>
    <w:lvl w:ilvl="0" w:tplc="AB6E2D68">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D92F24"/>
    <w:multiLevelType w:val="hybridMultilevel"/>
    <w:tmpl w:val="C3E23384"/>
    <w:lvl w:ilvl="0" w:tplc="0402000D">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17">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nsid w:val="643A5E75"/>
    <w:multiLevelType w:val="hybridMultilevel"/>
    <w:tmpl w:val="F88C976A"/>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19">
    <w:nsid w:val="65037E1C"/>
    <w:multiLevelType w:val="hybridMultilevel"/>
    <w:tmpl w:val="417A6ED8"/>
    <w:lvl w:ilvl="0" w:tplc="0402000D">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2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4">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5">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4613"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7">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0"/>
  </w:num>
  <w:num w:numId="3">
    <w:abstractNumId w:val="22"/>
  </w:num>
  <w:num w:numId="4">
    <w:abstractNumId w:val="7"/>
  </w:num>
  <w:num w:numId="5">
    <w:abstractNumId w:val="25"/>
  </w:num>
  <w:num w:numId="6">
    <w:abstractNumId w:val="15"/>
  </w:num>
  <w:num w:numId="7">
    <w:abstractNumId w:val="20"/>
  </w:num>
  <w:num w:numId="8">
    <w:abstractNumId w:val="9"/>
  </w:num>
  <w:num w:numId="9">
    <w:abstractNumId w:val="13"/>
  </w:num>
  <w:num w:numId="10">
    <w:abstractNumId w:val="26"/>
  </w:num>
  <w:num w:numId="11">
    <w:abstractNumId w:val="21"/>
  </w:num>
  <w:num w:numId="12">
    <w:abstractNumId w:val="18"/>
  </w:num>
  <w:num w:numId="13">
    <w:abstractNumId w:val="1"/>
  </w:num>
  <w:num w:numId="14">
    <w:abstractNumId w:val="28"/>
  </w:num>
  <w:num w:numId="15">
    <w:abstractNumId w:val="27"/>
  </w:num>
  <w:num w:numId="16">
    <w:abstractNumId w:val="0"/>
  </w:num>
  <w:num w:numId="17">
    <w:abstractNumId w:val="23"/>
  </w:num>
  <w:num w:numId="18">
    <w:abstractNumId w:val="3"/>
  </w:num>
  <w:num w:numId="19">
    <w:abstractNumId w:val="14"/>
  </w:num>
  <w:num w:numId="20">
    <w:abstractNumId w:val="6"/>
  </w:num>
  <w:num w:numId="21">
    <w:abstractNumId w:val="12"/>
  </w:num>
  <w:num w:numId="22">
    <w:abstractNumId w:val="16"/>
  </w:num>
  <w:num w:numId="23">
    <w:abstractNumId w:val="24"/>
  </w:num>
  <w:num w:numId="24">
    <w:abstractNumId w:val="17"/>
  </w:num>
  <w:num w:numId="25">
    <w:abstractNumId w:val="8"/>
  </w:num>
  <w:num w:numId="26">
    <w:abstractNumId w:val="5"/>
  </w:num>
  <w:num w:numId="27">
    <w:abstractNumId w:val="19"/>
  </w:num>
  <w:num w:numId="2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2"/>
  </w:compat>
  <w:rsids>
    <w:rsidRoot w:val="00063E15"/>
    <w:rsid w:val="00000EF0"/>
    <w:rsid w:val="000016BE"/>
    <w:rsid w:val="00002BD7"/>
    <w:rsid w:val="00002D9C"/>
    <w:rsid w:val="00003489"/>
    <w:rsid w:val="00003B52"/>
    <w:rsid w:val="00004264"/>
    <w:rsid w:val="000063FC"/>
    <w:rsid w:val="000065C6"/>
    <w:rsid w:val="0000691E"/>
    <w:rsid w:val="00006EBC"/>
    <w:rsid w:val="00007F94"/>
    <w:rsid w:val="000111D3"/>
    <w:rsid w:val="00011383"/>
    <w:rsid w:val="000119C6"/>
    <w:rsid w:val="00012533"/>
    <w:rsid w:val="00012AE6"/>
    <w:rsid w:val="00013B93"/>
    <w:rsid w:val="00013C59"/>
    <w:rsid w:val="0001448B"/>
    <w:rsid w:val="000146EA"/>
    <w:rsid w:val="000158A2"/>
    <w:rsid w:val="00015C0F"/>
    <w:rsid w:val="00015D5B"/>
    <w:rsid w:val="000175C7"/>
    <w:rsid w:val="000178CA"/>
    <w:rsid w:val="00017EA1"/>
    <w:rsid w:val="0002050E"/>
    <w:rsid w:val="0002057E"/>
    <w:rsid w:val="000215BD"/>
    <w:rsid w:val="00021A5F"/>
    <w:rsid w:val="000221B7"/>
    <w:rsid w:val="000229E1"/>
    <w:rsid w:val="00022CAC"/>
    <w:rsid w:val="00022D9E"/>
    <w:rsid w:val="0002351F"/>
    <w:rsid w:val="00023BF6"/>
    <w:rsid w:val="00023D31"/>
    <w:rsid w:val="0002444B"/>
    <w:rsid w:val="0002477E"/>
    <w:rsid w:val="000249B9"/>
    <w:rsid w:val="000256B4"/>
    <w:rsid w:val="00025953"/>
    <w:rsid w:val="00025F45"/>
    <w:rsid w:val="00026903"/>
    <w:rsid w:val="0002693A"/>
    <w:rsid w:val="00026AD5"/>
    <w:rsid w:val="00027951"/>
    <w:rsid w:val="00027B74"/>
    <w:rsid w:val="00030353"/>
    <w:rsid w:val="000307D3"/>
    <w:rsid w:val="000311EA"/>
    <w:rsid w:val="00031377"/>
    <w:rsid w:val="00031593"/>
    <w:rsid w:val="00031710"/>
    <w:rsid w:val="000319CB"/>
    <w:rsid w:val="000320C8"/>
    <w:rsid w:val="00032966"/>
    <w:rsid w:val="00033ACB"/>
    <w:rsid w:val="00034135"/>
    <w:rsid w:val="00034396"/>
    <w:rsid w:val="00034FE3"/>
    <w:rsid w:val="000359FA"/>
    <w:rsid w:val="0003621F"/>
    <w:rsid w:val="00036A1B"/>
    <w:rsid w:val="00037141"/>
    <w:rsid w:val="000377BC"/>
    <w:rsid w:val="000378DC"/>
    <w:rsid w:val="0004080C"/>
    <w:rsid w:val="0004098D"/>
    <w:rsid w:val="00040C20"/>
    <w:rsid w:val="000411D9"/>
    <w:rsid w:val="00041338"/>
    <w:rsid w:val="00042634"/>
    <w:rsid w:val="0004338F"/>
    <w:rsid w:val="000436DD"/>
    <w:rsid w:val="000439F5"/>
    <w:rsid w:val="00043AA0"/>
    <w:rsid w:val="00043AB2"/>
    <w:rsid w:val="00043E35"/>
    <w:rsid w:val="0004426E"/>
    <w:rsid w:val="00044273"/>
    <w:rsid w:val="000462B3"/>
    <w:rsid w:val="0004753C"/>
    <w:rsid w:val="00050A1B"/>
    <w:rsid w:val="00051E5E"/>
    <w:rsid w:val="00052449"/>
    <w:rsid w:val="00052C5C"/>
    <w:rsid w:val="00053B0F"/>
    <w:rsid w:val="00053D51"/>
    <w:rsid w:val="000546BF"/>
    <w:rsid w:val="00054E02"/>
    <w:rsid w:val="00055007"/>
    <w:rsid w:val="000551E4"/>
    <w:rsid w:val="00055439"/>
    <w:rsid w:val="00055A61"/>
    <w:rsid w:val="00055DD1"/>
    <w:rsid w:val="00056221"/>
    <w:rsid w:val="00056B58"/>
    <w:rsid w:val="00056D9D"/>
    <w:rsid w:val="0005737D"/>
    <w:rsid w:val="00057886"/>
    <w:rsid w:val="00060A02"/>
    <w:rsid w:val="00060B42"/>
    <w:rsid w:val="000613BA"/>
    <w:rsid w:val="0006166E"/>
    <w:rsid w:val="00061758"/>
    <w:rsid w:val="000621DE"/>
    <w:rsid w:val="00062A78"/>
    <w:rsid w:val="00063235"/>
    <w:rsid w:val="00063CF1"/>
    <w:rsid w:val="00063E15"/>
    <w:rsid w:val="000642B9"/>
    <w:rsid w:val="00064472"/>
    <w:rsid w:val="0006477A"/>
    <w:rsid w:val="00064AF3"/>
    <w:rsid w:val="00064B82"/>
    <w:rsid w:val="00064C44"/>
    <w:rsid w:val="00064E39"/>
    <w:rsid w:val="00065A46"/>
    <w:rsid w:val="00065DF8"/>
    <w:rsid w:val="000663D1"/>
    <w:rsid w:val="00066EED"/>
    <w:rsid w:val="00067283"/>
    <w:rsid w:val="000701A7"/>
    <w:rsid w:val="0007047E"/>
    <w:rsid w:val="000709C1"/>
    <w:rsid w:val="00070A97"/>
    <w:rsid w:val="00071F12"/>
    <w:rsid w:val="00072D22"/>
    <w:rsid w:val="00073108"/>
    <w:rsid w:val="00073DF5"/>
    <w:rsid w:val="0007497C"/>
    <w:rsid w:val="000751C1"/>
    <w:rsid w:val="00075256"/>
    <w:rsid w:val="0007526B"/>
    <w:rsid w:val="00075E44"/>
    <w:rsid w:val="000768B3"/>
    <w:rsid w:val="00077D3D"/>
    <w:rsid w:val="00080AB2"/>
    <w:rsid w:val="00080EF5"/>
    <w:rsid w:val="0008155D"/>
    <w:rsid w:val="000819F9"/>
    <w:rsid w:val="00081AFD"/>
    <w:rsid w:val="00082679"/>
    <w:rsid w:val="000827A4"/>
    <w:rsid w:val="000829EB"/>
    <w:rsid w:val="00082BD9"/>
    <w:rsid w:val="0008327E"/>
    <w:rsid w:val="000832E5"/>
    <w:rsid w:val="0008331E"/>
    <w:rsid w:val="0008357F"/>
    <w:rsid w:val="000853B1"/>
    <w:rsid w:val="00085704"/>
    <w:rsid w:val="00085734"/>
    <w:rsid w:val="00085B96"/>
    <w:rsid w:val="00085E01"/>
    <w:rsid w:val="00085E1A"/>
    <w:rsid w:val="00086FA7"/>
    <w:rsid w:val="00087295"/>
    <w:rsid w:val="0008745A"/>
    <w:rsid w:val="000878C4"/>
    <w:rsid w:val="0009002F"/>
    <w:rsid w:val="000900E3"/>
    <w:rsid w:val="0009010A"/>
    <w:rsid w:val="000902B5"/>
    <w:rsid w:val="00090D1D"/>
    <w:rsid w:val="00091196"/>
    <w:rsid w:val="00091BCE"/>
    <w:rsid w:val="000931C8"/>
    <w:rsid w:val="000937AB"/>
    <w:rsid w:val="000937E0"/>
    <w:rsid w:val="00093F6F"/>
    <w:rsid w:val="000943E4"/>
    <w:rsid w:val="00094657"/>
    <w:rsid w:val="000949D3"/>
    <w:rsid w:val="00094A6C"/>
    <w:rsid w:val="00094A78"/>
    <w:rsid w:val="0009653C"/>
    <w:rsid w:val="0009743A"/>
    <w:rsid w:val="000974F4"/>
    <w:rsid w:val="000A052A"/>
    <w:rsid w:val="000A09BA"/>
    <w:rsid w:val="000A301B"/>
    <w:rsid w:val="000A3F57"/>
    <w:rsid w:val="000A4D11"/>
    <w:rsid w:val="000A5B32"/>
    <w:rsid w:val="000A6E4D"/>
    <w:rsid w:val="000A7841"/>
    <w:rsid w:val="000B0616"/>
    <w:rsid w:val="000B0659"/>
    <w:rsid w:val="000B0815"/>
    <w:rsid w:val="000B09E5"/>
    <w:rsid w:val="000B0CE6"/>
    <w:rsid w:val="000B11FB"/>
    <w:rsid w:val="000B175F"/>
    <w:rsid w:val="000B1A24"/>
    <w:rsid w:val="000B1E59"/>
    <w:rsid w:val="000B25CC"/>
    <w:rsid w:val="000B2CBE"/>
    <w:rsid w:val="000B36FD"/>
    <w:rsid w:val="000B460F"/>
    <w:rsid w:val="000B474D"/>
    <w:rsid w:val="000B52FA"/>
    <w:rsid w:val="000B5F1E"/>
    <w:rsid w:val="000B62C7"/>
    <w:rsid w:val="000B6D3A"/>
    <w:rsid w:val="000B7234"/>
    <w:rsid w:val="000B7447"/>
    <w:rsid w:val="000B75C1"/>
    <w:rsid w:val="000B7C4F"/>
    <w:rsid w:val="000B7E66"/>
    <w:rsid w:val="000C06FE"/>
    <w:rsid w:val="000C0FA1"/>
    <w:rsid w:val="000C106C"/>
    <w:rsid w:val="000C13A5"/>
    <w:rsid w:val="000C2FAC"/>
    <w:rsid w:val="000C36A8"/>
    <w:rsid w:val="000C4CBB"/>
    <w:rsid w:val="000C56B9"/>
    <w:rsid w:val="000C5ACF"/>
    <w:rsid w:val="000C5C6D"/>
    <w:rsid w:val="000C6742"/>
    <w:rsid w:val="000C69AE"/>
    <w:rsid w:val="000C6CB5"/>
    <w:rsid w:val="000C6CF3"/>
    <w:rsid w:val="000C72DC"/>
    <w:rsid w:val="000C7303"/>
    <w:rsid w:val="000C736E"/>
    <w:rsid w:val="000C75A5"/>
    <w:rsid w:val="000C7BB6"/>
    <w:rsid w:val="000D0538"/>
    <w:rsid w:val="000D0AB1"/>
    <w:rsid w:val="000D23F8"/>
    <w:rsid w:val="000D2516"/>
    <w:rsid w:val="000D26D5"/>
    <w:rsid w:val="000D2B33"/>
    <w:rsid w:val="000D2BE7"/>
    <w:rsid w:val="000D3407"/>
    <w:rsid w:val="000D377A"/>
    <w:rsid w:val="000D3942"/>
    <w:rsid w:val="000D3FA7"/>
    <w:rsid w:val="000D4203"/>
    <w:rsid w:val="000D49F5"/>
    <w:rsid w:val="000D4BEB"/>
    <w:rsid w:val="000D5449"/>
    <w:rsid w:val="000D6D92"/>
    <w:rsid w:val="000D725A"/>
    <w:rsid w:val="000D740D"/>
    <w:rsid w:val="000D78E4"/>
    <w:rsid w:val="000E0B42"/>
    <w:rsid w:val="000E0EBA"/>
    <w:rsid w:val="000E1529"/>
    <w:rsid w:val="000E1EAF"/>
    <w:rsid w:val="000E1FB5"/>
    <w:rsid w:val="000E234B"/>
    <w:rsid w:val="000E2894"/>
    <w:rsid w:val="000E2B21"/>
    <w:rsid w:val="000E39DF"/>
    <w:rsid w:val="000E3CDC"/>
    <w:rsid w:val="000E4599"/>
    <w:rsid w:val="000E4CFE"/>
    <w:rsid w:val="000E5205"/>
    <w:rsid w:val="000E5295"/>
    <w:rsid w:val="000E5483"/>
    <w:rsid w:val="000E5EE9"/>
    <w:rsid w:val="000E632B"/>
    <w:rsid w:val="000E6968"/>
    <w:rsid w:val="000E76B3"/>
    <w:rsid w:val="000F04F4"/>
    <w:rsid w:val="000F26DE"/>
    <w:rsid w:val="000F3534"/>
    <w:rsid w:val="000F3EA1"/>
    <w:rsid w:val="000F47A8"/>
    <w:rsid w:val="000F5080"/>
    <w:rsid w:val="000F5EF4"/>
    <w:rsid w:val="000F5F76"/>
    <w:rsid w:val="000F61D1"/>
    <w:rsid w:val="000F68AF"/>
    <w:rsid w:val="000F6975"/>
    <w:rsid w:val="000F6B35"/>
    <w:rsid w:val="00100018"/>
    <w:rsid w:val="0010026D"/>
    <w:rsid w:val="0010055E"/>
    <w:rsid w:val="001006E1"/>
    <w:rsid w:val="00100CE5"/>
    <w:rsid w:val="00100D97"/>
    <w:rsid w:val="001011A4"/>
    <w:rsid w:val="001017B7"/>
    <w:rsid w:val="0010212B"/>
    <w:rsid w:val="00102523"/>
    <w:rsid w:val="0010261A"/>
    <w:rsid w:val="00102869"/>
    <w:rsid w:val="001028F7"/>
    <w:rsid w:val="00102BA6"/>
    <w:rsid w:val="0010358B"/>
    <w:rsid w:val="00103BC3"/>
    <w:rsid w:val="00103E44"/>
    <w:rsid w:val="00103EDE"/>
    <w:rsid w:val="001046B0"/>
    <w:rsid w:val="00104BB5"/>
    <w:rsid w:val="0010539A"/>
    <w:rsid w:val="001053A6"/>
    <w:rsid w:val="00106081"/>
    <w:rsid w:val="0010649F"/>
    <w:rsid w:val="0010683E"/>
    <w:rsid w:val="00107258"/>
    <w:rsid w:val="00107498"/>
    <w:rsid w:val="001077FA"/>
    <w:rsid w:val="00107C9F"/>
    <w:rsid w:val="00107F93"/>
    <w:rsid w:val="00110735"/>
    <w:rsid w:val="00110E74"/>
    <w:rsid w:val="0011239E"/>
    <w:rsid w:val="0011244D"/>
    <w:rsid w:val="00112882"/>
    <w:rsid w:val="00112CAC"/>
    <w:rsid w:val="00112E96"/>
    <w:rsid w:val="00114DE5"/>
    <w:rsid w:val="00116D77"/>
    <w:rsid w:val="001179C1"/>
    <w:rsid w:val="00117C68"/>
    <w:rsid w:val="00117CA6"/>
    <w:rsid w:val="001202E6"/>
    <w:rsid w:val="00120CC7"/>
    <w:rsid w:val="00122FCA"/>
    <w:rsid w:val="00123862"/>
    <w:rsid w:val="00123B59"/>
    <w:rsid w:val="00123E2A"/>
    <w:rsid w:val="00124777"/>
    <w:rsid w:val="00124E8D"/>
    <w:rsid w:val="00124FB9"/>
    <w:rsid w:val="00125B7A"/>
    <w:rsid w:val="001260AA"/>
    <w:rsid w:val="001264C3"/>
    <w:rsid w:val="001269AE"/>
    <w:rsid w:val="00127D25"/>
    <w:rsid w:val="001301B6"/>
    <w:rsid w:val="001305A6"/>
    <w:rsid w:val="00131563"/>
    <w:rsid w:val="00131B05"/>
    <w:rsid w:val="00132228"/>
    <w:rsid w:val="00132AD1"/>
    <w:rsid w:val="00133033"/>
    <w:rsid w:val="0013308F"/>
    <w:rsid w:val="00133644"/>
    <w:rsid w:val="001342F2"/>
    <w:rsid w:val="001349B0"/>
    <w:rsid w:val="0013522E"/>
    <w:rsid w:val="0013588C"/>
    <w:rsid w:val="00135A23"/>
    <w:rsid w:val="00135E92"/>
    <w:rsid w:val="00136B98"/>
    <w:rsid w:val="00136DA4"/>
    <w:rsid w:val="001371FA"/>
    <w:rsid w:val="001401CC"/>
    <w:rsid w:val="00140F18"/>
    <w:rsid w:val="00140F61"/>
    <w:rsid w:val="00141B03"/>
    <w:rsid w:val="00142979"/>
    <w:rsid w:val="00142ABD"/>
    <w:rsid w:val="00142EDB"/>
    <w:rsid w:val="001434EA"/>
    <w:rsid w:val="00143814"/>
    <w:rsid w:val="001445AC"/>
    <w:rsid w:val="00144B67"/>
    <w:rsid w:val="00144BF2"/>
    <w:rsid w:val="00144CF0"/>
    <w:rsid w:val="0014585D"/>
    <w:rsid w:val="00145944"/>
    <w:rsid w:val="00145AD1"/>
    <w:rsid w:val="001462A0"/>
    <w:rsid w:val="00146314"/>
    <w:rsid w:val="001466F3"/>
    <w:rsid w:val="00146C11"/>
    <w:rsid w:val="00147195"/>
    <w:rsid w:val="001506E4"/>
    <w:rsid w:val="00150706"/>
    <w:rsid w:val="00150D38"/>
    <w:rsid w:val="00151260"/>
    <w:rsid w:val="001514CB"/>
    <w:rsid w:val="001528EE"/>
    <w:rsid w:val="00152B9C"/>
    <w:rsid w:val="00153077"/>
    <w:rsid w:val="001535F3"/>
    <w:rsid w:val="00153DF3"/>
    <w:rsid w:val="00154247"/>
    <w:rsid w:val="00154DE5"/>
    <w:rsid w:val="00154FA1"/>
    <w:rsid w:val="00155948"/>
    <w:rsid w:val="00156356"/>
    <w:rsid w:val="00156A3B"/>
    <w:rsid w:val="00156B18"/>
    <w:rsid w:val="00156F40"/>
    <w:rsid w:val="00157673"/>
    <w:rsid w:val="00157B70"/>
    <w:rsid w:val="00157EC4"/>
    <w:rsid w:val="00157EF5"/>
    <w:rsid w:val="001606A4"/>
    <w:rsid w:val="00160A10"/>
    <w:rsid w:val="00160C5B"/>
    <w:rsid w:val="0016116C"/>
    <w:rsid w:val="0016122A"/>
    <w:rsid w:val="00161F90"/>
    <w:rsid w:val="001623A2"/>
    <w:rsid w:val="00162F68"/>
    <w:rsid w:val="0016354D"/>
    <w:rsid w:val="00163645"/>
    <w:rsid w:val="001643F8"/>
    <w:rsid w:val="00164FAD"/>
    <w:rsid w:val="00165DB5"/>
    <w:rsid w:val="00165FF0"/>
    <w:rsid w:val="00166023"/>
    <w:rsid w:val="001668BD"/>
    <w:rsid w:val="00170EFE"/>
    <w:rsid w:val="00171D9C"/>
    <w:rsid w:val="00171F8E"/>
    <w:rsid w:val="0017216E"/>
    <w:rsid w:val="0017293F"/>
    <w:rsid w:val="00172AEE"/>
    <w:rsid w:val="00173987"/>
    <w:rsid w:val="0017483F"/>
    <w:rsid w:val="00174C24"/>
    <w:rsid w:val="00175539"/>
    <w:rsid w:val="00175890"/>
    <w:rsid w:val="00176340"/>
    <w:rsid w:val="00176AE7"/>
    <w:rsid w:val="00176CB6"/>
    <w:rsid w:val="00176E98"/>
    <w:rsid w:val="00177307"/>
    <w:rsid w:val="00180811"/>
    <w:rsid w:val="001808E6"/>
    <w:rsid w:val="00180AEF"/>
    <w:rsid w:val="00180AFF"/>
    <w:rsid w:val="0018154E"/>
    <w:rsid w:val="00181FCA"/>
    <w:rsid w:val="001820C4"/>
    <w:rsid w:val="001824F0"/>
    <w:rsid w:val="00182A2B"/>
    <w:rsid w:val="00182A94"/>
    <w:rsid w:val="00182C1A"/>
    <w:rsid w:val="00182D63"/>
    <w:rsid w:val="00182F27"/>
    <w:rsid w:val="00183392"/>
    <w:rsid w:val="0018398A"/>
    <w:rsid w:val="00183D5F"/>
    <w:rsid w:val="00183EA5"/>
    <w:rsid w:val="00183FAF"/>
    <w:rsid w:val="00184502"/>
    <w:rsid w:val="001845D5"/>
    <w:rsid w:val="001850C5"/>
    <w:rsid w:val="0018526D"/>
    <w:rsid w:val="00185A12"/>
    <w:rsid w:val="00185BF6"/>
    <w:rsid w:val="00185D08"/>
    <w:rsid w:val="00186C81"/>
    <w:rsid w:val="00186DF9"/>
    <w:rsid w:val="00187C04"/>
    <w:rsid w:val="00187C31"/>
    <w:rsid w:val="00190983"/>
    <w:rsid w:val="00190D65"/>
    <w:rsid w:val="0019151C"/>
    <w:rsid w:val="00191AA6"/>
    <w:rsid w:val="00191AB6"/>
    <w:rsid w:val="00191F79"/>
    <w:rsid w:val="0019213B"/>
    <w:rsid w:val="0019232E"/>
    <w:rsid w:val="0019239F"/>
    <w:rsid w:val="001924F6"/>
    <w:rsid w:val="00192CDB"/>
    <w:rsid w:val="00193D9B"/>
    <w:rsid w:val="00193F20"/>
    <w:rsid w:val="0019413C"/>
    <w:rsid w:val="001941E4"/>
    <w:rsid w:val="00195CF2"/>
    <w:rsid w:val="00195FB3"/>
    <w:rsid w:val="001965AA"/>
    <w:rsid w:val="0019667B"/>
    <w:rsid w:val="001968E4"/>
    <w:rsid w:val="001971AE"/>
    <w:rsid w:val="00197278"/>
    <w:rsid w:val="00197392"/>
    <w:rsid w:val="00197EC3"/>
    <w:rsid w:val="00197FB1"/>
    <w:rsid w:val="001A0601"/>
    <w:rsid w:val="001A0BB0"/>
    <w:rsid w:val="001A17F4"/>
    <w:rsid w:val="001A1837"/>
    <w:rsid w:val="001A18A9"/>
    <w:rsid w:val="001A1C51"/>
    <w:rsid w:val="001A236F"/>
    <w:rsid w:val="001A28BA"/>
    <w:rsid w:val="001A3051"/>
    <w:rsid w:val="001A3387"/>
    <w:rsid w:val="001A4493"/>
    <w:rsid w:val="001A4589"/>
    <w:rsid w:val="001A4951"/>
    <w:rsid w:val="001A5350"/>
    <w:rsid w:val="001A5398"/>
    <w:rsid w:val="001A59AF"/>
    <w:rsid w:val="001A6777"/>
    <w:rsid w:val="001A6C6D"/>
    <w:rsid w:val="001A718F"/>
    <w:rsid w:val="001A75B9"/>
    <w:rsid w:val="001B18C3"/>
    <w:rsid w:val="001B20E4"/>
    <w:rsid w:val="001B2FCD"/>
    <w:rsid w:val="001B3285"/>
    <w:rsid w:val="001B370A"/>
    <w:rsid w:val="001B3E1C"/>
    <w:rsid w:val="001B4165"/>
    <w:rsid w:val="001B44DB"/>
    <w:rsid w:val="001B5EA6"/>
    <w:rsid w:val="001C0F05"/>
    <w:rsid w:val="001C110F"/>
    <w:rsid w:val="001C15B0"/>
    <w:rsid w:val="001C239A"/>
    <w:rsid w:val="001C2EE5"/>
    <w:rsid w:val="001C486C"/>
    <w:rsid w:val="001C4B35"/>
    <w:rsid w:val="001C4CCF"/>
    <w:rsid w:val="001C501A"/>
    <w:rsid w:val="001C5CC2"/>
    <w:rsid w:val="001C6573"/>
    <w:rsid w:val="001C67CF"/>
    <w:rsid w:val="001C6BA6"/>
    <w:rsid w:val="001C726D"/>
    <w:rsid w:val="001C78CA"/>
    <w:rsid w:val="001D01FB"/>
    <w:rsid w:val="001D0221"/>
    <w:rsid w:val="001D0BF2"/>
    <w:rsid w:val="001D13AD"/>
    <w:rsid w:val="001D15E5"/>
    <w:rsid w:val="001D2381"/>
    <w:rsid w:val="001D2CE9"/>
    <w:rsid w:val="001D34AF"/>
    <w:rsid w:val="001D3E63"/>
    <w:rsid w:val="001D40DA"/>
    <w:rsid w:val="001D419F"/>
    <w:rsid w:val="001D6081"/>
    <w:rsid w:val="001D6F2E"/>
    <w:rsid w:val="001D71BC"/>
    <w:rsid w:val="001D755A"/>
    <w:rsid w:val="001E0367"/>
    <w:rsid w:val="001E11E2"/>
    <w:rsid w:val="001E27FB"/>
    <w:rsid w:val="001E2B1A"/>
    <w:rsid w:val="001E3519"/>
    <w:rsid w:val="001E373E"/>
    <w:rsid w:val="001E3753"/>
    <w:rsid w:val="001E383E"/>
    <w:rsid w:val="001E4011"/>
    <w:rsid w:val="001E4456"/>
    <w:rsid w:val="001E44C8"/>
    <w:rsid w:val="001E4E88"/>
    <w:rsid w:val="001E4FFF"/>
    <w:rsid w:val="001E5BEE"/>
    <w:rsid w:val="001E619D"/>
    <w:rsid w:val="001E68EE"/>
    <w:rsid w:val="001E751C"/>
    <w:rsid w:val="001E77C4"/>
    <w:rsid w:val="001E7EA4"/>
    <w:rsid w:val="001F00B7"/>
    <w:rsid w:val="001F1092"/>
    <w:rsid w:val="001F1E88"/>
    <w:rsid w:val="001F2337"/>
    <w:rsid w:val="001F367C"/>
    <w:rsid w:val="001F4EB9"/>
    <w:rsid w:val="001F4FDB"/>
    <w:rsid w:val="001F540A"/>
    <w:rsid w:val="001F5D2F"/>
    <w:rsid w:val="001F5E20"/>
    <w:rsid w:val="001F5FA3"/>
    <w:rsid w:val="001F60AC"/>
    <w:rsid w:val="001F6E1E"/>
    <w:rsid w:val="001F6F0C"/>
    <w:rsid w:val="001F74B9"/>
    <w:rsid w:val="001F7F82"/>
    <w:rsid w:val="002002AA"/>
    <w:rsid w:val="002003C3"/>
    <w:rsid w:val="002018B7"/>
    <w:rsid w:val="002019D1"/>
    <w:rsid w:val="00201E8F"/>
    <w:rsid w:val="002023B3"/>
    <w:rsid w:val="0020261A"/>
    <w:rsid w:val="00202CDB"/>
    <w:rsid w:val="00203052"/>
    <w:rsid w:val="0020345B"/>
    <w:rsid w:val="00204381"/>
    <w:rsid w:val="00204779"/>
    <w:rsid w:val="00204799"/>
    <w:rsid w:val="00204EBE"/>
    <w:rsid w:val="002051EA"/>
    <w:rsid w:val="002060C2"/>
    <w:rsid w:val="00207674"/>
    <w:rsid w:val="002076D5"/>
    <w:rsid w:val="002111F3"/>
    <w:rsid w:val="002117F4"/>
    <w:rsid w:val="002118E8"/>
    <w:rsid w:val="00212024"/>
    <w:rsid w:val="00212116"/>
    <w:rsid w:val="00212798"/>
    <w:rsid w:val="00213180"/>
    <w:rsid w:val="002136EF"/>
    <w:rsid w:val="00213D58"/>
    <w:rsid w:val="00213EB4"/>
    <w:rsid w:val="002142CA"/>
    <w:rsid w:val="0021481A"/>
    <w:rsid w:val="00214D1A"/>
    <w:rsid w:val="00214EEA"/>
    <w:rsid w:val="00215254"/>
    <w:rsid w:val="00215ADA"/>
    <w:rsid w:val="00216326"/>
    <w:rsid w:val="00216648"/>
    <w:rsid w:val="00216651"/>
    <w:rsid w:val="00216AAD"/>
    <w:rsid w:val="00216C9A"/>
    <w:rsid w:val="00216D51"/>
    <w:rsid w:val="00217096"/>
    <w:rsid w:val="00217C7A"/>
    <w:rsid w:val="00217E93"/>
    <w:rsid w:val="0022027B"/>
    <w:rsid w:val="00220699"/>
    <w:rsid w:val="00220CF8"/>
    <w:rsid w:val="00220D8D"/>
    <w:rsid w:val="0022151A"/>
    <w:rsid w:val="002215FD"/>
    <w:rsid w:val="002216C7"/>
    <w:rsid w:val="00221E48"/>
    <w:rsid w:val="00222228"/>
    <w:rsid w:val="00222370"/>
    <w:rsid w:val="00223892"/>
    <w:rsid w:val="00223940"/>
    <w:rsid w:val="00223C8D"/>
    <w:rsid w:val="00223F09"/>
    <w:rsid w:val="002245C8"/>
    <w:rsid w:val="0022465E"/>
    <w:rsid w:val="00225164"/>
    <w:rsid w:val="00225168"/>
    <w:rsid w:val="0023041D"/>
    <w:rsid w:val="00231385"/>
    <w:rsid w:val="002316E9"/>
    <w:rsid w:val="002326C1"/>
    <w:rsid w:val="00232A8A"/>
    <w:rsid w:val="00233032"/>
    <w:rsid w:val="002332F7"/>
    <w:rsid w:val="00233986"/>
    <w:rsid w:val="00233D50"/>
    <w:rsid w:val="002346AA"/>
    <w:rsid w:val="00234798"/>
    <w:rsid w:val="002379C9"/>
    <w:rsid w:val="00240C3D"/>
    <w:rsid w:val="00240D9B"/>
    <w:rsid w:val="002413A5"/>
    <w:rsid w:val="002421FC"/>
    <w:rsid w:val="00242676"/>
    <w:rsid w:val="00243641"/>
    <w:rsid w:val="0024415B"/>
    <w:rsid w:val="00244642"/>
    <w:rsid w:val="00244D15"/>
    <w:rsid w:val="00244E1B"/>
    <w:rsid w:val="00245474"/>
    <w:rsid w:val="00245EC9"/>
    <w:rsid w:val="002462FC"/>
    <w:rsid w:val="00246417"/>
    <w:rsid w:val="0024752F"/>
    <w:rsid w:val="00247C3E"/>
    <w:rsid w:val="002500E6"/>
    <w:rsid w:val="00250302"/>
    <w:rsid w:val="002503BA"/>
    <w:rsid w:val="00251005"/>
    <w:rsid w:val="0025173F"/>
    <w:rsid w:val="00251963"/>
    <w:rsid w:val="00251F57"/>
    <w:rsid w:val="0025220D"/>
    <w:rsid w:val="002529E3"/>
    <w:rsid w:val="00252E78"/>
    <w:rsid w:val="0025359A"/>
    <w:rsid w:val="00253D47"/>
    <w:rsid w:val="002545AB"/>
    <w:rsid w:val="00254667"/>
    <w:rsid w:val="0025469B"/>
    <w:rsid w:val="00254F00"/>
    <w:rsid w:val="00255101"/>
    <w:rsid w:val="002553EF"/>
    <w:rsid w:val="0025556C"/>
    <w:rsid w:val="002555A1"/>
    <w:rsid w:val="002557F9"/>
    <w:rsid w:val="002559EF"/>
    <w:rsid w:val="0025637F"/>
    <w:rsid w:val="002567D3"/>
    <w:rsid w:val="00256C8E"/>
    <w:rsid w:val="002572C6"/>
    <w:rsid w:val="00257669"/>
    <w:rsid w:val="00257837"/>
    <w:rsid w:val="002605A7"/>
    <w:rsid w:val="00260847"/>
    <w:rsid w:val="0026101F"/>
    <w:rsid w:val="00261653"/>
    <w:rsid w:val="0026189C"/>
    <w:rsid w:val="00262391"/>
    <w:rsid w:val="00262B43"/>
    <w:rsid w:val="0026368D"/>
    <w:rsid w:val="00263A27"/>
    <w:rsid w:val="0026424C"/>
    <w:rsid w:val="002642FC"/>
    <w:rsid w:val="0026495C"/>
    <w:rsid w:val="0026544D"/>
    <w:rsid w:val="00266AF5"/>
    <w:rsid w:val="00266D04"/>
    <w:rsid w:val="002674FC"/>
    <w:rsid w:val="00267867"/>
    <w:rsid w:val="002701ED"/>
    <w:rsid w:val="0027076E"/>
    <w:rsid w:val="002715E5"/>
    <w:rsid w:val="00271642"/>
    <w:rsid w:val="00271AF4"/>
    <w:rsid w:val="00272747"/>
    <w:rsid w:val="00272812"/>
    <w:rsid w:val="002734B2"/>
    <w:rsid w:val="00273557"/>
    <w:rsid w:val="00273AF1"/>
    <w:rsid w:val="00273EB1"/>
    <w:rsid w:val="002742C4"/>
    <w:rsid w:val="0027457A"/>
    <w:rsid w:val="00274757"/>
    <w:rsid w:val="0027478C"/>
    <w:rsid w:val="002747FE"/>
    <w:rsid w:val="002749F4"/>
    <w:rsid w:val="00274CEA"/>
    <w:rsid w:val="00276E87"/>
    <w:rsid w:val="00280101"/>
    <w:rsid w:val="00280569"/>
    <w:rsid w:val="0028159B"/>
    <w:rsid w:val="00283343"/>
    <w:rsid w:val="00283475"/>
    <w:rsid w:val="002841B8"/>
    <w:rsid w:val="002843A3"/>
    <w:rsid w:val="00284488"/>
    <w:rsid w:val="00284996"/>
    <w:rsid w:val="00284D15"/>
    <w:rsid w:val="00285044"/>
    <w:rsid w:val="002852B7"/>
    <w:rsid w:val="0028534D"/>
    <w:rsid w:val="00285594"/>
    <w:rsid w:val="00285654"/>
    <w:rsid w:val="00285B0D"/>
    <w:rsid w:val="00285BC7"/>
    <w:rsid w:val="00286274"/>
    <w:rsid w:val="0028636E"/>
    <w:rsid w:val="00286740"/>
    <w:rsid w:val="00286AC4"/>
    <w:rsid w:val="00287F6C"/>
    <w:rsid w:val="00290163"/>
    <w:rsid w:val="002907AE"/>
    <w:rsid w:val="00290876"/>
    <w:rsid w:val="00290C55"/>
    <w:rsid w:val="00290EE6"/>
    <w:rsid w:val="00291D09"/>
    <w:rsid w:val="00292884"/>
    <w:rsid w:val="00292971"/>
    <w:rsid w:val="00292EC1"/>
    <w:rsid w:val="00293051"/>
    <w:rsid w:val="0029338A"/>
    <w:rsid w:val="00293D1E"/>
    <w:rsid w:val="00294726"/>
    <w:rsid w:val="0029481A"/>
    <w:rsid w:val="00294B02"/>
    <w:rsid w:val="00294D83"/>
    <w:rsid w:val="0029593D"/>
    <w:rsid w:val="00295C97"/>
    <w:rsid w:val="002961BB"/>
    <w:rsid w:val="00296700"/>
    <w:rsid w:val="002968B1"/>
    <w:rsid w:val="002968FE"/>
    <w:rsid w:val="00296F46"/>
    <w:rsid w:val="0029717D"/>
    <w:rsid w:val="00297C07"/>
    <w:rsid w:val="002A1277"/>
    <w:rsid w:val="002A1772"/>
    <w:rsid w:val="002A29F2"/>
    <w:rsid w:val="002A3C2E"/>
    <w:rsid w:val="002A4706"/>
    <w:rsid w:val="002A4845"/>
    <w:rsid w:val="002A50A9"/>
    <w:rsid w:val="002A5F57"/>
    <w:rsid w:val="002A6CBF"/>
    <w:rsid w:val="002A6D63"/>
    <w:rsid w:val="002A748F"/>
    <w:rsid w:val="002B02E8"/>
    <w:rsid w:val="002B0384"/>
    <w:rsid w:val="002B1377"/>
    <w:rsid w:val="002B14CD"/>
    <w:rsid w:val="002B2304"/>
    <w:rsid w:val="002B25DE"/>
    <w:rsid w:val="002B2668"/>
    <w:rsid w:val="002B2B8E"/>
    <w:rsid w:val="002B2EF8"/>
    <w:rsid w:val="002B3E0D"/>
    <w:rsid w:val="002B3E89"/>
    <w:rsid w:val="002B484C"/>
    <w:rsid w:val="002B4D3E"/>
    <w:rsid w:val="002B5D34"/>
    <w:rsid w:val="002B6133"/>
    <w:rsid w:val="002B695A"/>
    <w:rsid w:val="002B6BB4"/>
    <w:rsid w:val="002B73E2"/>
    <w:rsid w:val="002B7904"/>
    <w:rsid w:val="002B79DA"/>
    <w:rsid w:val="002B7F97"/>
    <w:rsid w:val="002C0110"/>
    <w:rsid w:val="002C096A"/>
    <w:rsid w:val="002C0EAA"/>
    <w:rsid w:val="002C12D6"/>
    <w:rsid w:val="002C18B7"/>
    <w:rsid w:val="002C1B26"/>
    <w:rsid w:val="002C23BF"/>
    <w:rsid w:val="002C24D7"/>
    <w:rsid w:val="002C286D"/>
    <w:rsid w:val="002C2CAC"/>
    <w:rsid w:val="002C2F4E"/>
    <w:rsid w:val="002C30BA"/>
    <w:rsid w:val="002C33B7"/>
    <w:rsid w:val="002C3578"/>
    <w:rsid w:val="002C3ED6"/>
    <w:rsid w:val="002C418B"/>
    <w:rsid w:val="002C4201"/>
    <w:rsid w:val="002C468E"/>
    <w:rsid w:val="002C4D33"/>
    <w:rsid w:val="002C522A"/>
    <w:rsid w:val="002C64F3"/>
    <w:rsid w:val="002C6996"/>
    <w:rsid w:val="002C69F6"/>
    <w:rsid w:val="002C6C5B"/>
    <w:rsid w:val="002C734D"/>
    <w:rsid w:val="002C7537"/>
    <w:rsid w:val="002D00C7"/>
    <w:rsid w:val="002D0399"/>
    <w:rsid w:val="002D0882"/>
    <w:rsid w:val="002D1067"/>
    <w:rsid w:val="002D11C6"/>
    <w:rsid w:val="002D1252"/>
    <w:rsid w:val="002D17E3"/>
    <w:rsid w:val="002D2739"/>
    <w:rsid w:val="002D2B07"/>
    <w:rsid w:val="002D2DC4"/>
    <w:rsid w:val="002D2FA5"/>
    <w:rsid w:val="002D3AE3"/>
    <w:rsid w:val="002D3F6E"/>
    <w:rsid w:val="002D516B"/>
    <w:rsid w:val="002D51C1"/>
    <w:rsid w:val="002D527A"/>
    <w:rsid w:val="002D5811"/>
    <w:rsid w:val="002D6978"/>
    <w:rsid w:val="002D6A0C"/>
    <w:rsid w:val="002D6A9D"/>
    <w:rsid w:val="002D72DE"/>
    <w:rsid w:val="002D7651"/>
    <w:rsid w:val="002D7BAD"/>
    <w:rsid w:val="002D7BFC"/>
    <w:rsid w:val="002E029F"/>
    <w:rsid w:val="002E130D"/>
    <w:rsid w:val="002E1ADD"/>
    <w:rsid w:val="002E1EDB"/>
    <w:rsid w:val="002E20E4"/>
    <w:rsid w:val="002E2255"/>
    <w:rsid w:val="002E2470"/>
    <w:rsid w:val="002E2C27"/>
    <w:rsid w:val="002E2D64"/>
    <w:rsid w:val="002E339C"/>
    <w:rsid w:val="002E4150"/>
    <w:rsid w:val="002E43D0"/>
    <w:rsid w:val="002E49A6"/>
    <w:rsid w:val="002E6EAB"/>
    <w:rsid w:val="002E7C82"/>
    <w:rsid w:val="002E7F57"/>
    <w:rsid w:val="002F013B"/>
    <w:rsid w:val="002F0511"/>
    <w:rsid w:val="002F094A"/>
    <w:rsid w:val="002F0FD4"/>
    <w:rsid w:val="002F209C"/>
    <w:rsid w:val="002F2AA4"/>
    <w:rsid w:val="002F343A"/>
    <w:rsid w:val="002F37A8"/>
    <w:rsid w:val="002F3E25"/>
    <w:rsid w:val="002F4E32"/>
    <w:rsid w:val="002F5021"/>
    <w:rsid w:val="002F50A5"/>
    <w:rsid w:val="002F5497"/>
    <w:rsid w:val="002F56B6"/>
    <w:rsid w:val="002F6391"/>
    <w:rsid w:val="002F68B7"/>
    <w:rsid w:val="002F68BA"/>
    <w:rsid w:val="002F6AC3"/>
    <w:rsid w:val="002F6D4A"/>
    <w:rsid w:val="002F748D"/>
    <w:rsid w:val="002F781A"/>
    <w:rsid w:val="002F7EAC"/>
    <w:rsid w:val="00300566"/>
    <w:rsid w:val="003006DA"/>
    <w:rsid w:val="0030071E"/>
    <w:rsid w:val="00300C77"/>
    <w:rsid w:val="00300DE1"/>
    <w:rsid w:val="00300E8B"/>
    <w:rsid w:val="0030108C"/>
    <w:rsid w:val="003015BA"/>
    <w:rsid w:val="00301BE4"/>
    <w:rsid w:val="00301E6A"/>
    <w:rsid w:val="00302CD2"/>
    <w:rsid w:val="0030300D"/>
    <w:rsid w:val="00303208"/>
    <w:rsid w:val="00303427"/>
    <w:rsid w:val="0030350B"/>
    <w:rsid w:val="00303543"/>
    <w:rsid w:val="00303716"/>
    <w:rsid w:val="00303BB4"/>
    <w:rsid w:val="00304129"/>
    <w:rsid w:val="00304DDA"/>
    <w:rsid w:val="00304EE1"/>
    <w:rsid w:val="003058B3"/>
    <w:rsid w:val="00305CF4"/>
    <w:rsid w:val="00305F56"/>
    <w:rsid w:val="00307BFD"/>
    <w:rsid w:val="00307E09"/>
    <w:rsid w:val="00307E4B"/>
    <w:rsid w:val="00307F21"/>
    <w:rsid w:val="00310430"/>
    <w:rsid w:val="003114FA"/>
    <w:rsid w:val="00311BEA"/>
    <w:rsid w:val="00311D79"/>
    <w:rsid w:val="00312B38"/>
    <w:rsid w:val="00313799"/>
    <w:rsid w:val="00313907"/>
    <w:rsid w:val="00313A44"/>
    <w:rsid w:val="00313E37"/>
    <w:rsid w:val="00314D1E"/>
    <w:rsid w:val="00315241"/>
    <w:rsid w:val="003153BB"/>
    <w:rsid w:val="003159D9"/>
    <w:rsid w:val="00315C67"/>
    <w:rsid w:val="00316AA0"/>
    <w:rsid w:val="0031729F"/>
    <w:rsid w:val="003174F8"/>
    <w:rsid w:val="00317FD8"/>
    <w:rsid w:val="00320B2A"/>
    <w:rsid w:val="00320DB5"/>
    <w:rsid w:val="00320F20"/>
    <w:rsid w:val="00321558"/>
    <w:rsid w:val="00321743"/>
    <w:rsid w:val="00322BE4"/>
    <w:rsid w:val="00322FA8"/>
    <w:rsid w:val="00324DD1"/>
    <w:rsid w:val="00325472"/>
    <w:rsid w:val="00325769"/>
    <w:rsid w:val="00325AC3"/>
    <w:rsid w:val="00326155"/>
    <w:rsid w:val="00326B55"/>
    <w:rsid w:val="00327425"/>
    <w:rsid w:val="00330509"/>
    <w:rsid w:val="003308A9"/>
    <w:rsid w:val="00330C3B"/>
    <w:rsid w:val="0033105F"/>
    <w:rsid w:val="003310A7"/>
    <w:rsid w:val="003311C5"/>
    <w:rsid w:val="00331492"/>
    <w:rsid w:val="00332972"/>
    <w:rsid w:val="0033309B"/>
    <w:rsid w:val="00333789"/>
    <w:rsid w:val="00333B5E"/>
    <w:rsid w:val="0033470F"/>
    <w:rsid w:val="00334766"/>
    <w:rsid w:val="00334E1E"/>
    <w:rsid w:val="00335348"/>
    <w:rsid w:val="00335F25"/>
    <w:rsid w:val="00336631"/>
    <w:rsid w:val="003368A9"/>
    <w:rsid w:val="00337244"/>
    <w:rsid w:val="00337793"/>
    <w:rsid w:val="00337863"/>
    <w:rsid w:val="00337CA7"/>
    <w:rsid w:val="00340786"/>
    <w:rsid w:val="00340CE0"/>
    <w:rsid w:val="003418A7"/>
    <w:rsid w:val="00342205"/>
    <w:rsid w:val="003423EB"/>
    <w:rsid w:val="003429F1"/>
    <w:rsid w:val="00342B71"/>
    <w:rsid w:val="00342EDD"/>
    <w:rsid w:val="0034309B"/>
    <w:rsid w:val="00343737"/>
    <w:rsid w:val="00344353"/>
    <w:rsid w:val="00344B38"/>
    <w:rsid w:val="00344E8A"/>
    <w:rsid w:val="003459AC"/>
    <w:rsid w:val="003464BD"/>
    <w:rsid w:val="00346E32"/>
    <w:rsid w:val="0034755B"/>
    <w:rsid w:val="00350336"/>
    <w:rsid w:val="00351513"/>
    <w:rsid w:val="0035156A"/>
    <w:rsid w:val="00351BD9"/>
    <w:rsid w:val="00352C2B"/>
    <w:rsid w:val="00352F76"/>
    <w:rsid w:val="0035338B"/>
    <w:rsid w:val="003533A4"/>
    <w:rsid w:val="0035368F"/>
    <w:rsid w:val="00353940"/>
    <w:rsid w:val="00354E8D"/>
    <w:rsid w:val="0035525B"/>
    <w:rsid w:val="003554A7"/>
    <w:rsid w:val="00355C2D"/>
    <w:rsid w:val="003561B4"/>
    <w:rsid w:val="00356CE8"/>
    <w:rsid w:val="00357974"/>
    <w:rsid w:val="003579F2"/>
    <w:rsid w:val="00360058"/>
    <w:rsid w:val="00360470"/>
    <w:rsid w:val="00360BE6"/>
    <w:rsid w:val="00361524"/>
    <w:rsid w:val="00361EAF"/>
    <w:rsid w:val="00361FC7"/>
    <w:rsid w:val="00362463"/>
    <w:rsid w:val="0036257D"/>
    <w:rsid w:val="00363014"/>
    <w:rsid w:val="0036316C"/>
    <w:rsid w:val="00363315"/>
    <w:rsid w:val="0036333F"/>
    <w:rsid w:val="003636BA"/>
    <w:rsid w:val="00363C1A"/>
    <w:rsid w:val="00363E99"/>
    <w:rsid w:val="00364486"/>
    <w:rsid w:val="00364563"/>
    <w:rsid w:val="00365690"/>
    <w:rsid w:val="0036577B"/>
    <w:rsid w:val="00365959"/>
    <w:rsid w:val="00365F5D"/>
    <w:rsid w:val="0036700F"/>
    <w:rsid w:val="003674D9"/>
    <w:rsid w:val="00367850"/>
    <w:rsid w:val="0037017F"/>
    <w:rsid w:val="00370377"/>
    <w:rsid w:val="00371384"/>
    <w:rsid w:val="00371EEF"/>
    <w:rsid w:val="00372965"/>
    <w:rsid w:val="00372C6F"/>
    <w:rsid w:val="00373E32"/>
    <w:rsid w:val="003748CB"/>
    <w:rsid w:val="00374CB3"/>
    <w:rsid w:val="00375136"/>
    <w:rsid w:val="00375C31"/>
    <w:rsid w:val="00376467"/>
    <w:rsid w:val="00376A38"/>
    <w:rsid w:val="00377E04"/>
    <w:rsid w:val="00377FA0"/>
    <w:rsid w:val="00380F3E"/>
    <w:rsid w:val="00380F49"/>
    <w:rsid w:val="003810AB"/>
    <w:rsid w:val="00381745"/>
    <w:rsid w:val="00381764"/>
    <w:rsid w:val="0038363F"/>
    <w:rsid w:val="00383E33"/>
    <w:rsid w:val="003849E0"/>
    <w:rsid w:val="00384B03"/>
    <w:rsid w:val="00384DDA"/>
    <w:rsid w:val="00385055"/>
    <w:rsid w:val="003854E9"/>
    <w:rsid w:val="0038577D"/>
    <w:rsid w:val="00385B71"/>
    <w:rsid w:val="00385C8A"/>
    <w:rsid w:val="0038746F"/>
    <w:rsid w:val="00390575"/>
    <w:rsid w:val="003906CD"/>
    <w:rsid w:val="00391125"/>
    <w:rsid w:val="00391F0E"/>
    <w:rsid w:val="003922B1"/>
    <w:rsid w:val="0039296F"/>
    <w:rsid w:val="003930B5"/>
    <w:rsid w:val="0039334A"/>
    <w:rsid w:val="00393468"/>
    <w:rsid w:val="00393585"/>
    <w:rsid w:val="003935B9"/>
    <w:rsid w:val="00394407"/>
    <w:rsid w:val="00395CCF"/>
    <w:rsid w:val="00396338"/>
    <w:rsid w:val="003967B0"/>
    <w:rsid w:val="00396958"/>
    <w:rsid w:val="00396B1E"/>
    <w:rsid w:val="00396BCA"/>
    <w:rsid w:val="00396E17"/>
    <w:rsid w:val="003A06C5"/>
    <w:rsid w:val="003A0890"/>
    <w:rsid w:val="003A0A29"/>
    <w:rsid w:val="003A0C97"/>
    <w:rsid w:val="003A1AF7"/>
    <w:rsid w:val="003A221F"/>
    <w:rsid w:val="003A25F4"/>
    <w:rsid w:val="003A295A"/>
    <w:rsid w:val="003A3159"/>
    <w:rsid w:val="003A38E7"/>
    <w:rsid w:val="003A39C7"/>
    <w:rsid w:val="003A3AC4"/>
    <w:rsid w:val="003A3D0E"/>
    <w:rsid w:val="003A3D9A"/>
    <w:rsid w:val="003A409D"/>
    <w:rsid w:val="003A4129"/>
    <w:rsid w:val="003A420E"/>
    <w:rsid w:val="003A4801"/>
    <w:rsid w:val="003A48A3"/>
    <w:rsid w:val="003A4AAF"/>
    <w:rsid w:val="003A4B2E"/>
    <w:rsid w:val="003A54BC"/>
    <w:rsid w:val="003A5737"/>
    <w:rsid w:val="003A58AF"/>
    <w:rsid w:val="003A636B"/>
    <w:rsid w:val="003A774B"/>
    <w:rsid w:val="003B019B"/>
    <w:rsid w:val="003B01E4"/>
    <w:rsid w:val="003B088E"/>
    <w:rsid w:val="003B1F25"/>
    <w:rsid w:val="003B2E07"/>
    <w:rsid w:val="003B3951"/>
    <w:rsid w:val="003B3BDF"/>
    <w:rsid w:val="003B44AF"/>
    <w:rsid w:val="003B4787"/>
    <w:rsid w:val="003B4F0C"/>
    <w:rsid w:val="003B50BA"/>
    <w:rsid w:val="003B543E"/>
    <w:rsid w:val="003B5452"/>
    <w:rsid w:val="003B5717"/>
    <w:rsid w:val="003B5B2E"/>
    <w:rsid w:val="003B5CAF"/>
    <w:rsid w:val="003B6534"/>
    <w:rsid w:val="003B6D41"/>
    <w:rsid w:val="003B7594"/>
    <w:rsid w:val="003B7749"/>
    <w:rsid w:val="003B7C7B"/>
    <w:rsid w:val="003C055F"/>
    <w:rsid w:val="003C0E58"/>
    <w:rsid w:val="003C11A7"/>
    <w:rsid w:val="003C14B1"/>
    <w:rsid w:val="003C1591"/>
    <w:rsid w:val="003C199E"/>
    <w:rsid w:val="003C2280"/>
    <w:rsid w:val="003C2AA7"/>
    <w:rsid w:val="003C2F47"/>
    <w:rsid w:val="003C44D1"/>
    <w:rsid w:val="003C4733"/>
    <w:rsid w:val="003C4F06"/>
    <w:rsid w:val="003C5A14"/>
    <w:rsid w:val="003C5DE7"/>
    <w:rsid w:val="003C6080"/>
    <w:rsid w:val="003C6592"/>
    <w:rsid w:val="003C667C"/>
    <w:rsid w:val="003C71EB"/>
    <w:rsid w:val="003C7651"/>
    <w:rsid w:val="003C7879"/>
    <w:rsid w:val="003C79DB"/>
    <w:rsid w:val="003D067C"/>
    <w:rsid w:val="003D0906"/>
    <w:rsid w:val="003D13D8"/>
    <w:rsid w:val="003D15B7"/>
    <w:rsid w:val="003D15ED"/>
    <w:rsid w:val="003D1608"/>
    <w:rsid w:val="003D2486"/>
    <w:rsid w:val="003D2A35"/>
    <w:rsid w:val="003D321B"/>
    <w:rsid w:val="003D35FA"/>
    <w:rsid w:val="003D39EF"/>
    <w:rsid w:val="003D3CCD"/>
    <w:rsid w:val="003D41BA"/>
    <w:rsid w:val="003D41C7"/>
    <w:rsid w:val="003D420B"/>
    <w:rsid w:val="003D4CC1"/>
    <w:rsid w:val="003D529E"/>
    <w:rsid w:val="003D5F69"/>
    <w:rsid w:val="003D6474"/>
    <w:rsid w:val="003D664F"/>
    <w:rsid w:val="003D6670"/>
    <w:rsid w:val="003D6A09"/>
    <w:rsid w:val="003D6F67"/>
    <w:rsid w:val="003D707F"/>
    <w:rsid w:val="003D71D5"/>
    <w:rsid w:val="003D74EF"/>
    <w:rsid w:val="003D7671"/>
    <w:rsid w:val="003E098F"/>
    <w:rsid w:val="003E0CAF"/>
    <w:rsid w:val="003E1122"/>
    <w:rsid w:val="003E12C9"/>
    <w:rsid w:val="003E1604"/>
    <w:rsid w:val="003E1766"/>
    <w:rsid w:val="003E18F5"/>
    <w:rsid w:val="003E1A61"/>
    <w:rsid w:val="003E279B"/>
    <w:rsid w:val="003E2AB7"/>
    <w:rsid w:val="003E2F36"/>
    <w:rsid w:val="003E2FB3"/>
    <w:rsid w:val="003E37A0"/>
    <w:rsid w:val="003E393E"/>
    <w:rsid w:val="003E3CFE"/>
    <w:rsid w:val="003E507E"/>
    <w:rsid w:val="003E5198"/>
    <w:rsid w:val="003E5394"/>
    <w:rsid w:val="003E678B"/>
    <w:rsid w:val="003E6D93"/>
    <w:rsid w:val="003E76C6"/>
    <w:rsid w:val="003F0186"/>
    <w:rsid w:val="003F038A"/>
    <w:rsid w:val="003F0555"/>
    <w:rsid w:val="003F09E9"/>
    <w:rsid w:val="003F0D0F"/>
    <w:rsid w:val="003F11D8"/>
    <w:rsid w:val="003F1222"/>
    <w:rsid w:val="003F1AAC"/>
    <w:rsid w:val="003F1C6D"/>
    <w:rsid w:val="003F1D12"/>
    <w:rsid w:val="003F1E3F"/>
    <w:rsid w:val="003F1ECD"/>
    <w:rsid w:val="003F2C12"/>
    <w:rsid w:val="003F2C83"/>
    <w:rsid w:val="003F3195"/>
    <w:rsid w:val="003F32A8"/>
    <w:rsid w:val="003F3673"/>
    <w:rsid w:val="003F3760"/>
    <w:rsid w:val="003F465F"/>
    <w:rsid w:val="003F47AB"/>
    <w:rsid w:val="003F4B6C"/>
    <w:rsid w:val="003F4DAF"/>
    <w:rsid w:val="003F5A39"/>
    <w:rsid w:val="003F6039"/>
    <w:rsid w:val="003F67D7"/>
    <w:rsid w:val="003F7144"/>
    <w:rsid w:val="003F74EF"/>
    <w:rsid w:val="00400758"/>
    <w:rsid w:val="00400A77"/>
    <w:rsid w:val="00400B98"/>
    <w:rsid w:val="00401262"/>
    <w:rsid w:val="00401B6E"/>
    <w:rsid w:val="00401C0F"/>
    <w:rsid w:val="0040291B"/>
    <w:rsid w:val="00404123"/>
    <w:rsid w:val="00404B91"/>
    <w:rsid w:val="00404BB2"/>
    <w:rsid w:val="0040541F"/>
    <w:rsid w:val="00405424"/>
    <w:rsid w:val="00405C8A"/>
    <w:rsid w:val="00406889"/>
    <w:rsid w:val="00406DEE"/>
    <w:rsid w:val="004072DC"/>
    <w:rsid w:val="00407BE4"/>
    <w:rsid w:val="00407C6C"/>
    <w:rsid w:val="00410081"/>
    <w:rsid w:val="00410E96"/>
    <w:rsid w:val="00411C1D"/>
    <w:rsid w:val="0041242B"/>
    <w:rsid w:val="00412A04"/>
    <w:rsid w:val="00412C22"/>
    <w:rsid w:val="00412DB7"/>
    <w:rsid w:val="00412E59"/>
    <w:rsid w:val="0041307A"/>
    <w:rsid w:val="00413397"/>
    <w:rsid w:val="00413D02"/>
    <w:rsid w:val="00413DF7"/>
    <w:rsid w:val="004141EF"/>
    <w:rsid w:val="004150A8"/>
    <w:rsid w:val="004158E1"/>
    <w:rsid w:val="00415B20"/>
    <w:rsid w:val="00417E9B"/>
    <w:rsid w:val="00417ECD"/>
    <w:rsid w:val="00420473"/>
    <w:rsid w:val="00420694"/>
    <w:rsid w:val="0042081E"/>
    <w:rsid w:val="00420E0C"/>
    <w:rsid w:val="00421989"/>
    <w:rsid w:val="00421C02"/>
    <w:rsid w:val="00422163"/>
    <w:rsid w:val="00422B00"/>
    <w:rsid w:val="0042331A"/>
    <w:rsid w:val="00423479"/>
    <w:rsid w:val="00424B49"/>
    <w:rsid w:val="00424BC0"/>
    <w:rsid w:val="00424CD9"/>
    <w:rsid w:val="00424EE9"/>
    <w:rsid w:val="00425A9F"/>
    <w:rsid w:val="00425C82"/>
    <w:rsid w:val="004267BD"/>
    <w:rsid w:val="00426D00"/>
    <w:rsid w:val="00427071"/>
    <w:rsid w:val="0043000A"/>
    <w:rsid w:val="0043033C"/>
    <w:rsid w:val="00430A35"/>
    <w:rsid w:val="004318F3"/>
    <w:rsid w:val="0043232C"/>
    <w:rsid w:val="00432C14"/>
    <w:rsid w:val="00432D80"/>
    <w:rsid w:val="00432EC8"/>
    <w:rsid w:val="00433ACC"/>
    <w:rsid w:val="004341E9"/>
    <w:rsid w:val="00434323"/>
    <w:rsid w:val="00434720"/>
    <w:rsid w:val="00434C76"/>
    <w:rsid w:val="00434CA4"/>
    <w:rsid w:val="00435C0F"/>
    <w:rsid w:val="00436AF2"/>
    <w:rsid w:val="00436D44"/>
    <w:rsid w:val="004379FE"/>
    <w:rsid w:val="00440C48"/>
    <w:rsid w:val="00440E3B"/>
    <w:rsid w:val="0044111B"/>
    <w:rsid w:val="00441E7C"/>
    <w:rsid w:val="00441F13"/>
    <w:rsid w:val="00441FF4"/>
    <w:rsid w:val="004437DC"/>
    <w:rsid w:val="004443AB"/>
    <w:rsid w:val="00444624"/>
    <w:rsid w:val="0044486A"/>
    <w:rsid w:val="004448DB"/>
    <w:rsid w:val="004450D0"/>
    <w:rsid w:val="00445D17"/>
    <w:rsid w:val="00445E64"/>
    <w:rsid w:val="00445F93"/>
    <w:rsid w:val="0044645D"/>
    <w:rsid w:val="00446746"/>
    <w:rsid w:val="00446871"/>
    <w:rsid w:val="004473E1"/>
    <w:rsid w:val="00447435"/>
    <w:rsid w:val="00447467"/>
    <w:rsid w:val="00447BE4"/>
    <w:rsid w:val="00447CC7"/>
    <w:rsid w:val="00451A88"/>
    <w:rsid w:val="0045342A"/>
    <w:rsid w:val="004539F3"/>
    <w:rsid w:val="00453E52"/>
    <w:rsid w:val="00454F37"/>
    <w:rsid w:val="004551C5"/>
    <w:rsid w:val="0045536D"/>
    <w:rsid w:val="0045563A"/>
    <w:rsid w:val="00455C0B"/>
    <w:rsid w:val="00460A2F"/>
    <w:rsid w:val="00460DFC"/>
    <w:rsid w:val="00462344"/>
    <w:rsid w:val="00462792"/>
    <w:rsid w:val="00462EC3"/>
    <w:rsid w:val="00463713"/>
    <w:rsid w:val="00463AAA"/>
    <w:rsid w:val="00464A54"/>
    <w:rsid w:val="00464F15"/>
    <w:rsid w:val="00465D4D"/>
    <w:rsid w:val="00465E1C"/>
    <w:rsid w:val="00466917"/>
    <w:rsid w:val="00466A68"/>
    <w:rsid w:val="00466E1F"/>
    <w:rsid w:val="00467A07"/>
    <w:rsid w:val="00467DDF"/>
    <w:rsid w:val="00467E6F"/>
    <w:rsid w:val="0047087C"/>
    <w:rsid w:val="004709CF"/>
    <w:rsid w:val="00470D72"/>
    <w:rsid w:val="004712BA"/>
    <w:rsid w:val="004715DB"/>
    <w:rsid w:val="004717FC"/>
    <w:rsid w:val="00472D57"/>
    <w:rsid w:val="0047319E"/>
    <w:rsid w:val="0047343D"/>
    <w:rsid w:val="004737AB"/>
    <w:rsid w:val="00474861"/>
    <w:rsid w:val="004756A4"/>
    <w:rsid w:val="004757DD"/>
    <w:rsid w:val="00475A00"/>
    <w:rsid w:val="00475DE8"/>
    <w:rsid w:val="0047620B"/>
    <w:rsid w:val="004765C1"/>
    <w:rsid w:val="00476839"/>
    <w:rsid w:val="00477156"/>
    <w:rsid w:val="00477886"/>
    <w:rsid w:val="00480314"/>
    <w:rsid w:val="00480836"/>
    <w:rsid w:val="0048093C"/>
    <w:rsid w:val="00480C6C"/>
    <w:rsid w:val="004815E1"/>
    <w:rsid w:val="00481755"/>
    <w:rsid w:val="00483EBC"/>
    <w:rsid w:val="004842F9"/>
    <w:rsid w:val="004847E2"/>
    <w:rsid w:val="0048633C"/>
    <w:rsid w:val="00487507"/>
    <w:rsid w:val="00487663"/>
    <w:rsid w:val="004877CE"/>
    <w:rsid w:val="00487AA1"/>
    <w:rsid w:val="00487D87"/>
    <w:rsid w:val="0049089F"/>
    <w:rsid w:val="0049099D"/>
    <w:rsid w:val="00490E4A"/>
    <w:rsid w:val="004913DD"/>
    <w:rsid w:val="00491AF2"/>
    <w:rsid w:val="00491FB0"/>
    <w:rsid w:val="00492077"/>
    <w:rsid w:val="004920BE"/>
    <w:rsid w:val="004923E3"/>
    <w:rsid w:val="004930C9"/>
    <w:rsid w:val="00493F13"/>
    <w:rsid w:val="00495607"/>
    <w:rsid w:val="00495774"/>
    <w:rsid w:val="00495F75"/>
    <w:rsid w:val="00496151"/>
    <w:rsid w:val="00496379"/>
    <w:rsid w:val="004969CB"/>
    <w:rsid w:val="00496CB2"/>
    <w:rsid w:val="00497689"/>
    <w:rsid w:val="00497B8B"/>
    <w:rsid w:val="004A0111"/>
    <w:rsid w:val="004A079F"/>
    <w:rsid w:val="004A0A58"/>
    <w:rsid w:val="004A0FBA"/>
    <w:rsid w:val="004A1548"/>
    <w:rsid w:val="004A1B28"/>
    <w:rsid w:val="004A1C37"/>
    <w:rsid w:val="004A20D4"/>
    <w:rsid w:val="004A2BF9"/>
    <w:rsid w:val="004A2C3A"/>
    <w:rsid w:val="004A39B3"/>
    <w:rsid w:val="004A3A16"/>
    <w:rsid w:val="004A3BEC"/>
    <w:rsid w:val="004A443B"/>
    <w:rsid w:val="004A5BC6"/>
    <w:rsid w:val="004A6087"/>
    <w:rsid w:val="004A67DF"/>
    <w:rsid w:val="004A73AA"/>
    <w:rsid w:val="004B014F"/>
    <w:rsid w:val="004B0A99"/>
    <w:rsid w:val="004B14D9"/>
    <w:rsid w:val="004B2450"/>
    <w:rsid w:val="004B32FC"/>
    <w:rsid w:val="004B3CEC"/>
    <w:rsid w:val="004B4071"/>
    <w:rsid w:val="004B41CA"/>
    <w:rsid w:val="004B41D3"/>
    <w:rsid w:val="004B4228"/>
    <w:rsid w:val="004B4A3D"/>
    <w:rsid w:val="004B5ADF"/>
    <w:rsid w:val="004B5DC2"/>
    <w:rsid w:val="004B66C4"/>
    <w:rsid w:val="004B67FA"/>
    <w:rsid w:val="004B702C"/>
    <w:rsid w:val="004B7411"/>
    <w:rsid w:val="004B7497"/>
    <w:rsid w:val="004B74DA"/>
    <w:rsid w:val="004C009E"/>
    <w:rsid w:val="004C0413"/>
    <w:rsid w:val="004C0CA4"/>
    <w:rsid w:val="004C1CED"/>
    <w:rsid w:val="004C2707"/>
    <w:rsid w:val="004C43B3"/>
    <w:rsid w:val="004C458A"/>
    <w:rsid w:val="004C4C7A"/>
    <w:rsid w:val="004C4E08"/>
    <w:rsid w:val="004C4F65"/>
    <w:rsid w:val="004C5DDA"/>
    <w:rsid w:val="004C5F4E"/>
    <w:rsid w:val="004C60F8"/>
    <w:rsid w:val="004C665A"/>
    <w:rsid w:val="004C6876"/>
    <w:rsid w:val="004C6BE5"/>
    <w:rsid w:val="004C6EDF"/>
    <w:rsid w:val="004C6F08"/>
    <w:rsid w:val="004C75F6"/>
    <w:rsid w:val="004D0314"/>
    <w:rsid w:val="004D0661"/>
    <w:rsid w:val="004D0892"/>
    <w:rsid w:val="004D1AD3"/>
    <w:rsid w:val="004D311F"/>
    <w:rsid w:val="004D4B5F"/>
    <w:rsid w:val="004D4EF0"/>
    <w:rsid w:val="004D54BD"/>
    <w:rsid w:val="004D6524"/>
    <w:rsid w:val="004D68BE"/>
    <w:rsid w:val="004D6BD9"/>
    <w:rsid w:val="004D789A"/>
    <w:rsid w:val="004E0134"/>
    <w:rsid w:val="004E0695"/>
    <w:rsid w:val="004E081A"/>
    <w:rsid w:val="004E09DC"/>
    <w:rsid w:val="004E1731"/>
    <w:rsid w:val="004E1D47"/>
    <w:rsid w:val="004E20A2"/>
    <w:rsid w:val="004E2A05"/>
    <w:rsid w:val="004E31BA"/>
    <w:rsid w:val="004E3966"/>
    <w:rsid w:val="004E3AFB"/>
    <w:rsid w:val="004E3D62"/>
    <w:rsid w:val="004E43D2"/>
    <w:rsid w:val="004E45A3"/>
    <w:rsid w:val="004E46DA"/>
    <w:rsid w:val="004E59B2"/>
    <w:rsid w:val="004E5E56"/>
    <w:rsid w:val="004E604F"/>
    <w:rsid w:val="004E73E8"/>
    <w:rsid w:val="004E74EC"/>
    <w:rsid w:val="004E7BF8"/>
    <w:rsid w:val="004E7DEA"/>
    <w:rsid w:val="004F0914"/>
    <w:rsid w:val="004F141F"/>
    <w:rsid w:val="004F2000"/>
    <w:rsid w:val="004F24FB"/>
    <w:rsid w:val="004F2F68"/>
    <w:rsid w:val="004F3176"/>
    <w:rsid w:val="004F38D9"/>
    <w:rsid w:val="004F4735"/>
    <w:rsid w:val="004F5B6B"/>
    <w:rsid w:val="004F5B94"/>
    <w:rsid w:val="004F63B9"/>
    <w:rsid w:val="004F709F"/>
    <w:rsid w:val="004F767C"/>
    <w:rsid w:val="005001BC"/>
    <w:rsid w:val="00500DD6"/>
    <w:rsid w:val="00501648"/>
    <w:rsid w:val="00501C83"/>
    <w:rsid w:val="0050268E"/>
    <w:rsid w:val="0050271A"/>
    <w:rsid w:val="00502E71"/>
    <w:rsid w:val="00503A88"/>
    <w:rsid w:val="005042BC"/>
    <w:rsid w:val="00504C80"/>
    <w:rsid w:val="005061E5"/>
    <w:rsid w:val="005062B4"/>
    <w:rsid w:val="00506F08"/>
    <w:rsid w:val="005074FD"/>
    <w:rsid w:val="005104CF"/>
    <w:rsid w:val="00510E7E"/>
    <w:rsid w:val="00510F27"/>
    <w:rsid w:val="00511EE9"/>
    <w:rsid w:val="00513759"/>
    <w:rsid w:val="00514262"/>
    <w:rsid w:val="00514327"/>
    <w:rsid w:val="00514D54"/>
    <w:rsid w:val="005159CD"/>
    <w:rsid w:val="00515C6E"/>
    <w:rsid w:val="005160E2"/>
    <w:rsid w:val="005161AD"/>
    <w:rsid w:val="00516BBA"/>
    <w:rsid w:val="00516CBD"/>
    <w:rsid w:val="00516EB9"/>
    <w:rsid w:val="0051752A"/>
    <w:rsid w:val="00517B9C"/>
    <w:rsid w:val="00517F39"/>
    <w:rsid w:val="00517FBF"/>
    <w:rsid w:val="00520942"/>
    <w:rsid w:val="005211AC"/>
    <w:rsid w:val="00521371"/>
    <w:rsid w:val="00521617"/>
    <w:rsid w:val="00522945"/>
    <w:rsid w:val="005239B7"/>
    <w:rsid w:val="00523BD2"/>
    <w:rsid w:val="00523CBE"/>
    <w:rsid w:val="00523FAF"/>
    <w:rsid w:val="00524146"/>
    <w:rsid w:val="00524292"/>
    <w:rsid w:val="00524EA5"/>
    <w:rsid w:val="00525257"/>
    <w:rsid w:val="00525B14"/>
    <w:rsid w:val="00525B7E"/>
    <w:rsid w:val="00525D95"/>
    <w:rsid w:val="005260E6"/>
    <w:rsid w:val="0052633F"/>
    <w:rsid w:val="00526B74"/>
    <w:rsid w:val="00526DB4"/>
    <w:rsid w:val="00527901"/>
    <w:rsid w:val="00527AC5"/>
    <w:rsid w:val="00527EDB"/>
    <w:rsid w:val="00530B61"/>
    <w:rsid w:val="00530FDE"/>
    <w:rsid w:val="0053152B"/>
    <w:rsid w:val="00531CF0"/>
    <w:rsid w:val="00531E6A"/>
    <w:rsid w:val="0053288C"/>
    <w:rsid w:val="00532B67"/>
    <w:rsid w:val="00532B8D"/>
    <w:rsid w:val="00532E70"/>
    <w:rsid w:val="005342A1"/>
    <w:rsid w:val="00534DA8"/>
    <w:rsid w:val="0053580A"/>
    <w:rsid w:val="0053590B"/>
    <w:rsid w:val="00535D0B"/>
    <w:rsid w:val="00536119"/>
    <w:rsid w:val="00536390"/>
    <w:rsid w:val="0053646A"/>
    <w:rsid w:val="0053674A"/>
    <w:rsid w:val="00536EB8"/>
    <w:rsid w:val="0053709A"/>
    <w:rsid w:val="00537407"/>
    <w:rsid w:val="00540101"/>
    <w:rsid w:val="00540B24"/>
    <w:rsid w:val="005415DB"/>
    <w:rsid w:val="005416BB"/>
    <w:rsid w:val="005418E2"/>
    <w:rsid w:val="00541A87"/>
    <w:rsid w:val="00541CC7"/>
    <w:rsid w:val="00541D3C"/>
    <w:rsid w:val="00542156"/>
    <w:rsid w:val="00542445"/>
    <w:rsid w:val="00542F7E"/>
    <w:rsid w:val="00543B10"/>
    <w:rsid w:val="00544A89"/>
    <w:rsid w:val="00544D59"/>
    <w:rsid w:val="00545235"/>
    <w:rsid w:val="005452F5"/>
    <w:rsid w:val="00546054"/>
    <w:rsid w:val="005466DD"/>
    <w:rsid w:val="00546765"/>
    <w:rsid w:val="00546871"/>
    <w:rsid w:val="00547879"/>
    <w:rsid w:val="005479F1"/>
    <w:rsid w:val="00547B59"/>
    <w:rsid w:val="00547D22"/>
    <w:rsid w:val="00547E58"/>
    <w:rsid w:val="00550288"/>
    <w:rsid w:val="005509A3"/>
    <w:rsid w:val="005517D2"/>
    <w:rsid w:val="00551840"/>
    <w:rsid w:val="0055185A"/>
    <w:rsid w:val="00551D2E"/>
    <w:rsid w:val="005523C9"/>
    <w:rsid w:val="0055240E"/>
    <w:rsid w:val="00552767"/>
    <w:rsid w:val="005529F1"/>
    <w:rsid w:val="00552CD5"/>
    <w:rsid w:val="00552DD1"/>
    <w:rsid w:val="00553279"/>
    <w:rsid w:val="0055332C"/>
    <w:rsid w:val="005536CF"/>
    <w:rsid w:val="0055394B"/>
    <w:rsid w:val="00553C93"/>
    <w:rsid w:val="00553FA6"/>
    <w:rsid w:val="0055409C"/>
    <w:rsid w:val="00554124"/>
    <w:rsid w:val="0055413D"/>
    <w:rsid w:val="005544B3"/>
    <w:rsid w:val="00554BE5"/>
    <w:rsid w:val="00554E40"/>
    <w:rsid w:val="00554F97"/>
    <w:rsid w:val="005554C2"/>
    <w:rsid w:val="00555ED2"/>
    <w:rsid w:val="00556267"/>
    <w:rsid w:val="00556C0A"/>
    <w:rsid w:val="0055775F"/>
    <w:rsid w:val="00557E0E"/>
    <w:rsid w:val="00557E48"/>
    <w:rsid w:val="00560BE0"/>
    <w:rsid w:val="00562A60"/>
    <w:rsid w:val="00562AE4"/>
    <w:rsid w:val="00564889"/>
    <w:rsid w:val="00564B27"/>
    <w:rsid w:val="00564C9B"/>
    <w:rsid w:val="00564DE4"/>
    <w:rsid w:val="00564FA7"/>
    <w:rsid w:val="00565386"/>
    <w:rsid w:val="00565A20"/>
    <w:rsid w:val="005661AF"/>
    <w:rsid w:val="0056691D"/>
    <w:rsid w:val="005679D6"/>
    <w:rsid w:val="00567D22"/>
    <w:rsid w:val="00567FC1"/>
    <w:rsid w:val="0057038E"/>
    <w:rsid w:val="0057043D"/>
    <w:rsid w:val="00570A13"/>
    <w:rsid w:val="00570B11"/>
    <w:rsid w:val="005710C0"/>
    <w:rsid w:val="005718EC"/>
    <w:rsid w:val="00572297"/>
    <w:rsid w:val="00572482"/>
    <w:rsid w:val="00572C96"/>
    <w:rsid w:val="005730AB"/>
    <w:rsid w:val="005730C8"/>
    <w:rsid w:val="00573521"/>
    <w:rsid w:val="00573774"/>
    <w:rsid w:val="00573D86"/>
    <w:rsid w:val="00573EAB"/>
    <w:rsid w:val="005748E5"/>
    <w:rsid w:val="005750C2"/>
    <w:rsid w:val="0057515A"/>
    <w:rsid w:val="00575BC1"/>
    <w:rsid w:val="00576B32"/>
    <w:rsid w:val="00576DE4"/>
    <w:rsid w:val="00577129"/>
    <w:rsid w:val="0058007A"/>
    <w:rsid w:val="00580CD8"/>
    <w:rsid w:val="00582666"/>
    <w:rsid w:val="005828F1"/>
    <w:rsid w:val="00582E34"/>
    <w:rsid w:val="005830F2"/>
    <w:rsid w:val="00583830"/>
    <w:rsid w:val="005843CD"/>
    <w:rsid w:val="00585ABE"/>
    <w:rsid w:val="00585DEE"/>
    <w:rsid w:val="00585E2D"/>
    <w:rsid w:val="00585F7D"/>
    <w:rsid w:val="00586239"/>
    <w:rsid w:val="0058649D"/>
    <w:rsid w:val="005868D0"/>
    <w:rsid w:val="005875DB"/>
    <w:rsid w:val="00587993"/>
    <w:rsid w:val="00587B01"/>
    <w:rsid w:val="005904BE"/>
    <w:rsid w:val="0059095A"/>
    <w:rsid w:val="00590BA5"/>
    <w:rsid w:val="00590F0B"/>
    <w:rsid w:val="005914A0"/>
    <w:rsid w:val="00591C47"/>
    <w:rsid w:val="005923EC"/>
    <w:rsid w:val="005928C5"/>
    <w:rsid w:val="00593297"/>
    <w:rsid w:val="005932E4"/>
    <w:rsid w:val="0059381A"/>
    <w:rsid w:val="00594879"/>
    <w:rsid w:val="00594BBF"/>
    <w:rsid w:val="00594E6B"/>
    <w:rsid w:val="00595AB2"/>
    <w:rsid w:val="00596854"/>
    <w:rsid w:val="005978A0"/>
    <w:rsid w:val="00597A30"/>
    <w:rsid w:val="00597A74"/>
    <w:rsid w:val="00597E5D"/>
    <w:rsid w:val="00597FA3"/>
    <w:rsid w:val="005A0129"/>
    <w:rsid w:val="005A0EFB"/>
    <w:rsid w:val="005A1084"/>
    <w:rsid w:val="005A1885"/>
    <w:rsid w:val="005A21BC"/>
    <w:rsid w:val="005A2571"/>
    <w:rsid w:val="005A3963"/>
    <w:rsid w:val="005A3CA5"/>
    <w:rsid w:val="005A4CCA"/>
    <w:rsid w:val="005A5A32"/>
    <w:rsid w:val="005A5C9B"/>
    <w:rsid w:val="005A6AE8"/>
    <w:rsid w:val="005A7007"/>
    <w:rsid w:val="005A72D7"/>
    <w:rsid w:val="005A73B5"/>
    <w:rsid w:val="005A7911"/>
    <w:rsid w:val="005A7BE4"/>
    <w:rsid w:val="005A7FA3"/>
    <w:rsid w:val="005B035A"/>
    <w:rsid w:val="005B0468"/>
    <w:rsid w:val="005B0BCF"/>
    <w:rsid w:val="005B197F"/>
    <w:rsid w:val="005B1C5D"/>
    <w:rsid w:val="005B2B3E"/>
    <w:rsid w:val="005B32E1"/>
    <w:rsid w:val="005B3401"/>
    <w:rsid w:val="005B3653"/>
    <w:rsid w:val="005B372F"/>
    <w:rsid w:val="005B4024"/>
    <w:rsid w:val="005B4374"/>
    <w:rsid w:val="005B4559"/>
    <w:rsid w:val="005B4689"/>
    <w:rsid w:val="005B5237"/>
    <w:rsid w:val="005B54E9"/>
    <w:rsid w:val="005B5773"/>
    <w:rsid w:val="005B6604"/>
    <w:rsid w:val="005B77C7"/>
    <w:rsid w:val="005B79D1"/>
    <w:rsid w:val="005B7B29"/>
    <w:rsid w:val="005B7BF4"/>
    <w:rsid w:val="005C0F0A"/>
    <w:rsid w:val="005C109C"/>
    <w:rsid w:val="005C188B"/>
    <w:rsid w:val="005C1D42"/>
    <w:rsid w:val="005C2439"/>
    <w:rsid w:val="005C2746"/>
    <w:rsid w:val="005C2B9F"/>
    <w:rsid w:val="005C3FEE"/>
    <w:rsid w:val="005C4796"/>
    <w:rsid w:val="005C4E3B"/>
    <w:rsid w:val="005C5AE4"/>
    <w:rsid w:val="005C5C59"/>
    <w:rsid w:val="005C62AA"/>
    <w:rsid w:val="005C71AA"/>
    <w:rsid w:val="005C73FB"/>
    <w:rsid w:val="005C7C55"/>
    <w:rsid w:val="005C7FB2"/>
    <w:rsid w:val="005D0A1C"/>
    <w:rsid w:val="005D114B"/>
    <w:rsid w:val="005D2250"/>
    <w:rsid w:val="005D26C3"/>
    <w:rsid w:val="005D2F47"/>
    <w:rsid w:val="005D30DB"/>
    <w:rsid w:val="005D3640"/>
    <w:rsid w:val="005D3712"/>
    <w:rsid w:val="005D3747"/>
    <w:rsid w:val="005D4088"/>
    <w:rsid w:val="005D43CB"/>
    <w:rsid w:val="005D4951"/>
    <w:rsid w:val="005D6209"/>
    <w:rsid w:val="005D6312"/>
    <w:rsid w:val="005D707E"/>
    <w:rsid w:val="005D7574"/>
    <w:rsid w:val="005D7867"/>
    <w:rsid w:val="005D7EEA"/>
    <w:rsid w:val="005D7F1C"/>
    <w:rsid w:val="005E0989"/>
    <w:rsid w:val="005E0A3F"/>
    <w:rsid w:val="005E0F68"/>
    <w:rsid w:val="005E0FB0"/>
    <w:rsid w:val="005E12E0"/>
    <w:rsid w:val="005E1717"/>
    <w:rsid w:val="005E1A9F"/>
    <w:rsid w:val="005E1E33"/>
    <w:rsid w:val="005E2907"/>
    <w:rsid w:val="005E3057"/>
    <w:rsid w:val="005E3375"/>
    <w:rsid w:val="005E3957"/>
    <w:rsid w:val="005E3EA2"/>
    <w:rsid w:val="005E50DF"/>
    <w:rsid w:val="005E53B2"/>
    <w:rsid w:val="005E5D7B"/>
    <w:rsid w:val="005E6143"/>
    <w:rsid w:val="005E618A"/>
    <w:rsid w:val="005E6419"/>
    <w:rsid w:val="005E670D"/>
    <w:rsid w:val="005E6B8D"/>
    <w:rsid w:val="005E6F26"/>
    <w:rsid w:val="005E7BE5"/>
    <w:rsid w:val="005E7E1E"/>
    <w:rsid w:val="005F0E48"/>
    <w:rsid w:val="005F1247"/>
    <w:rsid w:val="005F12B4"/>
    <w:rsid w:val="005F32FC"/>
    <w:rsid w:val="005F374A"/>
    <w:rsid w:val="005F3781"/>
    <w:rsid w:val="005F3C83"/>
    <w:rsid w:val="005F4066"/>
    <w:rsid w:val="005F4EE3"/>
    <w:rsid w:val="005F5068"/>
    <w:rsid w:val="005F585D"/>
    <w:rsid w:val="005F5AD1"/>
    <w:rsid w:val="005F5F63"/>
    <w:rsid w:val="005F6133"/>
    <w:rsid w:val="005F65F9"/>
    <w:rsid w:val="005F661F"/>
    <w:rsid w:val="005F6D10"/>
    <w:rsid w:val="005F6E29"/>
    <w:rsid w:val="005F7245"/>
    <w:rsid w:val="005F770F"/>
    <w:rsid w:val="006004E2"/>
    <w:rsid w:val="006006E5"/>
    <w:rsid w:val="00600C91"/>
    <w:rsid w:val="00601B4A"/>
    <w:rsid w:val="00601C10"/>
    <w:rsid w:val="00601C6D"/>
    <w:rsid w:val="00601E59"/>
    <w:rsid w:val="00601F31"/>
    <w:rsid w:val="006029EF"/>
    <w:rsid w:val="006031AD"/>
    <w:rsid w:val="00603524"/>
    <w:rsid w:val="00603C32"/>
    <w:rsid w:val="006040AB"/>
    <w:rsid w:val="00604699"/>
    <w:rsid w:val="0060482E"/>
    <w:rsid w:val="00605D5C"/>
    <w:rsid w:val="00606840"/>
    <w:rsid w:val="006073CE"/>
    <w:rsid w:val="0060764B"/>
    <w:rsid w:val="00607658"/>
    <w:rsid w:val="00610BF6"/>
    <w:rsid w:val="00610E61"/>
    <w:rsid w:val="00611140"/>
    <w:rsid w:val="006114AE"/>
    <w:rsid w:val="006124DD"/>
    <w:rsid w:val="006127AB"/>
    <w:rsid w:val="0061290D"/>
    <w:rsid w:val="00612DE7"/>
    <w:rsid w:val="006130EE"/>
    <w:rsid w:val="006131CE"/>
    <w:rsid w:val="006138C0"/>
    <w:rsid w:val="00613EF5"/>
    <w:rsid w:val="0061441E"/>
    <w:rsid w:val="006147D5"/>
    <w:rsid w:val="006147E5"/>
    <w:rsid w:val="006149DB"/>
    <w:rsid w:val="00615836"/>
    <w:rsid w:val="00615D2C"/>
    <w:rsid w:val="00615DFD"/>
    <w:rsid w:val="00616104"/>
    <w:rsid w:val="00616AAF"/>
    <w:rsid w:val="006173C1"/>
    <w:rsid w:val="00617584"/>
    <w:rsid w:val="006176D9"/>
    <w:rsid w:val="00617B03"/>
    <w:rsid w:val="00617E61"/>
    <w:rsid w:val="0062059F"/>
    <w:rsid w:val="00620605"/>
    <w:rsid w:val="006211CD"/>
    <w:rsid w:val="00621247"/>
    <w:rsid w:val="006226A2"/>
    <w:rsid w:val="00622E44"/>
    <w:rsid w:val="00623453"/>
    <w:rsid w:val="00623C52"/>
    <w:rsid w:val="00624692"/>
    <w:rsid w:val="00624A65"/>
    <w:rsid w:val="00625445"/>
    <w:rsid w:val="0062612B"/>
    <w:rsid w:val="006267F7"/>
    <w:rsid w:val="0062731C"/>
    <w:rsid w:val="006311F1"/>
    <w:rsid w:val="006314C2"/>
    <w:rsid w:val="00631843"/>
    <w:rsid w:val="0063209E"/>
    <w:rsid w:val="006320EC"/>
    <w:rsid w:val="0063233E"/>
    <w:rsid w:val="006326C5"/>
    <w:rsid w:val="00632A6F"/>
    <w:rsid w:val="00632AF3"/>
    <w:rsid w:val="00633754"/>
    <w:rsid w:val="0063379F"/>
    <w:rsid w:val="0063405A"/>
    <w:rsid w:val="00635AD4"/>
    <w:rsid w:val="006365DE"/>
    <w:rsid w:val="006367A8"/>
    <w:rsid w:val="00636B48"/>
    <w:rsid w:val="00636CD7"/>
    <w:rsid w:val="00636CE4"/>
    <w:rsid w:val="0063794E"/>
    <w:rsid w:val="00637AF9"/>
    <w:rsid w:val="00640454"/>
    <w:rsid w:val="00641023"/>
    <w:rsid w:val="00641482"/>
    <w:rsid w:val="00641A26"/>
    <w:rsid w:val="0064274E"/>
    <w:rsid w:val="00642AF6"/>
    <w:rsid w:val="00642EEF"/>
    <w:rsid w:val="0064302D"/>
    <w:rsid w:val="006438FE"/>
    <w:rsid w:val="00644B1A"/>
    <w:rsid w:val="006459AD"/>
    <w:rsid w:val="006464AC"/>
    <w:rsid w:val="006469C2"/>
    <w:rsid w:val="00646A3A"/>
    <w:rsid w:val="00646F69"/>
    <w:rsid w:val="00647013"/>
    <w:rsid w:val="00647C7E"/>
    <w:rsid w:val="006502ED"/>
    <w:rsid w:val="006512F0"/>
    <w:rsid w:val="0065135E"/>
    <w:rsid w:val="00651ADF"/>
    <w:rsid w:val="00651FFE"/>
    <w:rsid w:val="00652861"/>
    <w:rsid w:val="00652B05"/>
    <w:rsid w:val="00652BF0"/>
    <w:rsid w:val="00652F60"/>
    <w:rsid w:val="00652FB4"/>
    <w:rsid w:val="00653F1C"/>
    <w:rsid w:val="0065423E"/>
    <w:rsid w:val="0065462C"/>
    <w:rsid w:val="00654637"/>
    <w:rsid w:val="0065486D"/>
    <w:rsid w:val="00654CF7"/>
    <w:rsid w:val="00654D82"/>
    <w:rsid w:val="0065544D"/>
    <w:rsid w:val="006554E5"/>
    <w:rsid w:val="00655E7E"/>
    <w:rsid w:val="00656AE0"/>
    <w:rsid w:val="00656BDE"/>
    <w:rsid w:val="00656DBF"/>
    <w:rsid w:val="00657160"/>
    <w:rsid w:val="006573F5"/>
    <w:rsid w:val="006577FA"/>
    <w:rsid w:val="006600B7"/>
    <w:rsid w:val="00660629"/>
    <w:rsid w:val="006608F8"/>
    <w:rsid w:val="00660C93"/>
    <w:rsid w:val="00661B4C"/>
    <w:rsid w:val="00662282"/>
    <w:rsid w:val="006628B2"/>
    <w:rsid w:val="006629AB"/>
    <w:rsid w:val="0066339D"/>
    <w:rsid w:val="006637F7"/>
    <w:rsid w:val="00664474"/>
    <w:rsid w:val="0066448E"/>
    <w:rsid w:val="00664D95"/>
    <w:rsid w:val="00664FC5"/>
    <w:rsid w:val="006658F0"/>
    <w:rsid w:val="00665F0E"/>
    <w:rsid w:val="006662BA"/>
    <w:rsid w:val="00666332"/>
    <w:rsid w:val="0066642F"/>
    <w:rsid w:val="006666FD"/>
    <w:rsid w:val="00666D23"/>
    <w:rsid w:val="00666DDF"/>
    <w:rsid w:val="006673D9"/>
    <w:rsid w:val="00667D51"/>
    <w:rsid w:val="0067032B"/>
    <w:rsid w:val="00670491"/>
    <w:rsid w:val="00670F01"/>
    <w:rsid w:val="00670F08"/>
    <w:rsid w:val="00671112"/>
    <w:rsid w:val="0067119C"/>
    <w:rsid w:val="006711CD"/>
    <w:rsid w:val="00671274"/>
    <w:rsid w:val="006714CE"/>
    <w:rsid w:val="00672021"/>
    <w:rsid w:val="00672626"/>
    <w:rsid w:val="00672876"/>
    <w:rsid w:val="00672DD5"/>
    <w:rsid w:val="00672F78"/>
    <w:rsid w:val="0067339C"/>
    <w:rsid w:val="006734BE"/>
    <w:rsid w:val="00673D32"/>
    <w:rsid w:val="00675366"/>
    <w:rsid w:val="006759CB"/>
    <w:rsid w:val="00675D32"/>
    <w:rsid w:val="00675E99"/>
    <w:rsid w:val="006760DF"/>
    <w:rsid w:val="0067611A"/>
    <w:rsid w:val="0067642C"/>
    <w:rsid w:val="00676A74"/>
    <w:rsid w:val="00676B58"/>
    <w:rsid w:val="00676D5D"/>
    <w:rsid w:val="00680148"/>
    <w:rsid w:val="00680F5B"/>
    <w:rsid w:val="00681EF2"/>
    <w:rsid w:val="00682164"/>
    <w:rsid w:val="006821A3"/>
    <w:rsid w:val="0068230C"/>
    <w:rsid w:val="00682BA5"/>
    <w:rsid w:val="00682FA5"/>
    <w:rsid w:val="0068316A"/>
    <w:rsid w:val="00683417"/>
    <w:rsid w:val="006834D8"/>
    <w:rsid w:val="00683CCE"/>
    <w:rsid w:val="00683DEA"/>
    <w:rsid w:val="00683F05"/>
    <w:rsid w:val="006843EE"/>
    <w:rsid w:val="00684B43"/>
    <w:rsid w:val="00684D70"/>
    <w:rsid w:val="006858F0"/>
    <w:rsid w:val="00685937"/>
    <w:rsid w:val="0068612F"/>
    <w:rsid w:val="00687B93"/>
    <w:rsid w:val="00687E4C"/>
    <w:rsid w:val="00690A36"/>
    <w:rsid w:val="00690C85"/>
    <w:rsid w:val="0069106C"/>
    <w:rsid w:val="00691433"/>
    <w:rsid w:val="006914E7"/>
    <w:rsid w:val="006916AA"/>
    <w:rsid w:val="00691D6E"/>
    <w:rsid w:val="00692436"/>
    <w:rsid w:val="00692D16"/>
    <w:rsid w:val="00692FF7"/>
    <w:rsid w:val="006930BD"/>
    <w:rsid w:val="0069324C"/>
    <w:rsid w:val="00694761"/>
    <w:rsid w:val="00694840"/>
    <w:rsid w:val="0069509B"/>
    <w:rsid w:val="006951E2"/>
    <w:rsid w:val="00695B98"/>
    <w:rsid w:val="006960FC"/>
    <w:rsid w:val="006964C6"/>
    <w:rsid w:val="00696852"/>
    <w:rsid w:val="00697379"/>
    <w:rsid w:val="006976BB"/>
    <w:rsid w:val="006978ED"/>
    <w:rsid w:val="00697AF3"/>
    <w:rsid w:val="006A015F"/>
    <w:rsid w:val="006A114F"/>
    <w:rsid w:val="006A184C"/>
    <w:rsid w:val="006A2148"/>
    <w:rsid w:val="006A2C78"/>
    <w:rsid w:val="006A3481"/>
    <w:rsid w:val="006A433E"/>
    <w:rsid w:val="006A4F97"/>
    <w:rsid w:val="006A52EE"/>
    <w:rsid w:val="006A6E5D"/>
    <w:rsid w:val="006B1105"/>
    <w:rsid w:val="006B1158"/>
    <w:rsid w:val="006B11CC"/>
    <w:rsid w:val="006B15AD"/>
    <w:rsid w:val="006B3446"/>
    <w:rsid w:val="006B3921"/>
    <w:rsid w:val="006B4618"/>
    <w:rsid w:val="006B4AFB"/>
    <w:rsid w:val="006B4F01"/>
    <w:rsid w:val="006B58A1"/>
    <w:rsid w:val="006B74D3"/>
    <w:rsid w:val="006B7810"/>
    <w:rsid w:val="006B7845"/>
    <w:rsid w:val="006B7867"/>
    <w:rsid w:val="006B79C8"/>
    <w:rsid w:val="006C0638"/>
    <w:rsid w:val="006C09E4"/>
    <w:rsid w:val="006C0ED8"/>
    <w:rsid w:val="006C102B"/>
    <w:rsid w:val="006C1144"/>
    <w:rsid w:val="006C1185"/>
    <w:rsid w:val="006C12E7"/>
    <w:rsid w:val="006C16F4"/>
    <w:rsid w:val="006C1B63"/>
    <w:rsid w:val="006C1F97"/>
    <w:rsid w:val="006C2872"/>
    <w:rsid w:val="006C3DDE"/>
    <w:rsid w:val="006C57B2"/>
    <w:rsid w:val="006C7528"/>
    <w:rsid w:val="006C77ED"/>
    <w:rsid w:val="006C783F"/>
    <w:rsid w:val="006C798A"/>
    <w:rsid w:val="006C7A48"/>
    <w:rsid w:val="006C7B81"/>
    <w:rsid w:val="006C7E40"/>
    <w:rsid w:val="006D05DB"/>
    <w:rsid w:val="006D179A"/>
    <w:rsid w:val="006D21E9"/>
    <w:rsid w:val="006D22F6"/>
    <w:rsid w:val="006D311A"/>
    <w:rsid w:val="006D341F"/>
    <w:rsid w:val="006D37AF"/>
    <w:rsid w:val="006D3A1F"/>
    <w:rsid w:val="006D3CC8"/>
    <w:rsid w:val="006D4403"/>
    <w:rsid w:val="006D4720"/>
    <w:rsid w:val="006D4D09"/>
    <w:rsid w:val="006D4DF2"/>
    <w:rsid w:val="006D4FA9"/>
    <w:rsid w:val="006D5019"/>
    <w:rsid w:val="006D501E"/>
    <w:rsid w:val="006D5274"/>
    <w:rsid w:val="006D5B26"/>
    <w:rsid w:val="006D6D49"/>
    <w:rsid w:val="006D6DB7"/>
    <w:rsid w:val="006D70E0"/>
    <w:rsid w:val="006E0F71"/>
    <w:rsid w:val="006E13AE"/>
    <w:rsid w:val="006E17A6"/>
    <w:rsid w:val="006E2C59"/>
    <w:rsid w:val="006E3498"/>
    <w:rsid w:val="006E3D8A"/>
    <w:rsid w:val="006E3DFD"/>
    <w:rsid w:val="006E4199"/>
    <w:rsid w:val="006E43F6"/>
    <w:rsid w:val="006E450A"/>
    <w:rsid w:val="006E4CA2"/>
    <w:rsid w:val="006E4D80"/>
    <w:rsid w:val="006E4E3E"/>
    <w:rsid w:val="006E532B"/>
    <w:rsid w:val="006E5464"/>
    <w:rsid w:val="006E5EE8"/>
    <w:rsid w:val="006E718A"/>
    <w:rsid w:val="006E71F1"/>
    <w:rsid w:val="006E78A2"/>
    <w:rsid w:val="006E7D1E"/>
    <w:rsid w:val="006F0766"/>
    <w:rsid w:val="006F0B1D"/>
    <w:rsid w:val="006F195F"/>
    <w:rsid w:val="006F1CEE"/>
    <w:rsid w:val="006F1F96"/>
    <w:rsid w:val="006F21DA"/>
    <w:rsid w:val="006F2870"/>
    <w:rsid w:val="006F28CA"/>
    <w:rsid w:val="006F2D05"/>
    <w:rsid w:val="006F2DD0"/>
    <w:rsid w:val="006F3AED"/>
    <w:rsid w:val="006F5A43"/>
    <w:rsid w:val="006F5ECE"/>
    <w:rsid w:val="006F618D"/>
    <w:rsid w:val="006F61DF"/>
    <w:rsid w:val="006F650B"/>
    <w:rsid w:val="006F67AF"/>
    <w:rsid w:val="006F69CF"/>
    <w:rsid w:val="006F70EF"/>
    <w:rsid w:val="007014EC"/>
    <w:rsid w:val="007019F6"/>
    <w:rsid w:val="00701F04"/>
    <w:rsid w:val="0070267F"/>
    <w:rsid w:val="00702CAB"/>
    <w:rsid w:val="00703521"/>
    <w:rsid w:val="00704407"/>
    <w:rsid w:val="00704FF7"/>
    <w:rsid w:val="00705558"/>
    <w:rsid w:val="00705B86"/>
    <w:rsid w:val="00705E27"/>
    <w:rsid w:val="00705F5D"/>
    <w:rsid w:val="007064D2"/>
    <w:rsid w:val="00706583"/>
    <w:rsid w:val="007103DD"/>
    <w:rsid w:val="007107DF"/>
    <w:rsid w:val="007108F1"/>
    <w:rsid w:val="00710FA6"/>
    <w:rsid w:val="00710FBC"/>
    <w:rsid w:val="007110D8"/>
    <w:rsid w:val="00711275"/>
    <w:rsid w:val="007125DE"/>
    <w:rsid w:val="00712750"/>
    <w:rsid w:val="00712967"/>
    <w:rsid w:val="0071312F"/>
    <w:rsid w:val="0071384D"/>
    <w:rsid w:val="00713A49"/>
    <w:rsid w:val="00713A52"/>
    <w:rsid w:val="00713B49"/>
    <w:rsid w:val="00713CCA"/>
    <w:rsid w:val="00713ED4"/>
    <w:rsid w:val="00713EF8"/>
    <w:rsid w:val="00714741"/>
    <w:rsid w:val="00714C37"/>
    <w:rsid w:val="00714C8E"/>
    <w:rsid w:val="00714CC9"/>
    <w:rsid w:val="007156A6"/>
    <w:rsid w:val="0071574D"/>
    <w:rsid w:val="00715DF7"/>
    <w:rsid w:val="00716567"/>
    <w:rsid w:val="00716847"/>
    <w:rsid w:val="00716F33"/>
    <w:rsid w:val="0071747F"/>
    <w:rsid w:val="00717754"/>
    <w:rsid w:val="00717B7A"/>
    <w:rsid w:val="00720BDD"/>
    <w:rsid w:val="0072101F"/>
    <w:rsid w:val="007212CB"/>
    <w:rsid w:val="0072166A"/>
    <w:rsid w:val="00721EE9"/>
    <w:rsid w:val="0072369E"/>
    <w:rsid w:val="007238A9"/>
    <w:rsid w:val="007240EE"/>
    <w:rsid w:val="007243FC"/>
    <w:rsid w:val="00724512"/>
    <w:rsid w:val="00724D36"/>
    <w:rsid w:val="00724E80"/>
    <w:rsid w:val="00724F48"/>
    <w:rsid w:val="00724FD0"/>
    <w:rsid w:val="00725400"/>
    <w:rsid w:val="0072604F"/>
    <w:rsid w:val="0072742F"/>
    <w:rsid w:val="0073154D"/>
    <w:rsid w:val="0073162B"/>
    <w:rsid w:val="00731913"/>
    <w:rsid w:val="00731DB2"/>
    <w:rsid w:val="007321D1"/>
    <w:rsid w:val="0073226A"/>
    <w:rsid w:val="007326BB"/>
    <w:rsid w:val="00732B3D"/>
    <w:rsid w:val="0073326B"/>
    <w:rsid w:val="007337B9"/>
    <w:rsid w:val="007337E1"/>
    <w:rsid w:val="00733F24"/>
    <w:rsid w:val="00733FA3"/>
    <w:rsid w:val="007342AC"/>
    <w:rsid w:val="00734F0F"/>
    <w:rsid w:val="00736743"/>
    <w:rsid w:val="007373FD"/>
    <w:rsid w:val="00737A7A"/>
    <w:rsid w:val="00737FE5"/>
    <w:rsid w:val="007401D9"/>
    <w:rsid w:val="00740460"/>
    <w:rsid w:val="0074051D"/>
    <w:rsid w:val="00740F24"/>
    <w:rsid w:val="00741B45"/>
    <w:rsid w:val="00741E2F"/>
    <w:rsid w:val="00741EC9"/>
    <w:rsid w:val="0074246F"/>
    <w:rsid w:val="007429ED"/>
    <w:rsid w:val="00742A67"/>
    <w:rsid w:val="00743DC3"/>
    <w:rsid w:val="00743F94"/>
    <w:rsid w:val="00744E39"/>
    <w:rsid w:val="007450A7"/>
    <w:rsid w:val="00745692"/>
    <w:rsid w:val="007464FB"/>
    <w:rsid w:val="007476EA"/>
    <w:rsid w:val="00747741"/>
    <w:rsid w:val="00747D86"/>
    <w:rsid w:val="007501D2"/>
    <w:rsid w:val="00750C6B"/>
    <w:rsid w:val="00750DF9"/>
    <w:rsid w:val="00752066"/>
    <w:rsid w:val="007529C8"/>
    <w:rsid w:val="00753B48"/>
    <w:rsid w:val="00753EB2"/>
    <w:rsid w:val="0075428E"/>
    <w:rsid w:val="007542B0"/>
    <w:rsid w:val="00754429"/>
    <w:rsid w:val="00754D0A"/>
    <w:rsid w:val="007553B1"/>
    <w:rsid w:val="0075719C"/>
    <w:rsid w:val="007577CE"/>
    <w:rsid w:val="007579E1"/>
    <w:rsid w:val="00757B91"/>
    <w:rsid w:val="007607CE"/>
    <w:rsid w:val="00760AD3"/>
    <w:rsid w:val="00760DF0"/>
    <w:rsid w:val="00760F06"/>
    <w:rsid w:val="007615E4"/>
    <w:rsid w:val="0076186B"/>
    <w:rsid w:val="00761E0D"/>
    <w:rsid w:val="00762133"/>
    <w:rsid w:val="0076230C"/>
    <w:rsid w:val="00762DD6"/>
    <w:rsid w:val="00762FDB"/>
    <w:rsid w:val="00763648"/>
    <w:rsid w:val="00763A62"/>
    <w:rsid w:val="007640A5"/>
    <w:rsid w:val="007648E6"/>
    <w:rsid w:val="00765995"/>
    <w:rsid w:val="00765E01"/>
    <w:rsid w:val="00765E98"/>
    <w:rsid w:val="00766416"/>
    <w:rsid w:val="00766422"/>
    <w:rsid w:val="00766B23"/>
    <w:rsid w:val="00766B5F"/>
    <w:rsid w:val="00766CA5"/>
    <w:rsid w:val="00767D7B"/>
    <w:rsid w:val="00767F3E"/>
    <w:rsid w:val="00770427"/>
    <w:rsid w:val="0077045B"/>
    <w:rsid w:val="00770887"/>
    <w:rsid w:val="007708DC"/>
    <w:rsid w:val="007714FA"/>
    <w:rsid w:val="007727F1"/>
    <w:rsid w:val="00772CAA"/>
    <w:rsid w:val="007730CC"/>
    <w:rsid w:val="00773772"/>
    <w:rsid w:val="00774716"/>
    <w:rsid w:val="0077484D"/>
    <w:rsid w:val="00774DE7"/>
    <w:rsid w:val="007752F8"/>
    <w:rsid w:val="0077538D"/>
    <w:rsid w:val="007759E0"/>
    <w:rsid w:val="00775AF6"/>
    <w:rsid w:val="00776409"/>
    <w:rsid w:val="007766A4"/>
    <w:rsid w:val="00776784"/>
    <w:rsid w:val="007767C5"/>
    <w:rsid w:val="007770A7"/>
    <w:rsid w:val="0077785A"/>
    <w:rsid w:val="00777CBA"/>
    <w:rsid w:val="00777E17"/>
    <w:rsid w:val="00780319"/>
    <w:rsid w:val="007803D0"/>
    <w:rsid w:val="00780ABC"/>
    <w:rsid w:val="00780EBC"/>
    <w:rsid w:val="00781340"/>
    <w:rsid w:val="007815EB"/>
    <w:rsid w:val="00781659"/>
    <w:rsid w:val="007816B6"/>
    <w:rsid w:val="0078251F"/>
    <w:rsid w:val="00783029"/>
    <w:rsid w:val="007830F5"/>
    <w:rsid w:val="007832BD"/>
    <w:rsid w:val="0078359E"/>
    <w:rsid w:val="007837AB"/>
    <w:rsid w:val="007841D6"/>
    <w:rsid w:val="00784246"/>
    <w:rsid w:val="00784D35"/>
    <w:rsid w:val="00784E3D"/>
    <w:rsid w:val="00786515"/>
    <w:rsid w:val="007866E5"/>
    <w:rsid w:val="00786C75"/>
    <w:rsid w:val="0078727E"/>
    <w:rsid w:val="00790251"/>
    <w:rsid w:val="00790C39"/>
    <w:rsid w:val="0079130C"/>
    <w:rsid w:val="007919BA"/>
    <w:rsid w:val="00792348"/>
    <w:rsid w:val="00792BF4"/>
    <w:rsid w:val="00792F8D"/>
    <w:rsid w:val="00793281"/>
    <w:rsid w:val="007950CE"/>
    <w:rsid w:val="007957B6"/>
    <w:rsid w:val="0079645D"/>
    <w:rsid w:val="00796BDD"/>
    <w:rsid w:val="00796C67"/>
    <w:rsid w:val="00796C8D"/>
    <w:rsid w:val="00797250"/>
    <w:rsid w:val="007977B0"/>
    <w:rsid w:val="00797848"/>
    <w:rsid w:val="00797A1F"/>
    <w:rsid w:val="007A10A3"/>
    <w:rsid w:val="007A126F"/>
    <w:rsid w:val="007A12F9"/>
    <w:rsid w:val="007A1642"/>
    <w:rsid w:val="007A2B3E"/>
    <w:rsid w:val="007A2C8D"/>
    <w:rsid w:val="007A3260"/>
    <w:rsid w:val="007A3376"/>
    <w:rsid w:val="007A34B2"/>
    <w:rsid w:val="007A4208"/>
    <w:rsid w:val="007A445E"/>
    <w:rsid w:val="007A4EC2"/>
    <w:rsid w:val="007A50B2"/>
    <w:rsid w:val="007A62E3"/>
    <w:rsid w:val="007A6B37"/>
    <w:rsid w:val="007A7191"/>
    <w:rsid w:val="007A7205"/>
    <w:rsid w:val="007A7314"/>
    <w:rsid w:val="007A78EA"/>
    <w:rsid w:val="007A7B2D"/>
    <w:rsid w:val="007B008F"/>
    <w:rsid w:val="007B04F5"/>
    <w:rsid w:val="007B2B70"/>
    <w:rsid w:val="007B3315"/>
    <w:rsid w:val="007B3549"/>
    <w:rsid w:val="007B4A82"/>
    <w:rsid w:val="007B52A7"/>
    <w:rsid w:val="007B626B"/>
    <w:rsid w:val="007B64AA"/>
    <w:rsid w:val="007B7198"/>
    <w:rsid w:val="007B7302"/>
    <w:rsid w:val="007B7497"/>
    <w:rsid w:val="007B7F69"/>
    <w:rsid w:val="007C1321"/>
    <w:rsid w:val="007C1790"/>
    <w:rsid w:val="007C18CB"/>
    <w:rsid w:val="007C2392"/>
    <w:rsid w:val="007C24EE"/>
    <w:rsid w:val="007C2A25"/>
    <w:rsid w:val="007C3B8A"/>
    <w:rsid w:val="007C4568"/>
    <w:rsid w:val="007C4657"/>
    <w:rsid w:val="007C5910"/>
    <w:rsid w:val="007C5951"/>
    <w:rsid w:val="007C59F7"/>
    <w:rsid w:val="007C6DCF"/>
    <w:rsid w:val="007C6E65"/>
    <w:rsid w:val="007C7AB4"/>
    <w:rsid w:val="007C7BB9"/>
    <w:rsid w:val="007C7C33"/>
    <w:rsid w:val="007C7F1F"/>
    <w:rsid w:val="007D0044"/>
    <w:rsid w:val="007D06F4"/>
    <w:rsid w:val="007D19B9"/>
    <w:rsid w:val="007D2455"/>
    <w:rsid w:val="007D32B4"/>
    <w:rsid w:val="007D3AF7"/>
    <w:rsid w:val="007D434E"/>
    <w:rsid w:val="007D4BA8"/>
    <w:rsid w:val="007D4C28"/>
    <w:rsid w:val="007D4DEE"/>
    <w:rsid w:val="007D569F"/>
    <w:rsid w:val="007D59BC"/>
    <w:rsid w:val="007D5B05"/>
    <w:rsid w:val="007D6F9A"/>
    <w:rsid w:val="007D716C"/>
    <w:rsid w:val="007D79D5"/>
    <w:rsid w:val="007E00E9"/>
    <w:rsid w:val="007E04BF"/>
    <w:rsid w:val="007E0DBB"/>
    <w:rsid w:val="007E0F97"/>
    <w:rsid w:val="007E100E"/>
    <w:rsid w:val="007E127A"/>
    <w:rsid w:val="007E1753"/>
    <w:rsid w:val="007E1904"/>
    <w:rsid w:val="007E1DD6"/>
    <w:rsid w:val="007E1F9F"/>
    <w:rsid w:val="007E2108"/>
    <w:rsid w:val="007E28C4"/>
    <w:rsid w:val="007E2B0A"/>
    <w:rsid w:val="007E2F61"/>
    <w:rsid w:val="007E301B"/>
    <w:rsid w:val="007E323F"/>
    <w:rsid w:val="007E35E4"/>
    <w:rsid w:val="007E376B"/>
    <w:rsid w:val="007E3A9E"/>
    <w:rsid w:val="007E3CBB"/>
    <w:rsid w:val="007E413C"/>
    <w:rsid w:val="007E41FB"/>
    <w:rsid w:val="007E4B68"/>
    <w:rsid w:val="007E4CC0"/>
    <w:rsid w:val="007E4DD3"/>
    <w:rsid w:val="007E59CA"/>
    <w:rsid w:val="007E75C0"/>
    <w:rsid w:val="007E786E"/>
    <w:rsid w:val="007F07F3"/>
    <w:rsid w:val="007F1203"/>
    <w:rsid w:val="007F178D"/>
    <w:rsid w:val="007F1A1F"/>
    <w:rsid w:val="007F1D41"/>
    <w:rsid w:val="007F1F03"/>
    <w:rsid w:val="007F2625"/>
    <w:rsid w:val="007F322E"/>
    <w:rsid w:val="007F35DF"/>
    <w:rsid w:val="007F406A"/>
    <w:rsid w:val="007F45BC"/>
    <w:rsid w:val="007F5114"/>
    <w:rsid w:val="007F54DE"/>
    <w:rsid w:val="007F59DB"/>
    <w:rsid w:val="007F65F9"/>
    <w:rsid w:val="007F65FF"/>
    <w:rsid w:val="007F68B7"/>
    <w:rsid w:val="007F6C61"/>
    <w:rsid w:val="007F78D5"/>
    <w:rsid w:val="007F7902"/>
    <w:rsid w:val="0080016B"/>
    <w:rsid w:val="00801265"/>
    <w:rsid w:val="00801843"/>
    <w:rsid w:val="00801A73"/>
    <w:rsid w:val="00801BE2"/>
    <w:rsid w:val="008024AE"/>
    <w:rsid w:val="008038FB"/>
    <w:rsid w:val="0080396D"/>
    <w:rsid w:val="00803CEE"/>
    <w:rsid w:val="00803F6D"/>
    <w:rsid w:val="00803F9C"/>
    <w:rsid w:val="00805103"/>
    <w:rsid w:val="00805E97"/>
    <w:rsid w:val="00805FD3"/>
    <w:rsid w:val="00806131"/>
    <w:rsid w:val="008069A6"/>
    <w:rsid w:val="00807494"/>
    <w:rsid w:val="00807560"/>
    <w:rsid w:val="00810546"/>
    <w:rsid w:val="00810653"/>
    <w:rsid w:val="00810935"/>
    <w:rsid w:val="00810D7B"/>
    <w:rsid w:val="00810DC0"/>
    <w:rsid w:val="00810E3C"/>
    <w:rsid w:val="00811441"/>
    <w:rsid w:val="00812376"/>
    <w:rsid w:val="00812597"/>
    <w:rsid w:val="00812DB2"/>
    <w:rsid w:val="008138E4"/>
    <w:rsid w:val="00813BBB"/>
    <w:rsid w:val="00815198"/>
    <w:rsid w:val="00815CEC"/>
    <w:rsid w:val="008168A5"/>
    <w:rsid w:val="00816D7C"/>
    <w:rsid w:val="00817036"/>
    <w:rsid w:val="008170E9"/>
    <w:rsid w:val="00817C76"/>
    <w:rsid w:val="0082004A"/>
    <w:rsid w:val="008202F3"/>
    <w:rsid w:val="0082037E"/>
    <w:rsid w:val="0082079C"/>
    <w:rsid w:val="00820962"/>
    <w:rsid w:val="00820BE6"/>
    <w:rsid w:val="008210D3"/>
    <w:rsid w:val="008213AF"/>
    <w:rsid w:val="00821444"/>
    <w:rsid w:val="008215B9"/>
    <w:rsid w:val="008216BC"/>
    <w:rsid w:val="00821747"/>
    <w:rsid w:val="00821B89"/>
    <w:rsid w:val="0082235A"/>
    <w:rsid w:val="00822EDB"/>
    <w:rsid w:val="008234DD"/>
    <w:rsid w:val="00823976"/>
    <w:rsid w:val="00823C82"/>
    <w:rsid w:val="00823E43"/>
    <w:rsid w:val="00823F07"/>
    <w:rsid w:val="008241D8"/>
    <w:rsid w:val="008242AC"/>
    <w:rsid w:val="0082454A"/>
    <w:rsid w:val="008263FA"/>
    <w:rsid w:val="00830423"/>
    <w:rsid w:val="008306CF"/>
    <w:rsid w:val="0083082F"/>
    <w:rsid w:val="00830D15"/>
    <w:rsid w:val="008314D1"/>
    <w:rsid w:val="0083168F"/>
    <w:rsid w:val="00831EED"/>
    <w:rsid w:val="00832056"/>
    <w:rsid w:val="008326E7"/>
    <w:rsid w:val="008328E3"/>
    <w:rsid w:val="00834161"/>
    <w:rsid w:val="00834BCD"/>
    <w:rsid w:val="00834FB3"/>
    <w:rsid w:val="008354B6"/>
    <w:rsid w:val="00835CC8"/>
    <w:rsid w:val="00835DBD"/>
    <w:rsid w:val="0083601A"/>
    <w:rsid w:val="008360FD"/>
    <w:rsid w:val="00836272"/>
    <w:rsid w:val="00836D0F"/>
    <w:rsid w:val="00836FD7"/>
    <w:rsid w:val="008374FC"/>
    <w:rsid w:val="00837BEB"/>
    <w:rsid w:val="00840198"/>
    <w:rsid w:val="00840441"/>
    <w:rsid w:val="008405E0"/>
    <w:rsid w:val="00840BC5"/>
    <w:rsid w:val="00840C3C"/>
    <w:rsid w:val="00840F7F"/>
    <w:rsid w:val="00840F91"/>
    <w:rsid w:val="00841150"/>
    <w:rsid w:val="0084199D"/>
    <w:rsid w:val="00841D85"/>
    <w:rsid w:val="00842771"/>
    <w:rsid w:val="00842ECE"/>
    <w:rsid w:val="00843CBA"/>
    <w:rsid w:val="00843EAC"/>
    <w:rsid w:val="008442D2"/>
    <w:rsid w:val="00844697"/>
    <w:rsid w:val="00844985"/>
    <w:rsid w:val="00844A9F"/>
    <w:rsid w:val="00844C3E"/>
    <w:rsid w:val="00844E9A"/>
    <w:rsid w:val="00845606"/>
    <w:rsid w:val="0084568A"/>
    <w:rsid w:val="00845BDB"/>
    <w:rsid w:val="008461C8"/>
    <w:rsid w:val="00846F2F"/>
    <w:rsid w:val="00847E54"/>
    <w:rsid w:val="00850E23"/>
    <w:rsid w:val="008519BC"/>
    <w:rsid w:val="00852638"/>
    <w:rsid w:val="00852D5C"/>
    <w:rsid w:val="00852F05"/>
    <w:rsid w:val="00853090"/>
    <w:rsid w:val="00853329"/>
    <w:rsid w:val="00853509"/>
    <w:rsid w:val="00853AF2"/>
    <w:rsid w:val="00854045"/>
    <w:rsid w:val="0085437C"/>
    <w:rsid w:val="00854CCB"/>
    <w:rsid w:val="00855328"/>
    <w:rsid w:val="0085580B"/>
    <w:rsid w:val="00855C1C"/>
    <w:rsid w:val="00855C8E"/>
    <w:rsid w:val="00856595"/>
    <w:rsid w:val="00856D8A"/>
    <w:rsid w:val="008575D8"/>
    <w:rsid w:val="00860156"/>
    <w:rsid w:val="00860264"/>
    <w:rsid w:val="00860F01"/>
    <w:rsid w:val="00860F36"/>
    <w:rsid w:val="008612A8"/>
    <w:rsid w:val="00862078"/>
    <w:rsid w:val="008625C0"/>
    <w:rsid w:val="00862B00"/>
    <w:rsid w:val="00863FA2"/>
    <w:rsid w:val="00864BAC"/>
    <w:rsid w:val="00865223"/>
    <w:rsid w:val="00865264"/>
    <w:rsid w:val="0086592B"/>
    <w:rsid w:val="00866142"/>
    <w:rsid w:val="00866972"/>
    <w:rsid w:val="00867198"/>
    <w:rsid w:val="0086751D"/>
    <w:rsid w:val="00867903"/>
    <w:rsid w:val="00867EE1"/>
    <w:rsid w:val="00870074"/>
    <w:rsid w:val="00870084"/>
    <w:rsid w:val="00870264"/>
    <w:rsid w:val="00870638"/>
    <w:rsid w:val="00870888"/>
    <w:rsid w:val="00870FA2"/>
    <w:rsid w:val="00871528"/>
    <w:rsid w:val="0087193A"/>
    <w:rsid w:val="00871B9F"/>
    <w:rsid w:val="008722DD"/>
    <w:rsid w:val="00872D49"/>
    <w:rsid w:val="008734C1"/>
    <w:rsid w:val="008742C8"/>
    <w:rsid w:val="00874500"/>
    <w:rsid w:val="0087488B"/>
    <w:rsid w:val="00874B1E"/>
    <w:rsid w:val="00874BAA"/>
    <w:rsid w:val="008755C0"/>
    <w:rsid w:val="00875CB8"/>
    <w:rsid w:val="00876987"/>
    <w:rsid w:val="008777AC"/>
    <w:rsid w:val="00877A4E"/>
    <w:rsid w:val="00880721"/>
    <w:rsid w:val="00880CE6"/>
    <w:rsid w:val="00881DA0"/>
    <w:rsid w:val="00882DCD"/>
    <w:rsid w:val="00883399"/>
    <w:rsid w:val="0088368D"/>
    <w:rsid w:val="00883A3D"/>
    <w:rsid w:val="00883A43"/>
    <w:rsid w:val="00884394"/>
    <w:rsid w:val="0088475C"/>
    <w:rsid w:val="00885C38"/>
    <w:rsid w:val="00886D08"/>
    <w:rsid w:val="00887157"/>
    <w:rsid w:val="00887FDF"/>
    <w:rsid w:val="008900E0"/>
    <w:rsid w:val="00891B29"/>
    <w:rsid w:val="0089296D"/>
    <w:rsid w:val="008930F0"/>
    <w:rsid w:val="00893D2C"/>
    <w:rsid w:val="00893F6D"/>
    <w:rsid w:val="008947AD"/>
    <w:rsid w:val="00896D37"/>
    <w:rsid w:val="00897432"/>
    <w:rsid w:val="00897E53"/>
    <w:rsid w:val="008A0A31"/>
    <w:rsid w:val="008A0DA6"/>
    <w:rsid w:val="008A1FA2"/>
    <w:rsid w:val="008A3859"/>
    <w:rsid w:val="008A443A"/>
    <w:rsid w:val="008A4C9D"/>
    <w:rsid w:val="008A4FD2"/>
    <w:rsid w:val="008A50AB"/>
    <w:rsid w:val="008A5701"/>
    <w:rsid w:val="008A5DC0"/>
    <w:rsid w:val="008A680B"/>
    <w:rsid w:val="008A68CE"/>
    <w:rsid w:val="008A7090"/>
    <w:rsid w:val="008B0629"/>
    <w:rsid w:val="008B07BC"/>
    <w:rsid w:val="008B1242"/>
    <w:rsid w:val="008B165E"/>
    <w:rsid w:val="008B19FD"/>
    <w:rsid w:val="008B21AD"/>
    <w:rsid w:val="008B2795"/>
    <w:rsid w:val="008B2B3C"/>
    <w:rsid w:val="008B327D"/>
    <w:rsid w:val="008B3C26"/>
    <w:rsid w:val="008B4705"/>
    <w:rsid w:val="008B5D4B"/>
    <w:rsid w:val="008B70EF"/>
    <w:rsid w:val="008B7125"/>
    <w:rsid w:val="008C01D1"/>
    <w:rsid w:val="008C022C"/>
    <w:rsid w:val="008C0A2D"/>
    <w:rsid w:val="008C1673"/>
    <w:rsid w:val="008C18E3"/>
    <w:rsid w:val="008C298A"/>
    <w:rsid w:val="008C30EB"/>
    <w:rsid w:val="008C326F"/>
    <w:rsid w:val="008C34B2"/>
    <w:rsid w:val="008C3788"/>
    <w:rsid w:val="008C3C39"/>
    <w:rsid w:val="008C48B0"/>
    <w:rsid w:val="008C541E"/>
    <w:rsid w:val="008C635B"/>
    <w:rsid w:val="008C6976"/>
    <w:rsid w:val="008C6B7D"/>
    <w:rsid w:val="008C7074"/>
    <w:rsid w:val="008C73F7"/>
    <w:rsid w:val="008C750D"/>
    <w:rsid w:val="008C7604"/>
    <w:rsid w:val="008D006B"/>
    <w:rsid w:val="008D0DFE"/>
    <w:rsid w:val="008D1112"/>
    <w:rsid w:val="008D14BB"/>
    <w:rsid w:val="008D176B"/>
    <w:rsid w:val="008D196A"/>
    <w:rsid w:val="008D1A01"/>
    <w:rsid w:val="008D1F29"/>
    <w:rsid w:val="008D2835"/>
    <w:rsid w:val="008D3DDA"/>
    <w:rsid w:val="008D3FF4"/>
    <w:rsid w:val="008D4678"/>
    <w:rsid w:val="008D4831"/>
    <w:rsid w:val="008D48C6"/>
    <w:rsid w:val="008D53C2"/>
    <w:rsid w:val="008D53D8"/>
    <w:rsid w:val="008D57C7"/>
    <w:rsid w:val="008D5C9C"/>
    <w:rsid w:val="008D60BA"/>
    <w:rsid w:val="008D653F"/>
    <w:rsid w:val="008D73C3"/>
    <w:rsid w:val="008D73D2"/>
    <w:rsid w:val="008D78AA"/>
    <w:rsid w:val="008E09C3"/>
    <w:rsid w:val="008E0ACA"/>
    <w:rsid w:val="008E1192"/>
    <w:rsid w:val="008E13BD"/>
    <w:rsid w:val="008E182C"/>
    <w:rsid w:val="008E1F58"/>
    <w:rsid w:val="008E20FF"/>
    <w:rsid w:val="008E272A"/>
    <w:rsid w:val="008E3521"/>
    <w:rsid w:val="008E3A2F"/>
    <w:rsid w:val="008E3AED"/>
    <w:rsid w:val="008E3DEE"/>
    <w:rsid w:val="008E4C75"/>
    <w:rsid w:val="008E513C"/>
    <w:rsid w:val="008E56F4"/>
    <w:rsid w:val="008E5BBA"/>
    <w:rsid w:val="008E601B"/>
    <w:rsid w:val="008E7038"/>
    <w:rsid w:val="008E72DC"/>
    <w:rsid w:val="008F0D04"/>
    <w:rsid w:val="008F0DD5"/>
    <w:rsid w:val="008F1581"/>
    <w:rsid w:val="008F1D9B"/>
    <w:rsid w:val="008F1EA8"/>
    <w:rsid w:val="008F1EB5"/>
    <w:rsid w:val="008F209F"/>
    <w:rsid w:val="008F21BA"/>
    <w:rsid w:val="008F2B13"/>
    <w:rsid w:val="008F2C55"/>
    <w:rsid w:val="008F3684"/>
    <w:rsid w:val="008F4D07"/>
    <w:rsid w:val="008F4F70"/>
    <w:rsid w:val="008F57F6"/>
    <w:rsid w:val="008F5D76"/>
    <w:rsid w:val="008F5E15"/>
    <w:rsid w:val="008F62EF"/>
    <w:rsid w:val="008F6D8B"/>
    <w:rsid w:val="009006AA"/>
    <w:rsid w:val="00900FC5"/>
    <w:rsid w:val="009012FB"/>
    <w:rsid w:val="009020AD"/>
    <w:rsid w:val="0090215C"/>
    <w:rsid w:val="0090310A"/>
    <w:rsid w:val="009039C4"/>
    <w:rsid w:val="009039D8"/>
    <w:rsid w:val="00903E34"/>
    <w:rsid w:val="009041DE"/>
    <w:rsid w:val="0090512C"/>
    <w:rsid w:val="009051FB"/>
    <w:rsid w:val="0090546D"/>
    <w:rsid w:val="0090557C"/>
    <w:rsid w:val="0090562D"/>
    <w:rsid w:val="0090641A"/>
    <w:rsid w:val="0090737E"/>
    <w:rsid w:val="00907E49"/>
    <w:rsid w:val="009108E1"/>
    <w:rsid w:val="00910E84"/>
    <w:rsid w:val="00911411"/>
    <w:rsid w:val="00911B8C"/>
    <w:rsid w:val="00911DA0"/>
    <w:rsid w:val="0091226D"/>
    <w:rsid w:val="0091315A"/>
    <w:rsid w:val="0091353B"/>
    <w:rsid w:val="0091366D"/>
    <w:rsid w:val="00913C26"/>
    <w:rsid w:val="00914399"/>
    <w:rsid w:val="009145A3"/>
    <w:rsid w:val="0091562C"/>
    <w:rsid w:val="009160C9"/>
    <w:rsid w:val="0091667E"/>
    <w:rsid w:val="009167E2"/>
    <w:rsid w:val="0091680A"/>
    <w:rsid w:val="00916F6B"/>
    <w:rsid w:val="00917990"/>
    <w:rsid w:val="00917A63"/>
    <w:rsid w:val="00917BC5"/>
    <w:rsid w:val="00921262"/>
    <w:rsid w:val="00921588"/>
    <w:rsid w:val="009223FB"/>
    <w:rsid w:val="00922FE6"/>
    <w:rsid w:val="009231A5"/>
    <w:rsid w:val="00923559"/>
    <w:rsid w:val="009240F6"/>
    <w:rsid w:val="0092429A"/>
    <w:rsid w:val="00924C97"/>
    <w:rsid w:val="00925C80"/>
    <w:rsid w:val="00925E60"/>
    <w:rsid w:val="00925EDD"/>
    <w:rsid w:val="00926944"/>
    <w:rsid w:val="009269F4"/>
    <w:rsid w:val="009272C0"/>
    <w:rsid w:val="00927717"/>
    <w:rsid w:val="00927E90"/>
    <w:rsid w:val="00927EF1"/>
    <w:rsid w:val="0093004F"/>
    <w:rsid w:val="0093040B"/>
    <w:rsid w:val="00930460"/>
    <w:rsid w:val="00930DB4"/>
    <w:rsid w:val="00930E6C"/>
    <w:rsid w:val="0093211F"/>
    <w:rsid w:val="00932186"/>
    <w:rsid w:val="009325A8"/>
    <w:rsid w:val="0093296D"/>
    <w:rsid w:val="00933BBE"/>
    <w:rsid w:val="00934030"/>
    <w:rsid w:val="009343A4"/>
    <w:rsid w:val="009344DC"/>
    <w:rsid w:val="00934F91"/>
    <w:rsid w:val="00935767"/>
    <w:rsid w:val="00935852"/>
    <w:rsid w:val="009366A7"/>
    <w:rsid w:val="009366D4"/>
    <w:rsid w:val="00936734"/>
    <w:rsid w:val="009367C4"/>
    <w:rsid w:val="00937178"/>
    <w:rsid w:val="00937331"/>
    <w:rsid w:val="00937702"/>
    <w:rsid w:val="00937A89"/>
    <w:rsid w:val="00937E06"/>
    <w:rsid w:val="00937E15"/>
    <w:rsid w:val="00937F0C"/>
    <w:rsid w:val="00940328"/>
    <w:rsid w:val="009403AD"/>
    <w:rsid w:val="0094044B"/>
    <w:rsid w:val="00940EA8"/>
    <w:rsid w:val="00940FE5"/>
    <w:rsid w:val="00941E99"/>
    <w:rsid w:val="009420B2"/>
    <w:rsid w:val="009426F7"/>
    <w:rsid w:val="009427EB"/>
    <w:rsid w:val="00942C9B"/>
    <w:rsid w:val="0094308D"/>
    <w:rsid w:val="009431A6"/>
    <w:rsid w:val="00944338"/>
    <w:rsid w:val="00944627"/>
    <w:rsid w:val="00944890"/>
    <w:rsid w:val="009448F8"/>
    <w:rsid w:val="00944B8F"/>
    <w:rsid w:val="0094633A"/>
    <w:rsid w:val="009463C3"/>
    <w:rsid w:val="0094683F"/>
    <w:rsid w:val="00946883"/>
    <w:rsid w:val="00947D06"/>
    <w:rsid w:val="009501B4"/>
    <w:rsid w:val="0095090A"/>
    <w:rsid w:val="00951176"/>
    <w:rsid w:val="00951C14"/>
    <w:rsid w:val="00951D98"/>
    <w:rsid w:val="00951E83"/>
    <w:rsid w:val="0095270C"/>
    <w:rsid w:val="00952D62"/>
    <w:rsid w:val="00953E5F"/>
    <w:rsid w:val="009544DF"/>
    <w:rsid w:val="00954BBF"/>
    <w:rsid w:val="00954CE2"/>
    <w:rsid w:val="009556AA"/>
    <w:rsid w:val="009557EA"/>
    <w:rsid w:val="00955A05"/>
    <w:rsid w:val="00955DC8"/>
    <w:rsid w:val="009567AC"/>
    <w:rsid w:val="00956CC1"/>
    <w:rsid w:val="00956E59"/>
    <w:rsid w:val="0096006A"/>
    <w:rsid w:val="009606FD"/>
    <w:rsid w:val="00960E05"/>
    <w:rsid w:val="00961073"/>
    <w:rsid w:val="009619E6"/>
    <w:rsid w:val="00961D25"/>
    <w:rsid w:val="00962004"/>
    <w:rsid w:val="00962749"/>
    <w:rsid w:val="00962F63"/>
    <w:rsid w:val="00962FD6"/>
    <w:rsid w:val="009635FF"/>
    <w:rsid w:val="00963799"/>
    <w:rsid w:val="00963E5A"/>
    <w:rsid w:val="00964B36"/>
    <w:rsid w:val="0096612D"/>
    <w:rsid w:val="009661FC"/>
    <w:rsid w:val="0096631B"/>
    <w:rsid w:val="00966977"/>
    <w:rsid w:val="009672EC"/>
    <w:rsid w:val="00967BB9"/>
    <w:rsid w:val="00967E84"/>
    <w:rsid w:val="00970FB3"/>
    <w:rsid w:val="00971228"/>
    <w:rsid w:val="00971857"/>
    <w:rsid w:val="00971C40"/>
    <w:rsid w:val="0097264F"/>
    <w:rsid w:val="00973445"/>
    <w:rsid w:val="00973722"/>
    <w:rsid w:val="0097384D"/>
    <w:rsid w:val="009749AD"/>
    <w:rsid w:val="009750CE"/>
    <w:rsid w:val="00975816"/>
    <w:rsid w:val="00975E09"/>
    <w:rsid w:val="00976910"/>
    <w:rsid w:val="00976DCD"/>
    <w:rsid w:val="009772CA"/>
    <w:rsid w:val="009772D1"/>
    <w:rsid w:val="009810FB"/>
    <w:rsid w:val="00982E94"/>
    <w:rsid w:val="00983265"/>
    <w:rsid w:val="00983505"/>
    <w:rsid w:val="0098490F"/>
    <w:rsid w:val="00984DA3"/>
    <w:rsid w:val="0098552E"/>
    <w:rsid w:val="00985622"/>
    <w:rsid w:val="00986786"/>
    <w:rsid w:val="00986FE2"/>
    <w:rsid w:val="009875A2"/>
    <w:rsid w:val="00987A25"/>
    <w:rsid w:val="00987A4B"/>
    <w:rsid w:val="00987AE4"/>
    <w:rsid w:val="00987CE4"/>
    <w:rsid w:val="00987D06"/>
    <w:rsid w:val="00987F6E"/>
    <w:rsid w:val="00990212"/>
    <w:rsid w:val="00990A2E"/>
    <w:rsid w:val="00990D38"/>
    <w:rsid w:val="00991234"/>
    <w:rsid w:val="00991AB2"/>
    <w:rsid w:val="0099209A"/>
    <w:rsid w:val="009926DE"/>
    <w:rsid w:val="0099311B"/>
    <w:rsid w:val="009931B5"/>
    <w:rsid w:val="0099382C"/>
    <w:rsid w:val="00994293"/>
    <w:rsid w:val="009947C7"/>
    <w:rsid w:val="00994F58"/>
    <w:rsid w:val="009955F2"/>
    <w:rsid w:val="00995EA7"/>
    <w:rsid w:val="00996230"/>
    <w:rsid w:val="00996BA8"/>
    <w:rsid w:val="00996FC9"/>
    <w:rsid w:val="00997295"/>
    <w:rsid w:val="009973BB"/>
    <w:rsid w:val="009975EC"/>
    <w:rsid w:val="00997A43"/>
    <w:rsid w:val="00997C45"/>
    <w:rsid w:val="009A044E"/>
    <w:rsid w:val="009A067C"/>
    <w:rsid w:val="009A1307"/>
    <w:rsid w:val="009A147A"/>
    <w:rsid w:val="009A158A"/>
    <w:rsid w:val="009A2AD3"/>
    <w:rsid w:val="009A2D3C"/>
    <w:rsid w:val="009A38EA"/>
    <w:rsid w:val="009A3E8B"/>
    <w:rsid w:val="009A3FA1"/>
    <w:rsid w:val="009A4971"/>
    <w:rsid w:val="009A4AC9"/>
    <w:rsid w:val="009A50B6"/>
    <w:rsid w:val="009A52F8"/>
    <w:rsid w:val="009A5BBF"/>
    <w:rsid w:val="009A5BCC"/>
    <w:rsid w:val="009A5E4F"/>
    <w:rsid w:val="009A6453"/>
    <w:rsid w:val="009A7350"/>
    <w:rsid w:val="009A7BBC"/>
    <w:rsid w:val="009B0036"/>
    <w:rsid w:val="009B051D"/>
    <w:rsid w:val="009B0738"/>
    <w:rsid w:val="009B08E4"/>
    <w:rsid w:val="009B0977"/>
    <w:rsid w:val="009B09EA"/>
    <w:rsid w:val="009B15F6"/>
    <w:rsid w:val="009B1713"/>
    <w:rsid w:val="009B1721"/>
    <w:rsid w:val="009B1E96"/>
    <w:rsid w:val="009B2E77"/>
    <w:rsid w:val="009B3F96"/>
    <w:rsid w:val="009B45A3"/>
    <w:rsid w:val="009B46C0"/>
    <w:rsid w:val="009B4DFD"/>
    <w:rsid w:val="009B50FB"/>
    <w:rsid w:val="009B536C"/>
    <w:rsid w:val="009B62F2"/>
    <w:rsid w:val="009B62F9"/>
    <w:rsid w:val="009B6D9A"/>
    <w:rsid w:val="009B753E"/>
    <w:rsid w:val="009B78BC"/>
    <w:rsid w:val="009C0765"/>
    <w:rsid w:val="009C18C6"/>
    <w:rsid w:val="009C1D50"/>
    <w:rsid w:val="009C2054"/>
    <w:rsid w:val="009C24EB"/>
    <w:rsid w:val="009C2594"/>
    <w:rsid w:val="009C2A6B"/>
    <w:rsid w:val="009C2C3F"/>
    <w:rsid w:val="009C2E5A"/>
    <w:rsid w:val="009C2FEF"/>
    <w:rsid w:val="009C30A3"/>
    <w:rsid w:val="009C341D"/>
    <w:rsid w:val="009C3FD0"/>
    <w:rsid w:val="009C547C"/>
    <w:rsid w:val="009C5F2F"/>
    <w:rsid w:val="009C6341"/>
    <w:rsid w:val="009C653D"/>
    <w:rsid w:val="009C721E"/>
    <w:rsid w:val="009C7B7E"/>
    <w:rsid w:val="009C7E43"/>
    <w:rsid w:val="009D06E2"/>
    <w:rsid w:val="009D0ADA"/>
    <w:rsid w:val="009D0CF2"/>
    <w:rsid w:val="009D1F8D"/>
    <w:rsid w:val="009D1FAB"/>
    <w:rsid w:val="009D2C24"/>
    <w:rsid w:val="009D3E39"/>
    <w:rsid w:val="009D4399"/>
    <w:rsid w:val="009D4E74"/>
    <w:rsid w:val="009D4F20"/>
    <w:rsid w:val="009D4F9E"/>
    <w:rsid w:val="009D56E3"/>
    <w:rsid w:val="009D5B81"/>
    <w:rsid w:val="009D62F2"/>
    <w:rsid w:val="009E05D6"/>
    <w:rsid w:val="009E1E3D"/>
    <w:rsid w:val="009E202C"/>
    <w:rsid w:val="009E28B9"/>
    <w:rsid w:val="009E2E3B"/>
    <w:rsid w:val="009E3980"/>
    <w:rsid w:val="009E3B55"/>
    <w:rsid w:val="009E3ED7"/>
    <w:rsid w:val="009E43F8"/>
    <w:rsid w:val="009E4599"/>
    <w:rsid w:val="009E469A"/>
    <w:rsid w:val="009E5682"/>
    <w:rsid w:val="009E6012"/>
    <w:rsid w:val="009E6B24"/>
    <w:rsid w:val="009E7C7C"/>
    <w:rsid w:val="009E7EDD"/>
    <w:rsid w:val="009F0AA2"/>
    <w:rsid w:val="009F1097"/>
    <w:rsid w:val="009F1983"/>
    <w:rsid w:val="009F23BD"/>
    <w:rsid w:val="009F28DA"/>
    <w:rsid w:val="009F2913"/>
    <w:rsid w:val="009F38CE"/>
    <w:rsid w:val="009F38FF"/>
    <w:rsid w:val="009F3C50"/>
    <w:rsid w:val="009F3FDB"/>
    <w:rsid w:val="009F425D"/>
    <w:rsid w:val="009F42B3"/>
    <w:rsid w:val="009F48AA"/>
    <w:rsid w:val="009F4E34"/>
    <w:rsid w:val="009F532D"/>
    <w:rsid w:val="009F5ABB"/>
    <w:rsid w:val="009F6253"/>
    <w:rsid w:val="009F6ACC"/>
    <w:rsid w:val="009F7087"/>
    <w:rsid w:val="009F7DA5"/>
    <w:rsid w:val="009F7F00"/>
    <w:rsid w:val="00A00672"/>
    <w:rsid w:val="00A00F9E"/>
    <w:rsid w:val="00A012DB"/>
    <w:rsid w:val="00A01594"/>
    <w:rsid w:val="00A01A2C"/>
    <w:rsid w:val="00A01B11"/>
    <w:rsid w:val="00A0283A"/>
    <w:rsid w:val="00A02887"/>
    <w:rsid w:val="00A02FCC"/>
    <w:rsid w:val="00A04318"/>
    <w:rsid w:val="00A04927"/>
    <w:rsid w:val="00A0497C"/>
    <w:rsid w:val="00A04F4B"/>
    <w:rsid w:val="00A04FFB"/>
    <w:rsid w:val="00A0621B"/>
    <w:rsid w:val="00A0695D"/>
    <w:rsid w:val="00A06E12"/>
    <w:rsid w:val="00A10AC7"/>
    <w:rsid w:val="00A10DA5"/>
    <w:rsid w:val="00A11319"/>
    <w:rsid w:val="00A12A2D"/>
    <w:rsid w:val="00A12DAA"/>
    <w:rsid w:val="00A13915"/>
    <w:rsid w:val="00A13C4E"/>
    <w:rsid w:val="00A13F87"/>
    <w:rsid w:val="00A14560"/>
    <w:rsid w:val="00A14628"/>
    <w:rsid w:val="00A14D7C"/>
    <w:rsid w:val="00A14E53"/>
    <w:rsid w:val="00A15418"/>
    <w:rsid w:val="00A16B7B"/>
    <w:rsid w:val="00A178E7"/>
    <w:rsid w:val="00A17F7B"/>
    <w:rsid w:val="00A20195"/>
    <w:rsid w:val="00A20303"/>
    <w:rsid w:val="00A2032E"/>
    <w:rsid w:val="00A20829"/>
    <w:rsid w:val="00A21549"/>
    <w:rsid w:val="00A23F13"/>
    <w:rsid w:val="00A240BF"/>
    <w:rsid w:val="00A24643"/>
    <w:rsid w:val="00A249A0"/>
    <w:rsid w:val="00A249F7"/>
    <w:rsid w:val="00A24B24"/>
    <w:rsid w:val="00A24B51"/>
    <w:rsid w:val="00A24C80"/>
    <w:rsid w:val="00A24E4F"/>
    <w:rsid w:val="00A252C3"/>
    <w:rsid w:val="00A2728D"/>
    <w:rsid w:val="00A3027C"/>
    <w:rsid w:val="00A30A76"/>
    <w:rsid w:val="00A30EB9"/>
    <w:rsid w:val="00A31367"/>
    <w:rsid w:val="00A32198"/>
    <w:rsid w:val="00A32CAE"/>
    <w:rsid w:val="00A3371D"/>
    <w:rsid w:val="00A33C2B"/>
    <w:rsid w:val="00A33E54"/>
    <w:rsid w:val="00A341C0"/>
    <w:rsid w:val="00A348D3"/>
    <w:rsid w:val="00A3523E"/>
    <w:rsid w:val="00A352BC"/>
    <w:rsid w:val="00A3741B"/>
    <w:rsid w:val="00A37822"/>
    <w:rsid w:val="00A37C8C"/>
    <w:rsid w:val="00A37DB5"/>
    <w:rsid w:val="00A37E59"/>
    <w:rsid w:val="00A4079A"/>
    <w:rsid w:val="00A40A62"/>
    <w:rsid w:val="00A40C5B"/>
    <w:rsid w:val="00A40D9E"/>
    <w:rsid w:val="00A40E17"/>
    <w:rsid w:val="00A412B4"/>
    <w:rsid w:val="00A415A9"/>
    <w:rsid w:val="00A41767"/>
    <w:rsid w:val="00A42538"/>
    <w:rsid w:val="00A42AAE"/>
    <w:rsid w:val="00A43680"/>
    <w:rsid w:val="00A44286"/>
    <w:rsid w:val="00A4460E"/>
    <w:rsid w:val="00A446ED"/>
    <w:rsid w:val="00A44794"/>
    <w:rsid w:val="00A44E0A"/>
    <w:rsid w:val="00A44F16"/>
    <w:rsid w:val="00A4514A"/>
    <w:rsid w:val="00A4544B"/>
    <w:rsid w:val="00A45793"/>
    <w:rsid w:val="00A4612A"/>
    <w:rsid w:val="00A461A9"/>
    <w:rsid w:val="00A463B8"/>
    <w:rsid w:val="00A46541"/>
    <w:rsid w:val="00A4681D"/>
    <w:rsid w:val="00A473A0"/>
    <w:rsid w:val="00A47613"/>
    <w:rsid w:val="00A50017"/>
    <w:rsid w:val="00A5097F"/>
    <w:rsid w:val="00A50A2F"/>
    <w:rsid w:val="00A50C8A"/>
    <w:rsid w:val="00A51A64"/>
    <w:rsid w:val="00A51A85"/>
    <w:rsid w:val="00A53E27"/>
    <w:rsid w:val="00A54707"/>
    <w:rsid w:val="00A555A6"/>
    <w:rsid w:val="00A555DC"/>
    <w:rsid w:val="00A556DE"/>
    <w:rsid w:val="00A55B03"/>
    <w:rsid w:val="00A55DC7"/>
    <w:rsid w:val="00A56DCA"/>
    <w:rsid w:val="00A57514"/>
    <w:rsid w:val="00A608D2"/>
    <w:rsid w:val="00A60A7C"/>
    <w:rsid w:val="00A61FD1"/>
    <w:rsid w:val="00A63118"/>
    <w:rsid w:val="00A63947"/>
    <w:rsid w:val="00A64063"/>
    <w:rsid w:val="00A64B4B"/>
    <w:rsid w:val="00A64DD4"/>
    <w:rsid w:val="00A6526E"/>
    <w:rsid w:val="00A6574A"/>
    <w:rsid w:val="00A66962"/>
    <w:rsid w:val="00A70049"/>
    <w:rsid w:val="00A700D2"/>
    <w:rsid w:val="00A71831"/>
    <w:rsid w:val="00A72295"/>
    <w:rsid w:val="00A72310"/>
    <w:rsid w:val="00A72611"/>
    <w:rsid w:val="00A72FE5"/>
    <w:rsid w:val="00A73091"/>
    <w:rsid w:val="00A7328B"/>
    <w:rsid w:val="00A73DA1"/>
    <w:rsid w:val="00A73EF0"/>
    <w:rsid w:val="00A74112"/>
    <w:rsid w:val="00A74918"/>
    <w:rsid w:val="00A74B3D"/>
    <w:rsid w:val="00A7504B"/>
    <w:rsid w:val="00A76160"/>
    <w:rsid w:val="00A76521"/>
    <w:rsid w:val="00A77154"/>
    <w:rsid w:val="00A77462"/>
    <w:rsid w:val="00A775F1"/>
    <w:rsid w:val="00A7792B"/>
    <w:rsid w:val="00A8034E"/>
    <w:rsid w:val="00A80774"/>
    <w:rsid w:val="00A80B22"/>
    <w:rsid w:val="00A81005"/>
    <w:rsid w:val="00A81543"/>
    <w:rsid w:val="00A81A39"/>
    <w:rsid w:val="00A825FF"/>
    <w:rsid w:val="00A8294F"/>
    <w:rsid w:val="00A8297B"/>
    <w:rsid w:val="00A8413F"/>
    <w:rsid w:val="00A841C9"/>
    <w:rsid w:val="00A84E08"/>
    <w:rsid w:val="00A851FA"/>
    <w:rsid w:val="00A85602"/>
    <w:rsid w:val="00A85A19"/>
    <w:rsid w:val="00A8631F"/>
    <w:rsid w:val="00A90046"/>
    <w:rsid w:val="00A90542"/>
    <w:rsid w:val="00A90A3E"/>
    <w:rsid w:val="00A9101B"/>
    <w:rsid w:val="00A91A56"/>
    <w:rsid w:val="00A91A5F"/>
    <w:rsid w:val="00A91FD2"/>
    <w:rsid w:val="00A93845"/>
    <w:rsid w:val="00A94ED5"/>
    <w:rsid w:val="00A953AC"/>
    <w:rsid w:val="00A95437"/>
    <w:rsid w:val="00A95523"/>
    <w:rsid w:val="00A96705"/>
    <w:rsid w:val="00A968C9"/>
    <w:rsid w:val="00A9696C"/>
    <w:rsid w:val="00A977B0"/>
    <w:rsid w:val="00AA07C3"/>
    <w:rsid w:val="00AA0987"/>
    <w:rsid w:val="00AA1E72"/>
    <w:rsid w:val="00AA274A"/>
    <w:rsid w:val="00AA3595"/>
    <w:rsid w:val="00AA3FD0"/>
    <w:rsid w:val="00AA4582"/>
    <w:rsid w:val="00AA5177"/>
    <w:rsid w:val="00AA5334"/>
    <w:rsid w:val="00AA54D3"/>
    <w:rsid w:val="00AA55C7"/>
    <w:rsid w:val="00AA6367"/>
    <w:rsid w:val="00AA67FF"/>
    <w:rsid w:val="00AA7215"/>
    <w:rsid w:val="00AA7CAF"/>
    <w:rsid w:val="00AB0046"/>
    <w:rsid w:val="00AB0C38"/>
    <w:rsid w:val="00AB1750"/>
    <w:rsid w:val="00AB1878"/>
    <w:rsid w:val="00AB1C75"/>
    <w:rsid w:val="00AB24F1"/>
    <w:rsid w:val="00AB365E"/>
    <w:rsid w:val="00AB4413"/>
    <w:rsid w:val="00AB443B"/>
    <w:rsid w:val="00AB44CD"/>
    <w:rsid w:val="00AB4667"/>
    <w:rsid w:val="00AB4E1B"/>
    <w:rsid w:val="00AB4EA7"/>
    <w:rsid w:val="00AB5AF3"/>
    <w:rsid w:val="00AB6B43"/>
    <w:rsid w:val="00AB6E51"/>
    <w:rsid w:val="00AB76E0"/>
    <w:rsid w:val="00AB7A71"/>
    <w:rsid w:val="00AB7C65"/>
    <w:rsid w:val="00AC0A98"/>
    <w:rsid w:val="00AC1729"/>
    <w:rsid w:val="00AC2954"/>
    <w:rsid w:val="00AC2E5B"/>
    <w:rsid w:val="00AC3200"/>
    <w:rsid w:val="00AC3300"/>
    <w:rsid w:val="00AC41AA"/>
    <w:rsid w:val="00AC420C"/>
    <w:rsid w:val="00AC50F2"/>
    <w:rsid w:val="00AC6147"/>
    <w:rsid w:val="00AC6261"/>
    <w:rsid w:val="00AC63A4"/>
    <w:rsid w:val="00AC645F"/>
    <w:rsid w:val="00AC6DDB"/>
    <w:rsid w:val="00AC779C"/>
    <w:rsid w:val="00AD0B87"/>
    <w:rsid w:val="00AD12AC"/>
    <w:rsid w:val="00AD1536"/>
    <w:rsid w:val="00AD1C9E"/>
    <w:rsid w:val="00AD23B2"/>
    <w:rsid w:val="00AD27B4"/>
    <w:rsid w:val="00AD32F7"/>
    <w:rsid w:val="00AD3741"/>
    <w:rsid w:val="00AD3A95"/>
    <w:rsid w:val="00AD3DB0"/>
    <w:rsid w:val="00AD4519"/>
    <w:rsid w:val="00AD481E"/>
    <w:rsid w:val="00AD584B"/>
    <w:rsid w:val="00AD5DC0"/>
    <w:rsid w:val="00AD5FD7"/>
    <w:rsid w:val="00AD63D3"/>
    <w:rsid w:val="00AD65BA"/>
    <w:rsid w:val="00AD6B5D"/>
    <w:rsid w:val="00AD7027"/>
    <w:rsid w:val="00AD7C25"/>
    <w:rsid w:val="00AE120E"/>
    <w:rsid w:val="00AE17A1"/>
    <w:rsid w:val="00AE22BE"/>
    <w:rsid w:val="00AE244F"/>
    <w:rsid w:val="00AE4870"/>
    <w:rsid w:val="00AE5544"/>
    <w:rsid w:val="00AE6D16"/>
    <w:rsid w:val="00AE6E66"/>
    <w:rsid w:val="00AE70AA"/>
    <w:rsid w:val="00AE73F3"/>
    <w:rsid w:val="00AF0119"/>
    <w:rsid w:val="00AF0271"/>
    <w:rsid w:val="00AF099F"/>
    <w:rsid w:val="00AF1218"/>
    <w:rsid w:val="00AF12CD"/>
    <w:rsid w:val="00AF190A"/>
    <w:rsid w:val="00AF1BD5"/>
    <w:rsid w:val="00AF1CA0"/>
    <w:rsid w:val="00AF1E89"/>
    <w:rsid w:val="00AF1FFD"/>
    <w:rsid w:val="00AF205D"/>
    <w:rsid w:val="00AF242C"/>
    <w:rsid w:val="00AF2903"/>
    <w:rsid w:val="00AF3022"/>
    <w:rsid w:val="00AF3241"/>
    <w:rsid w:val="00AF4235"/>
    <w:rsid w:val="00AF489E"/>
    <w:rsid w:val="00AF5E98"/>
    <w:rsid w:val="00AF5ED0"/>
    <w:rsid w:val="00AF68D2"/>
    <w:rsid w:val="00AF74C8"/>
    <w:rsid w:val="00AF7B4A"/>
    <w:rsid w:val="00AF7DE7"/>
    <w:rsid w:val="00B00085"/>
    <w:rsid w:val="00B00210"/>
    <w:rsid w:val="00B00966"/>
    <w:rsid w:val="00B00ACA"/>
    <w:rsid w:val="00B00DE8"/>
    <w:rsid w:val="00B011F2"/>
    <w:rsid w:val="00B0247F"/>
    <w:rsid w:val="00B02A41"/>
    <w:rsid w:val="00B02B0D"/>
    <w:rsid w:val="00B0343C"/>
    <w:rsid w:val="00B036E0"/>
    <w:rsid w:val="00B03AF2"/>
    <w:rsid w:val="00B03D11"/>
    <w:rsid w:val="00B04268"/>
    <w:rsid w:val="00B049D7"/>
    <w:rsid w:val="00B04A6B"/>
    <w:rsid w:val="00B04D85"/>
    <w:rsid w:val="00B04F49"/>
    <w:rsid w:val="00B05191"/>
    <w:rsid w:val="00B0527D"/>
    <w:rsid w:val="00B0532B"/>
    <w:rsid w:val="00B05EF9"/>
    <w:rsid w:val="00B067C3"/>
    <w:rsid w:val="00B06E02"/>
    <w:rsid w:val="00B07348"/>
    <w:rsid w:val="00B07CFD"/>
    <w:rsid w:val="00B100AC"/>
    <w:rsid w:val="00B103A6"/>
    <w:rsid w:val="00B1053E"/>
    <w:rsid w:val="00B10A61"/>
    <w:rsid w:val="00B110AB"/>
    <w:rsid w:val="00B110C1"/>
    <w:rsid w:val="00B120BC"/>
    <w:rsid w:val="00B12935"/>
    <w:rsid w:val="00B129B7"/>
    <w:rsid w:val="00B12B2D"/>
    <w:rsid w:val="00B13128"/>
    <w:rsid w:val="00B13721"/>
    <w:rsid w:val="00B13C4B"/>
    <w:rsid w:val="00B16262"/>
    <w:rsid w:val="00B169E2"/>
    <w:rsid w:val="00B16A1D"/>
    <w:rsid w:val="00B16BE0"/>
    <w:rsid w:val="00B16C80"/>
    <w:rsid w:val="00B170A3"/>
    <w:rsid w:val="00B1783A"/>
    <w:rsid w:val="00B17ADD"/>
    <w:rsid w:val="00B20173"/>
    <w:rsid w:val="00B201FA"/>
    <w:rsid w:val="00B20366"/>
    <w:rsid w:val="00B209F4"/>
    <w:rsid w:val="00B20BB9"/>
    <w:rsid w:val="00B20F01"/>
    <w:rsid w:val="00B2122C"/>
    <w:rsid w:val="00B21242"/>
    <w:rsid w:val="00B22D04"/>
    <w:rsid w:val="00B22E38"/>
    <w:rsid w:val="00B23068"/>
    <w:rsid w:val="00B237FA"/>
    <w:rsid w:val="00B2387C"/>
    <w:rsid w:val="00B23FEF"/>
    <w:rsid w:val="00B24250"/>
    <w:rsid w:val="00B2429A"/>
    <w:rsid w:val="00B24950"/>
    <w:rsid w:val="00B2495D"/>
    <w:rsid w:val="00B24D9B"/>
    <w:rsid w:val="00B24E45"/>
    <w:rsid w:val="00B24EA2"/>
    <w:rsid w:val="00B2623A"/>
    <w:rsid w:val="00B26519"/>
    <w:rsid w:val="00B268B1"/>
    <w:rsid w:val="00B26E23"/>
    <w:rsid w:val="00B27B66"/>
    <w:rsid w:val="00B3002A"/>
    <w:rsid w:val="00B30463"/>
    <w:rsid w:val="00B30A94"/>
    <w:rsid w:val="00B30B56"/>
    <w:rsid w:val="00B30D6F"/>
    <w:rsid w:val="00B31322"/>
    <w:rsid w:val="00B31D49"/>
    <w:rsid w:val="00B32126"/>
    <w:rsid w:val="00B329C7"/>
    <w:rsid w:val="00B32A95"/>
    <w:rsid w:val="00B33729"/>
    <w:rsid w:val="00B34F16"/>
    <w:rsid w:val="00B35DC3"/>
    <w:rsid w:val="00B3677B"/>
    <w:rsid w:val="00B36A14"/>
    <w:rsid w:val="00B36ED3"/>
    <w:rsid w:val="00B3738D"/>
    <w:rsid w:val="00B378BA"/>
    <w:rsid w:val="00B37E05"/>
    <w:rsid w:val="00B37E10"/>
    <w:rsid w:val="00B37F65"/>
    <w:rsid w:val="00B37F8A"/>
    <w:rsid w:val="00B40C9B"/>
    <w:rsid w:val="00B40E83"/>
    <w:rsid w:val="00B414B6"/>
    <w:rsid w:val="00B4152F"/>
    <w:rsid w:val="00B417F7"/>
    <w:rsid w:val="00B418FB"/>
    <w:rsid w:val="00B41A74"/>
    <w:rsid w:val="00B41DDD"/>
    <w:rsid w:val="00B41FED"/>
    <w:rsid w:val="00B421CC"/>
    <w:rsid w:val="00B42914"/>
    <w:rsid w:val="00B42F86"/>
    <w:rsid w:val="00B43287"/>
    <w:rsid w:val="00B432B9"/>
    <w:rsid w:val="00B43A5C"/>
    <w:rsid w:val="00B44C1C"/>
    <w:rsid w:val="00B45BCB"/>
    <w:rsid w:val="00B45C7E"/>
    <w:rsid w:val="00B46240"/>
    <w:rsid w:val="00B4647C"/>
    <w:rsid w:val="00B466BC"/>
    <w:rsid w:val="00B47730"/>
    <w:rsid w:val="00B51846"/>
    <w:rsid w:val="00B5196B"/>
    <w:rsid w:val="00B5197A"/>
    <w:rsid w:val="00B52123"/>
    <w:rsid w:val="00B52192"/>
    <w:rsid w:val="00B52604"/>
    <w:rsid w:val="00B529DF"/>
    <w:rsid w:val="00B52E1C"/>
    <w:rsid w:val="00B53232"/>
    <w:rsid w:val="00B538A7"/>
    <w:rsid w:val="00B542CF"/>
    <w:rsid w:val="00B54324"/>
    <w:rsid w:val="00B5559A"/>
    <w:rsid w:val="00B55E9E"/>
    <w:rsid w:val="00B566E2"/>
    <w:rsid w:val="00B56E2A"/>
    <w:rsid w:val="00B573FE"/>
    <w:rsid w:val="00B57DC1"/>
    <w:rsid w:val="00B602EC"/>
    <w:rsid w:val="00B6079A"/>
    <w:rsid w:val="00B608A3"/>
    <w:rsid w:val="00B608CB"/>
    <w:rsid w:val="00B60FE8"/>
    <w:rsid w:val="00B6108F"/>
    <w:rsid w:val="00B611F8"/>
    <w:rsid w:val="00B61869"/>
    <w:rsid w:val="00B61C85"/>
    <w:rsid w:val="00B625C3"/>
    <w:rsid w:val="00B62756"/>
    <w:rsid w:val="00B63FEA"/>
    <w:rsid w:val="00B64205"/>
    <w:rsid w:val="00B64340"/>
    <w:rsid w:val="00B64364"/>
    <w:rsid w:val="00B646BF"/>
    <w:rsid w:val="00B64941"/>
    <w:rsid w:val="00B654DB"/>
    <w:rsid w:val="00B657E8"/>
    <w:rsid w:val="00B65833"/>
    <w:rsid w:val="00B65A2D"/>
    <w:rsid w:val="00B65BBE"/>
    <w:rsid w:val="00B66261"/>
    <w:rsid w:val="00B66672"/>
    <w:rsid w:val="00B669A6"/>
    <w:rsid w:val="00B67B77"/>
    <w:rsid w:val="00B703AF"/>
    <w:rsid w:val="00B708FB"/>
    <w:rsid w:val="00B70BA5"/>
    <w:rsid w:val="00B711C3"/>
    <w:rsid w:val="00B716C8"/>
    <w:rsid w:val="00B721C7"/>
    <w:rsid w:val="00B72BCF"/>
    <w:rsid w:val="00B72E9D"/>
    <w:rsid w:val="00B73395"/>
    <w:rsid w:val="00B738DC"/>
    <w:rsid w:val="00B74095"/>
    <w:rsid w:val="00B7424D"/>
    <w:rsid w:val="00B74475"/>
    <w:rsid w:val="00B74858"/>
    <w:rsid w:val="00B74A09"/>
    <w:rsid w:val="00B74D9E"/>
    <w:rsid w:val="00B75514"/>
    <w:rsid w:val="00B75DEF"/>
    <w:rsid w:val="00B76064"/>
    <w:rsid w:val="00B76763"/>
    <w:rsid w:val="00B77876"/>
    <w:rsid w:val="00B80307"/>
    <w:rsid w:val="00B809F2"/>
    <w:rsid w:val="00B80E88"/>
    <w:rsid w:val="00B81142"/>
    <w:rsid w:val="00B81227"/>
    <w:rsid w:val="00B816B8"/>
    <w:rsid w:val="00B81DE8"/>
    <w:rsid w:val="00B81F91"/>
    <w:rsid w:val="00B82272"/>
    <w:rsid w:val="00B82360"/>
    <w:rsid w:val="00B832B4"/>
    <w:rsid w:val="00B834AF"/>
    <w:rsid w:val="00B83D67"/>
    <w:rsid w:val="00B843FE"/>
    <w:rsid w:val="00B84D8D"/>
    <w:rsid w:val="00B84E02"/>
    <w:rsid w:val="00B85F9A"/>
    <w:rsid w:val="00B8608B"/>
    <w:rsid w:val="00B86279"/>
    <w:rsid w:val="00B86928"/>
    <w:rsid w:val="00B86B13"/>
    <w:rsid w:val="00B87435"/>
    <w:rsid w:val="00B87481"/>
    <w:rsid w:val="00B87995"/>
    <w:rsid w:val="00B906CA"/>
    <w:rsid w:val="00B907BB"/>
    <w:rsid w:val="00B90A20"/>
    <w:rsid w:val="00B90E95"/>
    <w:rsid w:val="00B9144F"/>
    <w:rsid w:val="00B924EC"/>
    <w:rsid w:val="00B93219"/>
    <w:rsid w:val="00B93271"/>
    <w:rsid w:val="00B9341C"/>
    <w:rsid w:val="00B9351A"/>
    <w:rsid w:val="00B93839"/>
    <w:rsid w:val="00B93FD2"/>
    <w:rsid w:val="00B942AC"/>
    <w:rsid w:val="00B95110"/>
    <w:rsid w:val="00B95876"/>
    <w:rsid w:val="00B96172"/>
    <w:rsid w:val="00B9621C"/>
    <w:rsid w:val="00B9632D"/>
    <w:rsid w:val="00B97227"/>
    <w:rsid w:val="00B976B5"/>
    <w:rsid w:val="00BA01C9"/>
    <w:rsid w:val="00BA099B"/>
    <w:rsid w:val="00BA0C6C"/>
    <w:rsid w:val="00BA1B27"/>
    <w:rsid w:val="00BA1E27"/>
    <w:rsid w:val="00BA2285"/>
    <w:rsid w:val="00BA288F"/>
    <w:rsid w:val="00BA28CC"/>
    <w:rsid w:val="00BA2FDE"/>
    <w:rsid w:val="00BA376D"/>
    <w:rsid w:val="00BA39C4"/>
    <w:rsid w:val="00BA5399"/>
    <w:rsid w:val="00BA5F4E"/>
    <w:rsid w:val="00BA5FDD"/>
    <w:rsid w:val="00BA6673"/>
    <w:rsid w:val="00BA6945"/>
    <w:rsid w:val="00BA6AD2"/>
    <w:rsid w:val="00BA6B11"/>
    <w:rsid w:val="00BA6D69"/>
    <w:rsid w:val="00BA6F24"/>
    <w:rsid w:val="00BA707E"/>
    <w:rsid w:val="00BA7B75"/>
    <w:rsid w:val="00BA7B94"/>
    <w:rsid w:val="00BA7E6D"/>
    <w:rsid w:val="00BB059C"/>
    <w:rsid w:val="00BB0DAE"/>
    <w:rsid w:val="00BB0DBD"/>
    <w:rsid w:val="00BB0FA6"/>
    <w:rsid w:val="00BB1069"/>
    <w:rsid w:val="00BB106E"/>
    <w:rsid w:val="00BB11E9"/>
    <w:rsid w:val="00BB14D2"/>
    <w:rsid w:val="00BB1BC3"/>
    <w:rsid w:val="00BB2603"/>
    <w:rsid w:val="00BB27DB"/>
    <w:rsid w:val="00BB2AD2"/>
    <w:rsid w:val="00BB3D38"/>
    <w:rsid w:val="00BB3D3C"/>
    <w:rsid w:val="00BB45A9"/>
    <w:rsid w:val="00BB4A49"/>
    <w:rsid w:val="00BB4F85"/>
    <w:rsid w:val="00BB5024"/>
    <w:rsid w:val="00BB55DF"/>
    <w:rsid w:val="00BB5FA3"/>
    <w:rsid w:val="00BB76BF"/>
    <w:rsid w:val="00BC02C9"/>
    <w:rsid w:val="00BC138E"/>
    <w:rsid w:val="00BC1E67"/>
    <w:rsid w:val="00BC2554"/>
    <w:rsid w:val="00BC2583"/>
    <w:rsid w:val="00BC280E"/>
    <w:rsid w:val="00BC2D54"/>
    <w:rsid w:val="00BC3134"/>
    <w:rsid w:val="00BC376A"/>
    <w:rsid w:val="00BC392D"/>
    <w:rsid w:val="00BC4CB2"/>
    <w:rsid w:val="00BC6426"/>
    <w:rsid w:val="00BC6B51"/>
    <w:rsid w:val="00BC7265"/>
    <w:rsid w:val="00BC7C00"/>
    <w:rsid w:val="00BD01E6"/>
    <w:rsid w:val="00BD0223"/>
    <w:rsid w:val="00BD0265"/>
    <w:rsid w:val="00BD0C34"/>
    <w:rsid w:val="00BD0DFE"/>
    <w:rsid w:val="00BD174A"/>
    <w:rsid w:val="00BD1F2A"/>
    <w:rsid w:val="00BD209D"/>
    <w:rsid w:val="00BD25FB"/>
    <w:rsid w:val="00BD2711"/>
    <w:rsid w:val="00BD369D"/>
    <w:rsid w:val="00BD3772"/>
    <w:rsid w:val="00BD3834"/>
    <w:rsid w:val="00BD3B54"/>
    <w:rsid w:val="00BD3B97"/>
    <w:rsid w:val="00BD3E27"/>
    <w:rsid w:val="00BD462D"/>
    <w:rsid w:val="00BD4784"/>
    <w:rsid w:val="00BD4A93"/>
    <w:rsid w:val="00BD4E44"/>
    <w:rsid w:val="00BD6A65"/>
    <w:rsid w:val="00BD756E"/>
    <w:rsid w:val="00BD76D4"/>
    <w:rsid w:val="00BD7A60"/>
    <w:rsid w:val="00BE0030"/>
    <w:rsid w:val="00BE00EA"/>
    <w:rsid w:val="00BE16B2"/>
    <w:rsid w:val="00BE1C49"/>
    <w:rsid w:val="00BE1D66"/>
    <w:rsid w:val="00BE1F9B"/>
    <w:rsid w:val="00BE2100"/>
    <w:rsid w:val="00BE2721"/>
    <w:rsid w:val="00BE2A8D"/>
    <w:rsid w:val="00BE3398"/>
    <w:rsid w:val="00BE3676"/>
    <w:rsid w:val="00BE44BE"/>
    <w:rsid w:val="00BE52A7"/>
    <w:rsid w:val="00BE58FC"/>
    <w:rsid w:val="00BE5A27"/>
    <w:rsid w:val="00BE5C73"/>
    <w:rsid w:val="00BE6677"/>
    <w:rsid w:val="00BE7049"/>
    <w:rsid w:val="00BE708F"/>
    <w:rsid w:val="00BE7723"/>
    <w:rsid w:val="00BE78DD"/>
    <w:rsid w:val="00BF10F5"/>
    <w:rsid w:val="00BF1593"/>
    <w:rsid w:val="00BF196E"/>
    <w:rsid w:val="00BF3625"/>
    <w:rsid w:val="00BF3781"/>
    <w:rsid w:val="00BF3966"/>
    <w:rsid w:val="00BF3A53"/>
    <w:rsid w:val="00BF3B6B"/>
    <w:rsid w:val="00BF41E2"/>
    <w:rsid w:val="00BF466D"/>
    <w:rsid w:val="00BF4B27"/>
    <w:rsid w:val="00BF5936"/>
    <w:rsid w:val="00BF62D3"/>
    <w:rsid w:val="00BF662F"/>
    <w:rsid w:val="00BF7316"/>
    <w:rsid w:val="00BF7DD9"/>
    <w:rsid w:val="00C0025C"/>
    <w:rsid w:val="00C0099A"/>
    <w:rsid w:val="00C00B59"/>
    <w:rsid w:val="00C012E6"/>
    <w:rsid w:val="00C02276"/>
    <w:rsid w:val="00C0241A"/>
    <w:rsid w:val="00C024A9"/>
    <w:rsid w:val="00C02536"/>
    <w:rsid w:val="00C032BF"/>
    <w:rsid w:val="00C0398A"/>
    <w:rsid w:val="00C03A0A"/>
    <w:rsid w:val="00C04181"/>
    <w:rsid w:val="00C0419A"/>
    <w:rsid w:val="00C04331"/>
    <w:rsid w:val="00C04B0A"/>
    <w:rsid w:val="00C05184"/>
    <w:rsid w:val="00C06F91"/>
    <w:rsid w:val="00C07085"/>
    <w:rsid w:val="00C07293"/>
    <w:rsid w:val="00C07C2B"/>
    <w:rsid w:val="00C1022A"/>
    <w:rsid w:val="00C10F9E"/>
    <w:rsid w:val="00C12A73"/>
    <w:rsid w:val="00C14078"/>
    <w:rsid w:val="00C14CAF"/>
    <w:rsid w:val="00C1518C"/>
    <w:rsid w:val="00C156DF"/>
    <w:rsid w:val="00C157CD"/>
    <w:rsid w:val="00C15AEF"/>
    <w:rsid w:val="00C16110"/>
    <w:rsid w:val="00C1636B"/>
    <w:rsid w:val="00C16CAD"/>
    <w:rsid w:val="00C17244"/>
    <w:rsid w:val="00C173DC"/>
    <w:rsid w:val="00C17491"/>
    <w:rsid w:val="00C20200"/>
    <w:rsid w:val="00C2042B"/>
    <w:rsid w:val="00C205BF"/>
    <w:rsid w:val="00C20631"/>
    <w:rsid w:val="00C20868"/>
    <w:rsid w:val="00C21BB9"/>
    <w:rsid w:val="00C22592"/>
    <w:rsid w:val="00C22672"/>
    <w:rsid w:val="00C22C28"/>
    <w:rsid w:val="00C23B2D"/>
    <w:rsid w:val="00C2406A"/>
    <w:rsid w:val="00C2409D"/>
    <w:rsid w:val="00C248F3"/>
    <w:rsid w:val="00C24A17"/>
    <w:rsid w:val="00C24AE4"/>
    <w:rsid w:val="00C24DBE"/>
    <w:rsid w:val="00C25683"/>
    <w:rsid w:val="00C25FA5"/>
    <w:rsid w:val="00C26351"/>
    <w:rsid w:val="00C26FED"/>
    <w:rsid w:val="00C27662"/>
    <w:rsid w:val="00C27DB0"/>
    <w:rsid w:val="00C27E86"/>
    <w:rsid w:val="00C304B9"/>
    <w:rsid w:val="00C30D70"/>
    <w:rsid w:val="00C30F29"/>
    <w:rsid w:val="00C311D2"/>
    <w:rsid w:val="00C3169F"/>
    <w:rsid w:val="00C31729"/>
    <w:rsid w:val="00C31A7B"/>
    <w:rsid w:val="00C31DA6"/>
    <w:rsid w:val="00C320D1"/>
    <w:rsid w:val="00C32154"/>
    <w:rsid w:val="00C331F6"/>
    <w:rsid w:val="00C3320C"/>
    <w:rsid w:val="00C33489"/>
    <w:rsid w:val="00C346C5"/>
    <w:rsid w:val="00C34BD6"/>
    <w:rsid w:val="00C34BF2"/>
    <w:rsid w:val="00C34E44"/>
    <w:rsid w:val="00C357D2"/>
    <w:rsid w:val="00C35849"/>
    <w:rsid w:val="00C35C17"/>
    <w:rsid w:val="00C36431"/>
    <w:rsid w:val="00C3669A"/>
    <w:rsid w:val="00C36718"/>
    <w:rsid w:val="00C3675D"/>
    <w:rsid w:val="00C370BE"/>
    <w:rsid w:val="00C370E6"/>
    <w:rsid w:val="00C3726E"/>
    <w:rsid w:val="00C373E3"/>
    <w:rsid w:val="00C3755D"/>
    <w:rsid w:val="00C3796D"/>
    <w:rsid w:val="00C4018A"/>
    <w:rsid w:val="00C40557"/>
    <w:rsid w:val="00C4077C"/>
    <w:rsid w:val="00C4087E"/>
    <w:rsid w:val="00C41216"/>
    <w:rsid w:val="00C41F11"/>
    <w:rsid w:val="00C422BA"/>
    <w:rsid w:val="00C4277C"/>
    <w:rsid w:val="00C42992"/>
    <w:rsid w:val="00C42B66"/>
    <w:rsid w:val="00C431F9"/>
    <w:rsid w:val="00C4338C"/>
    <w:rsid w:val="00C4395A"/>
    <w:rsid w:val="00C43EE2"/>
    <w:rsid w:val="00C445D2"/>
    <w:rsid w:val="00C44EEA"/>
    <w:rsid w:val="00C454D3"/>
    <w:rsid w:val="00C4733D"/>
    <w:rsid w:val="00C474EF"/>
    <w:rsid w:val="00C47D8D"/>
    <w:rsid w:val="00C50227"/>
    <w:rsid w:val="00C50296"/>
    <w:rsid w:val="00C50631"/>
    <w:rsid w:val="00C5090E"/>
    <w:rsid w:val="00C50B51"/>
    <w:rsid w:val="00C50B99"/>
    <w:rsid w:val="00C514DD"/>
    <w:rsid w:val="00C522AE"/>
    <w:rsid w:val="00C52625"/>
    <w:rsid w:val="00C52B8B"/>
    <w:rsid w:val="00C52C8E"/>
    <w:rsid w:val="00C536AD"/>
    <w:rsid w:val="00C53B42"/>
    <w:rsid w:val="00C53FE2"/>
    <w:rsid w:val="00C54440"/>
    <w:rsid w:val="00C544EB"/>
    <w:rsid w:val="00C54573"/>
    <w:rsid w:val="00C54A11"/>
    <w:rsid w:val="00C54BB2"/>
    <w:rsid w:val="00C54FCA"/>
    <w:rsid w:val="00C55A10"/>
    <w:rsid w:val="00C5705A"/>
    <w:rsid w:val="00C570F8"/>
    <w:rsid w:val="00C571FE"/>
    <w:rsid w:val="00C5757B"/>
    <w:rsid w:val="00C60682"/>
    <w:rsid w:val="00C61620"/>
    <w:rsid w:val="00C6163A"/>
    <w:rsid w:val="00C61C61"/>
    <w:rsid w:val="00C61CDC"/>
    <w:rsid w:val="00C62735"/>
    <w:rsid w:val="00C62849"/>
    <w:rsid w:val="00C62B54"/>
    <w:rsid w:val="00C63BFF"/>
    <w:rsid w:val="00C63E05"/>
    <w:rsid w:val="00C64674"/>
    <w:rsid w:val="00C647A9"/>
    <w:rsid w:val="00C652D4"/>
    <w:rsid w:val="00C65416"/>
    <w:rsid w:val="00C65450"/>
    <w:rsid w:val="00C659A2"/>
    <w:rsid w:val="00C660F5"/>
    <w:rsid w:val="00C66B1D"/>
    <w:rsid w:val="00C66F48"/>
    <w:rsid w:val="00C66F7C"/>
    <w:rsid w:val="00C67DE6"/>
    <w:rsid w:val="00C70992"/>
    <w:rsid w:val="00C70DD2"/>
    <w:rsid w:val="00C70E7B"/>
    <w:rsid w:val="00C70FB7"/>
    <w:rsid w:val="00C71ECC"/>
    <w:rsid w:val="00C72624"/>
    <w:rsid w:val="00C72B02"/>
    <w:rsid w:val="00C72C5F"/>
    <w:rsid w:val="00C7300C"/>
    <w:rsid w:val="00C73808"/>
    <w:rsid w:val="00C7384F"/>
    <w:rsid w:val="00C73984"/>
    <w:rsid w:val="00C73A98"/>
    <w:rsid w:val="00C747F6"/>
    <w:rsid w:val="00C74DAC"/>
    <w:rsid w:val="00C75F99"/>
    <w:rsid w:val="00C76712"/>
    <w:rsid w:val="00C76BF0"/>
    <w:rsid w:val="00C76F0B"/>
    <w:rsid w:val="00C77324"/>
    <w:rsid w:val="00C77A13"/>
    <w:rsid w:val="00C80BC1"/>
    <w:rsid w:val="00C80C93"/>
    <w:rsid w:val="00C80F1A"/>
    <w:rsid w:val="00C818E7"/>
    <w:rsid w:val="00C81C20"/>
    <w:rsid w:val="00C823FA"/>
    <w:rsid w:val="00C828FC"/>
    <w:rsid w:val="00C82AD3"/>
    <w:rsid w:val="00C83494"/>
    <w:rsid w:val="00C83498"/>
    <w:rsid w:val="00C846DA"/>
    <w:rsid w:val="00C84919"/>
    <w:rsid w:val="00C853E8"/>
    <w:rsid w:val="00C85452"/>
    <w:rsid w:val="00C85E6E"/>
    <w:rsid w:val="00C860D0"/>
    <w:rsid w:val="00C8701E"/>
    <w:rsid w:val="00C873BC"/>
    <w:rsid w:val="00C87725"/>
    <w:rsid w:val="00C87E68"/>
    <w:rsid w:val="00C87F8A"/>
    <w:rsid w:val="00C9046A"/>
    <w:rsid w:val="00C9048F"/>
    <w:rsid w:val="00C90F2E"/>
    <w:rsid w:val="00C91166"/>
    <w:rsid w:val="00C9192D"/>
    <w:rsid w:val="00C91A45"/>
    <w:rsid w:val="00C93859"/>
    <w:rsid w:val="00C93B71"/>
    <w:rsid w:val="00C942FA"/>
    <w:rsid w:val="00C945E9"/>
    <w:rsid w:val="00C94BBF"/>
    <w:rsid w:val="00C956DB"/>
    <w:rsid w:val="00C95C27"/>
    <w:rsid w:val="00C95DF8"/>
    <w:rsid w:val="00C9617A"/>
    <w:rsid w:val="00C96244"/>
    <w:rsid w:val="00C9678B"/>
    <w:rsid w:val="00C9680B"/>
    <w:rsid w:val="00C96FF7"/>
    <w:rsid w:val="00C977E8"/>
    <w:rsid w:val="00CA0F20"/>
    <w:rsid w:val="00CA17BD"/>
    <w:rsid w:val="00CA1A2A"/>
    <w:rsid w:val="00CA1DC5"/>
    <w:rsid w:val="00CA22C4"/>
    <w:rsid w:val="00CA2753"/>
    <w:rsid w:val="00CA2BE7"/>
    <w:rsid w:val="00CA2F18"/>
    <w:rsid w:val="00CA34ED"/>
    <w:rsid w:val="00CA3877"/>
    <w:rsid w:val="00CA3F79"/>
    <w:rsid w:val="00CA4187"/>
    <w:rsid w:val="00CA41AB"/>
    <w:rsid w:val="00CA45AD"/>
    <w:rsid w:val="00CA46B8"/>
    <w:rsid w:val="00CA4B97"/>
    <w:rsid w:val="00CA4D46"/>
    <w:rsid w:val="00CA5E8D"/>
    <w:rsid w:val="00CA68C9"/>
    <w:rsid w:val="00CA69AE"/>
    <w:rsid w:val="00CA7C01"/>
    <w:rsid w:val="00CA7CA8"/>
    <w:rsid w:val="00CA7EB4"/>
    <w:rsid w:val="00CB019A"/>
    <w:rsid w:val="00CB0ED7"/>
    <w:rsid w:val="00CB15CA"/>
    <w:rsid w:val="00CB19A5"/>
    <w:rsid w:val="00CB1C7E"/>
    <w:rsid w:val="00CB2E15"/>
    <w:rsid w:val="00CB2E79"/>
    <w:rsid w:val="00CB2FA2"/>
    <w:rsid w:val="00CB39AF"/>
    <w:rsid w:val="00CB3AA1"/>
    <w:rsid w:val="00CB3CB9"/>
    <w:rsid w:val="00CB49E4"/>
    <w:rsid w:val="00CB54D4"/>
    <w:rsid w:val="00CB57A1"/>
    <w:rsid w:val="00CB57D8"/>
    <w:rsid w:val="00CB5A40"/>
    <w:rsid w:val="00CB5EAF"/>
    <w:rsid w:val="00CB5FC6"/>
    <w:rsid w:val="00CB6ED8"/>
    <w:rsid w:val="00CB7771"/>
    <w:rsid w:val="00CB7A7A"/>
    <w:rsid w:val="00CB7FEE"/>
    <w:rsid w:val="00CC0687"/>
    <w:rsid w:val="00CC0B06"/>
    <w:rsid w:val="00CC1AAA"/>
    <w:rsid w:val="00CC1E51"/>
    <w:rsid w:val="00CC3186"/>
    <w:rsid w:val="00CC3BAD"/>
    <w:rsid w:val="00CC4022"/>
    <w:rsid w:val="00CC4216"/>
    <w:rsid w:val="00CC449A"/>
    <w:rsid w:val="00CC4BE9"/>
    <w:rsid w:val="00CC4D42"/>
    <w:rsid w:val="00CC51BE"/>
    <w:rsid w:val="00CC52AC"/>
    <w:rsid w:val="00CC5B57"/>
    <w:rsid w:val="00CC5BFC"/>
    <w:rsid w:val="00CC5F6E"/>
    <w:rsid w:val="00CC75BE"/>
    <w:rsid w:val="00CC75D4"/>
    <w:rsid w:val="00CC79D5"/>
    <w:rsid w:val="00CC7D7B"/>
    <w:rsid w:val="00CC7D8F"/>
    <w:rsid w:val="00CD031C"/>
    <w:rsid w:val="00CD03D6"/>
    <w:rsid w:val="00CD070B"/>
    <w:rsid w:val="00CD2A1F"/>
    <w:rsid w:val="00CD2F95"/>
    <w:rsid w:val="00CD3064"/>
    <w:rsid w:val="00CD3441"/>
    <w:rsid w:val="00CD390B"/>
    <w:rsid w:val="00CD394B"/>
    <w:rsid w:val="00CD4152"/>
    <w:rsid w:val="00CD4483"/>
    <w:rsid w:val="00CD46ED"/>
    <w:rsid w:val="00CD477E"/>
    <w:rsid w:val="00CD4B7F"/>
    <w:rsid w:val="00CD4C41"/>
    <w:rsid w:val="00CD5CE1"/>
    <w:rsid w:val="00CD628F"/>
    <w:rsid w:val="00CD62FE"/>
    <w:rsid w:val="00CD74D2"/>
    <w:rsid w:val="00CD766B"/>
    <w:rsid w:val="00CD7EB6"/>
    <w:rsid w:val="00CE04DE"/>
    <w:rsid w:val="00CE0E84"/>
    <w:rsid w:val="00CE10B1"/>
    <w:rsid w:val="00CE14D6"/>
    <w:rsid w:val="00CE153D"/>
    <w:rsid w:val="00CE1D7B"/>
    <w:rsid w:val="00CE2118"/>
    <w:rsid w:val="00CE2339"/>
    <w:rsid w:val="00CE243F"/>
    <w:rsid w:val="00CE3175"/>
    <w:rsid w:val="00CE3293"/>
    <w:rsid w:val="00CE3C6D"/>
    <w:rsid w:val="00CE3C82"/>
    <w:rsid w:val="00CE43B1"/>
    <w:rsid w:val="00CE45DB"/>
    <w:rsid w:val="00CE537D"/>
    <w:rsid w:val="00CE55AA"/>
    <w:rsid w:val="00CE6D9E"/>
    <w:rsid w:val="00CE794B"/>
    <w:rsid w:val="00CE7C39"/>
    <w:rsid w:val="00CF05EA"/>
    <w:rsid w:val="00CF0FB9"/>
    <w:rsid w:val="00CF248F"/>
    <w:rsid w:val="00CF3522"/>
    <w:rsid w:val="00CF3F37"/>
    <w:rsid w:val="00CF4A46"/>
    <w:rsid w:val="00CF4ADE"/>
    <w:rsid w:val="00CF4BD8"/>
    <w:rsid w:val="00CF5506"/>
    <w:rsid w:val="00CF55E0"/>
    <w:rsid w:val="00CF581A"/>
    <w:rsid w:val="00CF6248"/>
    <w:rsid w:val="00CF63D1"/>
    <w:rsid w:val="00CF7091"/>
    <w:rsid w:val="00CF74C0"/>
    <w:rsid w:val="00CF7897"/>
    <w:rsid w:val="00CF7997"/>
    <w:rsid w:val="00D009E0"/>
    <w:rsid w:val="00D00AB4"/>
    <w:rsid w:val="00D013D9"/>
    <w:rsid w:val="00D01E38"/>
    <w:rsid w:val="00D026AB"/>
    <w:rsid w:val="00D0283B"/>
    <w:rsid w:val="00D02ABB"/>
    <w:rsid w:val="00D03A98"/>
    <w:rsid w:val="00D03BB9"/>
    <w:rsid w:val="00D03D4D"/>
    <w:rsid w:val="00D03E69"/>
    <w:rsid w:val="00D03F6C"/>
    <w:rsid w:val="00D0415C"/>
    <w:rsid w:val="00D04983"/>
    <w:rsid w:val="00D056B3"/>
    <w:rsid w:val="00D05778"/>
    <w:rsid w:val="00D070FF"/>
    <w:rsid w:val="00D075A4"/>
    <w:rsid w:val="00D07D94"/>
    <w:rsid w:val="00D1058E"/>
    <w:rsid w:val="00D106F5"/>
    <w:rsid w:val="00D12059"/>
    <w:rsid w:val="00D1239D"/>
    <w:rsid w:val="00D125DE"/>
    <w:rsid w:val="00D12DF5"/>
    <w:rsid w:val="00D13777"/>
    <w:rsid w:val="00D13BB6"/>
    <w:rsid w:val="00D13C2D"/>
    <w:rsid w:val="00D1459C"/>
    <w:rsid w:val="00D151F0"/>
    <w:rsid w:val="00D15F8E"/>
    <w:rsid w:val="00D1690E"/>
    <w:rsid w:val="00D16A78"/>
    <w:rsid w:val="00D172D8"/>
    <w:rsid w:val="00D173A5"/>
    <w:rsid w:val="00D178E9"/>
    <w:rsid w:val="00D17B3F"/>
    <w:rsid w:val="00D17F1D"/>
    <w:rsid w:val="00D219D5"/>
    <w:rsid w:val="00D21BFA"/>
    <w:rsid w:val="00D2203E"/>
    <w:rsid w:val="00D2231C"/>
    <w:rsid w:val="00D23513"/>
    <w:rsid w:val="00D237C9"/>
    <w:rsid w:val="00D23CE2"/>
    <w:rsid w:val="00D245E2"/>
    <w:rsid w:val="00D24A53"/>
    <w:rsid w:val="00D24C69"/>
    <w:rsid w:val="00D251CF"/>
    <w:rsid w:val="00D252B8"/>
    <w:rsid w:val="00D267D6"/>
    <w:rsid w:val="00D26BEC"/>
    <w:rsid w:val="00D2729A"/>
    <w:rsid w:val="00D27506"/>
    <w:rsid w:val="00D27E6C"/>
    <w:rsid w:val="00D30F5A"/>
    <w:rsid w:val="00D3198D"/>
    <w:rsid w:val="00D32414"/>
    <w:rsid w:val="00D3275A"/>
    <w:rsid w:val="00D32EAB"/>
    <w:rsid w:val="00D3357B"/>
    <w:rsid w:val="00D33953"/>
    <w:rsid w:val="00D34338"/>
    <w:rsid w:val="00D34688"/>
    <w:rsid w:val="00D35601"/>
    <w:rsid w:val="00D35F3B"/>
    <w:rsid w:val="00D36027"/>
    <w:rsid w:val="00D36337"/>
    <w:rsid w:val="00D36522"/>
    <w:rsid w:val="00D366B7"/>
    <w:rsid w:val="00D367F5"/>
    <w:rsid w:val="00D36C23"/>
    <w:rsid w:val="00D36FB2"/>
    <w:rsid w:val="00D375C7"/>
    <w:rsid w:val="00D3769E"/>
    <w:rsid w:val="00D40EAF"/>
    <w:rsid w:val="00D41034"/>
    <w:rsid w:val="00D411A8"/>
    <w:rsid w:val="00D413DA"/>
    <w:rsid w:val="00D41409"/>
    <w:rsid w:val="00D41B99"/>
    <w:rsid w:val="00D42249"/>
    <w:rsid w:val="00D4244A"/>
    <w:rsid w:val="00D42487"/>
    <w:rsid w:val="00D4341B"/>
    <w:rsid w:val="00D44CC7"/>
    <w:rsid w:val="00D45867"/>
    <w:rsid w:val="00D4595F"/>
    <w:rsid w:val="00D45CE3"/>
    <w:rsid w:val="00D46157"/>
    <w:rsid w:val="00D4632C"/>
    <w:rsid w:val="00D4646A"/>
    <w:rsid w:val="00D466A8"/>
    <w:rsid w:val="00D46A18"/>
    <w:rsid w:val="00D46BEF"/>
    <w:rsid w:val="00D47187"/>
    <w:rsid w:val="00D4751A"/>
    <w:rsid w:val="00D475C8"/>
    <w:rsid w:val="00D47859"/>
    <w:rsid w:val="00D50011"/>
    <w:rsid w:val="00D500F2"/>
    <w:rsid w:val="00D5017E"/>
    <w:rsid w:val="00D508E4"/>
    <w:rsid w:val="00D50B2C"/>
    <w:rsid w:val="00D519D2"/>
    <w:rsid w:val="00D52284"/>
    <w:rsid w:val="00D5322C"/>
    <w:rsid w:val="00D533BF"/>
    <w:rsid w:val="00D53841"/>
    <w:rsid w:val="00D53C05"/>
    <w:rsid w:val="00D546B8"/>
    <w:rsid w:val="00D55294"/>
    <w:rsid w:val="00D55AAA"/>
    <w:rsid w:val="00D56ACF"/>
    <w:rsid w:val="00D57152"/>
    <w:rsid w:val="00D57692"/>
    <w:rsid w:val="00D57AF1"/>
    <w:rsid w:val="00D57CBB"/>
    <w:rsid w:val="00D60236"/>
    <w:rsid w:val="00D60B43"/>
    <w:rsid w:val="00D60C45"/>
    <w:rsid w:val="00D614C7"/>
    <w:rsid w:val="00D61E9C"/>
    <w:rsid w:val="00D61F3D"/>
    <w:rsid w:val="00D61F93"/>
    <w:rsid w:val="00D623A8"/>
    <w:rsid w:val="00D62545"/>
    <w:rsid w:val="00D62EEF"/>
    <w:rsid w:val="00D6312F"/>
    <w:rsid w:val="00D63A3E"/>
    <w:rsid w:val="00D63D69"/>
    <w:rsid w:val="00D640F2"/>
    <w:rsid w:val="00D64236"/>
    <w:rsid w:val="00D642AD"/>
    <w:rsid w:val="00D64A40"/>
    <w:rsid w:val="00D64BD4"/>
    <w:rsid w:val="00D64E02"/>
    <w:rsid w:val="00D65132"/>
    <w:rsid w:val="00D654E8"/>
    <w:rsid w:val="00D654FB"/>
    <w:rsid w:val="00D65619"/>
    <w:rsid w:val="00D66300"/>
    <w:rsid w:val="00D66C42"/>
    <w:rsid w:val="00D67216"/>
    <w:rsid w:val="00D67780"/>
    <w:rsid w:val="00D701C2"/>
    <w:rsid w:val="00D7055C"/>
    <w:rsid w:val="00D709B0"/>
    <w:rsid w:val="00D71468"/>
    <w:rsid w:val="00D7160C"/>
    <w:rsid w:val="00D71741"/>
    <w:rsid w:val="00D71C1F"/>
    <w:rsid w:val="00D71CE6"/>
    <w:rsid w:val="00D72304"/>
    <w:rsid w:val="00D727B3"/>
    <w:rsid w:val="00D73210"/>
    <w:rsid w:val="00D73AD4"/>
    <w:rsid w:val="00D74862"/>
    <w:rsid w:val="00D756D2"/>
    <w:rsid w:val="00D75879"/>
    <w:rsid w:val="00D75908"/>
    <w:rsid w:val="00D75ECA"/>
    <w:rsid w:val="00D766A9"/>
    <w:rsid w:val="00D775CD"/>
    <w:rsid w:val="00D8005C"/>
    <w:rsid w:val="00D806BD"/>
    <w:rsid w:val="00D80A72"/>
    <w:rsid w:val="00D81003"/>
    <w:rsid w:val="00D8102B"/>
    <w:rsid w:val="00D81129"/>
    <w:rsid w:val="00D81A7D"/>
    <w:rsid w:val="00D8202C"/>
    <w:rsid w:val="00D82F39"/>
    <w:rsid w:val="00D8378B"/>
    <w:rsid w:val="00D846D9"/>
    <w:rsid w:val="00D84B62"/>
    <w:rsid w:val="00D84CF1"/>
    <w:rsid w:val="00D84F1E"/>
    <w:rsid w:val="00D859E0"/>
    <w:rsid w:val="00D85CF7"/>
    <w:rsid w:val="00D863F7"/>
    <w:rsid w:val="00D87225"/>
    <w:rsid w:val="00D87307"/>
    <w:rsid w:val="00D87322"/>
    <w:rsid w:val="00D8792C"/>
    <w:rsid w:val="00D87974"/>
    <w:rsid w:val="00D87B4D"/>
    <w:rsid w:val="00D87C8F"/>
    <w:rsid w:val="00D87F7F"/>
    <w:rsid w:val="00D9076C"/>
    <w:rsid w:val="00D90F3C"/>
    <w:rsid w:val="00D91686"/>
    <w:rsid w:val="00D9181C"/>
    <w:rsid w:val="00D91841"/>
    <w:rsid w:val="00D918BC"/>
    <w:rsid w:val="00D9191D"/>
    <w:rsid w:val="00D91D95"/>
    <w:rsid w:val="00D91E5A"/>
    <w:rsid w:val="00D92454"/>
    <w:rsid w:val="00D9270B"/>
    <w:rsid w:val="00D927AB"/>
    <w:rsid w:val="00D93CB6"/>
    <w:rsid w:val="00D94506"/>
    <w:rsid w:val="00D94C19"/>
    <w:rsid w:val="00D94FA6"/>
    <w:rsid w:val="00D9590E"/>
    <w:rsid w:val="00D95DD1"/>
    <w:rsid w:val="00D96A20"/>
    <w:rsid w:val="00D97020"/>
    <w:rsid w:val="00DA2813"/>
    <w:rsid w:val="00DA2C32"/>
    <w:rsid w:val="00DA2DF2"/>
    <w:rsid w:val="00DA31ED"/>
    <w:rsid w:val="00DA36B3"/>
    <w:rsid w:val="00DA467B"/>
    <w:rsid w:val="00DA4DDB"/>
    <w:rsid w:val="00DA53B9"/>
    <w:rsid w:val="00DA64C9"/>
    <w:rsid w:val="00DA6B67"/>
    <w:rsid w:val="00DA7371"/>
    <w:rsid w:val="00DA74CE"/>
    <w:rsid w:val="00DA7705"/>
    <w:rsid w:val="00DA7878"/>
    <w:rsid w:val="00DA7D78"/>
    <w:rsid w:val="00DA7F35"/>
    <w:rsid w:val="00DB005E"/>
    <w:rsid w:val="00DB0592"/>
    <w:rsid w:val="00DB0B44"/>
    <w:rsid w:val="00DB3023"/>
    <w:rsid w:val="00DB3613"/>
    <w:rsid w:val="00DB3DB1"/>
    <w:rsid w:val="00DB3E6A"/>
    <w:rsid w:val="00DB3FDB"/>
    <w:rsid w:val="00DB4D86"/>
    <w:rsid w:val="00DB514B"/>
    <w:rsid w:val="00DB5712"/>
    <w:rsid w:val="00DB5C0E"/>
    <w:rsid w:val="00DB5D10"/>
    <w:rsid w:val="00DB5E0E"/>
    <w:rsid w:val="00DB6379"/>
    <w:rsid w:val="00DB64AA"/>
    <w:rsid w:val="00DB657F"/>
    <w:rsid w:val="00DB65C2"/>
    <w:rsid w:val="00DB70EE"/>
    <w:rsid w:val="00DB75A4"/>
    <w:rsid w:val="00DB7827"/>
    <w:rsid w:val="00DB7BF9"/>
    <w:rsid w:val="00DC00C7"/>
    <w:rsid w:val="00DC0554"/>
    <w:rsid w:val="00DC07F1"/>
    <w:rsid w:val="00DC1828"/>
    <w:rsid w:val="00DC1A6F"/>
    <w:rsid w:val="00DC2DC5"/>
    <w:rsid w:val="00DC30EA"/>
    <w:rsid w:val="00DC33EC"/>
    <w:rsid w:val="00DC3F9B"/>
    <w:rsid w:val="00DC4D22"/>
    <w:rsid w:val="00DC5B2D"/>
    <w:rsid w:val="00DC70CD"/>
    <w:rsid w:val="00DC7E6F"/>
    <w:rsid w:val="00DD00EA"/>
    <w:rsid w:val="00DD1BD3"/>
    <w:rsid w:val="00DD1EFE"/>
    <w:rsid w:val="00DD20DE"/>
    <w:rsid w:val="00DD2C33"/>
    <w:rsid w:val="00DD3B6A"/>
    <w:rsid w:val="00DD405B"/>
    <w:rsid w:val="00DD4974"/>
    <w:rsid w:val="00DD553E"/>
    <w:rsid w:val="00DD638A"/>
    <w:rsid w:val="00DD64CB"/>
    <w:rsid w:val="00DD6531"/>
    <w:rsid w:val="00DD6E0E"/>
    <w:rsid w:val="00DD6F13"/>
    <w:rsid w:val="00DD7BF9"/>
    <w:rsid w:val="00DD7C13"/>
    <w:rsid w:val="00DD7C7A"/>
    <w:rsid w:val="00DE037E"/>
    <w:rsid w:val="00DE0759"/>
    <w:rsid w:val="00DE0DFB"/>
    <w:rsid w:val="00DE1550"/>
    <w:rsid w:val="00DE176E"/>
    <w:rsid w:val="00DE1EC9"/>
    <w:rsid w:val="00DE23F2"/>
    <w:rsid w:val="00DE28B1"/>
    <w:rsid w:val="00DE38AA"/>
    <w:rsid w:val="00DE4CB8"/>
    <w:rsid w:val="00DE5A1E"/>
    <w:rsid w:val="00DE5EEE"/>
    <w:rsid w:val="00DE6721"/>
    <w:rsid w:val="00DE6912"/>
    <w:rsid w:val="00DE6F95"/>
    <w:rsid w:val="00DE7355"/>
    <w:rsid w:val="00DE77E7"/>
    <w:rsid w:val="00DE7E8B"/>
    <w:rsid w:val="00DF04A6"/>
    <w:rsid w:val="00DF0745"/>
    <w:rsid w:val="00DF0790"/>
    <w:rsid w:val="00DF15B6"/>
    <w:rsid w:val="00DF15EC"/>
    <w:rsid w:val="00DF1806"/>
    <w:rsid w:val="00DF1C2D"/>
    <w:rsid w:val="00DF1F85"/>
    <w:rsid w:val="00DF20CE"/>
    <w:rsid w:val="00DF20EA"/>
    <w:rsid w:val="00DF2974"/>
    <w:rsid w:val="00DF33BA"/>
    <w:rsid w:val="00DF3422"/>
    <w:rsid w:val="00DF3E3B"/>
    <w:rsid w:val="00DF45FF"/>
    <w:rsid w:val="00DF4CEB"/>
    <w:rsid w:val="00DF79A3"/>
    <w:rsid w:val="00E00282"/>
    <w:rsid w:val="00E0043E"/>
    <w:rsid w:val="00E00A75"/>
    <w:rsid w:val="00E0156F"/>
    <w:rsid w:val="00E01C97"/>
    <w:rsid w:val="00E027C2"/>
    <w:rsid w:val="00E02F4E"/>
    <w:rsid w:val="00E045EF"/>
    <w:rsid w:val="00E052C4"/>
    <w:rsid w:val="00E05CBA"/>
    <w:rsid w:val="00E0621A"/>
    <w:rsid w:val="00E06561"/>
    <w:rsid w:val="00E06583"/>
    <w:rsid w:val="00E0766D"/>
    <w:rsid w:val="00E10090"/>
    <w:rsid w:val="00E102DD"/>
    <w:rsid w:val="00E10331"/>
    <w:rsid w:val="00E10935"/>
    <w:rsid w:val="00E10C1D"/>
    <w:rsid w:val="00E10D76"/>
    <w:rsid w:val="00E11A6C"/>
    <w:rsid w:val="00E11AE0"/>
    <w:rsid w:val="00E12585"/>
    <w:rsid w:val="00E126E5"/>
    <w:rsid w:val="00E1421F"/>
    <w:rsid w:val="00E14A2C"/>
    <w:rsid w:val="00E14C3C"/>
    <w:rsid w:val="00E15680"/>
    <w:rsid w:val="00E1644C"/>
    <w:rsid w:val="00E16730"/>
    <w:rsid w:val="00E16852"/>
    <w:rsid w:val="00E16DB7"/>
    <w:rsid w:val="00E177F1"/>
    <w:rsid w:val="00E17D33"/>
    <w:rsid w:val="00E203ED"/>
    <w:rsid w:val="00E20CD7"/>
    <w:rsid w:val="00E20D09"/>
    <w:rsid w:val="00E2106E"/>
    <w:rsid w:val="00E21495"/>
    <w:rsid w:val="00E21AD7"/>
    <w:rsid w:val="00E22D0F"/>
    <w:rsid w:val="00E23557"/>
    <w:rsid w:val="00E24B81"/>
    <w:rsid w:val="00E24C2A"/>
    <w:rsid w:val="00E251C3"/>
    <w:rsid w:val="00E25EB1"/>
    <w:rsid w:val="00E26382"/>
    <w:rsid w:val="00E264C0"/>
    <w:rsid w:val="00E267AA"/>
    <w:rsid w:val="00E26870"/>
    <w:rsid w:val="00E273E5"/>
    <w:rsid w:val="00E27FB8"/>
    <w:rsid w:val="00E30064"/>
    <w:rsid w:val="00E301E4"/>
    <w:rsid w:val="00E3078A"/>
    <w:rsid w:val="00E319E0"/>
    <w:rsid w:val="00E32209"/>
    <w:rsid w:val="00E3275C"/>
    <w:rsid w:val="00E327B1"/>
    <w:rsid w:val="00E327B9"/>
    <w:rsid w:val="00E32A5E"/>
    <w:rsid w:val="00E32E66"/>
    <w:rsid w:val="00E331E4"/>
    <w:rsid w:val="00E3328F"/>
    <w:rsid w:val="00E33DEF"/>
    <w:rsid w:val="00E3413D"/>
    <w:rsid w:val="00E34633"/>
    <w:rsid w:val="00E3470A"/>
    <w:rsid w:val="00E34CED"/>
    <w:rsid w:val="00E35CBE"/>
    <w:rsid w:val="00E35DC5"/>
    <w:rsid w:val="00E36239"/>
    <w:rsid w:val="00E374E2"/>
    <w:rsid w:val="00E37695"/>
    <w:rsid w:val="00E37830"/>
    <w:rsid w:val="00E37F55"/>
    <w:rsid w:val="00E40453"/>
    <w:rsid w:val="00E4059C"/>
    <w:rsid w:val="00E405F0"/>
    <w:rsid w:val="00E40680"/>
    <w:rsid w:val="00E40C1A"/>
    <w:rsid w:val="00E41014"/>
    <w:rsid w:val="00E421F2"/>
    <w:rsid w:val="00E428CB"/>
    <w:rsid w:val="00E4423D"/>
    <w:rsid w:val="00E447FB"/>
    <w:rsid w:val="00E449C3"/>
    <w:rsid w:val="00E45020"/>
    <w:rsid w:val="00E4528A"/>
    <w:rsid w:val="00E45C08"/>
    <w:rsid w:val="00E46502"/>
    <w:rsid w:val="00E4665D"/>
    <w:rsid w:val="00E46F6A"/>
    <w:rsid w:val="00E471E6"/>
    <w:rsid w:val="00E476E0"/>
    <w:rsid w:val="00E47DDE"/>
    <w:rsid w:val="00E50124"/>
    <w:rsid w:val="00E519D8"/>
    <w:rsid w:val="00E51DD3"/>
    <w:rsid w:val="00E5209E"/>
    <w:rsid w:val="00E5271E"/>
    <w:rsid w:val="00E52BC4"/>
    <w:rsid w:val="00E5334A"/>
    <w:rsid w:val="00E536C6"/>
    <w:rsid w:val="00E53B8E"/>
    <w:rsid w:val="00E543EE"/>
    <w:rsid w:val="00E54422"/>
    <w:rsid w:val="00E548D1"/>
    <w:rsid w:val="00E54D9C"/>
    <w:rsid w:val="00E54E59"/>
    <w:rsid w:val="00E55EA3"/>
    <w:rsid w:val="00E55FAC"/>
    <w:rsid w:val="00E56130"/>
    <w:rsid w:val="00E56574"/>
    <w:rsid w:val="00E56D19"/>
    <w:rsid w:val="00E5737A"/>
    <w:rsid w:val="00E57704"/>
    <w:rsid w:val="00E5776E"/>
    <w:rsid w:val="00E57954"/>
    <w:rsid w:val="00E57C07"/>
    <w:rsid w:val="00E57D82"/>
    <w:rsid w:val="00E57EE7"/>
    <w:rsid w:val="00E60ABC"/>
    <w:rsid w:val="00E60D04"/>
    <w:rsid w:val="00E612CC"/>
    <w:rsid w:val="00E617FF"/>
    <w:rsid w:val="00E62268"/>
    <w:rsid w:val="00E6294C"/>
    <w:rsid w:val="00E62B0B"/>
    <w:rsid w:val="00E63504"/>
    <w:rsid w:val="00E638BA"/>
    <w:rsid w:val="00E64509"/>
    <w:rsid w:val="00E649FC"/>
    <w:rsid w:val="00E64AAF"/>
    <w:rsid w:val="00E65838"/>
    <w:rsid w:val="00E65DDD"/>
    <w:rsid w:val="00E65EFB"/>
    <w:rsid w:val="00E66038"/>
    <w:rsid w:val="00E6668F"/>
    <w:rsid w:val="00E666DD"/>
    <w:rsid w:val="00E66B4A"/>
    <w:rsid w:val="00E671F0"/>
    <w:rsid w:val="00E70402"/>
    <w:rsid w:val="00E707EA"/>
    <w:rsid w:val="00E7123B"/>
    <w:rsid w:val="00E712EA"/>
    <w:rsid w:val="00E722A5"/>
    <w:rsid w:val="00E7292C"/>
    <w:rsid w:val="00E72D9C"/>
    <w:rsid w:val="00E73482"/>
    <w:rsid w:val="00E73537"/>
    <w:rsid w:val="00E740DA"/>
    <w:rsid w:val="00E7455D"/>
    <w:rsid w:val="00E74802"/>
    <w:rsid w:val="00E74B06"/>
    <w:rsid w:val="00E74D9F"/>
    <w:rsid w:val="00E75AAC"/>
    <w:rsid w:val="00E75D1F"/>
    <w:rsid w:val="00E76625"/>
    <w:rsid w:val="00E76C41"/>
    <w:rsid w:val="00E76F7A"/>
    <w:rsid w:val="00E775FB"/>
    <w:rsid w:val="00E77687"/>
    <w:rsid w:val="00E77DAA"/>
    <w:rsid w:val="00E804A3"/>
    <w:rsid w:val="00E80681"/>
    <w:rsid w:val="00E8086C"/>
    <w:rsid w:val="00E813F4"/>
    <w:rsid w:val="00E819A8"/>
    <w:rsid w:val="00E81A7F"/>
    <w:rsid w:val="00E81FAF"/>
    <w:rsid w:val="00E826D1"/>
    <w:rsid w:val="00E828CB"/>
    <w:rsid w:val="00E83AFD"/>
    <w:rsid w:val="00E844C3"/>
    <w:rsid w:val="00E845F8"/>
    <w:rsid w:val="00E846DB"/>
    <w:rsid w:val="00E85157"/>
    <w:rsid w:val="00E86555"/>
    <w:rsid w:val="00E8695C"/>
    <w:rsid w:val="00E86FEA"/>
    <w:rsid w:val="00E87559"/>
    <w:rsid w:val="00E87DDD"/>
    <w:rsid w:val="00E9006C"/>
    <w:rsid w:val="00E9023B"/>
    <w:rsid w:val="00E9047A"/>
    <w:rsid w:val="00E90609"/>
    <w:rsid w:val="00E913B3"/>
    <w:rsid w:val="00E918B7"/>
    <w:rsid w:val="00E92565"/>
    <w:rsid w:val="00E9260C"/>
    <w:rsid w:val="00E9266C"/>
    <w:rsid w:val="00E932D1"/>
    <w:rsid w:val="00E93C7E"/>
    <w:rsid w:val="00E93EB9"/>
    <w:rsid w:val="00E94DAA"/>
    <w:rsid w:val="00E9526E"/>
    <w:rsid w:val="00E96468"/>
    <w:rsid w:val="00E964A8"/>
    <w:rsid w:val="00E96F68"/>
    <w:rsid w:val="00E970D7"/>
    <w:rsid w:val="00E972EE"/>
    <w:rsid w:val="00E978CC"/>
    <w:rsid w:val="00E97B84"/>
    <w:rsid w:val="00E97F38"/>
    <w:rsid w:val="00EA0289"/>
    <w:rsid w:val="00EA0FCE"/>
    <w:rsid w:val="00EA18A8"/>
    <w:rsid w:val="00EA2142"/>
    <w:rsid w:val="00EA2D29"/>
    <w:rsid w:val="00EA3749"/>
    <w:rsid w:val="00EA3CF5"/>
    <w:rsid w:val="00EA4BB6"/>
    <w:rsid w:val="00EA59B0"/>
    <w:rsid w:val="00EA5BCD"/>
    <w:rsid w:val="00EA6094"/>
    <w:rsid w:val="00EA6224"/>
    <w:rsid w:val="00EA6D93"/>
    <w:rsid w:val="00EA70F7"/>
    <w:rsid w:val="00EA7446"/>
    <w:rsid w:val="00EB004D"/>
    <w:rsid w:val="00EB0146"/>
    <w:rsid w:val="00EB02C1"/>
    <w:rsid w:val="00EB0322"/>
    <w:rsid w:val="00EB05F5"/>
    <w:rsid w:val="00EB0ACA"/>
    <w:rsid w:val="00EB153B"/>
    <w:rsid w:val="00EB159C"/>
    <w:rsid w:val="00EB1BE8"/>
    <w:rsid w:val="00EB2D5C"/>
    <w:rsid w:val="00EB3802"/>
    <w:rsid w:val="00EB46FA"/>
    <w:rsid w:val="00EB48F6"/>
    <w:rsid w:val="00EB4BEB"/>
    <w:rsid w:val="00EB5287"/>
    <w:rsid w:val="00EB6405"/>
    <w:rsid w:val="00EB6587"/>
    <w:rsid w:val="00EB66AC"/>
    <w:rsid w:val="00EB69B4"/>
    <w:rsid w:val="00EB7059"/>
    <w:rsid w:val="00EB7932"/>
    <w:rsid w:val="00EB7E38"/>
    <w:rsid w:val="00EC0214"/>
    <w:rsid w:val="00EC05BA"/>
    <w:rsid w:val="00EC178C"/>
    <w:rsid w:val="00EC1A16"/>
    <w:rsid w:val="00EC1D75"/>
    <w:rsid w:val="00EC20DA"/>
    <w:rsid w:val="00EC238B"/>
    <w:rsid w:val="00EC3117"/>
    <w:rsid w:val="00EC3329"/>
    <w:rsid w:val="00EC3C44"/>
    <w:rsid w:val="00EC478C"/>
    <w:rsid w:val="00EC517B"/>
    <w:rsid w:val="00EC5B0D"/>
    <w:rsid w:val="00EC6364"/>
    <w:rsid w:val="00EC7114"/>
    <w:rsid w:val="00EC7D15"/>
    <w:rsid w:val="00EC7DAA"/>
    <w:rsid w:val="00EC7DB0"/>
    <w:rsid w:val="00EC7EDB"/>
    <w:rsid w:val="00ED019F"/>
    <w:rsid w:val="00ED024A"/>
    <w:rsid w:val="00ED12B0"/>
    <w:rsid w:val="00ED1F83"/>
    <w:rsid w:val="00ED213F"/>
    <w:rsid w:val="00ED2540"/>
    <w:rsid w:val="00ED2DB8"/>
    <w:rsid w:val="00ED379B"/>
    <w:rsid w:val="00ED3AA3"/>
    <w:rsid w:val="00ED45E3"/>
    <w:rsid w:val="00ED4783"/>
    <w:rsid w:val="00ED49B3"/>
    <w:rsid w:val="00ED4C0D"/>
    <w:rsid w:val="00ED51DE"/>
    <w:rsid w:val="00ED53CB"/>
    <w:rsid w:val="00ED54B4"/>
    <w:rsid w:val="00ED5993"/>
    <w:rsid w:val="00ED5A24"/>
    <w:rsid w:val="00ED6222"/>
    <w:rsid w:val="00ED6F3C"/>
    <w:rsid w:val="00ED74B3"/>
    <w:rsid w:val="00ED74C3"/>
    <w:rsid w:val="00ED79B4"/>
    <w:rsid w:val="00ED7E44"/>
    <w:rsid w:val="00EE0A57"/>
    <w:rsid w:val="00EE1B4A"/>
    <w:rsid w:val="00EE1C17"/>
    <w:rsid w:val="00EE1D56"/>
    <w:rsid w:val="00EE235A"/>
    <w:rsid w:val="00EE294E"/>
    <w:rsid w:val="00EE35B8"/>
    <w:rsid w:val="00EE3EC0"/>
    <w:rsid w:val="00EE427C"/>
    <w:rsid w:val="00EE4392"/>
    <w:rsid w:val="00EE4B3F"/>
    <w:rsid w:val="00EE4DCC"/>
    <w:rsid w:val="00EE5425"/>
    <w:rsid w:val="00EE5BB3"/>
    <w:rsid w:val="00EE7273"/>
    <w:rsid w:val="00EE74FC"/>
    <w:rsid w:val="00EE7916"/>
    <w:rsid w:val="00EE793A"/>
    <w:rsid w:val="00EE7A69"/>
    <w:rsid w:val="00EE7C99"/>
    <w:rsid w:val="00EF0A64"/>
    <w:rsid w:val="00EF132F"/>
    <w:rsid w:val="00EF1392"/>
    <w:rsid w:val="00EF19D9"/>
    <w:rsid w:val="00EF2467"/>
    <w:rsid w:val="00EF4844"/>
    <w:rsid w:val="00EF4853"/>
    <w:rsid w:val="00EF4A5A"/>
    <w:rsid w:val="00EF4E5E"/>
    <w:rsid w:val="00EF5667"/>
    <w:rsid w:val="00EF5D5A"/>
    <w:rsid w:val="00EF5D5C"/>
    <w:rsid w:val="00EF6786"/>
    <w:rsid w:val="00EF6D04"/>
    <w:rsid w:val="00EF6D93"/>
    <w:rsid w:val="00EF6EEB"/>
    <w:rsid w:val="00EF760F"/>
    <w:rsid w:val="00F00002"/>
    <w:rsid w:val="00F003C1"/>
    <w:rsid w:val="00F0069C"/>
    <w:rsid w:val="00F00918"/>
    <w:rsid w:val="00F009C1"/>
    <w:rsid w:val="00F00EA8"/>
    <w:rsid w:val="00F011DB"/>
    <w:rsid w:val="00F01A4D"/>
    <w:rsid w:val="00F01EB1"/>
    <w:rsid w:val="00F021AC"/>
    <w:rsid w:val="00F0223F"/>
    <w:rsid w:val="00F029BC"/>
    <w:rsid w:val="00F02BBD"/>
    <w:rsid w:val="00F02C66"/>
    <w:rsid w:val="00F031F5"/>
    <w:rsid w:val="00F036A3"/>
    <w:rsid w:val="00F0373C"/>
    <w:rsid w:val="00F03B42"/>
    <w:rsid w:val="00F04921"/>
    <w:rsid w:val="00F05D9F"/>
    <w:rsid w:val="00F06854"/>
    <w:rsid w:val="00F07604"/>
    <w:rsid w:val="00F07613"/>
    <w:rsid w:val="00F0767F"/>
    <w:rsid w:val="00F0785A"/>
    <w:rsid w:val="00F078EC"/>
    <w:rsid w:val="00F07B9B"/>
    <w:rsid w:val="00F07C18"/>
    <w:rsid w:val="00F11356"/>
    <w:rsid w:val="00F11778"/>
    <w:rsid w:val="00F12629"/>
    <w:rsid w:val="00F1308B"/>
    <w:rsid w:val="00F143DE"/>
    <w:rsid w:val="00F1440B"/>
    <w:rsid w:val="00F14777"/>
    <w:rsid w:val="00F147E6"/>
    <w:rsid w:val="00F14FD5"/>
    <w:rsid w:val="00F15497"/>
    <w:rsid w:val="00F15E67"/>
    <w:rsid w:val="00F15EFD"/>
    <w:rsid w:val="00F15EFE"/>
    <w:rsid w:val="00F164DE"/>
    <w:rsid w:val="00F16634"/>
    <w:rsid w:val="00F1730F"/>
    <w:rsid w:val="00F178D2"/>
    <w:rsid w:val="00F17A79"/>
    <w:rsid w:val="00F17C66"/>
    <w:rsid w:val="00F202DD"/>
    <w:rsid w:val="00F20C34"/>
    <w:rsid w:val="00F21609"/>
    <w:rsid w:val="00F21A45"/>
    <w:rsid w:val="00F21B53"/>
    <w:rsid w:val="00F2201B"/>
    <w:rsid w:val="00F22343"/>
    <w:rsid w:val="00F22404"/>
    <w:rsid w:val="00F226B6"/>
    <w:rsid w:val="00F22D6E"/>
    <w:rsid w:val="00F236D5"/>
    <w:rsid w:val="00F238EF"/>
    <w:rsid w:val="00F24B8E"/>
    <w:rsid w:val="00F24D6A"/>
    <w:rsid w:val="00F251A5"/>
    <w:rsid w:val="00F25226"/>
    <w:rsid w:val="00F25455"/>
    <w:rsid w:val="00F2574A"/>
    <w:rsid w:val="00F25763"/>
    <w:rsid w:val="00F2594A"/>
    <w:rsid w:val="00F25CA3"/>
    <w:rsid w:val="00F25FC7"/>
    <w:rsid w:val="00F2630A"/>
    <w:rsid w:val="00F263AD"/>
    <w:rsid w:val="00F264B8"/>
    <w:rsid w:val="00F26A5A"/>
    <w:rsid w:val="00F26D06"/>
    <w:rsid w:val="00F26D38"/>
    <w:rsid w:val="00F3040E"/>
    <w:rsid w:val="00F304A8"/>
    <w:rsid w:val="00F309CA"/>
    <w:rsid w:val="00F30B91"/>
    <w:rsid w:val="00F30F5D"/>
    <w:rsid w:val="00F31206"/>
    <w:rsid w:val="00F3173A"/>
    <w:rsid w:val="00F31861"/>
    <w:rsid w:val="00F32088"/>
    <w:rsid w:val="00F32913"/>
    <w:rsid w:val="00F32A66"/>
    <w:rsid w:val="00F32B61"/>
    <w:rsid w:val="00F32FCB"/>
    <w:rsid w:val="00F350C6"/>
    <w:rsid w:val="00F366FB"/>
    <w:rsid w:val="00F36C9F"/>
    <w:rsid w:val="00F3757C"/>
    <w:rsid w:val="00F375F4"/>
    <w:rsid w:val="00F378A6"/>
    <w:rsid w:val="00F3796D"/>
    <w:rsid w:val="00F37AEB"/>
    <w:rsid w:val="00F40B27"/>
    <w:rsid w:val="00F40BE9"/>
    <w:rsid w:val="00F411C1"/>
    <w:rsid w:val="00F4123C"/>
    <w:rsid w:val="00F4131E"/>
    <w:rsid w:val="00F42164"/>
    <w:rsid w:val="00F42AC0"/>
    <w:rsid w:val="00F445FF"/>
    <w:rsid w:val="00F4463B"/>
    <w:rsid w:val="00F451D4"/>
    <w:rsid w:val="00F4541A"/>
    <w:rsid w:val="00F45BD4"/>
    <w:rsid w:val="00F45EDF"/>
    <w:rsid w:val="00F4625D"/>
    <w:rsid w:val="00F4638F"/>
    <w:rsid w:val="00F468E9"/>
    <w:rsid w:val="00F473D8"/>
    <w:rsid w:val="00F47788"/>
    <w:rsid w:val="00F47849"/>
    <w:rsid w:val="00F47ECA"/>
    <w:rsid w:val="00F51106"/>
    <w:rsid w:val="00F514E3"/>
    <w:rsid w:val="00F51A14"/>
    <w:rsid w:val="00F521AA"/>
    <w:rsid w:val="00F52501"/>
    <w:rsid w:val="00F52838"/>
    <w:rsid w:val="00F52FE8"/>
    <w:rsid w:val="00F53B78"/>
    <w:rsid w:val="00F54251"/>
    <w:rsid w:val="00F547A4"/>
    <w:rsid w:val="00F54897"/>
    <w:rsid w:val="00F54D38"/>
    <w:rsid w:val="00F55082"/>
    <w:rsid w:val="00F553BF"/>
    <w:rsid w:val="00F555A0"/>
    <w:rsid w:val="00F55EAA"/>
    <w:rsid w:val="00F5629A"/>
    <w:rsid w:val="00F562A2"/>
    <w:rsid w:val="00F571DB"/>
    <w:rsid w:val="00F572FE"/>
    <w:rsid w:val="00F5774F"/>
    <w:rsid w:val="00F579D5"/>
    <w:rsid w:val="00F57E50"/>
    <w:rsid w:val="00F57F20"/>
    <w:rsid w:val="00F60617"/>
    <w:rsid w:val="00F60639"/>
    <w:rsid w:val="00F60F0A"/>
    <w:rsid w:val="00F61C2B"/>
    <w:rsid w:val="00F61FD0"/>
    <w:rsid w:val="00F62348"/>
    <w:rsid w:val="00F625E6"/>
    <w:rsid w:val="00F62FEE"/>
    <w:rsid w:val="00F630ED"/>
    <w:rsid w:val="00F6367D"/>
    <w:rsid w:val="00F6436A"/>
    <w:rsid w:val="00F6480B"/>
    <w:rsid w:val="00F64B26"/>
    <w:rsid w:val="00F64BC9"/>
    <w:rsid w:val="00F651FB"/>
    <w:rsid w:val="00F655F5"/>
    <w:rsid w:val="00F65A67"/>
    <w:rsid w:val="00F66042"/>
    <w:rsid w:val="00F663E4"/>
    <w:rsid w:val="00F66822"/>
    <w:rsid w:val="00F66A6E"/>
    <w:rsid w:val="00F66D44"/>
    <w:rsid w:val="00F674DA"/>
    <w:rsid w:val="00F67D3F"/>
    <w:rsid w:val="00F700D8"/>
    <w:rsid w:val="00F708F1"/>
    <w:rsid w:val="00F70FDD"/>
    <w:rsid w:val="00F715E5"/>
    <w:rsid w:val="00F72845"/>
    <w:rsid w:val="00F729F1"/>
    <w:rsid w:val="00F72B73"/>
    <w:rsid w:val="00F73BCF"/>
    <w:rsid w:val="00F752A2"/>
    <w:rsid w:val="00F75AC3"/>
    <w:rsid w:val="00F75ADB"/>
    <w:rsid w:val="00F75EF5"/>
    <w:rsid w:val="00F76363"/>
    <w:rsid w:val="00F7685D"/>
    <w:rsid w:val="00F76C6C"/>
    <w:rsid w:val="00F76D4A"/>
    <w:rsid w:val="00F77119"/>
    <w:rsid w:val="00F77E63"/>
    <w:rsid w:val="00F8037E"/>
    <w:rsid w:val="00F803B7"/>
    <w:rsid w:val="00F806C9"/>
    <w:rsid w:val="00F807F7"/>
    <w:rsid w:val="00F816F6"/>
    <w:rsid w:val="00F838A8"/>
    <w:rsid w:val="00F83A8A"/>
    <w:rsid w:val="00F84A5A"/>
    <w:rsid w:val="00F85A9D"/>
    <w:rsid w:val="00F85B83"/>
    <w:rsid w:val="00F860D8"/>
    <w:rsid w:val="00F86914"/>
    <w:rsid w:val="00F86B73"/>
    <w:rsid w:val="00F870BF"/>
    <w:rsid w:val="00F8754B"/>
    <w:rsid w:val="00F90377"/>
    <w:rsid w:val="00F90B06"/>
    <w:rsid w:val="00F9176D"/>
    <w:rsid w:val="00F91D3B"/>
    <w:rsid w:val="00F91D8E"/>
    <w:rsid w:val="00F923B9"/>
    <w:rsid w:val="00F927E3"/>
    <w:rsid w:val="00F92F2C"/>
    <w:rsid w:val="00F934BB"/>
    <w:rsid w:val="00F937B9"/>
    <w:rsid w:val="00F939B6"/>
    <w:rsid w:val="00F9440D"/>
    <w:rsid w:val="00F94A68"/>
    <w:rsid w:val="00F94BC8"/>
    <w:rsid w:val="00F9640C"/>
    <w:rsid w:val="00F97990"/>
    <w:rsid w:val="00F97BCC"/>
    <w:rsid w:val="00FA057A"/>
    <w:rsid w:val="00FA1322"/>
    <w:rsid w:val="00FA1A50"/>
    <w:rsid w:val="00FA1D9A"/>
    <w:rsid w:val="00FA1F76"/>
    <w:rsid w:val="00FA26F8"/>
    <w:rsid w:val="00FA276F"/>
    <w:rsid w:val="00FA3509"/>
    <w:rsid w:val="00FA357D"/>
    <w:rsid w:val="00FA3AE6"/>
    <w:rsid w:val="00FA3E60"/>
    <w:rsid w:val="00FA3EC1"/>
    <w:rsid w:val="00FA40E6"/>
    <w:rsid w:val="00FA49E0"/>
    <w:rsid w:val="00FA5819"/>
    <w:rsid w:val="00FA5C9E"/>
    <w:rsid w:val="00FA6F3D"/>
    <w:rsid w:val="00FA77FB"/>
    <w:rsid w:val="00FB016A"/>
    <w:rsid w:val="00FB055C"/>
    <w:rsid w:val="00FB0D77"/>
    <w:rsid w:val="00FB0D91"/>
    <w:rsid w:val="00FB0E86"/>
    <w:rsid w:val="00FB0F89"/>
    <w:rsid w:val="00FB1239"/>
    <w:rsid w:val="00FB274B"/>
    <w:rsid w:val="00FB39F2"/>
    <w:rsid w:val="00FB5B5B"/>
    <w:rsid w:val="00FB6CE2"/>
    <w:rsid w:val="00FB7A8F"/>
    <w:rsid w:val="00FC01EC"/>
    <w:rsid w:val="00FC051A"/>
    <w:rsid w:val="00FC1402"/>
    <w:rsid w:val="00FC15F6"/>
    <w:rsid w:val="00FC1B18"/>
    <w:rsid w:val="00FC2295"/>
    <w:rsid w:val="00FC35FA"/>
    <w:rsid w:val="00FC3D4C"/>
    <w:rsid w:val="00FC4846"/>
    <w:rsid w:val="00FC58D3"/>
    <w:rsid w:val="00FC7770"/>
    <w:rsid w:val="00FC7F65"/>
    <w:rsid w:val="00FD0D3F"/>
    <w:rsid w:val="00FD1298"/>
    <w:rsid w:val="00FD1AFF"/>
    <w:rsid w:val="00FD1CCA"/>
    <w:rsid w:val="00FD277B"/>
    <w:rsid w:val="00FD2A3B"/>
    <w:rsid w:val="00FD2CBA"/>
    <w:rsid w:val="00FD362E"/>
    <w:rsid w:val="00FD3816"/>
    <w:rsid w:val="00FD3AEE"/>
    <w:rsid w:val="00FD4281"/>
    <w:rsid w:val="00FD5DF2"/>
    <w:rsid w:val="00FD675A"/>
    <w:rsid w:val="00FD6EA3"/>
    <w:rsid w:val="00FD7514"/>
    <w:rsid w:val="00FE0940"/>
    <w:rsid w:val="00FE0E36"/>
    <w:rsid w:val="00FE1A57"/>
    <w:rsid w:val="00FE28C4"/>
    <w:rsid w:val="00FE34DC"/>
    <w:rsid w:val="00FE354B"/>
    <w:rsid w:val="00FE37E9"/>
    <w:rsid w:val="00FE3D93"/>
    <w:rsid w:val="00FE44CB"/>
    <w:rsid w:val="00FE45BD"/>
    <w:rsid w:val="00FE4D06"/>
    <w:rsid w:val="00FE6481"/>
    <w:rsid w:val="00FE6632"/>
    <w:rsid w:val="00FE66ED"/>
    <w:rsid w:val="00FE6C64"/>
    <w:rsid w:val="00FE76FA"/>
    <w:rsid w:val="00FE77D3"/>
    <w:rsid w:val="00FF02F7"/>
    <w:rsid w:val="00FF1329"/>
    <w:rsid w:val="00FF1B15"/>
    <w:rsid w:val="00FF1CE1"/>
    <w:rsid w:val="00FF1E0B"/>
    <w:rsid w:val="00FF2021"/>
    <w:rsid w:val="00FF24A7"/>
    <w:rsid w:val="00FF2F44"/>
    <w:rsid w:val="00FF352D"/>
    <w:rsid w:val="00FF360F"/>
    <w:rsid w:val="00FF396F"/>
    <w:rsid w:val="00FF3AA1"/>
    <w:rsid w:val="00FF463E"/>
    <w:rsid w:val="00FF4ED3"/>
    <w:rsid w:val="00FF537D"/>
    <w:rsid w:val="00FF6278"/>
    <w:rsid w:val="00FF64E9"/>
    <w:rsid w:val="00FF7965"/>
    <w:rsid w:val="00FF799E"/>
    <w:rsid w:val="00FF7A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846599940">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63E-2"/>
          <c:y val="3.8309849426716468E-2"/>
          <c:w val="0.90305106959238579"/>
          <c:h val="0.74626404458063433"/>
        </c:manualLayout>
      </c:layout>
      <c:barChart>
        <c:barDir val="col"/>
        <c:grouping val="clustered"/>
        <c:varyColors val="0"/>
        <c:ser>
          <c:idx val="0"/>
          <c:order val="0"/>
          <c:tx>
            <c:strRef>
              <c:f>Sheet1!$B$36</c:f>
              <c:strCache>
                <c:ptCount val="1"/>
                <c:pt idx="0">
                  <c:v>към септември 2019 г.</c:v>
                </c:pt>
              </c:strCache>
            </c:strRef>
          </c:tx>
          <c:spPr>
            <a:pattFill prst="pct5">
              <a:fgClr>
                <a:srgbClr val="FFFFFF"/>
              </a:fgClr>
              <a:bgClr>
                <a:srgbClr val="000000"/>
              </a:bgClr>
            </a:pattFill>
            <a:ln w="12683">
              <a:solidFill>
                <a:srgbClr val="000000"/>
              </a:solidFill>
              <a:prstDash val="solid"/>
            </a:ln>
          </c:spPr>
          <c:invertIfNegative val="0"/>
          <c:dLbls>
            <c:dLbl>
              <c:idx val="0"/>
              <c:layout>
                <c:manualLayout>
                  <c:x val="-1.1911120203121136E-3"/>
                  <c:y val="0.282342666427778"/>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E6F-4114-A707-1A6DE9781D4C}"/>
                </c:ext>
              </c:extLst>
            </c:dLbl>
            <c:dLbl>
              <c:idx val="1"/>
              <c:layout>
                <c:manualLayout>
                  <c:x val="-8.5984112728614507E-3"/>
                  <c:y val="-3.72464217834840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E6F-4114-A707-1A6DE9781D4C}"/>
                </c:ext>
              </c:extLst>
            </c:dLbl>
            <c:dLbl>
              <c:idx val="2"/>
              <c:layout>
                <c:manualLayout>
                  <c:x val="-4.0234036459434923E-3"/>
                  <c:y val="3.71057292376084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E6F-4114-A707-1A6DE9781D4C}"/>
                </c:ext>
              </c:extLst>
            </c:dLbl>
            <c:dLbl>
              <c:idx val="3"/>
              <c:layout>
                <c:manualLayout>
                  <c:x val="1.6411410112197543E-3"/>
                  <c:y val="-6.528788331838270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2E6F-4114-A707-1A6DE9781D4C}"/>
                </c:ext>
              </c:extLst>
            </c:dLbl>
            <c:dLbl>
              <c:idx val="4"/>
              <c:layout>
                <c:manualLayout>
                  <c:x val="-1.6232910645205568E-4"/>
                  <c:y val="0.165544061391153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2E6F-4114-A707-1A6DE9781D4C}"/>
                </c:ext>
              </c:extLst>
            </c:dLbl>
            <c:dLbl>
              <c:idx val="5"/>
              <c:layout>
                <c:manualLayout>
                  <c:x val="2.2153355328576063E-4"/>
                  <c:y val="4.516590851363523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2E6F-4114-A707-1A6DE9781D4C}"/>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6610.0702200000014</c:v>
                </c:pt>
                <c:pt idx="1">
                  <c:v>10.095427000000004</c:v>
                </c:pt>
                <c:pt idx="2">
                  <c:v>2502.8408419999987</c:v>
                </c:pt>
                <c:pt idx="3">
                  <c:v>553.34164199999839</c:v>
                </c:pt>
                <c:pt idx="4">
                  <c:v>8092.5215400000034</c:v>
                </c:pt>
                <c:pt idx="5">
                  <c:v>997.5289939999999</c:v>
                </c:pt>
              </c:numCache>
            </c:numRef>
          </c:val>
          <c:extLst xmlns:c16r2="http://schemas.microsoft.com/office/drawing/2015/06/chart">
            <c:ext xmlns:c16="http://schemas.microsoft.com/office/drawing/2014/chart" uri="{C3380CC4-5D6E-409C-BE32-E72D297353CC}">
              <c16:uniqueId val="{00000006-2E6F-4114-A707-1A6DE9781D4C}"/>
            </c:ext>
          </c:extLst>
        </c:ser>
        <c:ser>
          <c:idx val="1"/>
          <c:order val="1"/>
          <c:tx>
            <c:strRef>
              <c:f>Sheet1!$C$36</c:f>
              <c:strCache>
                <c:ptCount val="1"/>
                <c:pt idx="0">
                  <c:v>към септември  2020 г.</c:v>
                </c:pt>
              </c:strCache>
            </c:strRef>
          </c:tx>
          <c:spPr>
            <a:pattFill prst="smConfetti">
              <a:fgClr>
                <a:srgbClr val="333333"/>
              </a:fgClr>
              <a:bgClr>
                <a:srgbClr val="FFFFFF"/>
              </a:bgClr>
            </a:pattFill>
            <a:ln w="12683">
              <a:solidFill>
                <a:srgbClr val="000000"/>
              </a:solidFill>
              <a:prstDash val="solid"/>
            </a:ln>
          </c:spPr>
          <c:invertIfNegative val="0"/>
          <c:dLbls>
            <c:dLbl>
              <c:idx val="0"/>
              <c:layout>
                <c:manualLayout>
                  <c:x val="-1.5957659542556286E-3"/>
                  <c:y val="0.295091513608431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2E6F-4114-A707-1A6DE9781D4C}"/>
                </c:ext>
              </c:extLst>
            </c:dLbl>
            <c:dLbl>
              <c:idx val="1"/>
              <c:layout>
                <c:manualLayout>
                  <c:x val="-1.3777787060437136E-3"/>
                  <c:y val="-2.245839959660220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2E6F-4114-A707-1A6DE9781D4C}"/>
                </c:ext>
              </c:extLst>
            </c:dLbl>
            <c:dLbl>
              <c:idx val="2"/>
              <c:layout>
                <c:manualLayout>
                  <c:x val="-3.8987169044187812E-5"/>
                  <c:y val="-1.243777717440491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2E6F-4114-A707-1A6DE9781D4C}"/>
                </c:ext>
              </c:extLst>
            </c:dLbl>
            <c:dLbl>
              <c:idx val="3"/>
              <c:layout>
                <c:manualLayout>
                  <c:x val="4.7141342909059365E-3"/>
                  <c:y val="-1.2333300109638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2E6F-4114-A707-1A6DE9781D4C}"/>
                </c:ext>
              </c:extLst>
            </c:dLbl>
            <c:dLbl>
              <c:idx val="4"/>
              <c:layout>
                <c:manualLayout>
                  <c:x val="2.5961277386745895E-3"/>
                  <c:y val="0.16264270845454668"/>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2E6F-4114-A707-1A6DE9781D4C}"/>
                </c:ext>
              </c:extLst>
            </c:dLbl>
            <c:dLbl>
              <c:idx val="5"/>
              <c:layout>
                <c:manualLayout>
                  <c:x val="1.9210701072004581E-3"/>
                  <c:y val="-6.963462411773351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2E6F-4114-A707-1A6DE9781D4C}"/>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7072.5539640000034</c:v>
                </c:pt>
                <c:pt idx="1">
                  <c:v>17.266805999999999</c:v>
                </c:pt>
                <c:pt idx="2">
                  <c:v>902.42515099999946</c:v>
                </c:pt>
                <c:pt idx="3">
                  <c:v>525.88373300000126</c:v>
                </c:pt>
                <c:pt idx="4">
                  <c:v>9773.9641739999788</c:v>
                </c:pt>
                <c:pt idx="5">
                  <c:v>890.93411299999946</c:v>
                </c:pt>
              </c:numCache>
            </c:numRef>
          </c:val>
          <c:extLst xmlns:c16r2="http://schemas.microsoft.com/office/drawing/2015/06/chart">
            <c:ext xmlns:c16="http://schemas.microsoft.com/office/drawing/2014/chart" uri="{C3380CC4-5D6E-409C-BE32-E72D297353CC}">
              <c16:uniqueId val="{0000000D-2E6F-4114-A707-1A6DE9781D4C}"/>
            </c:ext>
          </c:extLst>
        </c:ser>
        <c:dLbls>
          <c:showLegendKey val="0"/>
          <c:showVal val="0"/>
          <c:showCatName val="0"/>
          <c:showSerName val="0"/>
          <c:showPercent val="0"/>
          <c:showBubbleSize val="0"/>
        </c:dLbls>
        <c:gapWidth val="150"/>
        <c:axId val="168207488"/>
        <c:axId val="168209024"/>
      </c:barChart>
      <c:catAx>
        <c:axId val="168207488"/>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168209024"/>
        <c:crosses val="autoZero"/>
        <c:auto val="1"/>
        <c:lblAlgn val="ctr"/>
        <c:lblOffset val="100"/>
        <c:tickLblSkip val="1"/>
        <c:tickMarkSkip val="1"/>
        <c:noMultiLvlLbl val="0"/>
      </c:catAx>
      <c:valAx>
        <c:axId val="168209024"/>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1145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168207488"/>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122363318643525"/>
          <c:y val="0.91477519855472789"/>
          <c:w val="0.40878464462499231"/>
          <c:h val="8.4652486620990605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4BF6D-441F-49E7-9F02-73832C6A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28</Pages>
  <Words>15149</Words>
  <Characters>80301</Characters>
  <Application>Microsoft Office Word</Application>
  <DocSecurity>0</DocSecurity>
  <Lines>669</Lines>
  <Paragraphs>190</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95260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Вера Данева</cp:lastModifiedBy>
  <cp:revision>272</cp:revision>
  <cp:lastPrinted>2020-11-02T15:59:00Z</cp:lastPrinted>
  <dcterms:created xsi:type="dcterms:W3CDTF">2020-08-07T06:12:00Z</dcterms:created>
  <dcterms:modified xsi:type="dcterms:W3CDTF">2020-11-06T10:06:00Z</dcterms:modified>
</cp:coreProperties>
</file>