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E15" w:rsidRPr="007803D0" w:rsidRDefault="00063E15" w:rsidP="008314D1">
      <w:pPr>
        <w:pStyle w:val="Title"/>
        <w:pBdr>
          <w:bottom w:val="double" w:sz="6" w:space="0" w:color="auto"/>
        </w:pBdr>
      </w:pPr>
      <w:r w:rsidRPr="007803D0">
        <w:t>М И Н И С Т Е Р С Т В О   Н А   Ф И Н А Н С И Т Е</w:t>
      </w:r>
    </w:p>
    <w:p w:rsidR="005F7245" w:rsidRPr="007803D0" w:rsidRDefault="005F7245" w:rsidP="00063E15">
      <w:pPr>
        <w:rPr>
          <w:sz w:val="16"/>
          <w:szCs w:val="16"/>
        </w:rPr>
      </w:pPr>
    </w:p>
    <w:p w:rsidR="0019151C" w:rsidRPr="007803D0" w:rsidRDefault="0019151C" w:rsidP="0019151C"/>
    <w:p w:rsidR="0019151C" w:rsidRPr="007803D0" w:rsidRDefault="0019151C" w:rsidP="0019151C"/>
    <w:p w:rsidR="00E9260C" w:rsidRPr="007803D0" w:rsidRDefault="00E9260C" w:rsidP="009B536C">
      <w:pPr>
        <w:pStyle w:val="Heading1"/>
        <w:rPr>
          <w:sz w:val="24"/>
        </w:rPr>
      </w:pPr>
      <w:r w:rsidRPr="007803D0">
        <w:rPr>
          <w:sz w:val="24"/>
        </w:rPr>
        <w:t>ИНФОРМАЦИЯ</w:t>
      </w:r>
    </w:p>
    <w:p w:rsidR="00E9260C" w:rsidRPr="007803D0" w:rsidRDefault="00E9260C" w:rsidP="009B536C">
      <w:pPr>
        <w:jc w:val="center"/>
        <w:rPr>
          <w:b/>
          <w:bCs/>
        </w:rPr>
      </w:pPr>
      <w:r w:rsidRPr="007803D0">
        <w:rPr>
          <w:b/>
          <w:bCs/>
        </w:rPr>
        <w:t xml:space="preserve">ЗА </w:t>
      </w:r>
      <w:r w:rsidR="004E7BF8" w:rsidRPr="007803D0">
        <w:rPr>
          <w:b/>
          <w:bCs/>
        </w:rPr>
        <w:t xml:space="preserve">КАСОВОТО </w:t>
      </w:r>
      <w:r w:rsidRPr="007803D0">
        <w:rPr>
          <w:b/>
          <w:bCs/>
        </w:rPr>
        <w:t xml:space="preserve">ИЗПЪЛНЕНИЕ НА </w:t>
      </w:r>
      <w:r w:rsidR="004E7BF8" w:rsidRPr="007803D0">
        <w:rPr>
          <w:b/>
          <w:bCs/>
        </w:rPr>
        <w:t>ДЪРЖАВНИЯ</w:t>
      </w:r>
      <w:r w:rsidRPr="007803D0">
        <w:rPr>
          <w:b/>
          <w:bCs/>
        </w:rPr>
        <w:t xml:space="preserve"> БЮДЖЕТ</w:t>
      </w:r>
      <w:r w:rsidR="004E7BF8" w:rsidRPr="007803D0">
        <w:rPr>
          <w:b/>
          <w:bCs/>
        </w:rPr>
        <w:t xml:space="preserve"> И НА ОСНОВНИТЕ ПОКАЗАТЕЛИ НА КОНСОЛИДИРАНАТА ФИСКАЛНА ПРОГРАМА </w:t>
      </w:r>
    </w:p>
    <w:p w:rsidR="003F47AB" w:rsidRPr="007803D0" w:rsidRDefault="003F47AB" w:rsidP="003F47AB">
      <w:pPr>
        <w:jc w:val="center"/>
        <w:rPr>
          <w:b/>
          <w:bCs/>
        </w:rPr>
      </w:pPr>
      <w:r w:rsidRPr="007803D0">
        <w:rPr>
          <w:b/>
          <w:bCs/>
        </w:rPr>
        <w:t xml:space="preserve">ЗА </w:t>
      </w:r>
      <w:r w:rsidR="00015D5B" w:rsidRPr="007803D0">
        <w:rPr>
          <w:b/>
          <w:bCs/>
        </w:rPr>
        <w:t xml:space="preserve">ДЕВЕТМЕСЕЧИЕТО </w:t>
      </w:r>
      <w:r w:rsidRPr="007803D0">
        <w:rPr>
          <w:b/>
          <w:bCs/>
        </w:rPr>
        <w:t>НА 201</w:t>
      </w:r>
      <w:r w:rsidR="00B067C3" w:rsidRPr="007803D0">
        <w:rPr>
          <w:b/>
          <w:bCs/>
          <w:lang w:val="en-US"/>
        </w:rPr>
        <w:t>9</w:t>
      </w:r>
      <w:r w:rsidRPr="007803D0">
        <w:rPr>
          <w:b/>
          <w:bCs/>
        </w:rPr>
        <w:t xml:space="preserve"> ГОДИНА</w:t>
      </w:r>
    </w:p>
    <w:p w:rsidR="00430A35" w:rsidRPr="00B93FD2" w:rsidRDefault="00430A35" w:rsidP="003A06C5">
      <w:pPr>
        <w:rPr>
          <w:b/>
          <w:bCs/>
          <w:color w:val="4F81BD" w:themeColor="accent1"/>
        </w:rPr>
      </w:pPr>
    </w:p>
    <w:p w:rsidR="0019151C" w:rsidRPr="00B93FD2" w:rsidRDefault="0019151C" w:rsidP="003A06C5">
      <w:pPr>
        <w:rPr>
          <w:b/>
          <w:bCs/>
          <w:color w:val="4F81BD" w:themeColor="accent1"/>
        </w:rPr>
      </w:pPr>
    </w:p>
    <w:p w:rsidR="0019151C" w:rsidRPr="00B93FD2" w:rsidRDefault="0019151C" w:rsidP="003A06C5">
      <w:pPr>
        <w:rPr>
          <w:b/>
          <w:bCs/>
          <w:color w:val="4F81BD" w:themeColor="accent1"/>
        </w:rPr>
      </w:pPr>
    </w:p>
    <w:p w:rsidR="005750C2" w:rsidRPr="009619E6" w:rsidRDefault="005750C2" w:rsidP="005750C2">
      <w:pPr>
        <w:spacing w:after="120"/>
        <w:ind w:firstLine="709"/>
        <w:jc w:val="both"/>
        <w:rPr>
          <w:lang w:val="en-US" w:eastAsia="bg-BG"/>
        </w:rPr>
      </w:pPr>
      <w:r w:rsidRPr="009619E6">
        <w:rPr>
          <w:b/>
          <w:bCs/>
          <w:u w:val="single"/>
          <w:lang w:eastAsia="bg-BG"/>
        </w:rPr>
        <w:t>Развитие на икономическата среда</w:t>
      </w:r>
    </w:p>
    <w:p w:rsidR="008F4F70" w:rsidRPr="008F4F70" w:rsidRDefault="008F4F70" w:rsidP="008F4F70">
      <w:pPr>
        <w:ind w:firstLine="708"/>
        <w:jc w:val="both"/>
        <w:rPr>
          <w:rFonts w:eastAsia="Batang"/>
          <w:bCs/>
          <w:color w:val="000000" w:themeColor="text1"/>
        </w:rPr>
      </w:pPr>
      <w:r w:rsidRPr="008F4F70">
        <w:rPr>
          <w:rFonts w:eastAsia="Batang"/>
          <w:bCs/>
          <w:color w:val="000000" w:themeColor="text1"/>
        </w:rPr>
        <w:t xml:space="preserve">През първото полугодие на 2019 г. растежът на брутния вътрешен продукт в страната се ускори спрямо същия период на 2018 г. и достигна 4,1 %. По компоненти с основен принос за растежа бе вътрешното търсене. Крайното потребление нарасна с 6,3 %, движено както от разходите на домакинствата, така и от правителствените. Инвестициите в основен капитал нараснаха с 0,7 %, като отчетената динамика се дължеше на по-високите капиталови разходи на публичния сектор. За първата половина на 2019 г. както износът, така и вносът на стоки и услуги се понижиха, поради спад в </w:t>
      </w:r>
      <w:bookmarkStart w:id="0" w:name="_GoBack"/>
      <w:bookmarkEnd w:id="0"/>
      <w:r w:rsidRPr="008F4F70">
        <w:rPr>
          <w:rFonts w:eastAsia="Batang"/>
          <w:bCs/>
          <w:color w:val="000000" w:themeColor="text1"/>
        </w:rPr>
        <w:t>услугите. Намалението при вноса бе по-изразено и в резултат нетният износ имаше положителен принос за растежа на БВП за полугодието.</w:t>
      </w:r>
    </w:p>
    <w:p w:rsidR="008F4F70" w:rsidRPr="008F4F70" w:rsidRDefault="008F4F70" w:rsidP="008F4F70">
      <w:pPr>
        <w:ind w:firstLine="708"/>
        <w:jc w:val="both"/>
        <w:rPr>
          <w:rFonts w:eastAsia="Batang"/>
          <w:bCs/>
          <w:color w:val="000000" w:themeColor="text1"/>
        </w:rPr>
      </w:pPr>
      <w:r w:rsidRPr="008F4F70">
        <w:rPr>
          <w:rFonts w:eastAsia="Batang"/>
          <w:bCs/>
          <w:color w:val="000000" w:themeColor="text1"/>
        </w:rPr>
        <w:t>Последните данни за краткосрочните индикатори дават разнопосочни сигнали. През трето тримесечие бе отчетено подобрение в доверието на потребителите, а оборотът в търговията на дребно нарасна с 2,8 % средно за периода юли-август 2019 г. Тези данни сочат към продължаващ растеж на домакинските разходи и през трето тримесечие. Индексът на строителната продукция също отчете висок растеж от 4 % средно през юли-август в резултат на благоприятното развитие при сградното строителство. За същия период индексът на промишлено производство се понижи с 1,1 %, а индикаторът за бизнес климата се влоши през трето тримесечие спрямо второ във всички сектори.</w:t>
      </w:r>
    </w:p>
    <w:p w:rsidR="008F4F70" w:rsidRPr="008F4F70" w:rsidRDefault="008F4F70" w:rsidP="008F4F70">
      <w:pPr>
        <w:ind w:firstLine="708"/>
        <w:jc w:val="both"/>
        <w:rPr>
          <w:rFonts w:eastAsia="Batang"/>
          <w:bCs/>
          <w:color w:val="000000" w:themeColor="text1"/>
        </w:rPr>
      </w:pPr>
      <w:r w:rsidRPr="008F4F70">
        <w:rPr>
          <w:rFonts w:eastAsia="Batang"/>
          <w:bCs/>
          <w:color w:val="000000" w:themeColor="text1"/>
        </w:rPr>
        <w:t xml:space="preserve">През септември регистрираната безработица бе 5,3 %, като остана непроменена от юли насам, когато отбеляза слабо повишение спрямо юни. Броят на започналите работа през септември се повиши с 30 % спрямо август, в голяма степен поради увеличеното търсене на труд в образованието преди стартирането на новата учебна година. Същевременно, новорегистрираните в </w:t>
      </w:r>
      <w:r w:rsidRPr="008F4F70">
        <w:rPr>
          <w:rFonts w:eastAsia="Batang"/>
          <w:bCs/>
          <w:color w:val="000000" w:themeColor="text1"/>
        </w:rPr>
        <w:lastRenderedPageBreak/>
        <w:t>бюрата по труда също се повишиха, в резултат от затихването на сезонните дейности в областта на туризма, търговията, селското стопанство и др., задържайки месечното ниво на безработицата. На годишна база, обаче, низходящата тенденция се запази и нивото на безработица остана с 0,4 пр. п. по-ниско в сравнение с периода юли-септември 2018 г.</w:t>
      </w:r>
    </w:p>
    <w:p w:rsidR="008F4F70" w:rsidRPr="008F4F70" w:rsidRDefault="008F4F70" w:rsidP="008F4F70">
      <w:pPr>
        <w:ind w:firstLine="708"/>
        <w:jc w:val="both"/>
        <w:rPr>
          <w:rFonts w:eastAsia="Batang"/>
          <w:bCs/>
          <w:color w:val="000000" w:themeColor="text1"/>
        </w:rPr>
      </w:pPr>
      <w:r w:rsidRPr="008F4F70">
        <w:rPr>
          <w:rFonts w:eastAsia="Batang"/>
          <w:bCs/>
          <w:color w:val="000000" w:themeColor="text1"/>
        </w:rPr>
        <w:t>През третото тримесечие на 2019 г. инфлацията</w:t>
      </w:r>
      <w:r w:rsidR="0043232C">
        <w:rPr>
          <w:rFonts w:eastAsia="Batang"/>
          <w:bCs/>
          <w:color w:val="000000" w:themeColor="text1"/>
        </w:rPr>
        <w:t>,</w:t>
      </w:r>
      <w:r w:rsidRPr="008F4F70">
        <w:rPr>
          <w:rFonts w:eastAsia="Batang"/>
          <w:bCs/>
          <w:color w:val="000000" w:themeColor="text1"/>
        </w:rPr>
        <w:t xml:space="preserve"> </w:t>
      </w:r>
      <w:r w:rsidR="0043232C">
        <w:rPr>
          <w:rFonts w:eastAsia="Batang"/>
          <w:bCs/>
          <w:color w:val="000000" w:themeColor="text1"/>
        </w:rPr>
        <w:t>изчислена</w:t>
      </w:r>
      <w:r w:rsidR="0043232C" w:rsidRPr="008F4F70">
        <w:rPr>
          <w:rFonts w:eastAsia="Batang"/>
          <w:bCs/>
          <w:color w:val="000000" w:themeColor="text1"/>
        </w:rPr>
        <w:t xml:space="preserve"> спрямо съответното тримесечие на предходната година,</w:t>
      </w:r>
      <w:r w:rsidR="0043232C">
        <w:rPr>
          <w:rFonts w:eastAsia="Batang"/>
          <w:bCs/>
          <w:color w:val="000000" w:themeColor="text1"/>
        </w:rPr>
        <w:t xml:space="preserve"> </w:t>
      </w:r>
      <w:r w:rsidRPr="008F4F70">
        <w:rPr>
          <w:rFonts w:eastAsia="Batang"/>
          <w:bCs/>
          <w:color w:val="000000" w:themeColor="text1"/>
        </w:rPr>
        <w:t>се забави до 2,2 %</w:t>
      </w:r>
      <w:r w:rsidR="0043232C">
        <w:rPr>
          <w:rFonts w:eastAsia="Batang"/>
          <w:bCs/>
          <w:color w:val="000000" w:themeColor="text1"/>
        </w:rPr>
        <w:t xml:space="preserve"> </w:t>
      </w:r>
      <w:r w:rsidRPr="008F4F70">
        <w:rPr>
          <w:rFonts w:eastAsia="Batang"/>
          <w:bCs/>
          <w:color w:val="000000" w:themeColor="text1"/>
        </w:rPr>
        <w:t>в сравнение с второто, когато беше 2,8 %. През септември инфлацията спрямо съответния месец на предходната година се забави значително до 1,6 %, при 2,5 % през август. Тя бе формирана основно от поскъпването на храните и услугите. През септември на годишна база цените на енергийните стоки слабо се понижиха – за първи път от края на 2016 г. Спадът се дължеше на течните горива, които поевтиняват по месеци на годишна база от юни. Очаква се влиянието на енергийните стоки (пряко и косвено) върху инфлационните процеси в страната постепенно да намалява до края на годината.</w:t>
      </w:r>
    </w:p>
    <w:p w:rsidR="008F4F70" w:rsidRPr="008F4F70" w:rsidRDefault="008F4F70" w:rsidP="008F4F70">
      <w:pPr>
        <w:ind w:firstLine="708"/>
        <w:jc w:val="both"/>
        <w:rPr>
          <w:rFonts w:eastAsia="Batang"/>
          <w:bCs/>
          <w:color w:val="000000" w:themeColor="text1"/>
        </w:rPr>
      </w:pPr>
      <w:r w:rsidRPr="008F4F70">
        <w:rPr>
          <w:rFonts w:eastAsia="Batang"/>
          <w:bCs/>
          <w:color w:val="000000" w:themeColor="text1"/>
        </w:rPr>
        <w:t>В периода януари-август 2019 г. по текущата и капиталовата сметка на страната бяха отчетени входящи парични потоци в размер на 4,8 млрд. евро, докато по финансовата сметка имаше превишение на придобитите чуждестранни активи над привлечените средства. Излишъкът по текущата сметка достигна 6,8 % от прогнозния БВП, като се увеличи спрямо 4,3 % през съответния период на 2018 г. Повишението бе движено основно от изпреварващия растеж на износа на стоки (4,8 %) спрямо вноса (0,2 %). Фактори за това бяха както по-благоприятните ценови условия, така и по-силна динамика на износа в количествено отношение. Докато вносът бе ограничен, поради по-слабото нарастване на вътрешното търсене, при износа се наблюдаваше изчистване на временни негативни ефекти (в търговията с нефтопродукти и метали) от 2018 г. Растежът бе както спрямо страни от ЕС, така и спрямо трети държави. Излишъкът в търговията с услуги нарасна до 4,9 % от прогнозния БВП, воден от повишени постъпления от информационни и комуникационни, бизнес и транспортни услуги и по-ниски разходи за внос на застрахователни и пенсионни услуги. Подобрение бе наблюдавано при доходните статии – общият баланс от първичен и вторичен доход нарасна с 0,7 пр. п. до 2,6 % от прогнозния БВП. Динамиката бе продиктувана от по-слабото изплащане на инвестиционен доход към нерезиденти.</w:t>
      </w:r>
    </w:p>
    <w:p w:rsidR="00EE7273" w:rsidRPr="00EE7273" w:rsidRDefault="00EE7273" w:rsidP="003A420E">
      <w:pPr>
        <w:spacing w:after="120"/>
        <w:jc w:val="both"/>
        <w:rPr>
          <w:color w:val="4F81BD" w:themeColor="accent1"/>
          <w:lang w:val="en-US"/>
        </w:rPr>
      </w:pPr>
    </w:p>
    <w:p w:rsidR="00EE7273" w:rsidRPr="00475A00" w:rsidRDefault="00EE7273" w:rsidP="003F74EF">
      <w:pPr>
        <w:ind w:firstLine="708"/>
        <w:rPr>
          <w:b/>
          <w:u w:val="single"/>
          <w:lang w:val="en-US"/>
        </w:rPr>
      </w:pPr>
      <w:r w:rsidRPr="00475A00">
        <w:rPr>
          <w:b/>
          <w:u w:val="single"/>
        </w:rPr>
        <w:t>Основни акценти във връзка с текущото наблюдение на изпълнението на консолидираната фискална програма за деветмесечието на 201</w:t>
      </w:r>
      <w:r w:rsidR="00475A00">
        <w:rPr>
          <w:b/>
          <w:u w:val="single"/>
          <w:lang w:val="en-US"/>
        </w:rPr>
        <w:t>9</w:t>
      </w:r>
      <w:r w:rsidRPr="00475A00">
        <w:rPr>
          <w:b/>
          <w:u w:val="single"/>
        </w:rPr>
        <w:t xml:space="preserve"> г.</w:t>
      </w:r>
    </w:p>
    <w:p w:rsidR="00EE7273" w:rsidRPr="00EE7273" w:rsidRDefault="00EE7273" w:rsidP="00EE7273">
      <w:pPr>
        <w:ind w:firstLine="709"/>
        <w:jc w:val="center"/>
        <w:rPr>
          <w:b/>
          <w:color w:val="4F81BD" w:themeColor="accent1"/>
          <w:u w:val="single"/>
          <w:lang w:val="en-US"/>
        </w:rPr>
      </w:pPr>
    </w:p>
    <w:p w:rsidR="00961D25" w:rsidRPr="00961D25" w:rsidRDefault="00961D25" w:rsidP="00961D25">
      <w:pPr>
        <w:ind w:firstLine="708"/>
        <w:jc w:val="both"/>
        <w:rPr>
          <w:rFonts w:eastAsia="Batang"/>
          <w:bCs/>
          <w:color w:val="000000" w:themeColor="text1"/>
        </w:rPr>
      </w:pPr>
      <w:r w:rsidRPr="00961D25">
        <w:rPr>
          <w:rFonts w:eastAsia="Batang"/>
          <w:bCs/>
          <w:color w:val="000000" w:themeColor="text1"/>
        </w:rPr>
        <w:t>За поредна година параметрите по изпълнението на приходите отчитат подобрение спрямо същия период на предходната година, като постъпленията при някои от основните данъци и осигурителни вноски отчитат значителен номинален растеж. Основните фактори за това са</w:t>
      </w:r>
      <w:r w:rsidR="004D1AD3">
        <w:rPr>
          <w:rFonts w:eastAsia="Batang"/>
          <w:bCs/>
          <w:color w:val="000000" w:themeColor="text1"/>
        </w:rPr>
        <w:t>,</w:t>
      </w:r>
      <w:r w:rsidRPr="00961D25">
        <w:rPr>
          <w:rFonts w:eastAsia="Batang"/>
          <w:bCs/>
          <w:color w:val="000000" w:themeColor="text1"/>
        </w:rPr>
        <w:t xml:space="preserve"> от една страна, продължаващото подобрение при някои от важните макроикономически индикатори като вътрешното потребление, нетния износ, нивото на безработица и други, и от друга – на  изпълнението на мерките за повишаване събираемостта на приходите и борба със сивата икономика. Данъчните постъпления като цяло нарастват в номинално изражение с 2,1 млрд. лв. (8,8</w:t>
      </w:r>
      <w:r w:rsidR="00991AB2">
        <w:rPr>
          <w:rFonts w:eastAsia="Batang"/>
          <w:bCs/>
          <w:color w:val="000000" w:themeColor="text1"/>
          <w:lang w:val="en-US"/>
        </w:rPr>
        <w:t xml:space="preserve"> </w:t>
      </w:r>
      <w:r w:rsidRPr="00961D25">
        <w:rPr>
          <w:rFonts w:eastAsia="Batang"/>
          <w:bCs/>
          <w:color w:val="000000" w:themeColor="text1"/>
        </w:rPr>
        <w:t>%) спрямо септември 2018 г., като с най-голям принос са косвените данъци и приходите от осигурителни вноски. Съпоставено със същия период на предходната година</w:t>
      </w:r>
      <w:r w:rsidR="004D1AD3">
        <w:rPr>
          <w:rFonts w:eastAsia="Batang"/>
          <w:bCs/>
          <w:color w:val="000000" w:themeColor="text1"/>
        </w:rPr>
        <w:t>,</w:t>
      </w:r>
      <w:r w:rsidRPr="00961D25">
        <w:rPr>
          <w:rFonts w:eastAsia="Batang"/>
          <w:bCs/>
          <w:color w:val="000000" w:themeColor="text1"/>
        </w:rPr>
        <w:t xml:space="preserve"> ръст се отчита във всички данъчни групи, като преките данъци нарастват със 7,9</w:t>
      </w:r>
      <w:r w:rsidR="00991AB2">
        <w:rPr>
          <w:rFonts w:eastAsia="Batang"/>
          <w:bCs/>
          <w:color w:val="000000" w:themeColor="text1"/>
          <w:lang w:val="en-US"/>
        </w:rPr>
        <w:t xml:space="preserve"> </w:t>
      </w:r>
      <w:r w:rsidRPr="00961D25">
        <w:rPr>
          <w:rFonts w:eastAsia="Batang"/>
          <w:bCs/>
          <w:color w:val="000000" w:themeColor="text1"/>
        </w:rPr>
        <w:t>%, социално и здравноосигурителните вноски отчитат ръст от 11,6</w:t>
      </w:r>
      <w:r w:rsidR="00991AB2">
        <w:rPr>
          <w:rFonts w:eastAsia="Batang"/>
          <w:bCs/>
          <w:color w:val="000000" w:themeColor="text1"/>
          <w:lang w:val="en-US"/>
        </w:rPr>
        <w:t xml:space="preserve"> </w:t>
      </w:r>
      <w:r w:rsidRPr="00961D25">
        <w:rPr>
          <w:rFonts w:eastAsia="Batang"/>
          <w:bCs/>
          <w:color w:val="000000" w:themeColor="text1"/>
        </w:rPr>
        <w:t>%, косвените данъци нарастват със 7,8</w:t>
      </w:r>
      <w:r w:rsidR="00991AB2">
        <w:rPr>
          <w:rFonts w:eastAsia="Batang"/>
          <w:bCs/>
          <w:color w:val="000000" w:themeColor="text1"/>
          <w:lang w:val="en-US"/>
        </w:rPr>
        <w:t xml:space="preserve"> </w:t>
      </w:r>
      <w:r w:rsidRPr="00961D25">
        <w:rPr>
          <w:rFonts w:eastAsia="Batang"/>
          <w:bCs/>
          <w:color w:val="000000" w:themeColor="text1"/>
        </w:rPr>
        <w:t>%, а постъпленията от други данъци – с 4,6 процента. Неданъчните приходи са в размер на 5,0 млрд. лв., което представлява 74,8</w:t>
      </w:r>
      <w:r w:rsidR="00991AB2">
        <w:rPr>
          <w:rFonts w:eastAsia="Batang"/>
          <w:bCs/>
          <w:color w:val="000000" w:themeColor="text1"/>
          <w:lang w:val="en-US"/>
        </w:rPr>
        <w:t xml:space="preserve"> </w:t>
      </w:r>
      <w:r w:rsidRPr="00961D25">
        <w:rPr>
          <w:rFonts w:eastAsia="Batang"/>
          <w:bCs/>
          <w:color w:val="000000" w:themeColor="text1"/>
        </w:rPr>
        <w:t xml:space="preserve">% изпълнение на годишните разчети, а приходите от помощи и дарения са в размер на 1,7 млрд. лв., като нарастват значително (номинален ръст от 30,6 на сто) спрямо същия период на предходната година. Следва да се отбележи, че ръстът в приходите от помощи и дарения се дължи основно на ускоряване при усвояването на средствата по оперативните програми и фондовете на ЕС през настоящата година, което се отразява в по-високи разходи по сметките за средства от ЕС, и съответно по-високи по размер грантове от ЕК за възстановени сертифицирани разходи. </w:t>
      </w:r>
    </w:p>
    <w:p w:rsidR="00961D25" w:rsidRPr="00961D25" w:rsidRDefault="00961D25" w:rsidP="00961D25">
      <w:pPr>
        <w:ind w:firstLine="708"/>
        <w:jc w:val="both"/>
        <w:rPr>
          <w:rFonts w:eastAsia="Batang"/>
          <w:bCs/>
          <w:color w:val="000000" w:themeColor="text1"/>
        </w:rPr>
      </w:pPr>
      <w:r w:rsidRPr="00961D25">
        <w:rPr>
          <w:rFonts w:eastAsia="Batang"/>
          <w:bCs/>
          <w:color w:val="000000" w:themeColor="text1"/>
        </w:rPr>
        <w:t xml:space="preserve">Изготвените прогнози в годишен план не очертават напрежение при изпълнението на планираните данъчни приходи по националния бюджет. Предвижда се разчетите за 2019 г. при данъчните приходи да бъдат изпълнени, като може да се очаква известно превишение на плана за годината при постъпленията от социално и здравноосигурителни вноски, косвените данъци, ДДФЛ и др. Тук е важно да се отбележат и усилията на приходните администрации за повишаване събираемостта на приходите – активните мерки за изтласкване на светло на оборотите от сивия сектор на икономиката чрез засилен </w:t>
      </w:r>
      <w:r w:rsidRPr="00961D25">
        <w:rPr>
          <w:rFonts w:eastAsia="Batang"/>
          <w:bCs/>
          <w:color w:val="000000" w:themeColor="text1"/>
        </w:rPr>
        <w:lastRenderedPageBreak/>
        <w:t>фискален контрол, включително и контрол в реално време на фискалните устройства на търговците в страната, мерките за засилване на контрола при търговията с акцизни стоки, борбата с контрабандния внос, както и противодействието на опитите за данъчни нарушения и измами. Системното прилагане на тези мерки вече оказва дисциплиниращ ефект и натиск върху сивата икономика, което се потвърждава от отчетените за поредна година добри параметри по изпълнението на данъчните и осигурителни приходи.</w:t>
      </w:r>
    </w:p>
    <w:p w:rsidR="00961D25" w:rsidRPr="00961D25" w:rsidRDefault="00961D25" w:rsidP="00961D25">
      <w:pPr>
        <w:ind w:firstLine="708"/>
        <w:jc w:val="both"/>
        <w:rPr>
          <w:rFonts w:eastAsia="Batang"/>
          <w:bCs/>
          <w:color w:val="000000" w:themeColor="text1"/>
        </w:rPr>
      </w:pPr>
      <w:r w:rsidRPr="00961D25">
        <w:rPr>
          <w:rFonts w:eastAsia="Batang"/>
          <w:bCs/>
          <w:color w:val="000000" w:themeColor="text1"/>
        </w:rPr>
        <w:t>Параметрите по разходите се развиват съобразно разчетите</w:t>
      </w:r>
      <w:r w:rsidR="00093F6F" w:rsidRPr="00B32126">
        <w:rPr>
          <w:rStyle w:val="FootnoteReference"/>
          <w:rFonts w:eastAsia="Batang"/>
          <w:bCs/>
          <w:color w:val="000000" w:themeColor="text1"/>
        </w:rPr>
        <w:footnoteReference w:id="2"/>
      </w:r>
      <w:r w:rsidRPr="00961D25">
        <w:rPr>
          <w:rFonts w:eastAsia="Batang"/>
          <w:bCs/>
          <w:color w:val="000000" w:themeColor="text1"/>
        </w:rPr>
        <w:t xml:space="preserve"> към ЗДБРБ за 2019 г. Усвояването на разходите текущо през годината традиционно е неравномерно, като пикът на разходите е през четвъртото тримесечие. Това се дължи основно на изместване на голяма част от инвестиционните и капиталови разходи за последното тримесечие. Неравномерното усвояване на капиталовите разходи е обективно обусловено от календара на строителния сезон, като изпълнението на повечето инфраструктурни проекти се извършва през летните месеци и разплащането за извършената работа се концентрира в последното тримесечие. Това е и причината за отчетеното относително по-ниско текущо усвояване на планираните разходи по КФП, като към края на месец септември 2019 г. те представляват 68,1 на сто от плана за годината.</w:t>
      </w:r>
    </w:p>
    <w:p w:rsidR="00961D25" w:rsidRPr="00961D25" w:rsidRDefault="00961D25" w:rsidP="00961D25">
      <w:pPr>
        <w:ind w:firstLine="708"/>
        <w:jc w:val="both"/>
        <w:rPr>
          <w:rFonts w:eastAsia="Batang"/>
          <w:bCs/>
          <w:color w:val="000000" w:themeColor="text1"/>
        </w:rPr>
      </w:pPr>
      <w:r w:rsidRPr="00961D25">
        <w:rPr>
          <w:rFonts w:eastAsia="Batang"/>
          <w:bCs/>
          <w:color w:val="000000" w:themeColor="text1"/>
        </w:rPr>
        <w:t>Съпоставени със същия период на предходната година</w:t>
      </w:r>
      <w:r w:rsidR="004D1AD3">
        <w:rPr>
          <w:rFonts w:eastAsia="Batang"/>
          <w:bCs/>
          <w:color w:val="000000" w:themeColor="text1"/>
        </w:rPr>
        <w:t>,</w:t>
      </w:r>
      <w:r w:rsidRPr="00961D25">
        <w:rPr>
          <w:rFonts w:eastAsia="Batang"/>
          <w:bCs/>
          <w:color w:val="000000" w:themeColor="text1"/>
        </w:rPr>
        <w:t xml:space="preserve"> разходите по КФП нарастват номинално с 19,0 на сто, което се дължи както на ръст на разходите по националния бюджет, така и на тези по сметките за средства от ЕС. Ръстът на разходите по националния бюджет се дължи основно на по-високия размер на капиталовите разходи, здравноосигурителните и социалните плащания, по-високите разходи за персонал и др., докато по сметките за средства от ЕС нарастват основно капиталовите разходи. По националния бюджет най-съществен ръст спрямо предходната година се отчита в частта на капиталовите разходи, където са отчетени разходите в изпълнение на ангажиментите на Република България по ратифицираните от Народното събрание международните договори за закупуване на самолети F-16 Block 70, въоръжение и свързаните с него системи за дългосрочна експлоатация и поддръжка, както и цялостна подготовка на пилоти и помощен персонал. През месец август беше п</w:t>
      </w:r>
      <w:r w:rsidR="003B3951">
        <w:rPr>
          <w:rFonts w:eastAsia="Batang"/>
          <w:bCs/>
          <w:color w:val="000000" w:themeColor="text1"/>
        </w:rPr>
        <w:t>ревед</w:t>
      </w:r>
      <w:r w:rsidR="004D1AD3">
        <w:rPr>
          <w:rFonts w:eastAsia="Batang"/>
          <w:bCs/>
          <w:color w:val="000000" w:themeColor="text1"/>
        </w:rPr>
        <w:t>е</w:t>
      </w:r>
      <w:r w:rsidR="003B3951">
        <w:rPr>
          <w:rFonts w:eastAsia="Batang"/>
          <w:bCs/>
          <w:color w:val="000000" w:themeColor="text1"/>
        </w:rPr>
        <w:t>на</w:t>
      </w:r>
      <w:r w:rsidRPr="00961D25">
        <w:rPr>
          <w:rFonts w:eastAsia="Batang"/>
          <w:bCs/>
          <w:color w:val="000000" w:themeColor="text1"/>
        </w:rPr>
        <w:t xml:space="preserve"> сумата в размер на 1,2 млрд. щатски долара по </w:t>
      </w:r>
      <w:r w:rsidRPr="00961D25">
        <w:rPr>
          <w:rFonts w:eastAsia="Batang"/>
          <w:bCs/>
          <w:color w:val="000000" w:themeColor="text1"/>
        </w:rPr>
        <w:lastRenderedPageBreak/>
        <w:t xml:space="preserve">сметка на правителството на САЩ, с което българската страна изпълни ангажимента си по договорите, сключени по проекта за инвестиционен разход „Придобиване на нов тип боен самолет“ за Военновъздушните сили на Република България и започна тяхното практическо изпълнение. При разходите за персонал се наблюдава нарастване основно във връзка с реализираното от началото на 2019 г. увеличение на заплатите, възнагражденията и средствата за осигурителни вноски на заетите в бюджетния сектор, както и с изпълнението на приоритета от Програмата за управление на Правителството на Република България за периода 2017-2021 г. за поетапно увеличение на възнагражденията на педагогическия персонал в системата на средното образование. При социалните и здравноосигурителните разходи най-голям ръст спрямо предходната година се отчита при разходите за пенсии, поради базов ефект от увеличението им от юли 2018 г. и 2019 г., а причината за по-високите здравноосигурителни плащания са утвърдените със ЗБНЗОК за 2019 г. по-високи разходи по бюджета на НЗОК. Положително е, че започналото през предходната година активизиране при усвояването на европейските средства продължава и през 2019 г. </w:t>
      </w:r>
    </w:p>
    <w:p w:rsidR="00961D25" w:rsidRPr="00961D25" w:rsidRDefault="00961D25" w:rsidP="00961D25">
      <w:pPr>
        <w:ind w:firstLine="708"/>
        <w:jc w:val="both"/>
        <w:rPr>
          <w:rFonts w:eastAsia="Batang"/>
          <w:bCs/>
          <w:color w:val="000000" w:themeColor="text1"/>
        </w:rPr>
      </w:pPr>
      <w:r w:rsidRPr="00961D25">
        <w:rPr>
          <w:rFonts w:eastAsia="Batang"/>
          <w:bCs/>
          <w:color w:val="000000" w:themeColor="text1"/>
        </w:rPr>
        <w:t xml:space="preserve">Вследствие на отчетените добри параметри по изпълнението на приходите и традиционно по-ниското усвояване на разходите, бюджетното салдо по консолидираната фискална програма към 30.09.2019 г. е положително в размер на 1 264,5 млн. лв. (1,1% от прогнозния БВП) и се формира от превишение на приходите над разходите по националния бюджет в размер на 1 205,7 млн. лв. и по европейските средства - в размер на 58,8 млн. лв. </w:t>
      </w:r>
    </w:p>
    <w:p w:rsidR="00961D25" w:rsidRPr="00961D25" w:rsidRDefault="00961D25" w:rsidP="00961D25">
      <w:pPr>
        <w:ind w:firstLine="708"/>
        <w:jc w:val="both"/>
        <w:rPr>
          <w:rFonts w:eastAsia="Batang"/>
          <w:bCs/>
          <w:color w:val="000000" w:themeColor="text1"/>
        </w:rPr>
      </w:pPr>
      <w:r w:rsidRPr="00961D25">
        <w:rPr>
          <w:rFonts w:eastAsia="Batang"/>
          <w:bCs/>
          <w:color w:val="000000" w:themeColor="text1"/>
        </w:rPr>
        <w:t>На база на изложеното може да се обобщи, че развитието на параметрите по приходите и разходите към септември очертават в годишен план бюджетното салдо по консолидираната фискална програма да бъде близко до заложената цел в разчетите към ревизираната оценка за 2019 г., като дефицитът за годината няма да надвиши 2,0 на сто от прогнозния БВП. На база на изготвените оценки салдото на сектор „Държавно управление“ за 2019 г. се очаква да бъде близко до балансирано. В средносрочен хоризонт се предвижда България да продължи да следва благоразумна фискална политика, насочена към поддържане на близко до балансирано бюджетно салдо, засилване устойчивостта на българската икономика и неутрализиране в максимална степен на потенциалните рискове от вътрешните и външните дисбаланси.</w:t>
      </w:r>
    </w:p>
    <w:p w:rsidR="003A420E" w:rsidRPr="00B93FD2" w:rsidRDefault="003A420E" w:rsidP="003A420E">
      <w:pPr>
        <w:spacing w:after="120"/>
        <w:jc w:val="both"/>
        <w:rPr>
          <w:color w:val="4F81BD" w:themeColor="accent1"/>
          <w:sz w:val="12"/>
          <w:szCs w:val="12"/>
          <w:lang w:val="en-US"/>
        </w:rPr>
      </w:pPr>
    </w:p>
    <w:p w:rsidR="00007F94" w:rsidRPr="00B93FD2" w:rsidRDefault="00007F94" w:rsidP="00216C9A">
      <w:pPr>
        <w:ind w:firstLine="709"/>
        <w:jc w:val="both"/>
        <w:rPr>
          <w:b/>
          <w:color w:val="4F81BD" w:themeColor="accent1"/>
          <w:u w:val="single"/>
          <w:lang w:val="en-US"/>
        </w:rPr>
      </w:pPr>
    </w:p>
    <w:p w:rsidR="00774DE7" w:rsidRPr="00B93FD2" w:rsidRDefault="00774DE7">
      <w:pPr>
        <w:rPr>
          <w:color w:val="4F81BD" w:themeColor="accent1"/>
          <w:highlight w:val="yellow"/>
        </w:rPr>
      </w:pPr>
      <w:r w:rsidRPr="00B93FD2">
        <w:rPr>
          <w:color w:val="4F81BD" w:themeColor="accent1"/>
          <w:highlight w:val="yellow"/>
        </w:rPr>
        <w:br w:type="page"/>
      </w:r>
    </w:p>
    <w:p w:rsidR="00E74802" w:rsidRPr="00C76F0B" w:rsidRDefault="00E74802" w:rsidP="00C55A10">
      <w:pPr>
        <w:pStyle w:val="Heading1"/>
        <w:numPr>
          <w:ilvl w:val="0"/>
          <w:numId w:val="10"/>
        </w:numPr>
        <w:ind w:right="-108"/>
        <w:jc w:val="both"/>
        <w:rPr>
          <w:sz w:val="24"/>
        </w:rPr>
      </w:pPr>
      <w:r w:rsidRPr="00C76F0B">
        <w:rPr>
          <w:sz w:val="24"/>
        </w:rPr>
        <w:lastRenderedPageBreak/>
        <w:t>Основни показатели по консолидираната фискална програма</w:t>
      </w:r>
      <w:r w:rsidRPr="00C76F0B">
        <w:rPr>
          <w:rStyle w:val="FootnoteReference"/>
          <w:sz w:val="24"/>
        </w:rPr>
        <w:footnoteReference w:id="3"/>
      </w:r>
      <w:r w:rsidRPr="00C76F0B">
        <w:rPr>
          <w:sz w:val="24"/>
        </w:rPr>
        <w:t xml:space="preserve"> за </w:t>
      </w:r>
      <w:r w:rsidR="00C76F0B" w:rsidRPr="00C76F0B">
        <w:rPr>
          <w:sz w:val="24"/>
        </w:rPr>
        <w:t xml:space="preserve">деветмесечието </w:t>
      </w:r>
      <w:r w:rsidRPr="00C76F0B">
        <w:rPr>
          <w:sz w:val="24"/>
        </w:rPr>
        <w:t>на 201</w:t>
      </w:r>
      <w:r w:rsidR="009F532D" w:rsidRPr="00C76F0B">
        <w:rPr>
          <w:sz w:val="24"/>
          <w:lang w:val="en-US"/>
        </w:rPr>
        <w:t>9</w:t>
      </w:r>
      <w:r w:rsidRPr="00C76F0B">
        <w:rPr>
          <w:sz w:val="24"/>
        </w:rPr>
        <w:t> г.</w:t>
      </w:r>
    </w:p>
    <w:p w:rsidR="00430A35" w:rsidRPr="00B93FD2" w:rsidRDefault="00430A35" w:rsidP="00430A35">
      <w:pPr>
        <w:rPr>
          <w:color w:val="4F81BD" w:themeColor="accent1"/>
          <w:sz w:val="6"/>
          <w:szCs w:val="12"/>
        </w:rPr>
      </w:pPr>
    </w:p>
    <w:p w:rsidR="00987CE4" w:rsidRPr="001301B6" w:rsidRDefault="00987CE4" w:rsidP="00AF205D">
      <w:pPr>
        <w:ind w:firstLine="360"/>
        <w:jc w:val="both"/>
      </w:pPr>
      <w:r w:rsidRPr="001301B6">
        <w:t xml:space="preserve">Изпълнението на основните показатели по консолидираната фискална програма за </w:t>
      </w:r>
      <w:r w:rsidR="00BF5936" w:rsidRPr="001301B6">
        <w:t xml:space="preserve">деветмесечието </w:t>
      </w:r>
      <w:r w:rsidRPr="001301B6">
        <w:t>на 201</w:t>
      </w:r>
      <w:r w:rsidR="00580CD8" w:rsidRPr="001301B6">
        <w:rPr>
          <w:lang w:val="en-US"/>
        </w:rPr>
        <w:t>9</w:t>
      </w:r>
      <w:r w:rsidRPr="001301B6">
        <w:t xml:space="preserve"> г. е представено </w:t>
      </w:r>
      <w:r w:rsidR="005B2B3E" w:rsidRPr="001301B6">
        <w:t>в</w:t>
      </w:r>
      <w:r w:rsidRPr="001301B6">
        <w:t xml:space="preserve"> следната таблица:</w:t>
      </w:r>
    </w:p>
    <w:p w:rsidR="00987CE4" w:rsidRPr="00B93FD2" w:rsidRDefault="00987CE4" w:rsidP="00987CE4">
      <w:pPr>
        <w:jc w:val="both"/>
        <w:rPr>
          <w:color w:val="4F81BD" w:themeColor="accent1"/>
          <w:sz w:val="4"/>
          <w:szCs w:val="4"/>
        </w:rPr>
      </w:pPr>
    </w:p>
    <w:p w:rsidR="00987CE4" w:rsidRPr="00E75AAC" w:rsidRDefault="00987CE4" w:rsidP="00987CE4">
      <w:pPr>
        <w:rPr>
          <w:b/>
          <w:i/>
          <w:sz w:val="18"/>
          <w:szCs w:val="18"/>
        </w:rPr>
      </w:pPr>
      <w:r w:rsidRPr="00E75AAC">
        <w:rPr>
          <w:b/>
          <w:i/>
          <w:sz w:val="22"/>
          <w:szCs w:val="22"/>
        </w:rPr>
        <w:t>Таблица</w:t>
      </w:r>
      <w:r w:rsidR="00E74802" w:rsidRPr="00E75AAC">
        <w:rPr>
          <w:b/>
          <w:i/>
          <w:sz w:val="22"/>
          <w:szCs w:val="22"/>
          <w:vertAlign w:val="superscript"/>
        </w:rPr>
        <w:footnoteReference w:id="4"/>
      </w:r>
      <w:r w:rsidRPr="00E75AAC">
        <w:rPr>
          <w:b/>
          <w:i/>
          <w:sz w:val="22"/>
          <w:szCs w:val="22"/>
        </w:rPr>
        <w:t xml:space="preserve"> №1</w:t>
      </w:r>
      <w:r w:rsidRPr="00E75AAC">
        <w:rPr>
          <w:b/>
          <w:i/>
          <w:sz w:val="22"/>
          <w:szCs w:val="22"/>
        </w:rPr>
        <w:tab/>
      </w:r>
      <w:r w:rsidRPr="00E75AAC">
        <w:rPr>
          <w:b/>
          <w:i/>
          <w:sz w:val="22"/>
          <w:szCs w:val="22"/>
        </w:rPr>
        <w:tab/>
      </w:r>
      <w:r w:rsidRPr="00E75AAC">
        <w:rPr>
          <w:b/>
          <w:i/>
          <w:sz w:val="22"/>
          <w:szCs w:val="22"/>
        </w:rPr>
        <w:tab/>
      </w:r>
      <w:r w:rsidRPr="00E75AAC">
        <w:rPr>
          <w:b/>
          <w:i/>
          <w:sz w:val="22"/>
          <w:szCs w:val="22"/>
        </w:rPr>
        <w:tab/>
      </w:r>
      <w:r w:rsidRPr="00E75AAC">
        <w:rPr>
          <w:b/>
          <w:i/>
          <w:sz w:val="22"/>
          <w:szCs w:val="22"/>
        </w:rPr>
        <w:tab/>
      </w:r>
      <w:r w:rsidRPr="00E75AAC">
        <w:rPr>
          <w:b/>
          <w:i/>
          <w:sz w:val="22"/>
          <w:szCs w:val="22"/>
        </w:rPr>
        <w:tab/>
      </w:r>
      <w:r w:rsidRPr="00E75AAC">
        <w:rPr>
          <w:b/>
          <w:i/>
          <w:sz w:val="22"/>
          <w:szCs w:val="22"/>
        </w:rPr>
        <w:tab/>
      </w:r>
      <w:r w:rsidRPr="00E75AAC">
        <w:rPr>
          <w:b/>
          <w:i/>
          <w:sz w:val="22"/>
          <w:szCs w:val="22"/>
        </w:rPr>
        <w:tab/>
      </w:r>
      <w:r w:rsidRPr="00E75AAC">
        <w:rPr>
          <w:b/>
          <w:i/>
          <w:sz w:val="22"/>
          <w:szCs w:val="22"/>
        </w:rPr>
        <w:tab/>
      </w:r>
      <w:r w:rsidRPr="00E75AAC">
        <w:rPr>
          <w:b/>
          <w:i/>
          <w:sz w:val="22"/>
          <w:szCs w:val="22"/>
        </w:rPr>
        <w:tab/>
      </w:r>
      <w:r w:rsidRPr="00E75AAC">
        <w:rPr>
          <w:b/>
          <w:i/>
          <w:sz w:val="22"/>
          <w:szCs w:val="22"/>
        </w:rPr>
        <w:tab/>
      </w:r>
      <w:r w:rsidRPr="00E75AAC">
        <w:rPr>
          <w:b/>
          <w:i/>
          <w:sz w:val="18"/>
          <w:szCs w:val="18"/>
        </w:rPr>
        <w:t>(млн. лв.)</w:t>
      </w:r>
    </w:p>
    <w:tbl>
      <w:tblPr>
        <w:tblW w:w="10093" w:type="dxa"/>
        <w:tblInd w:w="98" w:type="dxa"/>
        <w:tblLook w:val="04A0" w:firstRow="1" w:lastRow="0" w:firstColumn="1" w:lastColumn="0" w:noHBand="0" w:noVBand="1"/>
      </w:tblPr>
      <w:tblGrid>
        <w:gridCol w:w="4263"/>
        <w:gridCol w:w="992"/>
        <w:gridCol w:w="1087"/>
        <w:gridCol w:w="1252"/>
        <w:gridCol w:w="1199"/>
        <w:gridCol w:w="1300"/>
      </w:tblGrid>
      <w:tr w:rsidR="00B93FD2" w:rsidRPr="00B93FD2" w:rsidTr="00F52838">
        <w:trPr>
          <w:trHeight w:val="270"/>
        </w:trPr>
        <w:tc>
          <w:tcPr>
            <w:tcW w:w="4263"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rsidR="00500DD6" w:rsidRPr="004F2000" w:rsidRDefault="00500DD6">
            <w:pPr>
              <w:jc w:val="center"/>
              <w:rPr>
                <w:b/>
                <w:bCs/>
                <w:sz w:val="18"/>
                <w:szCs w:val="18"/>
              </w:rPr>
            </w:pPr>
            <w:r w:rsidRPr="004F2000">
              <w:rPr>
                <w:b/>
                <w:bCs/>
                <w:sz w:val="18"/>
                <w:szCs w:val="18"/>
              </w:rPr>
              <w:t>ПОКАЗАТЕЛ</w:t>
            </w:r>
          </w:p>
        </w:tc>
        <w:tc>
          <w:tcPr>
            <w:tcW w:w="992" w:type="dxa"/>
            <w:tcBorders>
              <w:top w:val="single" w:sz="8" w:space="0" w:color="auto"/>
              <w:left w:val="single" w:sz="4" w:space="0" w:color="auto"/>
              <w:bottom w:val="nil"/>
              <w:right w:val="single" w:sz="4" w:space="0" w:color="auto"/>
            </w:tcBorders>
            <w:shd w:val="clear" w:color="000000" w:fill="D9D9D9"/>
            <w:noWrap/>
            <w:vAlign w:val="bottom"/>
            <w:hideMark/>
          </w:tcPr>
          <w:p w:rsidR="00500DD6" w:rsidRPr="00525257" w:rsidRDefault="00500DD6" w:rsidP="00E804A3">
            <w:pPr>
              <w:jc w:val="center"/>
              <w:rPr>
                <w:b/>
                <w:bCs/>
                <w:sz w:val="18"/>
                <w:szCs w:val="18"/>
              </w:rPr>
            </w:pPr>
            <w:r w:rsidRPr="00525257">
              <w:rPr>
                <w:b/>
                <w:bCs/>
                <w:sz w:val="18"/>
                <w:szCs w:val="18"/>
              </w:rPr>
              <w:t>Разчет 201</w:t>
            </w:r>
            <w:r w:rsidR="00F45BD4" w:rsidRPr="00525257">
              <w:rPr>
                <w:b/>
                <w:bCs/>
                <w:sz w:val="18"/>
                <w:szCs w:val="18"/>
              </w:rPr>
              <w:t>9</w:t>
            </w:r>
            <w:r w:rsidRPr="00525257">
              <w:rPr>
                <w:b/>
                <w:bCs/>
                <w:sz w:val="18"/>
                <w:szCs w:val="18"/>
              </w:rPr>
              <w:t xml:space="preserve"> г.</w:t>
            </w:r>
            <w:r w:rsidR="001301B6" w:rsidRPr="00525257">
              <w:rPr>
                <w:rStyle w:val="FootnoteReference"/>
                <w:b/>
                <w:bCs/>
                <w:sz w:val="18"/>
                <w:szCs w:val="18"/>
              </w:rPr>
              <w:footnoteReference w:id="5"/>
            </w:r>
          </w:p>
        </w:tc>
        <w:tc>
          <w:tcPr>
            <w:tcW w:w="3538" w:type="dxa"/>
            <w:gridSpan w:val="3"/>
            <w:tcBorders>
              <w:top w:val="single" w:sz="8" w:space="0" w:color="auto"/>
              <w:left w:val="nil"/>
              <w:bottom w:val="single" w:sz="4" w:space="0" w:color="auto"/>
              <w:right w:val="single" w:sz="4" w:space="0" w:color="auto"/>
            </w:tcBorders>
            <w:shd w:val="clear" w:color="000000" w:fill="D9D9D9"/>
            <w:noWrap/>
            <w:vAlign w:val="center"/>
            <w:hideMark/>
          </w:tcPr>
          <w:p w:rsidR="00500DD6" w:rsidRPr="004F2000" w:rsidRDefault="00500DD6" w:rsidP="009A044E">
            <w:pPr>
              <w:jc w:val="center"/>
              <w:rPr>
                <w:b/>
                <w:bCs/>
                <w:sz w:val="18"/>
                <w:szCs w:val="18"/>
              </w:rPr>
            </w:pPr>
            <w:r w:rsidRPr="004F2000">
              <w:rPr>
                <w:b/>
                <w:bCs/>
                <w:sz w:val="18"/>
                <w:szCs w:val="18"/>
              </w:rPr>
              <w:t xml:space="preserve">Отчет към </w:t>
            </w:r>
            <w:r w:rsidR="003153BB" w:rsidRPr="004F2000">
              <w:rPr>
                <w:b/>
                <w:bCs/>
                <w:sz w:val="18"/>
                <w:szCs w:val="18"/>
              </w:rPr>
              <w:t>30</w:t>
            </w:r>
            <w:r w:rsidRPr="004F2000">
              <w:rPr>
                <w:b/>
                <w:bCs/>
                <w:sz w:val="18"/>
                <w:szCs w:val="18"/>
              </w:rPr>
              <w:t>.</w:t>
            </w:r>
            <w:r w:rsidR="009A044E" w:rsidRPr="004F2000">
              <w:rPr>
                <w:b/>
                <w:bCs/>
                <w:sz w:val="18"/>
                <w:szCs w:val="18"/>
                <w:lang w:val="en-US"/>
              </w:rPr>
              <w:t>09</w:t>
            </w:r>
            <w:r w:rsidRPr="004F2000">
              <w:rPr>
                <w:b/>
                <w:bCs/>
                <w:sz w:val="18"/>
                <w:szCs w:val="18"/>
              </w:rPr>
              <w:t>.201</w:t>
            </w:r>
            <w:r w:rsidR="00F45BD4" w:rsidRPr="004F2000">
              <w:rPr>
                <w:b/>
                <w:bCs/>
                <w:sz w:val="18"/>
                <w:szCs w:val="18"/>
              </w:rPr>
              <w:t>9</w:t>
            </w:r>
            <w:r w:rsidRPr="004F2000">
              <w:rPr>
                <w:b/>
                <w:bCs/>
                <w:sz w:val="18"/>
                <w:szCs w:val="18"/>
              </w:rPr>
              <w:t xml:space="preserve"> г.</w:t>
            </w:r>
          </w:p>
        </w:tc>
        <w:tc>
          <w:tcPr>
            <w:tcW w:w="1300" w:type="dxa"/>
            <w:tcBorders>
              <w:top w:val="single" w:sz="8" w:space="0" w:color="auto"/>
              <w:left w:val="nil"/>
              <w:bottom w:val="nil"/>
              <w:right w:val="single" w:sz="8" w:space="0" w:color="auto"/>
            </w:tcBorders>
            <w:shd w:val="clear" w:color="000000" w:fill="D9D9D9"/>
            <w:noWrap/>
            <w:vAlign w:val="bottom"/>
            <w:hideMark/>
          </w:tcPr>
          <w:p w:rsidR="00500DD6" w:rsidRPr="004F2000" w:rsidRDefault="00500DD6">
            <w:pPr>
              <w:jc w:val="center"/>
              <w:rPr>
                <w:b/>
                <w:bCs/>
                <w:sz w:val="18"/>
                <w:szCs w:val="18"/>
              </w:rPr>
            </w:pPr>
            <w:r w:rsidRPr="004F2000">
              <w:rPr>
                <w:b/>
                <w:bCs/>
                <w:sz w:val="18"/>
                <w:szCs w:val="18"/>
              </w:rPr>
              <w:t>Изпълнение</w:t>
            </w:r>
          </w:p>
        </w:tc>
      </w:tr>
      <w:tr w:rsidR="00B93FD2" w:rsidRPr="00B93FD2" w:rsidTr="00F52838">
        <w:trPr>
          <w:trHeight w:val="255"/>
        </w:trPr>
        <w:tc>
          <w:tcPr>
            <w:tcW w:w="4263" w:type="dxa"/>
            <w:vMerge/>
            <w:tcBorders>
              <w:top w:val="single" w:sz="8" w:space="0" w:color="auto"/>
              <w:left w:val="single" w:sz="8" w:space="0" w:color="auto"/>
              <w:bottom w:val="single" w:sz="4" w:space="0" w:color="000000"/>
              <w:right w:val="nil"/>
            </w:tcBorders>
            <w:vAlign w:val="center"/>
            <w:hideMark/>
          </w:tcPr>
          <w:p w:rsidR="00500DD6" w:rsidRPr="004F2000" w:rsidRDefault="00500DD6">
            <w:pPr>
              <w:rPr>
                <w:b/>
                <w:bCs/>
                <w:sz w:val="18"/>
                <w:szCs w:val="18"/>
              </w:rPr>
            </w:pP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rsidR="00500DD6" w:rsidRPr="00525257" w:rsidRDefault="00500DD6">
            <w:pPr>
              <w:jc w:val="center"/>
              <w:rPr>
                <w:b/>
                <w:bCs/>
                <w:sz w:val="18"/>
                <w:szCs w:val="18"/>
              </w:rPr>
            </w:pPr>
            <w:r w:rsidRPr="00525257">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rsidR="00500DD6" w:rsidRPr="004F2000" w:rsidRDefault="00500DD6">
            <w:pPr>
              <w:jc w:val="center"/>
              <w:rPr>
                <w:b/>
                <w:bCs/>
                <w:sz w:val="18"/>
                <w:szCs w:val="18"/>
              </w:rPr>
            </w:pPr>
            <w:r w:rsidRPr="004F2000">
              <w:rPr>
                <w:b/>
                <w:bCs/>
                <w:sz w:val="18"/>
                <w:szCs w:val="18"/>
              </w:rPr>
              <w:t xml:space="preserve"> КФП</w:t>
            </w:r>
          </w:p>
        </w:tc>
        <w:tc>
          <w:tcPr>
            <w:tcW w:w="1252" w:type="dxa"/>
            <w:tcBorders>
              <w:top w:val="nil"/>
              <w:left w:val="nil"/>
              <w:bottom w:val="single" w:sz="4" w:space="0" w:color="auto"/>
              <w:right w:val="single" w:sz="4" w:space="0" w:color="auto"/>
            </w:tcBorders>
            <w:shd w:val="clear" w:color="000000" w:fill="D9D9D9"/>
            <w:noWrap/>
            <w:vAlign w:val="bottom"/>
            <w:hideMark/>
          </w:tcPr>
          <w:p w:rsidR="00500DD6" w:rsidRPr="004F2000" w:rsidRDefault="00500DD6">
            <w:pPr>
              <w:jc w:val="center"/>
              <w:rPr>
                <w:b/>
                <w:bCs/>
                <w:sz w:val="18"/>
                <w:szCs w:val="18"/>
              </w:rPr>
            </w:pPr>
            <w:r w:rsidRPr="004F2000">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rsidR="00500DD6" w:rsidRPr="004F2000" w:rsidRDefault="00500DD6">
            <w:pPr>
              <w:jc w:val="center"/>
              <w:rPr>
                <w:b/>
                <w:bCs/>
                <w:sz w:val="18"/>
                <w:szCs w:val="18"/>
              </w:rPr>
            </w:pPr>
            <w:r w:rsidRPr="004F2000">
              <w:rPr>
                <w:b/>
                <w:bCs/>
                <w:sz w:val="18"/>
                <w:szCs w:val="18"/>
              </w:rPr>
              <w:t>Европейски средства</w:t>
            </w:r>
          </w:p>
        </w:tc>
        <w:tc>
          <w:tcPr>
            <w:tcW w:w="1300" w:type="dxa"/>
            <w:tcBorders>
              <w:top w:val="nil"/>
              <w:left w:val="nil"/>
              <w:bottom w:val="single" w:sz="4" w:space="0" w:color="auto"/>
              <w:right w:val="single" w:sz="8" w:space="0" w:color="auto"/>
            </w:tcBorders>
            <w:shd w:val="clear" w:color="000000" w:fill="D9D9D9"/>
            <w:noWrap/>
            <w:vAlign w:val="bottom"/>
            <w:hideMark/>
          </w:tcPr>
          <w:p w:rsidR="00500DD6" w:rsidRPr="004F2000" w:rsidRDefault="00500DD6">
            <w:pPr>
              <w:jc w:val="center"/>
              <w:rPr>
                <w:b/>
                <w:bCs/>
                <w:sz w:val="18"/>
                <w:szCs w:val="18"/>
              </w:rPr>
            </w:pPr>
            <w:r w:rsidRPr="004F2000">
              <w:rPr>
                <w:b/>
                <w:bCs/>
                <w:sz w:val="18"/>
                <w:szCs w:val="18"/>
              </w:rPr>
              <w:t>спрямо разчет</w:t>
            </w:r>
          </w:p>
        </w:tc>
      </w:tr>
      <w:tr w:rsidR="00B93FD2" w:rsidRPr="00B93FD2" w:rsidTr="00F52838">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500DD6" w:rsidRPr="004F2000" w:rsidRDefault="00500DD6">
            <w:pPr>
              <w:jc w:val="center"/>
              <w:rPr>
                <w:sz w:val="18"/>
                <w:szCs w:val="18"/>
              </w:rPr>
            </w:pPr>
            <w:r w:rsidRPr="004F2000">
              <w:rPr>
                <w:sz w:val="18"/>
                <w:szCs w:val="18"/>
              </w:rPr>
              <w:t>к.1</w:t>
            </w:r>
          </w:p>
        </w:tc>
        <w:tc>
          <w:tcPr>
            <w:tcW w:w="992" w:type="dxa"/>
            <w:tcBorders>
              <w:top w:val="nil"/>
              <w:left w:val="single" w:sz="4" w:space="0" w:color="auto"/>
              <w:bottom w:val="single" w:sz="8" w:space="0" w:color="auto"/>
              <w:right w:val="single" w:sz="4" w:space="0" w:color="auto"/>
            </w:tcBorders>
            <w:shd w:val="clear" w:color="000000" w:fill="D9D9D9"/>
            <w:noWrap/>
            <w:vAlign w:val="bottom"/>
            <w:hideMark/>
          </w:tcPr>
          <w:p w:rsidR="00500DD6" w:rsidRPr="004F2000" w:rsidRDefault="00500DD6">
            <w:pPr>
              <w:jc w:val="center"/>
              <w:rPr>
                <w:sz w:val="18"/>
                <w:szCs w:val="18"/>
              </w:rPr>
            </w:pPr>
            <w:r w:rsidRPr="004F2000">
              <w:rPr>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rsidR="00500DD6" w:rsidRPr="004F2000" w:rsidRDefault="00500DD6">
            <w:pPr>
              <w:jc w:val="center"/>
              <w:rPr>
                <w:sz w:val="18"/>
                <w:szCs w:val="18"/>
              </w:rPr>
            </w:pPr>
            <w:r w:rsidRPr="004F2000">
              <w:rPr>
                <w:sz w:val="18"/>
                <w:szCs w:val="18"/>
              </w:rPr>
              <w:t>к.3=к.4+к.5</w:t>
            </w:r>
          </w:p>
        </w:tc>
        <w:tc>
          <w:tcPr>
            <w:tcW w:w="1252" w:type="dxa"/>
            <w:tcBorders>
              <w:top w:val="nil"/>
              <w:left w:val="nil"/>
              <w:bottom w:val="single" w:sz="8" w:space="0" w:color="auto"/>
              <w:right w:val="single" w:sz="4" w:space="0" w:color="auto"/>
            </w:tcBorders>
            <w:shd w:val="clear" w:color="000000" w:fill="D9D9D9"/>
            <w:noWrap/>
            <w:vAlign w:val="bottom"/>
            <w:hideMark/>
          </w:tcPr>
          <w:p w:rsidR="00500DD6" w:rsidRPr="004F2000" w:rsidRDefault="00500DD6">
            <w:pPr>
              <w:jc w:val="center"/>
              <w:rPr>
                <w:sz w:val="18"/>
                <w:szCs w:val="18"/>
              </w:rPr>
            </w:pPr>
            <w:r w:rsidRPr="004F2000">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rsidR="00500DD6" w:rsidRPr="004F2000" w:rsidRDefault="00500DD6">
            <w:pPr>
              <w:jc w:val="center"/>
              <w:rPr>
                <w:sz w:val="18"/>
                <w:szCs w:val="18"/>
              </w:rPr>
            </w:pPr>
            <w:r w:rsidRPr="004F2000">
              <w:rPr>
                <w:sz w:val="18"/>
                <w:szCs w:val="18"/>
              </w:rPr>
              <w:t>к.5</w:t>
            </w:r>
          </w:p>
        </w:tc>
        <w:tc>
          <w:tcPr>
            <w:tcW w:w="1300" w:type="dxa"/>
            <w:tcBorders>
              <w:top w:val="nil"/>
              <w:left w:val="nil"/>
              <w:bottom w:val="single" w:sz="8" w:space="0" w:color="auto"/>
              <w:right w:val="single" w:sz="8" w:space="0" w:color="auto"/>
            </w:tcBorders>
            <w:shd w:val="clear" w:color="000000" w:fill="D9D9D9"/>
            <w:noWrap/>
            <w:vAlign w:val="bottom"/>
            <w:hideMark/>
          </w:tcPr>
          <w:p w:rsidR="00500DD6" w:rsidRPr="004F2000" w:rsidRDefault="00500DD6">
            <w:pPr>
              <w:jc w:val="center"/>
              <w:rPr>
                <w:sz w:val="18"/>
                <w:szCs w:val="18"/>
              </w:rPr>
            </w:pPr>
            <w:r w:rsidRPr="004F2000">
              <w:rPr>
                <w:sz w:val="18"/>
                <w:szCs w:val="18"/>
              </w:rPr>
              <w:t>к.6=к.3:к.2</w:t>
            </w:r>
          </w:p>
        </w:tc>
      </w:tr>
      <w:tr w:rsidR="003174F8" w:rsidRPr="00B93FD2" w:rsidTr="00F52838">
        <w:trPr>
          <w:trHeight w:val="255"/>
        </w:trPr>
        <w:tc>
          <w:tcPr>
            <w:tcW w:w="4263" w:type="dxa"/>
            <w:tcBorders>
              <w:top w:val="nil"/>
              <w:left w:val="single" w:sz="8" w:space="0" w:color="auto"/>
              <w:bottom w:val="nil"/>
              <w:right w:val="nil"/>
            </w:tcBorders>
            <w:shd w:val="clear" w:color="auto" w:fill="auto"/>
            <w:noWrap/>
            <w:vAlign w:val="bottom"/>
            <w:hideMark/>
          </w:tcPr>
          <w:p w:rsidR="003174F8" w:rsidRPr="004F2000" w:rsidRDefault="003174F8" w:rsidP="00B84D8D">
            <w:pPr>
              <w:rPr>
                <w:b/>
                <w:bCs/>
                <w:sz w:val="18"/>
                <w:szCs w:val="18"/>
              </w:rPr>
            </w:pPr>
            <w:r w:rsidRPr="004F2000">
              <w:rPr>
                <w:b/>
                <w:bCs/>
                <w:sz w:val="18"/>
                <w:szCs w:val="18"/>
              </w:rPr>
              <w:t>ПРИХОДИ, ПОМОЩИ И ДАРЕНИЯ</w:t>
            </w:r>
          </w:p>
        </w:tc>
        <w:tc>
          <w:tcPr>
            <w:tcW w:w="992" w:type="dxa"/>
            <w:tcBorders>
              <w:top w:val="nil"/>
              <w:left w:val="nil"/>
              <w:bottom w:val="nil"/>
              <w:right w:val="nil"/>
            </w:tcBorders>
            <w:shd w:val="clear" w:color="auto" w:fill="auto"/>
            <w:noWrap/>
            <w:vAlign w:val="bottom"/>
            <w:hideMark/>
          </w:tcPr>
          <w:p w:rsidR="003174F8" w:rsidRDefault="003174F8" w:rsidP="003F3760">
            <w:pPr>
              <w:jc w:val="right"/>
              <w:rPr>
                <w:b/>
                <w:bCs/>
                <w:sz w:val="18"/>
                <w:szCs w:val="18"/>
              </w:rPr>
            </w:pPr>
            <w:r>
              <w:rPr>
                <w:b/>
                <w:bCs/>
                <w:sz w:val="18"/>
                <w:szCs w:val="18"/>
              </w:rPr>
              <w:t>43 857,0</w:t>
            </w:r>
          </w:p>
        </w:tc>
        <w:tc>
          <w:tcPr>
            <w:tcW w:w="1087" w:type="dxa"/>
            <w:tcBorders>
              <w:top w:val="nil"/>
              <w:left w:val="nil"/>
              <w:bottom w:val="nil"/>
              <w:right w:val="nil"/>
            </w:tcBorders>
            <w:shd w:val="clear" w:color="auto" w:fill="auto"/>
            <w:noWrap/>
            <w:vAlign w:val="bottom"/>
            <w:hideMark/>
          </w:tcPr>
          <w:p w:rsidR="003174F8" w:rsidRDefault="003174F8" w:rsidP="003F3760">
            <w:pPr>
              <w:jc w:val="right"/>
              <w:rPr>
                <w:b/>
                <w:bCs/>
                <w:sz w:val="18"/>
                <w:szCs w:val="18"/>
              </w:rPr>
            </w:pPr>
            <w:r>
              <w:rPr>
                <w:b/>
                <w:bCs/>
                <w:sz w:val="18"/>
                <w:szCs w:val="18"/>
              </w:rPr>
              <w:t>32 797,9</w:t>
            </w:r>
          </w:p>
        </w:tc>
        <w:tc>
          <w:tcPr>
            <w:tcW w:w="1252" w:type="dxa"/>
            <w:tcBorders>
              <w:top w:val="nil"/>
              <w:left w:val="nil"/>
              <w:bottom w:val="nil"/>
              <w:right w:val="nil"/>
            </w:tcBorders>
            <w:shd w:val="clear" w:color="auto" w:fill="auto"/>
            <w:noWrap/>
            <w:vAlign w:val="bottom"/>
            <w:hideMark/>
          </w:tcPr>
          <w:p w:rsidR="003174F8" w:rsidRDefault="003174F8" w:rsidP="003F3760">
            <w:pPr>
              <w:jc w:val="right"/>
              <w:rPr>
                <w:b/>
                <w:bCs/>
                <w:color w:val="000000"/>
                <w:sz w:val="18"/>
                <w:szCs w:val="18"/>
              </w:rPr>
            </w:pPr>
            <w:r>
              <w:rPr>
                <w:b/>
                <w:bCs/>
                <w:color w:val="000000"/>
                <w:sz w:val="18"/>
                <w:szCs w:val="18"/>
              </w:rPr>
              <w:t>31 080,7</w:t>
            </w:r>
          </w:p>
        </w:tc>
        <w:tc>
          <w:tcPr>
            <w:tcW w:w="1199" w:type="dxa"/>
            <w:tcBorders>
              <w:top w:val="nil"/>
              <w:left w:val="nil"/>
              <w:bottom w:val="nil"/>
              <w:right w:val="nil"/>
            </w:tcBorders>
            <w:shd w:val="clear" w:color="auto" w:fill="auto"/>
            <w:noWrap/>
            <w:vAlign w:val="bottom"/>
            <w:hideMark/>
          </w:tcPr>
          <w:p w:rsidR="003174F8" w:rsidRDefault="003174F8" w:rsidP="003F3760">
            <w:pPr>
              <w:jc w:val="right"/>
              <w:rPr>
                <w:b/>
                <w:bCs/>
                <w:color w:val="000000"/>
                <w:sz w:val="18"/>
                <w:szCs w:val="18"/>
              </w:rPr>
            </w:pPr>
            <w:r>
              <w:rPr>
                <w:b/>
                <w:bCs/>
                <w:color w:val="000000"/>
                <w:sz w:val="18"/>
                <w:szCs w:val="18"/>
              </w:rPr>
              <w:t>1 717,2</w:t>
            </w:r>
          </w:p>
        </w:tc>
        <w:tc>
          <w:tcPr>
            <w:tcW w:w="1300" w:type="dxa"/>
            <w:tcBorders>
              <w:top w:val="nil"/>
              <w:left w:val="nil"/>
              <w:bottom w:val="nil"/>
              <w:right w:val="single" w:sz="8" w:space="0" w:color="auto"/>
            </w:tcBorders>
            <w:shd w:val="clear" w:color="auto" w:fill="auto"/>
            <w:noWrap/>
            <w:vAlign w:val="bottom"/>
            <w:hideMark/>
          </w:tcPr>
          <w:p w:rsidR="003174F8" w:rsidRDefault="003174F8" w:rsidP="003F3760">
            <w:pPr>
              <w:jc w:val="right"/>
              <w:rPr>
                <w:b/>
                <w:bCs/>
                <w:sz w:val="18"/>
                <w:szCs w:val="18"/>
              </w:rPr>
            </w:pPr>
            <w:r>
              <w:rPr>
                <w:b/>
                <w:bCs/>
                <w:sz w:val="18"/>
                <w:szCs w:val="18"/>
              </w:rPr>
              <w:t>74,8%</w:t>
            </w:r>
          </w:p>
        </w:tc>
      </w:tr>
      <w:tr w:rsidR="003174F8" w:rsidRPr="00B93FD2" w:rsidTr="00F52838">
        <w:trPr>
          <w:trHeight w:val="255"/>
        </w:trPr>
        <w:tc>
          <w:tcPr>
            <w:tcW w:w="4263" w:type="dxa"/>
            <w:tcBorders>
              <w:top w:val="nil"/>
              <w:left w:val="single" w:sz="8" w:space="0" w:color="auto"/>
              <w:bottom w:val="nil"/>
              <w:right w:val="nil"/>
            </w:tcBorders>
            <w:shd w:val="clear" w:color="auto" w:fill="auto"/>
            <w:noWrap/>
            <w:vAlign w:val="bottom"/>
            <w:hideMark/>
          </w:tcPr>
          <w:p w:rsidR="003174F8" w:rsidRPr="004F2000" w:rsidRDefault="003174F8">
            <w:pPr>
              <w:rPr>
                <w:sz w:val="18"/>
                <w:szCs w:val="18"/>
              </w:rPr>
            </w:pPr>
            <w:r w:rsidRPr="004F2000">
              <w:rPr>
                <w:sz w:val="18"/>
                <w:szCs w:val="18"/>
              </w:rPr>
              <w:t xml:space="preserve">  Данъчни приходи</w:t>
            </w:r>
          </w:p>
        </w:tc>
        <w:tc>
          <w:tcPr>
            <w:tcW w:w="992"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34 546,1</w:t>
            </w:r>
          </w:p>
        </w:tc>
        <w:tc>
          <w:tcPr>
            <w:tcW w:w="1087"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26 096,2</w:t>
            </w:r>
          </w:p>
        </w:tc>
        <w:tc>
          <w:tcPr>
            <w:tcW w:w="1252" w:type="dxa"/>
            <w:tcBorders>
              <w:top w:val="nil"/>
              <w:left w:val="nil"/>
              <w:bottom w:val="nil"/>
              <w:right w:val="nil"/>
            </w:tcBorders>
            <w:shd w:val="clear" w:color="auto" w:fill="auto"/>
            <w:noWrap/>
            <w:vAlign w:val="bottom"/>
            <w:hideMark/>
          </w:tcPr>
          <w:p w:rsidR="003174F8" w:rsidRDefault="003174F8" w:rsidP="003F3760">
            <w:pPr>
              <w:jc w:val="right"/>
              <w:rPr>
                <w:color w:val="000000"/>
                <w:sz w:val="18"/>
                <w:szCs w:val="18"/>
              </w:rPr>
            </w:pPr>
            <w:r>
              <w:rPr>
                <w:color w:val="000000"/>
                <w:sz w:val="18"/>
                <w:szCs w:val="18"/>
              </w:rPr>
              <w:t>26 096,2</w:t>
            </w:r>
          </w:p>
        </w:tc>
        <w:tc>
          <w:tcPr>
            <w:tcW w:w="1199" w:type="dxa"/>
            <w:tcBorders>
              <w:top w:val="nil"/>
              <w:left w:val="nil"/>
              <w:bottom w:val="nil"/>
              <w:right w:val="nil"/>
            </w:tcBorders>
            <w:shd w:val="clear" w:color="auto" w:fill="auto"/>
            <w:noWrap/>
            <w:vAlign w:val="bottom"/>
            <w:hideMark/>
          </w:tcPr>
          <w:p w:rsidR="003174F8" w:rsidRDefault="003174F8" w:rsidP="003F3760">
            <w:pPr>
              <w:jc w:val="right"/>
              <w:rPr>
                <w:color w:val="000000"/>
                <w:sz w:val="18"/>
                <w:szCs w:val="18"/>
              </w:rPr>
            </w:pPr>
          </w:p>
        </w:tc>
        <w:tc>
          <w:tcPr>
            <w:tcW w:w="1300" w:type="dxa"/>
            <w:tcBorders>
              <w:top w:val="nil"/>
              <w:left w:val="nil"/>
              <w:bottom w:val="nil"/>
              <w:right w:val="single" w:sz="8" w:space="0" w:color="auto"/>
            </w:tcBorders>
            <w:shd w:val="clear" w:color="auto" w:fill="auto"/>
            <w:noWrap/>
            <w:vAlign w:val="bottom"/>
            <w:hideMark/>
          </w:tcPr>
          <w:p w:rsidR="003174F8" w:rsidRDefault="003174F8" w:rsidP="003F3760">
            <w:pPr>
              <w:jc w:val="right"/>
              <w:rPr>
                <w:sz w:val="18"/>
                <w:szCs w:val="18"/>
              </w:rPr>
            </w:pPr>
            <w:r>
              <w:rPr>
                <w:sz w:val="18"/>
                <w:szCs w:val="18"/>
              </w:rPr>
              <w:t>75,5%</w:t>
            </w:r>
          </w:p>
        </w:tc>
      </w:tr>
      <w:tr w:rsidR="003174F8" w:rsidRPr="00B93FD2" w:rsidTr="00F52838">
        <w:trPr>
          <w:trHeight w:val="255"/>
        </w:trPr>
        <w:tc>
          <w:tcPr>
            <w:tcW w:w="4263" w:type="dxa"/>
            <w:tcBorders>
              <w:top w:val="nil"/>
              <w:left w:val="single" w:sz="8" w:space="0" w:color="auto"/>
              <w:bottom w:val="nil"/>
              <w:right w:val="nil"/>
            </w:tcBorders>
            <w:shd w:val="clear" w:color="auto" w:fill="auto"/>
            <w:noWrap/>
            <w:vAlign w:val="bottom"/>
            <w:hideMark/>
          </w:tcPr>
          <w:p w:rsidR="003174F8" w:rsidRPr="004F2000" w:rsidRDefault="003174F8">
            <w:pPr>
              <w:rPr>
                <w:sz w:val="18"/>
                <w:szCs w:val="18"/>
              </w:rPr>
            </w:pPr>
            <w:r w:rsidRPr="004F2000">
              <w:rPr>
                <w:sz w:val="18"/>
                <w:szCs w:val="18"/>
              </w:rPr>
              <w:t xml:space="preserve">  Неданъчни приходи</w:t>
            </w:r>
          </w:p>
        </w:tc>
        <w:tc>
          <w:tcPr>
            <w:tcW w:w="992"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6 627,6</w:t>
            </w:r>
          </w:p>
        </w:tc>
        <w:tc>
          <w:tcPr>
            <w:tcW w:w="1087"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4 954,9</w:t>
            </w:r>
          </w:p>
        </w:tc>
        <w:tc>
          <w:tcPr>
            <w:tcW w:w="1252" w:type="dxa"/>
            <w:tcBorders>
              <w:top w:val="nil"/>
              <w:left w:val="nil"/>
              <w:bottom w:val="nil"/>
              <w:right w:val="nil"/>
            </w:tcBorders>
            <w:shd w:val="clear" w:color="auto" w:fill="auto"/>
            <w:noWrap/>
            <w:vAlign w:val="bottom"/>
            <w:hideMark/>
          </w:tcPr>
          <w:p w:rsidR="003174F8" w:rsidRDefault="003174F8" w:rsidP="003F3760">
            <w:pPr>
              <w:jc w:val="right"/>
              <w:rPr>
                <w:color w:val="000000"/>
                <w:sz w:val="18"/>
                <w:szCs w:val="18"/>
              </w:rPr>
            </w:pPr>
            <w:r>
              <w:rPr>
                <w:color w:val="000000"/>
                <w:sz w:val="18"/>
                <w:szCs w:val="18"/>
              </w:rPr>
              <w:t>4 953,8</w:t>
            </w:r>
          </w:p>
        </w:tc>
        <w:tc>
          <w:tcPr>
            <w:tcW w:w="1199" w:type="dxa"/>
            <w:tcBorders>
              <w:top w:val="nil"/>
              <w:left w:val="nil"/>
              <w:bottom w:val="nil"/>
              <w:right w:val="nil"/>
            </w:tcBorders>
            <w:shd w:val="clear" w:color="auto" w:fill="auto"/>
            <w:noWrap/>
            <w:vAlign w:val="bottom"/>
            <w:hideMark/>
          </w:tcPr>
          <w:p w:rsidR="003174F8" w:rsidRDefault="003174F8" w:rsidP="003F3760">
            <w:pPr>
              <w:jc w:val="right"/>
              <w:rPr>
                <w:color w:val="000000"/>
                <w:sz w:val="18"/>
                <w:szCs w:val="18"/>
              </w:rPr>
            </w:pPr>
            <w:r>
              <w:rPr>
                <w:color w:val="000000"/>
                <w:sz w:val="18"/>
                <w:szCs w:val="18"/>
              </w:rPr>
              <w:t>1,1</w:t>
            </w:r>
          </w:p>
        </w:tc>
        <w:tc>
          <w:tcPr>
            <w:tcW w:w="1300" w:type="dxa"/>
            <w:tcBorders>
              <w:top w:val="nil"/>
              <w:left w:val="nil"/>
              <w:bottom w:val="nil"/>
              <w:right w:val="single" w:sz="8" w:space="0" w:color="auto"/>
            </w:tcBorders>
            <w:shd w:val="clear" w:color="auto" w:fill="auto"/>
            <w:noWrap/>
            <w:vAlign w:val="bottom"/>
            <w:hideMark/>
          </w:tcPr>
          <w:p w:rsidR="003174F8" w:rsidRDefault="003174F8" w:rsidP="003F3760">
            <w:pPr>
              <w:jc w:val="right"/>
              <w:rPr>
                <w:sz w:val="18"/>
                <w:szCs w:val="18"/>
              </w:rPr>
            </w:pPr>
            <w:r>
              <w:rPr>
                <w:sz w:val="18"/>
                <w:szCs w:val="18"/>
              </w:rPr>
              <w:t>74,8%</w:t>
            </w:r>
          </w:p>
        </w:tc>
      </w:tr>
      <w:tr w:rsidR="003174F8" w:rsidRPr="00B93FD2" w:rsidTr="00F52838">
        <w:trPr>
          <w:trHeight w:val="255"/>
        </w:trPr>
        <w:tc>
          <w:tcPr>
            <w:tcW w:w="4263" w:type="dxa"/>
            <w:tcBorders>
              <w:top w:val="nil"/>
              <w:left w:val="single" w:sz="8" w:space="0" w:color="auto"/>
              <w:bottom w:val="nil"/>
              <w:right w:val="nil"/>
            </w:tcBorders>
            <w:shd w:val="clear" w:color="auto" w:fill="auto"/>
            <w:noWrap/>
            <w:vAlign w:val="bottom"/>
            <w:hideMark/>
          </w:tcPr>
          <w:p w:rsidR="003174F8" w:rsidRPr="004F2000" w:rsidRDefault="003174F8">
            <w:pPr>
              <w:rPr>
                <w:sz w:val="18"/>
                <w:szCs w:val="18"/>
              </w:rPr>
            </w:pPr>
            <w:r w:rsidRPr="004F2000">
              <w:rPr>
                <w:sz w:val="18"/>
                <w:szCs w:val="18"/>
              </w:rPr>
              <w:t xml:space="preserve">  Помощи и дарения</w:t>
            </w:r>
          </w:p>
        </w:tc>
        <w:tc>
          <w:tcPr>
            <w:tcW w:w="992"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2 683,3</w:t>
            </w:r>
          </w:p>
        </w:tc>
        <w:tc>
          <w:tcPr>
            <w:tcW w:w="1087"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1 746,8</w:t>
            </w:r>
          </w:p>
        </w:tc>
        <w:tc>
          <w:tcPr>
            <w:tcW w:w="1252" w:type="dxa"/>
            <w:tcBorders>
              <w:top w:val="nil"/>
              <w:left w:val="nil"/>
              <w:bottom w:val="nil"/>
              <w:right w:val="nil"/>
            </w:tcBorders>
            <w:shd w:val="clear" w:color="auto" w:fill="auto"/>
            <w:noWrap/>
            <w:vAlign w:val="bottom"/>
            <w:hideMark/>
          </w:tcPr>
          <w:p w:rsidR="003174F8" w:rsidRDefault="003174F8" w:rsidP="003F3760">
            <w:pPr>
              <w:jc w:val="right"/>
              <w:rPr>
                <w:color w:val="000000"/>
                <w:sz w:val="18"/>
                <w:szCs w:val="18"/>
              </w:rPr>
            </w:pPr>
            <w:r>
              <w:rPr>
                <w:color w:val="000000"/>
                <w:sz w:val="18"/>
                <w:szCs w:val="18"/>
              </w:rPr>
              <w:t>30,7</w:t>
            </w:r>
          </w:p>
        </w:tc>
        <w:tc>
          <w:tcPr>
            <w:tcW w:w="1199" w:type="dxa"/>
            <w:tcBorders>
              <w:top w:val="nil"/>
              <w:left w:val="nil"/>
              <w:bottom w:val="single" w:sz="4" w:space="0" w:color="auto"/>
              <w:right w:val="nil"/>
            </w:tcBorders>
            <w:shd w:val="clear" w:color="auto" w:fill="auto"/>
            <w:noWrap/>
            <w:vAlign w:val="bottom"/>
            <w:hideMark/>
          </w:tcPr>
          <w:p w:rsidR="003174F8" w:rsidRDefault="003174F8" w:rsidP="003F3760">
            <w:pPr>
              <w:jc w:val="right"/>
              <w:rPr>
                <w:color w:val="000000"/>
                <w:sz w:val="18"/>
                <w:szCs w:val="18"/>
              </w:rPr>
            </w:pPr>
            <w:r>
              <w:rPr>
                <w:color w:val="000000"/>
                <w:sz w:val="18"/>
                <w:szCs w:val="18"/>
              </w:rPr>
              <w:t>1 716,1</w:t>
            </w:r>
          </w:p>
        </w:tc>
        <w:tc>
          <w:tcPr>
            <w:tcW w:w="1300" w:type="dxa"/>
            <w:tcBorders>
              <w:top w:val="nil"/>
              <w:left w:val="nil"/>
              <w:bottom w:val="nil"/>
              <w:right w:val="single" w:sz="8" w:space="0" w:color="auto"/>
            </w:tcBorders>
            <w:shd w:val="clear" w:color="auto" w:fill="auto"/>
            <w:noWrap/>
            <w:vAlign w:val="bottom"/>
            <w:hideMark/>
          </w:tcPr>
          <w:p w:rsidR="003174F8" w:rsidRDefault="003174F8" w:rsidP="003F3760">
            <w:pPr>
              <w:jc w:val="right"/>
              <w:rPr>
                <w:sz w:val="18"/>
                <w:szCs w:val="18"/>
              </w:rPr>
            </w:pPr>
            <w:r>
              <w:rPr>
                <w:sz w:val="18"/>
                <w:szCs w:val="18"/>
              </w:rPr>
              <w:t>65,1%</w:t>
            </w:r>
          </w:p>
        </w:tc>
      </w:tr>
      <w:tr w:rsidR="003174F8" w:rsidRPr="00B93FD2" w:rsidTr="00F52838">
        <w:trPr>
          <w:trHeight w:val="480"/>
        </w:trPr>
        <w:tc>
          <w:tcPr>
            <w:tcW w:w="4263" w:type="dxa"/>
            <w:tcBorders>
              <w:top w:val="single" w:sz="4" w:space="0" w:color="auto"/>
              <w:left w:val="single" w:sz="8" w:space="0" w:color="auto"/>
              <w:bottom w:val="nil"/>
              <w:right w:val="nil"/>
            </w:tcBorders>
            <w:shd w:val="clear" w:color="auto" w:fill="auto"/>
            <w:vAlign w:val="bottom"/>
            <w:hideMark/>
          </w:tcPr>
          <w:p w:rsidR="003174F8" w:rsidRPr="004F2000" w:rsidRDefault="003174F8">
            <w:pPr>
              <w:rPr>
                <w:b/>
                <w:bCs/>
                <w:sz w:val="18"/>
                <w:szCs w:val="18"/>
              </w:rPr>
            </w:pPr>
            <w:r w:rsidRPr="004F2000">
              <w:rPr>
                <w:b/>
                <w:bCs/>
                <w:sz w:val="18"/>
                <w:szCs w:val="18"/>
              </w:rPr>
              <w:t>РАЗХОДИ И ВНОСКА ЗА ОБЩИЯ БЮДЖЕТ НА ЕС</w:t>
            </w:r>
          </w:p>
        </w:tc>
        <w:tc>
          <w:tcPr>
            <w:tcW w:w="992" w:type="dxa"/>
            <w:tcBorders>
              <w:top w:val="single" w:sz="4" w:space="0" w:color="auto"/>
              <w:left w:val="nil"/>
              <w:bottom w:val="nil"/>
              <w:right w:val="nil"/>
            </w:tcBorders>
            <w:shd w:val="clear" w:color="auto" w:fill="auto"/>
            <w:noWrap/>
            <w:vAlign w:val="bottom"/>
            <w:hideMark/>
          </w:tcPr>
          <w:p w:rsidR="003174F8" w:rsidRDefault="003174F8" w:rsidP="003F3760">
            <w:pPr>
              <w:jc w:val="right"/>
              <w:rPr>
                <w:b/>
                <w:bCs/>
                <w:sz w:val="18"/>
                <w:szCs w:val="18"/>
              </w:rPr>
            </w:pPr>
            <w:r>
              <w:rPr>
                <w:b/>
                <w:bCs/>
                <w:sz w:val="18"/>
                <w:szCs w:val="18"/>
              </w:rPr>
              <w:t>46 286,0</w:t>
            </w:r>
          </w:p>
        </w:tc>
        <w:tc>
          <w:tcPr>
            <w:tcW w:w="1087" w:type="dxa"/>
            <w:tcBorders>
              <w:top w:val="single" w:sz="4" w:space="0" w:color="auto"/>
              <w:left w:val="nil"/>
              <w:bottom w:val="nil"/>
              <w:right w:val="nil"/>
            </w:tcBorders>
            <w:shd w:val="clear" w:color="auto" w:fill="auto"/>
            <w:noWrap/>
            <w:vAlign w:val="bottom"/>
            <w:hideMark/>
          </w:tcPr>
          <w:p w:rsidR="003174F8" w:rsidRDefault="003174F8" w:rsidP="003F3760">
            <w:pPr>
              <w:jc w:val="right"/>
              <w:rPr>
                <w:b/>
                <w:bCs/>
                <w:sz w:val="18"/>
                <w:szCs w:val="18"/>
              </w:rPr>
            </w:pPr>
            <w:r>
              <w:rPr>
                <w:b/>
                <w:bCs/>
                <w:sz w:val="18"/>
                <w:szCs w:val="18"/>
              </w:rPr>
              <w:t>31 533,4</w:t>
            </w:r>
          </w:p>
        </w:tc>
        <w:tc>
          <w:tcPr>
            <w:tcW w:w="1252" w:type="dxa"/>
            <w:tcBorders>
              <w:top w:val="single" w:sz="4" w:space="0" w:color="auto"/>
              <w:left w:val="nil"/>
              <w:bottom w:val="nil"/>
              <w:right w:val="nil"/>
            </w:tcBorders>
            <w:shd w:val="clear" w:color="auto" w:fill="auto"/>
            <w:noWrap/>
            <w:vAlign w:val="bottom"/>
            <w:hideMark/>
          </w:tcPr>
          <w:p w:rsidR="003174F8" w:rsidRDefault="003174F8" w:rsidP="003F3760">
            <w:pPr>
              <w:jc w:val="right"/>
              <w:rPr>
                <w:b/>
                <w:bCs/>
                <w:color w:val="000000"/>
                <w:sz w:val="18"/>
                <w:szCs w:val="18"/>
              </w:rPr>
            </w:pPr>
            <w:r>
              <w:rPr>
                <w:b/>
                <w:bCs/>
                <w:color w:val="000000"/>
                <w:sz w:val="18"/>
                <w:szCs w:val="18"/>
              </w:rPr>
              <w:t>29 412,4</w:t>
            </w:r>
          </w:p>
        </w:tc>
        <w:tc>
          <w:tcPr>
            <w:tcW w:w="1199" w:type="dxa"/>
            <w:tcBorders>
              <w:top w:val="nil"/>
              <w:left w:val="nil"/>
              <w:bottom w:val="nil"/>
              <w:right w:val="nil"/>
            </w:tcBorders>
            <w:shd w:val="clear" w:color="auto" w:fill="auto"/>
            <w:noWrap/>
            <w:vAlign w:val="bottom"/>
            <w:hideMark/>
          </w:tcPr>
          <w:p w:rsidR="003174F8" w:rsidRDefault="003174F8" w:rsidP="003F3760">
            <w:pPr>
              <w:jc w:val="right"/>
              <w:rPr>
                <w:b/>
                <w:bCs/>
                <w:color w:val="000000"/>
                <w:sz w:val="18"/>
                <w:szCs w:val="18"/>
              </w:rPr>
            </w:pPr>
            <w:r>
              <w:rPr>
                <w:b/>
                <w:bCs/>
                <w:color w:val="000000"/>
                <w:sz w:val="18"/>
                <w:szCs w:val="18"/>
              </w:rPr>
              <w:t>2 121,0</w:t>
            </w:r>
          </w:p>
        </w:tc>
        <w:tc>
          <w:tcPr>
            <w:tcW w:w="1300" w:type="dxa"/>
            <w:tcBorders>
              <w:top w:val="single" w:sz="4" w:space="0" w:color="auto"/>
              <w:left w:val="nil"/>
              <w:bottom w:val="nil"/>
              <w:right w:val="single" w:sz="8" w:space="0" w:color="auto"/>
            </w:tcBorders>
            <w:shd w:val="clear" w:color="auto" w:fill="auto"/>
            <w:noWrap/>
            <w:vAlign w:val="bottom"/>
            <w:hideMark/>
          </w:tcPr>
          <w:p w:rsidR="003174F8" w:rsidRDefault="003174F8" w:rsidP="003F3760">
            <w:pPr>
              <w:jc w:val="right"/>
              <w:rPr>
                <w:b/>
                <w:bCs/>
                <w:sz w:val="18"/>
                <w:szCs w:val="18"/>
              </w:rPr>
            </w:pPr>
            <w:r>
              <w:rPr>
                <w:b/>
                <w:bCs/>
                <w:sz w:val="18"/>
                <w:szCs w:val="18"/>
              </w:rPr>
              <w:t>68,1%</w:t>
            </w:r>
          </w:p>
        </w:tc>
      </w:tr>
      <w:tr w:rsidR="003174F8" w:rsidRPr="00B93FD2" w:rsidTr="00F52838">
        <w:trPr>
          <w:trHeight w:val="255"/>
        </w:trPr>
        <w:tc>
          <w:tcPr>
            <w:tcW w:w="4263" w:type="dxa"/>
            <w:tcBorders>
              <w:top w:val="nil"/>
              <w:left w:val="single" w:sz="8" w:space="0" w:color="auto"/>
              <w:bottom w:val="nil"/>
              <w:right w:val="nil"/>
            </w:tcBorders>
            <w:shd w:val="clear" w:color="auto" w:fill="auto"/>
            <w:noWrap/>
            <w:vAlign w:val="bottom"/>
            <w:hideMark/>
          </w:tcPr>
          <w:p w:rsidR="003174F8" w:rsidRPr="004F2000" w:rsidRDefault="003174F8">
            <w:pPr>
              <w:rPr>
                <w:sz w:val="18"/>
                <w:szCs w:val="18"/>
              </w:rPr>
            </w:pPr>
            <w:r w:rsidRPr="004F2000">
              <w:rPr>
                <w:sz w:val="18"/>
                <w:szCs w:val="18"/>
              </w:rPr>
              <w:t xml:space="preserve">  Нелихвени</w:t>
            </w:r>
          </w:p>
        </w:tc>
        <w:tc>
          <w:tcPr>
            <w:tcW w:w="992"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44 126,4</w:t>
            </w:r>
          </w:p>
        </w:tc>
        <w:tc>
          <w:tcPr>
            <w:tcW w:w="1087"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29 954,3</w:t>
            </w:r>
          </w:p>
        </w:tc>
        <w:tc>
          <w:tcPr>
            <w:tcW w:w="1252"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27 833,3</w:t>
            </w:r>
          </w:p>
        </w:tc>
        <w:tc>
          <w:tcPr>
            <w:tcW w:w="1199"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2 121,0</w:t>
            </w:r>
          </w:p>
        </w:tc>
        <w:tc>
          <w:tcPr>
            <w:tcW w:w="1300" w:type="dxa"/>
            <w:tcBorders>
              <w:top w:val="nil"/>
              <w:left w:val="nil"/>
              <w:bottom w:val="nil"/>
              <w:right w:val="single" w:sz="8" w:space="0" w:color="auto"/>
            </w:tcBorders>
            <w:shd w:val="clear" w:color="auto" w:fill="auto"/>
            <w:noWrap/>
            <w:vAlign w:val="bottom"/>
            <w:hideMark/>
          </w:tcPr>
          <w:p w:rsidR="003174F8" w:rsidRDefault="003174F8" w:rsidP="003F3760">
            <w:pPr>
              <w:jc w:val="right"/>
              <w:rPr>
                <w:sz w:val="18"/>
                <w:szCs w:val="18"/>
              </w:rPr>
            </w:pPr>
            <w:r>
              <w:rPr>
                <w:sz w:val="18"/>
                <w:szCs w:val="18"/>
              </w:rPr>
              <w:t>67,9%</w:t>
            </w:r>
          </w:p>
        </w:tc>
      </w:tr>
      <w:tr w:rsidR="003174F8" w:rsidRPr="00B93FD2" w:rsidTr="00F52838">
        <w:trPr>
          <w:trHeight w:val="255"/>
        </w:trPr>
        <w:tc>
          <w:tcPr>
            <w:tcW w:w="4263" w:type="dxa"/>
            <w:tcBorders>
              <w:top w:val="nil"/>
              <w:left w:val="single" w:sz="8" w:space="0" w:color="auto"/>
              <w:bottom w:val="nil"/>
              <w:right w:val="nil"/>
            </w:tcBorders>
            <w:shd w:val="clear" w:color="auto" w:fill="auto"/>
            <w:noWrap/>
            <w:vAlign w:val="bottom"/>
            <w:hideMark/>
          </w:tcPr>
          <w:p w:rsidR="003174F8" w:rsidRPr="004F2000" w:rsidRDefault="003174F8">
            <w:pPr>
              <w:rPr>
                <w:sz w:val="18"/>
                <w:szCs w:val="18"/>
              </w:rPr>
            </w:pPr>
            <w:r w:rsidRPr="004F2000">
              <w:rPr>
                <w:sz w:val="18"/>
                <w:szCs w:val="18"/>
              </w:rPr>
              <w:t xml:space="preserve">    Текущи</w:t>
            </w:r>
          </w:p>
        </w:tc>
        <w:tc>
          <w:tcPr>
            <w:tcW w:w="992"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35 697,9</w:t>
            </w:r>
          </w:p>
        </w:tc>
        <w:tc>
          <w:tcPr>
            <w:tcW w:w="1087"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25 337,8</w:t>
            </w:r>
          </w:p>
        </w:tc>
        <w:tc>
          <w:tcPr>
            <w:tcW w:w="1252" w:type="dxa"/>
            <w:tcBorders>
              <w:top w:val="nil"/>
              <w:left w:val="nil"/>
              <w:bottom w:val="nil"/>
              <w:right w:val="nil"/>
            </w:tcBorders>
            <w:shd w:val="clear" w:color="auto" w:fill="auto"/>
            <w:noWrap/>
            <w:vAlign w:val="bottom"/>
            <w:hideMark/>
          </w:tcPr>
          <w:p w:rsidR="003174F8" w:rsidRDefault="003174F8" w:rsidP="003F3760">
            <w:pPr>
              <w:jc w:val="right"/>
              <w:rPr>
                <w:color w:val="000000"/>
                <w:sz w:val="18"/>
                <w:szCs w:val="18"/>
              </w:rPr>
            </w:pPr>
            <w:r>
              <w:rPr>
                <w:color w:val="000000"/>
                <w:sz w:val="18"/>
                <w:szCs w:val="18"/>
              </w:rPr>
              <w:t>24 577,9</w:t>
            </w:r>
          </w:p>
        </w:tc>
        <w:tc>
          <w:tcPr>
            <w:tcW w:w="1199" w:type="dxa"/>
            <w:tcBorders>
              <w:top w:val="nil"/>
              <w:left w:val="nil"/>
              <w:bottom w:val="nil"/>
              <w:right w:val="nil"/>
            </w:tcBorders>
            <w:shd w:val="clear" w:color="auto" w:fill="auto"/>
            <w:noWrap/>
            <w:vAlign w:val="bottom"/>
            <w:hideMark/>
          </w:tcPr>
          <w:p w:rsidR="003174F8" w:rsidRDefault="003174F8" w:rsidP="003F3760">
            <w:pPr>
              <w:jc w:val="right"/>
              <w:rPr>
                <w:color w:val="000000"/>
                <w:sz w:val="18"/>
                <w:szCs w:val="18"/>
              </w:rPr>
            </w:pPr>
            <w:r>
              <w:rPr>
                <w:color w:val="000000"/>
                <w:sz w:val="18"/>
                <w:szCs w:val="18"/>
              </w:rPr>
              <w:t>759,9</w:t>
            </w:r>
          </w:p>
        </w:tc>
        <w:tc>
          <w:tcPr>
            <w:tcW w:w="1300" w:type="dxa"/>
            <w:tcBorders>
              <w:top w:val="nil"/>
              <w:left w:val="nil"/>
              <w:bottom w:val="nil"/>
              <w:right w:val="single" w:sz="8" w:space="0" w:color="auto"/>
            </w:tcBorders>
            <w:shd w:val="clear" w:color="auto" w:fill="auto"/>
            <w:noWrap/>
            <w:vAlign w:val="bottom"/>
            <w:hideMark/>
          </w:tcPr>
          <w:p w:rsidR="003174F8" w:rsidRDefault="003174F8" w:rsidP="003F3760">
            <w:pPr>
              <w:jc w:val="right"/>
              <w:rPr>
                <w:sz w:val="18"/>
                <w:szCs w:val="18"/>
              </w:rPr>
            </w:pPr>
            <w:r>
              <w:rPr>
                <w:sz w:val="18"/>
                <w:szCs w:val="18"/>
              </w:rPr>
              <w:t>71,0%</w:t>
            </w:r>
          </w:p>
        </w:tc>
      </w:tr>
      <w:tr w:rsidR="003174F8" w:rsidRPr="00B93FD2" w:rsidTr="00F52838">
        <w:trPr>
          <w:trHeight w:val="255"/>
        </w:trPr>
        <w:tc>
          <w:tcPr>
            <w:tcW w:w="4263" w:type="dxa"/>
            <w:tcBorders>
              <w:top w:val="nil"/>
              <w:left w:val="single" w:sz="8" w:space="0" w:color="auto"/>
              <w:bottom w:val="nil"/>
              <w:right w:val="nil"/>
            </w:tcBorders>
            <w:shd w:val="clear" w:color="auto" w:fill="auto"/>
            <w:noWrap/>
            <w:vAlign w:val="bottom"/>
          </w:tcPr>
          <w:p w:rsidR="003174F8" w:rsidRPr="004F2000" w:rsidRDefault="003174F8">
            <w:pPr>
              <w:rPr>
                <w:sz w:val="18"/>
                <w:szCs w:val="18"/>
              </w:rPr>
            </w:pPr>
            <w:r w:rsidRPr="004F2000">
              <w:rPr>
                <w:sz w:val="18"/>
                <w:szCs w:val="18"/>
                <w:lang w:val="en-US"/>
              </w:rPr>
              <w:t xml:space="preserve">    </w:t>
            </w:r>
            <w:r w:rsidRPr="004F2000">
              <w:rPr>
                <w:sz w:val="18"/>
                <w:szCs w:val="18"/>
              </w:rPr>
              <w:t>Предоставени тек. и капит. трансфери за чужбина</w:t>
            </w:r>
          </w:p>
        </w:tc>
        <w:tc>
          <w:tcPr>
            <w:tcW w:w="992" w:type="dxa"/>
            <w:tcBorders>
              <w:top w:val="nil"/>
              <w:left w:val="nil"/>
              <w:bottom w:val="nil"/>
              <w:right w:val="nil"/>
            </w:tcBorders>
            <w:shd w:val="clear" w:color="auto" w:fill="auto"/>
            <w:noWrap/>
            <w:vAlign w:val="bottom"/>
          </w:tcPr>
          <w:p w:rsidR="003174F8" w:rsidRDefault="003174F8" w:rsidP="003F3760">
            <w:pPr>
              <w:jc w:val="right"/>
              <w:rPr>
                <w:sz w:val="18"/>
                <w:szCs w:val="18"/>
              </w:rPr>
            </w:pPr>
            <w:r>
              <w:rPr>
                <w:sz w:val="18"/>
                <w:szCs w:val="18"/>
              </w:rPr>
              <w:t>14,4</w:t>
            </w:r>
          </w:p>
        </w:tc>
        <w:tc>
          <w:tcPr>
            <w:tcW w:w="1087" w:type="dxa"/>
            <w:tcBorders>
              <w:top w:val="nil"/>
              <w:left w:val="nil"/>
              <w:bottom w:val="nil"/>
              <w:right w:val="nil"/>
            </w:tcBorders>
            <w:shd w:val="clear" w:color="auto" w:fill="auto"/>
            <w:noWrap/>
            <w:vAlign w:val="bottom"/>
          </w:tcPr>
          <w:p w:rsidR="003174F8" w:rsidRDefault="003174F8" w:rsidP="003F3760">
            <w:pPr>
              <w:jc w:val="right"/>
              <w:rPr>
                <w:sz w:val="18"/>
                <w:szCs w:val="18"/>
              </w:rPr>
            </w:pPr>
            <w:r>
              <w:rPr>
                <w:sz w:val="18"/>
                <w:szCs w:val="18"/>
              </w:rPr>
              <w:t>27,8</w:t>
            </w:r>
          </w:p>
        </w:tc>
        <w:tc>
          <w:tcPr>
            <w:tcW w:w="1252" w:type="dxa"/>
            <w:tcBorders>
              <w:top w:val="nil"/>
              <w:left w:val="nil"/>
              <w:bottom w:val="nil"/>
              <w:right w:val="nil"/>
            </w:tcBorders>
            <w:shd w:val="clear" w:color="auto" w:fill="auto"/>
            <w:noWrap/>
            <w:vAlign w:val="bottom"/>
          </w:tcPr>
          <w:p w:rsidR="003174F8" w:rsidRDefault="003174F8" w:rsidP="003F3760">
            <w:pPr>
              <w:jc w:val="right"/>
              <w:rPr>
                <w:color w:val="000000"/>
                <w:sz w:val="18"/>
                <w:szCs w:val="18"/>
              </w:rPr>
            </w:pPr>
            <w:r>
              <w:rPr>
                <w:color w:val="000000"/>
                <w:sz w:val="18"/>
                <w:szCs w:val="18"/>
              </w:rPr>
              <w:t>10,3</w:t>
            </w:r>
          </w:p>
        </w:tc>
        <w:tc>
          <w:tcPr>
            <w:tcW w:w="1199" w:type="dxa"/>
            <w:tcBorders>
              <w:top w:val="nil"/>
              <w:left w:val="nil"/>
              <w:bottom w:val="nil"/>
              <w:right w:val="nil"/>
            </w:tcBorders>
            <w:shd w:val="clear" w:color="auto" w:fill="auto"/>
            <w:noWrap/>
            <w:vAlign w:val="bottom"/>
          </w:tcPr>
          <w:p w:rsidR="003174F8" w:rsidRDefault="003174F8" w:rsidP="003F3760">
            <w:pPr>
              <w:jc w:val="right"/>
              <w:rPr>
                <w:color w:val="000000"/>
                <w:sz w:val="18"/>
                <w:szCs w:val="18"/>
              </w:rPr>
            </w:pPr>
            <w:r>
              <w:rPr>
                <w:color w:val="000000"/>
                <w:sz w:val="18"/>
                <w:szCs w:val="18"/>
              </w:rPr>
              <w:t>17,5</w:t>
            </w:r>
          </w:p>
        </w:tc>
        <w:tc>
          <w:tcPr>
            <w:tcW w:w="1300" w:type="dxa"/>
            <w:tcBorders>
              <w:top w:val="nil"/>
              <w:left w:val="nil"/>
              <w:bottom w:val="nil"/>
              <w:right w:val="single" w:sz="8" w:space="0" w:color="auto"/>
            </w:tcBorders>
            <w:shd w:val="clear" w:color="auto" w:fill="auto"/>
            <w:noWrap/>
            <w:vAlign w:val="bottom"/>
          </w:tcPr>
          <w:p w:rsidR="003174F8" w:rsidRDefault="003174F8" w:rsidP="003F3760">
            <w:pPr>
              <w:jc w:val="right"/>
              <w:rPr>
                <w:sz w:val="18"/>
                <w:szCs w:val="18"/>
              </w:rPr>
            </w:pPr>
            <w:r>
              <w:rPr>
                <w:sz w:val="18"/>
                <w:szCs w:val="18"/>
              </w:rPr>
              <w:t>193,5%</w:t>
            </w:r>
          </w:p>
        </w:tc>
      </w:tr>
      <w:tr w:rsidR="003174F8" w:rsidRPr="00B93FD2" w:rsidTr="00F52838">
        <w:trPr>
          <w:trHeight w:val="255"/>
        </w:trPr>
        <w:tc>
          <w:tcPr>
            <w:tcW w:w="4263" w:type="dxa"/>
            <w:tcBorders>
              <w:top w:val="nil"/>
              <w:left w:val="single" w:sz="8" w:space="0" w:color="auto"/>
              <w:bottom w:val="nil"/>
              <w:right w:val="nil"/>
            </w:tcBorders>
            <w:shd w:val="clear" w:color="auto" w:fill="auto"/>
            <w:noWrap/>
            <w:vAlign w:val="bottom"/>
            <w:hideMark/>
          </w:tcPr>
          <w:p w:rsidR="003174F8" w:rsidRPr="004F2000" w:rsidRDefault="003174F8">
            <w:pPr>
              <w:rPr>
                <w:sz w:val="18"/>
                <w:szCs w:val="18"/>
              </w:rPr>
            </w:pPr>
            <w:r w:rsidRPr="004F2000">
              <w:rPr>
                <w:sz w:val="18"/>
                <w:szCs w:val="18"/>
              </w:rPr>
              <w:t xml:space="preserve">    Капиталови</w:t>
            </w:r>
          </w:p>
        </w:tc>
        <w:tc>
          <w:tcPr>
            <w:tcW w:w="992"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8 414,2</w:t>
            </w:r>
          </w:p>
        </w:tc>
        <w:tc>
          <w:tcPr>
            <w:tcW w:w="1087"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4 588,7</w:t>
            </w:r>
          </w:p>
        </w:tc>
        <w:tc>
          <w:tcPr>
            <w:tcW w:w="1252" w:type="dxa"/>
            <w:tcBorders>
              <w:top w:val="nil"/>
              <w:left w:val="nil"/>
              <w:bottom w:val="nil"/>
              <w:right w:val="nil"/>
            </w:tcBorders>
            <w:shd w:val="clear" w:color="auto" w:fill="auto"/>
            <w:noWrap/>
            <w:vAlign w:val="bottom"/>
            <w:hideMark/>
          </w:tcPr>
          <w:p w:rsidR="003174F8" w:rsidRDefault="003174F8" w:rsidP="003F3760">
            <w:pPr>
              <w:jc w:val="right"/>
              <w:rPr>
                <w:color w:val="000000"/>
                <w:sz w:val="18"/>
                <w:szCs w:val="18"/>
              </w:rPr>
            </w:pPr>
            <w:r>
              <w:rPr>
                <w:color w:val="000000"/>
                <w:sz w:val="18"/>
                <w:szCs w:val="18"/>
              </w:rPr>
              <w:t>3 245,2</w:t>
            </w:r>
          </w:p>
        </w:tc>
        <w:tc>
          <w:tcPr>
            <w:tcW w:w="1199" w:type="dxa"/>
            <w:tcBorders>
              <w:top w:val="nil"/>
              <w:left w:val="nil"/>
              <w:bottom w:val="nil"/>
              <w:right w:val="nil"/>
            </w:tcBorders>
            <w:shd w:val="clear" w:color="auto" w:fill="auto"/>
            <w:noWrap/>
            <w:vAlign w:val="bottom"/>
            <w:hideMark/>
          </w:tcPr>
          <w:p w:rsidR="003174F8" w:rsidRDefault="003174F8" w:rsidP="003F3760">
            <w:pPr>
              <w:jc w:val="right"/>
              <w:rPr>
                <w:color w:val="000000"/>
                <w:sz w:val="18"/>
                <w:szCs w:val="18"/>
              </w:rPr>
            </w:pPr>
            <w:r>
              <w:rPr>
                <w:color w:val="000000"/>
                <w:sz w:val="18"/>
                <w:szCs w:val="18"/>
              </w:rPr>
              <w:t>1 343,5</w:t>
            </w:r>
          </w:p>
        </w:tc>
        <w:tc>
          <w:tcPr>
            <w:tcW w:w="1300" w:type="dxa"/>
            <w:tcBorders>
              <w:top w:val="nil"/>
              <w:left w:val="nil"/>
              <w:bottom w:val="nil"/>
              <w:right w:val="single" w:sz="8" w:space="0" w:color="auto"/>
            </w:tcBorders>
            <w:shd w:val="clear" w:color="auto" w:fill="auto"/>
            <w:noWrap/>
            <w:vAlign w:val="bottom"/>
            <w:hideMark/>
          </w:tcPr>
          <w:p w:rsidR="003174F8" w:rsidRDefault="003174F8" w:rsidP="003F3760">
            <w:pPr>
              <w:jc w:val="right"/>
              <w:rPr>
                <w:sz w:val="18"/>
                <w:szCs w:val="18"/>
              </w:rPr>
            </w:pPr>
            <w:r>
              <w:rPr>
                <w:sz w:val="18"/>
                <w:szCs w:val="18"/>
              </w:rPr>
              <w:t>54,5%</w:t>
            </w:r>
          </w:p>
        </w:tc>
      </w:tr>
      <w:tr w:rsidR="003174F8" w:rsidRPr="00B93FD2" w:rsidTr="00F1730F">
        <w:trPr>
          <w:trHeight w:val="255"/>
        </w:trPr>
        <w:tc>
          <w:tcPr>
            <w:tcW w:w="4263" w:type="dxa"/>
            <w:tcBorders>
              <w:top w:val="nil"/>
              <w:left w:val="single" w:sz="8" w:space="0" w:color="auto"/>
              <w:bottom w:val="nil"/>
              <w:right w:val="nil"/>
            </w:tcBorders>
            <w:shd w:val="clear" w:color="auto" w:fill="auto"/>
            <w:noWrap/>
            <w:vAlign w:val="bottom"/>
            <w:hideMark/>
          </w:tcPr>
          <w:p w:rsidR="003174F8" w:rsidRPr="004F2000" w:rsidRDefault="003174F8">
            <w:pPr>
              <w:rPr>
                <w:sz w:val="18"/>
                <w:szCs w:val="18"/>
              </w:rPr>
            </w:pPr>
            <w:r w:rsidRPr="004F2000">
              <w:rPr>
                <w:sz w:val="18"/>
                <w:szCs w:val="18"/>
              </w:rPr>
              <w:t xml:space="preserve">           в т.ч. нетен прираст на държавния резерв</w:t>
            </w:r>
          </w:p>
        </w:tc>
        <w:tc>
          <w:tcPr>
            <w:tcW w:w="992"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19,2</w:t>
            </w:r>
          </w:p>
        </w:tc>
        <w:tc>
          <w:tcPr>
            <w:tcW w:w="1087"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17,3</w:t>
            </w:r>
          </w:p>
        </w:tc>
        <w:tc>
          <w:tcPr>
            <w:tcW w:w="1252" w:type="dxa"/>
            <w:tcBorders>
              <w:top w:val="nil"/>
              <w:left w:val="nil"/>
              <w:bottom w:val="nil"/>
              <w:right w:val="nil"/>
            </w:tcBorders>
            <w:shd w:val="clear" w:color="auto" w:fill="auto"/>
            <w:noWrap/>
            <w:vAlign w:val="bottom"/>
            <w:hideMark/>
          </w:tcPr>
          <w:p w:rsidR="003174F8" w:rsidRDefault="003174F8" w:rsidP="003F3760">
            <w:pPr>
              <w:jc w:val="right"/>
              <w:rPr>
                <w:color w:val="000000"/>
                <w:sz w:val="18"/>
                <w:szCs w:val="18"/>
              </w:rPr>
            </w:pPr>
            <w:r>
              <w:rPr>
                <w:color w:val="000000"/>
                <w:sz w:val="18"/>
                <w:szCs w:val="18"/>
              </w:rPr>
              <w:t>17,3</w:t>
            </w:r>
          </w:p>
        </w:tc>
        <w:tc>
          <w:tcPr>
            <w:tcW w:w="1199" w:type="dxa"/>
            <w:tcBorders>
              <w:top w:val="nil"/>
              <w:left w:val="nil"/>
              <w:bottom w:val="nil"/>
              <w:right w:val="nil"/>
            </w:tcBorders>
            <w:shd w:val="clear" w:color="auto" w:fill="auto"/>
            <w:noWrap/>
            <w:vAlign w:val="bottom"/>
          </w:tcPr>
          <w:p w:rsidR="003174F8" w:rsidRDefault="003174F8" w:rsidP="003F3760">
            <w:pPr>
              <w:jc w:val="right"/>
              <w:rPr>
                <w:color w:val="000000"/>
                <w:sz w:val="18"/>
                <w:szCs w:val="18"/>
              </w:rPr>
            </w:pPr>
          </w:p>
        </w:tc>
        <w:tc>
          <w:tcPr>
            <w:tcW w:w="1300" w:type="dxa"/>
            <w:tcBorders>
              <w:top w:val="nil"/>
              <w:left w:val="nil"/>
              <w:bottom w:val="nil"/>
              <w:right w:val="single" w:sz="8" w:space="0" w:color="auto"/>
            </w:tcBorders>
            <w:shd w:val="clear" w:color="auto" w:fill="auto"/>
            <w:noWrap/>
            <w:vAlign w:val="bottom"/>
          </w:tcPr>
          <w:p w:rsidR="003174F8" w:rsidRDefault="003174F8" w:rsidP="003F3760">
            <w:pPr>
              <w:jc w:val="right"/>
              <w:rPr>
                <w:sz w:val="18"/>
                <w:szCs w:val="18"/>
              </w:rPr>
            </w:pPr>
            <w:r>
              <w:rPr>
                <w:sz w:val="18"/>
                <w:szCs w:val="18"/>
              </w:rPr>
              <w:t>90,2%</w:t>
            </w:r>
          </w:p>
        </w:tc>
      </w:tr>
      <w:tr w:rsidR="003174F8" w:rsidRPr="00B93FD2" w:rsidTr="00573521">
        <w:trPr>
          <w:trHeight w:val="255"/>
        </w:trPr>
        <w:tc>
          <w:tcPr>
            <w:tcW w:w="4263" w:type="dxa"/>
            <w:tcBorders>
              <w:top w:val="nil"/>
              <w:left w:val="single" w:sz="8" w:space="0" w:color="auto"/>
              <w:bottom w:val="nil"/>
              <w:right w:val="nil"/>
            </w:tcBorders>
            <w:shd w:val="clear" w:color="auto" w:fill="auto"/>
            <w:noWrap/>
            <w:vAlign w:val="bottom"/>
            <w:hideMark/>
          </w:tcPr>
          <w:p w:rsidR="003174F8" w:rsidRPr="004F2000" w:rsidRDefault="003174F8">
            <w:pPr>
              <w:rPr>
                <w:sz w:val="18"/>
                <w:szCs w:val="18"/>
              </w:rPr>
            </w:pPr>
            <w:r w:rsidRPr="004F2000">
              <w:rPr>
                <w:sz w:val="18"/>
                <w:szCs w:val="18"/>
              </w:rPr>
              <w:t xml:space="preserve">  Лихвени</w:t>
            </w:r>
          </w:p>
        </w:tc>
        <w:tc>
          <w:tcPr>
            <w:tcW w:w="992"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669,2</w:t>
            </w:r>
          </w:p>
        </w:tc>
        <w:tc>
          <w:tcPr>
            <w:tcW w:w="1087"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581,6</w:t>
            </w:r>
          </w:p>
        </w:tc>
        <w:tc>
          <w:tcPr>
            <w:tcW w:w="1252" w:type="dxa"/>
            <w:tcBorders>
              <w:top w:val="nil"/>
              <w:left w:val="nil"/>
              <w:bottom w:val="nil"/>
              <w:right w:val="nil"/>
            </w:tcBorders>
            <w:shd w:val="clear" w:color="auto" w:fill="auto"/>
            <w:noWrap/>
            <w:vAlign w:val="bottom"/>
            <w:hideMark/>
          </w:tcPr>
          <w:p w:rsidR="003174F8" w:rsidRDefault="003174F8" w:rsidP="003F3760">
            <w:pPr>
              <w:jc w:val="right"/>
              <w:rPr>
                <w:color w:val="000000"/>
                <w:sz w:val="18"/>
                <w:szCs w:val="18"/>
              </w:rPr>
            </w:pPr>
            <w:r>
              <w:rPr>
                <w:color w:val="000000"/>
                <w:sz w:val="18"/>
                <w:szCs w:val="18"/>
              </w:rPr>
              <w:t>581,6</w:t>
            </w:r>
          </w:p>
        </w:tc>
        <w:tc>
          <w:tcPr>
            <w:tcW w:w="1199" w:type="dxa"/>
            <w:tcBorders>
              <w:top w:val="nil"/>
              <w:left w:val="nil"/>
              <w:bottom w:val="nil"/>
              <w:right w:val="nil"/>
            </w:tcBorders>
            <w:shd w:val="clear" w:color="auto" w:fill="auto"/>
            <w:noWrap/>
            <w:vAlign w:val="bottom"/>
          </w:tcPr>
          <w:p w:rsidR="003174F8" w:rsidRDefault="003174F8" w:rsidP="003F3760">
            <w:pPr>
              <w:jc w:val="right"/>
              <w:rPr>
                <w:color w:val="000000"/>
                <w:sz w:val="18"/>
                <w:szCs w:val="18"/>
              </w:rPr>
            </w:pPr>
          </w:p>
        </w:tc>
        <w:tc>
          <w:tcPr>
            <w:tcW w:w="1300" w:type="dxa"/>
            <w:tcBorders>
              <w:top w:val="nil"/>
              <w:left w:val="nil"/>
              <w:bottom w:val="nil"/>
              <w:right w:val="single" w:sz="8" w:space="0" w:color="auto"/>
            </w:tcBorders>
            <w:shd w:val="clear" w:color="auto" w:fill="auto"/>
            <w:noWrap/>
            <w:vAlign w:val="bottom"/>
            <w:hideMark/>
          </w:tcPr>
          <w:p w:rsidR="003174F8" w:rsidRDefault="003174F8" w:rsidP="003F3760">
            <w:pPr>
              <w:jc w:val="right"/>
              <w:rPr>
                <w:sz w:val="18"/>
                <w:szCs w:val="18"/>
              </w:rPr>
            </w:pPr>
            <w:r>
              <w:rPr>
                <w:sz w:val="18"/>
                <w:szCs w:val="18"/>
              </w:rPr>
              <w:t>86,9%</w:t>
            </w:r>
          </w:p>
        </w:tc>
      </w:tr>
      <w:tr w:rsidR="003174F8" w:rsidRPr="00B93FD2" w:rsidTr="00573521">
        <w:trPr>
          <w:trHeight w:val="255"/>
        </w:trPr>
        <w:tc>
          <w:tcPr>
            <w:tcW w:w="4263" w:type="dxa"/>
            <w:tcBorders>
              <w:top w:val="nil"/>
              <w:left w:val="single" w:sz="8" w:space="0" w:color="auto"/>
              <w:bottom w:val="nil"/>
              <w:right w:val="nil"/>
            </w:tcBorders>
            <w:shd w:val="clear" w:color="auto" w:fill="auto"/>
            <w:noWrap/>
            <w:vAlign w:val="bottom"/>
            <w:hideMark/>
          </w:tcPr>
          <w:p w:rsidR="003174F8" w:rsidRPr="004F2000" w:rsidRDefault="003174F8">
            <w:pPr>
              <w:rPr>
                <w:sz w:val="18"/>
                <w:szCs w:val="18"/>
              </w:rPr>
            </w:pPr>
            <w:r w:rsidRPr="004F2000">
              <w:rPr>
                <w:sz w:val="18"/>
                <w:szCs w:val="18"/>
              </w:rPr>
              <w:t xml:space="preserve">  Резерв за неотложни и непредвидени разходи</w:t>
            </w:r>
          </w:p>
        </w:tc>
        <w:tc>
          <w:tcPr>
            <w:tcW w:w="992" w:type="dxa"/>
            <w:tcBorders>
              <w:top w:val="nil"/>
              <w:left w:val="nil"/>
              <w:bottom w:val="nil"/>
              <w:right w:val="nil"/>
            </w:tcBorders>
            <w:shd w:val="clear" w:color="auto" w:fill="auto"/>
            <w:noWrap/>
            <w:vAlign w:val="bottom"/>
            <w:hideMark/>
          </w:tcPr>
          <w:p w:rsidR="003174F8" w:rsidRDefault="003174F8" w:rsidP="003F3760">
            <w:pPr>
              <w:jc w:val="right"/>
              <w:rPr>
                <w:sz w:val="18"/>
                <w:szCs w:val="18"/>
              </w:rPr>
            </w:pPr>
            <w:r>
              <w:rPr>
                <w:sz w:val="18"/>
                <w:szCs w:val="18"/>
              </w:rPr>
              <w:t>208,2</w:t>
            </w:r>
          </w:p>
        </w:tc>
        <w:tc>
          <w:tcPr>
            <w:tcW w:w="1087" w:type="dxa"/>
            <w:tcBorders>
              <w:top w:val="nil"/>
              <w:left w:val="nil"/>
              <w:bottom w:val="nil"/>
              <w:right w:val="nil"/>
            </w:tcBorders>
            <w:shd w:val="clear" w:color="auto" w:fill="auto"/>
            <w:noWrap/>
            <w:vAlign w:val="bottom"/>
            <w:hideMark/>
          </w:tcPr>
          <w:p w:rsidR="003174F8" w:rsidRDefault="003174F8" w:rsidP="003F3760">
            <w:pPr>
              <w:rPr>
                <w:sz w:val="18"/>
                <w:szCs w:val="18"/>
              </w:rPr>
            </w:pPr>
            <w:r>
              <w:rPr>
                <w:sz w:val="18"/>
                <w:szCs w:val="18"/>
              </w:rPr>
              <w:t> </w:t>
            </w:r>
          </w:p>
        </w:tc>
        <w:tc>
          <w:tcPr>
            <w:tcW w:w="1252" w:type="dxa"/>
            <w:tcBorders>
              <w:top w:val="nil"/>
              <w:left w:val="nil"/>
              <w:bottom w:val="nil"/>
              <w:right w:val="nil"/>
            </w:tcBorders>
            <w:shd w:val="clear" w:color="auto" w:fill="auto"/>
            <w:noWrap/>
            <w:vAlign w:val="bottom"/>
            <w:hideMark/>
          </w:tcPr>
          <w:p w:rsidR="003174F8" w:rsidRDefault="003174F8" w:rsidP="003F3760">
            <w:pPr>
              <w:rPr>
                <w:color w:val="000000"/>
                <w:sz w:val="18"/>
                <w:szCs w:val="18"/>
              </w:rPr>
            </w:pPr>
          </w:p>
        </w:tc>
        <w:tc>
          <w:tcPr>
            <w:tcW w:w="1199" w:type="dxa"/>
            <w:tcBorders>
              <w:top w:val="nil"/>
              <w:left w:val="nil"/>
              <w:bottom w:val="nil"/>
              <w:right w:val="nil"/>
            </w:tcBorders>
            <w:shd w:val="clear" w:color="auto" w:fill="auto"/>
            <w:noWrap/>
            <w:vAlign w:val="bottom"/>
          </w:tcPr>
          <w:p w:rsidR="003174F8" w:rsidRDefault="003174F8" w:rsidP="003F3760">
            <w:pPr>
              <w:rPr>
                <w:color w:val="000000"/>
                <w:sz w:val="18"/>
                <w:szCs w:val="18"/>
              </w:rPr>
            </w:pPr>
          </w:p>
        </w:tc>
        <w:tc>
          <w:tcPr>
            <w:tcW w:w="1300" w:type="dxa"/>
            <w:tcBorders>
              <w:top w:val="nil"/>
              <w:left w:val="nil"/>
              <w:bottom w:val="nil"/>
              <w:right w:val="single" w:sz="8" w:space="0" w:color="auto"/>
            </w:tcBorders>
            <w:shd w:val="clear" w:color="auto" w:fill="auto"/>
            <w:noWrap/>
            <w:vAlign w:val="bottom"/>
            <w:hideMark/>
          </w:tcPr>
          <w:p w:rsidR="003174F8" w:rsidRDefault="003174F8" w:rsidP="003F3760">
            <w:pPr>
              <w:rPr>
                <w:sz w:val="18"/>
                <w:szCs w:val="18"/>
              </w:rPr>
            </w:pPr>
            <w:r>
              <w:rPr>
                <w:sz w:val="18"/>
                <w:szCs w:val="18"/>
              </w:rPr>
              <w:t> </w:t>
            </w:r>
          </w:p>
        </w:tc>
      </w:tr>
      <w:tr w:rsidR="003174F8" w:rsidRPr="00B93FD2" w:rsidTr="00573521">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3174F8" w:rsidRPr="004F2000" w:rsidRDefault="003174F8">
            <w:pPr>
              <w:rPr>
                <w:sz w:val="18"/>
                <w:szCs w:val="18"/>
              </w:rPr>
            </w:pPr>
            <w:r w:rsidRPr="004F2000">
              <w:rPr>
                <w:sz w:val="18"/>
                <w:szCs w:val="18"/>
              </w:rPr>
              <w:t xml:space="preserve">  Вноска за общия бюджет на ЕС</w:t>
            </w:r>
          </w:p>
        </w:tc>
        <w:tc>
          <w:tcPr>
            <w:tcW w:w="992" w:type="dxa"/>
            <w:tcBorders>
              <w:top w:val="nil"/>
              <w:left w:val="nil"/>
              <w:bottom w:val="single" w:sz="4" w:space="0" w:color="auto"/>
              <w:right w:val="nil"/>
            </w:tcBorders>
            <w:shd w:val="clear" w:color="auto" w:fill="auto"/>
            <w:noWrap/>
            <w:vAlign w:val="bottom"/>
            <w:hideMark/>
          </w:tcPr>
          <w:p w:rsidR="003174F8" w:rsidRDefault="003174F8" w:rsidP="003F3760">
            <w:pPr>
              <w:jc w:val="right"/>
              <w:rPr>
                <w:sz w:val="18"/>
                <w:szCs w:val="18"/>
              </w:rPr>
            </w:pPr>
            <w:r>
              <w:rPr>
                <w:sz w:val="18"/>
                <w:szCs w:val="18"/>
              </w:rPr>
              <w:t>1 282,1</w:t>
            </w:r>
          </w:p>
        </w:tc>
        <w:tc>
          <w:tcPr>
            <w:tcW w:w="1087" w:type="dxa"/>
            <w:tcBorders>
              <w:top w:val="nil"/>
              <w:left w:val="nil"/>
              <w:bottom w:val="single" w:sz="4" w:space="0" w:color="auto"/>
              <w:right w:val="nil"/>
            </w:tcBorders>
            <w:shd w:val="clear" w:color="auto" w:fill="auto"/>
            <w:noWrap/>
            <w:vAlign w:val="bottom"/>
            <w:hideMark/>
          </w:tcPr>
          <w:p w:rsidR="003174F8" w:rsidRDefault="003174F8" w:rsidP="003F3760">
            <w:pPr>
              <w:jc w:val="right"/>
              <w:rPr>
                <w:sz w:val="18"/>
                <w:szCs w:val="18"/>
              </w:rPr>
            </w:pPr>
            <w:r>
              <w:rPr>
                <w:sz w:val="18"/>
                <w:szCs w:val="18"/>
              </w:rPr>
              <w:t>997,5</w:t>
            </w:r>
          </w:p>
        </w:tc>
        <w:tc>
          <w:tcPr>
            <w:tcW w:w="1252" w:type="dxa"/>
            <w:tcBorders>
              <w:top w:val="nil"/>
              <w:left w:val="nil"/>
              <w:bottom w:val="single" w:sz="4" w:space="0" w:color="auto"/>
              <w:right w:val="nil"/>
            </w:tcBorders>
            <w:shd w:val="clear" w:color="auto" w:fill="auto"/>
            <w:noWrap/>
            <w:vAlign w:val="bottom"/>
            <w:hideMark/>
          </w:tcPr>
          <w:p w:rsidR="003174F8" w:rsidRDefault="003174F8" w:rsidP="003F3760">
            <w:pPr>
              <w:jc w:val="right"/>
              <w:rPr>
                <w:color w:val="000000"/>
                <w:sz w:val="18"/>
                <w:szCs w:val="18"/>
              </w:rPr>
            </w:pPr>
            <w:r>
              <w:rPr>
                <w:color w:val="000000"/>
                <w:sz w:val="18"/>
                <w:szCs w:val="18"/>
              </w:rPr>
              <w:t>997,5</w:t>
            </w:r>
          </w:p>
        </w:tc>
        <w:tc>
          <w:tcPr>
            <w:tcW w:w="1199" w:type="dxa"/>
            <w:tcBorders>
              <w:top w:val="nil"/>
              <w:left w:val="nil"/>
              <w:bottom w:val="single" w:sz="4" w:space="0" w:color="auto"/>
              <w:right w:val="nil"/>
            </w:tcBorders>
            <w:shd w:val="clear" w:color="auto" w:fill="auto"/>
            <w:noWrap/>
            <w:vAlign w:val="bottom"/>
          </w:tcPr>
          <w:p w:rsidR="003174F8" w:rsidRDefault="003174F8" w:rsidP="003F3760">
            <w:pPr>
              <w:jc w:val="right"/>
              <w:rPr>
                <w:color w:val="000000"/>
                <w:sz w:val="18"/>
                <w:szCs w:val="18"/>
              </w:rPr>
            </w:pPr>
          </w:p>
        </w:tc>
        <w:tc>
          <w:tcPr>
            <w:tcW w:w="1300" w:type="dxa"/>
            <w:tcBorders>
              <w:top w:val="nil"/>
              <w:left w:val="nil"/>
              <w:bottom w:val="single" w:sz="4" w:space="0" w:color="auto"/>
              <w:right w:val="single" w:sz="8" w:space="0" w:color="auto"/>
            </w:tcBorders>
            <w:shd w:val="clear" w:color="auto" w:fill="auto"/>
            <w:noWrap/>
            <w:vAlign w:val="bottom"/>
            <w:hideMark/>
          </w:tcPr>
          <w:p w:rsidR="003174F8" w:rsidRDefault="003174F8" w:rsidP="003F3760">
            <w:pPr>
              <w:jc w:val="right"/>
              <w:rPr>
                <w:sz w:val="18"/>
                <w:szCs w:val="18"/>
              </w:rPr>
            </w:pPr>
            <w:r>
              <w:rPr>
                <w:sz w:val="18"/>
                <w:szCs w:val="18"/>
              </w:rPr>
              <w:t>77,8%</w:t>
            </w:r>
          </w:p>
        </w:tc>
      </w:tr>
      <w:tr w:rsidR="003174F8" w:rsidRPr="00B93FD2" w:rsidTr="00F52838">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3174F8" w:rsidRPr="004F2000" w:rsidRDefault="003174F8">
            <w:pPr>
              <w:rPr>
                <w:sz w:val="18"/>
                <w:szCs w:val="18"/>
              </w:rPr>
            </w:pPr>
            <w:r w:rsidRPr="004F2000">
              <w:rPr>
                <w:sz w:val="18"/>
                <w:szCs w:val="18"/>
              </w:rPr>
              <w:t>Трансфери</w:t>
            </w:r>
            <w:r w:rsidRPr="004F2000">
              <w:rPr>
                <w:sz w:val="18"/>
                <w:szCs w:val="18"/>
                <w:lang w:val="en-US"/>
              </w:rPr>
              <w:t xml:space="preserve"> </w:t>
            </w:r>
            <w:r w:rsidRPr="004F2000">
              <w:rPr>
                <w:sz w:val="18"/>
                <w:szCs w:val="18"/>
              </w:rPr>
              <w:t>-</w:t>
            </w:r>
            <w:r w:rsidRPr="004F2000">
              <w:rPr>
                <w:sz w:val="18"/>
                <w:szCs w:val="18"/>
                <w:lang w:val="en-US"/>
              </w:rPr>
              <w:t xml:space="preserve"> </w:t>
            </w:r>
            <w:r w:rsidRPr="004F2000">
              <w:rPr>
                <w:sz w:val="18"/>
                <w:szCs w:val="18"/>
              </w:rPr>
              <w:t>нето</w:t>
            </w:r>
          </w:p>
        </w:tc>
        <w:tc>
          <w:tcPr>
            <w:tcW w:w="992" w:type="dxa"/>
            <w:tcBorders>
              <w:top w:val="nil"/>
              <w:left w:val="nil"/>
              <w:bottom w:val="single" w:sz="4" w:space="0" w:color="auto"/>
              <w:right w:val="nil"/>
            </w:tcBorders>
            <w:shd w:val="clear" w:color="auto" w:fill="auto"/>
            <w:noWrap/>
            <w:vAlign w:val="bottom"/>
            <w:hideMark/>
          </w:tcPr>
          <w:p w:rsidR="003174F8" w:rsidRPr="00B93FD2" w:rsidRDefault="003174F8" w:rsidP="003F3760">
            <w:pPr>
              <w:rPr>
                <w:color w:val="4F81BD" w:themeColor="accent1"/>
                <w:sz w:val="18"/>
                <w:szCs w:val="18"/>
              </w:rPr>
            </w:pPr>
          </w:p>
        </w:tc>
        <w:tc>
          <w:tcPr>
            <w:tcW w:w="1087" w:type="dxa"/>
            <w:tcBorders>
              <w:top w:val="nil"/>
              <w:left w:val="nil"/>
              <w:bottom w:val="single" w:sz="4" w:space="0" w:color="auto"/>
              <w:right w:val="nil"/>
            </w:tcBorders>
            <w:shd w:val="clear" w:color="auto" w:fill="auto"/>
            <w:noWrap/>
            <w:vAlign w:val="bottom"/>
            <w:hideMark/>
          </w:tcPr>
          <w:p w:rsidR="003174F8" w:rsidRPr="00B93FD2" w:rsidRDefault="003174F8" w:rsidP="003F3760">
            <w:pPr>
              <w:jc w:val="right"/>
              <w:rPr>
                <w:b/>
                <w:bCs/>
                <w:color w:val="4F81BD" w:themeColor="accent1"/>
                <w:sz w:val="18"/>
                <w:szCs w:val="18"/>
              </w:rPr>
            </w:pPr>
          </w:p>
        </w:tc>
        <w:tc>
          <w:tcPr>
            <w:tcW w:w="1252" w:type="dxa"/>
            <w:tcBorders>
              <w:top w:val="nil"/>
              <w:left w:val="nil"/>
              <w:bottom w:val="single" w:sz="4" w:space="0" w:color="auto"/>
              <w:right w:val="nil"/>
            </w:tcBorders>
            <w:shd w:val="clear" w:color="auto" w:fill="auto"/>
            <w:noWrap/>
            <w:vAlign w:val="bottom"/>
            <w:hideMark/>
          </w:tcPr>
          <w:p w:rsidR="003174F8" w:rsidRDefault="003174F8" w:rsidP="003F3760">
            <w:pPr>
              <w:jc w:val="right"/>
              <w:rPr>
                <w:color w:val="000000"/>
                <w:sz w:val="18"/>
                <w:szCs w:val="18"/>
              </w:rPr>
            </w:pPr>
            <w:r>
              <w:rPr>
                <w:color w:val="000000"/>
                <w:sz w:val="18"/>
                <w:szCs w:val="18"/>
              </w:rPr>
              <w:t>-462,6</w:t>
            </w:r>
          </w:p>
        </w:tc>
        <w:tc>
          <w:tcPr>
            <w:tcW w:w="1199" w:type="dxa"/>
            <w:tcBorders>
              <w:top w:val="nil"/>
              <w:left w:val="nil"/>
              <w:bottom w:val="single" w:sz="4" w:space="0" w:color="auto"/>
              <w:right w:val="nil"/>
            </w:tcBorders>
            <w:shd w:val="clear" w:color="auto" w:fill="auto"/>
            <w:noWrap/>
            <w:vAlign w:val="bottom"/>
            <w:hideMark/>
          </w:tcPr>
          <w:p w:rsidR="003174F8" w:rsidRDefault="003174F8" w:rsidP="003F3760">
            <w:pPr>
              <w:jc w:val="right"/>
              <w:rPr>
                <w:color w:val="000000"/>
                <w:sz w:val="18"/>
                <w:szCs w:val="18"/>
              </w:rPr>
            </w:pPr>
            <w:r>
              <w:rPr>
                <w:color w:val="000000"/>
                <w:sz w:val="18"/>
                <w:szCs w:val="18"/>
              </w:rPr>
              <w:t>462,6</w:t>
            </w:r>
          </w:p>
        </w:tc>
        <w:tc>
          <w:tcPr>
            <w:tcW w:w="1300" w:type="dxa"/>
            <w:tcBorders>
              <w:top w:val="nil"/>
              <w:left w:val="nil"/>
              <w:bottom w:val="single" w:sz="4" w:space="0" w:color="auto"/>
              <w:right w:val="single" w:sz="8" w:space="0" w:color="auto"/>
            </w:tcBorders>
            <w:shd w:val="clear" w:color="auto" w:fill="auto"/>
            <w:noWrap/>
            <w:vAlign w:val="bottom"/>
            <w:hideMark/>
          </w:tcPr>
          <w:p w:rsidR="003174F8" w:rsidRPr="00B93FD2" w:rsidRDefault="003174F8" w:rsidP="003F3760">
            <w:pPr>
              <w:rPr>
                <w:b/>
                <w:bCs/>
                <w:color w:val="4F81BD" w:themeColor="accent1"/>
                <w:sz w:val="18"/>
                <w:szCs w:val="18"/>
              </w:rPr>
            </w:pPr>
            <w:r w:rsidRPr="00B93FD2">
              <w:rPr>
                <w:b/>
                <w:bCs/>
                <w:color w:val="4F81BD" w:themeColor="accent1"/>
                <w:sz w:val="18"/>
                <w:szCs w:val="18"/>
              </w:rPr>
              <w:t> </w:t>
            </w:r>
          </w:p>
        </w:tc>
      </w:tr>
      <w:tr w:rsidR="003174F8" w:rsidRPr="00B93FD2" w:rsidTr="00F52838">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3174F8" w:rsidRPr="004F2000" w:rsidRDefault="003174F8">
            <w:pPr>
              <w:rPr>
                <w:b/>
                <w:bCs/>
                <w:sz w:val="18"/>
                <w:szCs w:val="18"/>
              </w:rPr>
            </w:pPr>
            <w:r w:rsidRPr="004F2000">
              <w:rPr>
                <w:b/>
                <w:bCs/>
                <w:sz w:val="18"/>
                <w:szCs w:val="18"/>
              </w:rPr>
              <w:t>БЮДЖЕТНО САЛДО</w:t>
            </w:r>
          </w:p>
        </w:tc>
        <w:tc>
          <w:tcPr>
            <w:tcW w:w="992" w:type="dxa"/>
            <w:tcBorders>
              <w:top w:val="nil"/>
              <w:left w:val="nil"/>
              <w:bottom w:val="single" w:sz="8" w:space="0" w:color="auto"/>
              <w:right w:val="nil"/>
            </w:tcBorders>
            <w:shd w:val="clear" w:color="000000" w:fill="D9D9D9"/>
            <w:noWrap/>
            <w:vAlign w:val="bottom"/>
            <w:hideMark/>
          </w:tcPr>
          <w:p w:rsidR="003174F8" w:rsidRDefault="003174F8" w:rsidP="003F3760">
            <w:pPr>
              <w:jc w:val="right"/>
              <w:rPr>
                <w:b/>
                <w:bCs/>
                <w:sz w:val="20"/>
                <w:szCs w:val="20"/>
              </w:rPr>
            </w:pPr>
            <w:r>
              <w:rPr>
                <w:b/>
                <w:bCs/>
                <w:sz w:val="20"/>
                <w:szCs w:val="20"/>
              </w:rPr>
              <w:t>-2 429,0</w:t>
            </w:r>
          </w:p>
        </w:tc>
        <w:tc>
          <w:tcPr>
            <w:tcW w:w="1087" w:type="dxa"/>
            <w:tcBorders>
              <w:top w:val="nil"/>
              <w:left w:val="nil"/>
              <w:bottom w:val="single" w:sz="8" w:space="0" w:color="auto"/>
              <w:right w:val="nil"/>
            </w:tcBorders>
            <w:shd w:val="clear" w:color="000000" w:fill="D9D9D9"/>
            <w:noWrap/>
            <w:vAlign w:val="bottom"/>
            <w:hideMark/>
          </w:tcPr>
          <w:p w:rsidR="003174F8" w:rsidRDefault="003174F8" w:rsidP="003F3760">
            <w:pPr>
              <w:jc w:val="right"/>
              <w:rPr>
                <w:b/>
                <w:bCs/>
                <w:sz w:val="20"/>
                <w:szCs w:val="20"/>
              </w:rPr>
            </w:pPr>
            <w:r>
              <w:rPr>
                <w:b/>
                <w:bCs/>
                <w:sz w:val="20"/>
                <w:szCs w:val="20"/>
              </w:rPr>
              <w:t>1 264,5</w:t>
            </w:r>
          </w:p>
        </w:tc>
        <w:tc>
          <w:tcPr>
            <w:tcW w:w="1252" w:type="dxa"/>
            <w:tcBorders>
              <w:top w:val="nil"/>
              <w:left w:val="nil"/>
              <w:bottom w:val="single" w:sz="8" w:space="0" w:color="auto"/>
              <w:right w:val="nil"/>
            </w:tcBorders>
            <w:shd w:val="clear" w:color="000000" w:fill="D9D9D9"/>
            <w:noWrap/>
            <w:vAlign w:val="bottom"/>
            <w:hideMark/>
          </w:tcPr>
          <w:p w:rsidR="003174F8" w:rsidRDefault="003174F8" w:rsidP="003F3760">
            <w:pPr>
              <w:jc w:val="right"/>
              <w:rPr>
                <w:b/>
                <w:bCs/>
                <w:color w:val="000000"/>
                <w:sz w:val="20"/>
                <w:szCs w:val="20"/>
              </w:rPr>
            </w:pPr>
            <w:r>
              <w:rPr>
                <w:b/>
                <w:bCs/>
                <w:color w:val="000000"/>
                <w:sz w:val="20"/>
                <w:szCs w:val="20"/>
              </w:rPr>
              <w:t>1 205,7</w:t>
            </w:r>
          </w:p>
        </w:tc>
        <w:tc>
          <w:tcPr>
            <w:tcW w:w="1199" w:type="dxa"/>
            <w:tcBorders>
              <w:top w:val="nil"/>
              <w:left w:val="nil"/>
              <w:bottom w:val="single" w:sz="8" w:space="0" w:color="auto"/>
              <w:right w:val="nil"/>
            </w:tcBorders>
            <w:shd w:val="clear" w:color="000000" w:fill="D9D9D9"/>
            <w:noWrap/>
            <w:vAlign w:val="bottom"/>
            <w:hideMark/>
          </w:tcPr>
          <w:p w:rsidR="003174F8" w:rsidRDefault="003174F8" w:rsidP="003F3760">
            <w:pPr>
              <w:jc w:val="right"/>
              <w:rPr>
                <w:b/>
                <w:bCs/>
                <w:color w:val="000000"/>
                <w:sz w:val="20"/>
                <w:szCs w:val="20"/>
              </w:rPr>
            </w:pPr>
            <w:r>
              <w:rPr>
                <w:b/>
                <w:bCs/>
                <w:color w:val="000000"/>
                <w:sz w:val="20"/>
                <w:szCs w:val="20"/>
              </w:rPr>
              <w:t>58,8</w:t>
            </w:r>
          </w:p>
        </w:tc>
        <w:tc>
          <w:tcPr>
            <w:tcW w:w="1300" w:type="dxa"/>
            <w:tcBorders>
              <w:top w:val="nil"/>
              <w:left w:val="nil"/>
              <w:bottom w:val="single" w:sz="8" w:space="0" w:color="auto"/>
              <w:right w:val="single" w:sz="8" w:space="0" w:color="auto"/>
            </w:tcBorders>
            <w:shd w:val="clear" w:color="000000" w:fill="D9D9D9"/>
            <w:noWrap/>
            <w:vAlign w:val="bottom"/>
            <w:hideMark/>
          </w:tcPr>
          <w:p w:rsidR="003174F8" w:rsidRDefault="003174F8" w:rsidP="003F3760">
            <w:pPr>
              <w:rPr>
                <w:b/>
                <w:bCs/>
                <w:sz w:val="20"/>
                <w:szCs w:val="20"/>
              </w:rPr>
            </w:pPr>
            <w:r>
              <w:rPr>
                <w:b/>
                <w:bCs/>
                <w:sz w:val="20"/>
                <w:szCs w:val="20"/>
              </w:rPr>
              <w:t> </w:t>
            </w:r>
          </w:p>
        </w:tc>
      </w:tr>
    </w:tbl>
    <w:p w:rsidR="00E74802" w:rsidRPr="00B93FD2" w:rsidRDefault="00E74802" w:rsidP="00E74802">
      <w:pPr>
        <w:ind w:left="360"/>
        <w:jc w:val="both"/>
        <w:rPr>
          <w:color w:val="4F81BD" w:themeColor="accent1"/>
          <w:sz w:val="22"/>
        </w:rPr>
      </w:pPr>
    </w:p>
    <w:p w:rsidR="00B13128" w:rsidRPr="00B13128" w:rsidRDefault="00B13128" w:rsidP="00B13128">
      <w:pPr>
        <w:numPr>
          <w:ilvl w:val="1"/>
          <w:numId w:val="11"/>
        </w:numPr>
        <w:tabs>
          <w:tab w:val="num" w:pos="426"/>
        </w:tabs>
        <w:ind w:left="0" w:firstLine="0"/>
        <w:jc w:val="both"/>
        <w:rPr>
          <w:rFonts w:eastAsia="Calibri"/>
          <w:color w:val="4F81BD" w:themeColor="accent1"/>
        </w:rPr>
      </w:pPr>
      <w:r w:rsidRPr="00B13128">
        <w:rPr>
          <w:b/>
        </w:rPr>
        <w:t>Приходите, помощите и даренията по консолидираната фискална програма</w:t>
      </w:r>
      <w:r w:rsidRPr="00B13128">
        <w:t xml:space="preserve"> (КФП) към края на</w:t>
      </w:r>
      <w:r w:rsidRPr="00B13128">
        <w:rPr>
          <w:b/>
        </w:rPr>
        <w:t xml:space="preserve"> </w:t>
      </w:r>
      <w:r w:rsidR="00706583" w:rsidRPr="00706583">
        <w:t>деветмесечието</w:t>
      </w:r>
      <w:r w:rsidRPr="00B13128">
        <w:t xml:space="preserve"> на</w:t>
      </w:r>
      <w:r w:rsidRPr="00B13128">
        <w:rPr>
          <w:b/>
        </w:rPr>
        <w:t xml:space="preserve"> </w:t>
      </w:r>
      <w:r w:rsidRPr="00B13128">
        <w:t xml:space="preserve">2019 г. са в размер на </w:t>
      </w:r>
      <w:r w:rsidRPr="00B13128">
        <w:rPr>
          <w:b/>
          <w:bCs/>
          <w:lang w:val="en-US"/>
        </w:rPr>
        <w:t>32 797</w:t>
      </w:r>
      <w:r w:rsidRPr="00B13128">
        <w:rPr>
          <w:b/>
          <w:bCs/>
        </w:rPr>
        <w:t>,9</w:t>
      </w:r>
      <w:r w:rsidRPr="00B13128">
        <w:rPr>
          <w:b/>
          <w:bCs/>
          <w:lang w:val="en-US"/>
        </w:rPr>
        <w:t> </w:t>
      </w:r>
      <w:r w:rsidRPr="00B13128">
        <w:rPr>
          <w:b/>
        </w:rPr>
        <w:t>млн. лв.,</w:t>
      </w:r>
      <w:r w:rsidRPr="00B13128">
        <w:t xml:space="preserve"> което представлява 74,8 % от годишните разчети към ЗДБРБ за 2019 г. </w:t>
      </w:r>
      <w:r w:rsidRPr="00B13128">
        <w:rPr>
          <w:rFonts w:eastAsia="Calibri"/>
        </w:rPr>
        <w:t>Съпоставени със същия период на предходната година</w:t>
      </w:r>
      <w:r w:rsidR="00EC5B0D">
        <w:rPr>
          <w:rFonts w:eastAsia="Calibri"/>
        </w:rPr>
        <w:t>,</w:t>
      </w:r>
      <w:r w:rsidRPr="00B13128">
        <w:rPr>
          <w:rFonts w:eastAsia="Calibri"/>
        </w:rPr>
        <w:t xml:space="preserve"> приходите, помощите и даренията</w:t>
      </w:r>
      <w:r w:rsidRPr="00B13128">
        <w:rPr>
          <w:rFonts w:eastAsia="Calibri"/>
          <w:b/>
        </w:rPr>
        <w:t xml:space="preserve"> </w:t>
      </w:r>
      <w:r w:rsidRPr="00B13128">
        <w:rPr>
          <w:rFonts w:eastAsia="Calibri"/>
        </w:rPr>
        <w:t>по КФП нарастват номинално с 3 634,3 млн. лв., в т.ч. данъчните и неданъчните приходи - с 3 224,6</w:t>
      </w:r>
      <w:r w:rsidRPr="00B13128">
        <w:rPr>
          <w:rFonts w:eastAsia="Calibri"/>
          <w:b/>
          <w:bCs/>
          <w:lang w:val="en-US"/>
        </w:rPr>
        <w:t> </w:t>
      </w:r>
      <w:r w:rsidRPr="00B13128">
        <w:rPr>
          <w:rFonts w:eastAsia="Calibri"/>
        </w:rPr>
        <w:t xml:space="preserve">млн. лв. (11,6 %) и постъпленията от помощи и дарения </w:t>
      </w:r>
      <w:r w:rsidRPr="00B13128">
        <w:rPr>
          <w:rFonts w:eastAsia="Calibri"/>
          <w:lang w:val="en-US"/>
        </w:rPr>
        <w:t>(основно грантове по програмите и фондовете на ЕС)</w:t>
      </w:r>
      <w:r w:rsidRPr="00B13128">
        <w:rPr>
          <w:rFonts w:eastAsia="Calibri"/>
        </w:rPr>
        <w:t xml:space="preserve"> - с 409,7 млн. лева. </w:t>
      </w:r>
    </w:p>
    <w:p w:rsidR="00B13128" w:rsidRPr="00B13128" w:rsidRDefault="00B13128" w:rsidP="00B13128">
      <w:pPr>
        <w:spacing w:before="120"/>
        <w:jc w:val="both"/>
      </w:pPr>
      <w:r w:rsidRPr="00B13128">
        <w:t>Общата сума</w:t>
      </w:r>
      <w:r w:rsidRPr="00B13128">
        <w:rPr>
          <w:b/>
        </w:rPr>
        <w:t xml:space="preserve"> </w:t>
      </w:r>
      <w:r w:rsidRPr="00B13128">
        <w:t>на</w:t>
      </w:r>
      <w:r w:rsidRPr="00B13128">
        <w:rPr>
          <w:b/>
        </w:rPr>
        <w:t xml:space="preserve"> </w:t>
      </w:r>
      <w:r w:rsidRPr="00B13128">
        <w:rPr>
          <w:b/>
          <w:i/>
        </w:rPr>
        <w:t>данъчните постъпления</w:t>
      </w:r>
      <w:r w:rsidRPr="00B13128">
        <w:t xml:space="preserve"> (вкл. приходите от осигурителни вноски) са в размер на </w:t>
      </w:r>
      <w:r w:rsidRPr="00B13128">
        <w:rPr>
          <w:b/>
          <w:i/>
        </w:rPr>
        <w:t>26 096,2  млн. лв</w:t>
      </w:r>
      <w:r w:rsidRPr="00B13128">
        <w:rPr>
          <w:i/>
        </w:rPr>
        <w:t>.</w:t>
      </w:r>
      <w:r w:rsidRPr="00B13128">
        <w:t xml:space="preserve">, което представлява 79,6 % от общите постъпления по КФП за периода. Постъпленията в групата представляват 75,5 % от разчета за годината и нарастват номинално с 2 107,7 млн. лв. (8,8 %) спрямо отчетените към септември 2018 година. Приходите в частта на </w:t>
      </w:r>
      <w:r w:rsidRPr="00B13128">
        <w:rPr>
          <w:i/>
        </w:rPr>
        <w:t xml:space="preserve">преките данъци </w:t>
      </w:r>
      <w:r w:rsidRPr="00B13128">
        <w:t>възлизат на 4 660,2 млн. лв., което представлява 71,0 % от разчета за 2019 г. Съпоставени със същия период на 2018 г., преките данъци нарастват със 7,9 % (342,4 млн. лв.).</w:t>
      </w:r>
      <w:r w:rsidRPr="00B13128">
        <w:rPr>
          <w:rFonts w:ascii="Arial" w:hAnsi="Arial" w:cs="Arial"/>
        </w:rPr>
        <w:t xml:space="preserve"> </w:t>
      </w:r>
      <w:r w:rsidRPr="00B13128">
        <w:t xml:space="preserve">Приходите от </w:t>
      </w:r>
      <w:r w:rsidRPr="00B13128">
        <w:rPr>
          <w:i/>
        </w:rPr>
        <w:t>косвени данъци</w:t>
      </w:r>
      <w:r w:rsidRPr="00B13128">
        <w:t xml:space="preserve"> са в размер </w:t>
      </w:r>
      <w:r w:rsidRPr="00B13128">
        <w:lastRenderedPageBreak/>
        <w:t>на 12 758,7 млн. лв., което представлява 77,6 % от годишния разчет. Съпоставени с деветмесечието на 2018 г.</w:t>
      </w:r>
      <w:r w:rsidR="00EC5B0D">
        <w:t>,</w:t>
      </w:r>
      <w:r w:rsidRPr="00B13128">
        <w:t xml:space="preserve"> косвените данъци бележат ръст от 7,8 % (920,5 млн. лв.). Постъпленията от </w:t>
      </w:r>
      <w:r w:rsidRPr="00B13128">
        <w:rPr>
          <w:i/>
        </w:rPr>
        <w:t>други данъци</w:t>
      </w:r>
      <w:r w:rsidRPr="00B13128">
        <w:t xml:space="preserve"> (включват други данъци по ЗКПО, имуществени данъци и др.) са 927,7 млн. лв., което представлява 79,3 % от разчетите към ЗДБРБ за 2019 г. и сравнени със септември 2018 г. нарастват с 4,6 % </w:t>
      </w:r>
      <w:r w:rsidRPr="00B13128">
        <w:rPr>
          <w:lang w:val="en-US"/>
        </w:rPr>
        <w:t>(</w:t>
      </w:r>
      <w:r w:rsidRPr="00B13128">
        <w:t>40,9 млн. лв.</w:t>
      </w:r>
      <w:r w:rsidRPr="00B13128">
        <w:rPr>
          <w:lang w:val="en-US"/>
        </w:rPr>
        <w:t>)</w:t>
      </w:r>
      <w:r w:rsidRPr="00B13128">
        <w:t xml:space="preserve">. Приходите от </w:t>
      </w:r>
      <w:r w:rsidRPr="00B13128">
        <w:rPr>
          <w:b/>
          <w:i/>
        </w:rPr>
        <w:t>социалноосигурителни и здравни вноски</w:t>
      </w:r>
      <w:r w:rsidRPr="00B13128">
        <w:rPr>
          <w:b/>
        </w:rPr>
        <w:t xml:space="preserve"> </w:t>
      </w:r>
      <w:r w:rsidRPr="00B13128">
        <w:t xml:space="preserve">към 30.09.2019 г. са в размер на 7 749,6 млн. лв. или 74,7 % от планираните за годината, като спрямо същия период на предходната година нарастват с 803,9 млн. лева. (11,6 %). </w:t>
      </w:r>
    </w:p>
    <w:p w:rsidR="00B13128" w:rsidRPr="00B13128" w:rsidRDefault="00B13128" w:rsidP="00B13128">
      <w:pPr>
        <w:spacing w:before="120"/>
        <w:jc w:val="both"/>
        <w:rPr>
          <w:color w:val="4F81BD" w:themeColor="accent1"/>
        </w:rPr>
      </w:pPr>
      <w:r w:rsidRPr="00B13128">
        <w:rPr>
          <w:b/>
          <w:bCs/>
          <w:i/>
          <w:iCs/>
        </w:rPr>
        <w:t>Неданъчните приходи</w:t>
      </w:r>
      <w:r w:rsidRPr="00B13128">
        <w:rPr>
          <w:b/>
          <w:bCs/>
          <w:iCs/>
        </w:rPr>
        <w:t xml:space="preserve"> </w:t>
      </w:r>
      <w:r w:rsidRPr="00B13128">
        <w:t xml:space="preserve">са в размер на </w:t>
      </w:r>
      <w:r w:rsidRPr="00B13128">
        <w:rPr>
          <w:b/>
          <w:bCs/>
          <w:i/>
        </w:rPr>
        <w:t>4 954,9</w:t>
      </w:r>
      <w:r w:rsidRPr="00B13128">
        <w:rPr>
          <w:b/>
          <w:i/>
        </w:rPr>
        <w:t xml:space="preserve"> </w:t>
      </w:r>
      <w:r w:rsidRPr="00B13128">
        <w:rPr>
          <w:b/>
          <w:bCs/>
          <w:i/>
        </w:rPr>
        <w:t>млн. лв.</w:t>
      </w:r>
      <w:r w:rsidRPr="00B13128">
        <w:rPr>
          <w:b/>
          <w:bCs/>
        </w:rPr>
        <w:t>,</w:t>
      </w:r>
      <w:r w:rsidRPr="00B13128">
        <w:rPr>
          <w:b/>
          <w:i/>
        </w:rPr>
        <w:t xml:space="preserve"> </w:t>
      </w:r>
      <w:r w:rsidRPr="00B13128">
        <w:t>което представлява</w:t>
      </w:r>
      <w:r w:rsidRPr="00B13128">
        <w:rPr>
          <w:i/>
        </w:rPr>
        <w:t xml:space="preserve"> </w:t>
      </w:r>
      <w:r w:rsidRPr="00B13128">
        <w:t>74,8 %</w:t>
      </w:r>
      <w:r w:rsidRPr="00B13128">
        <w:rPr>
          <w:b/>
          <w:i/>
        </w:rPr>
        <w:t xml:space="preserve"> </w:t>
      </w:r>
      <w:r w:rsidRPr="00B13128">
        <w:t>от</w:t>
      </w:r>
      <w:r w:rsidRPr="00B13128">
        <w:rPr>
          <w:b/>
          <w:i/>
        </w:rPr>
        <w:t xml:space="preserve"> </w:t>
      </w:r>
      <w:r w:rsidRPr="00B13128">
        <w:t xml:space="preserve">годишните разчети. </w:t>
      </w:r>
      <w:r w:rsidRPr="00B13128">
        <w:rPr>
          <w:rFonts w:eastAsia="Calibri"/>
        </w:rPr>
        <w:t>При неданъчните приходи се проявява базов ефект в частта на приходите по бюджета на Фонд „Сигурност на електроенергийната система“ поради влезлите в сила промени в Закона за енергетиката от 01.07.2018 г., с които бе променен механизма за събиране на приходи по бюджета на фонда. Поради тази причина приходите по бюджета на фонда към септември 2019 г. са по-високи от постъпленията за същия период на 2018 г</w:t>
      </w:r>
      <w:r w:rsidRPr="00B13128">
        <w:rPr>
          <w:rFonts w:eastAsia="Calibri"/>
          <w:color w:val="4F81BD" w:themeColor="accent1"/>
        </w:rPr>
        <w:t>.</w:t>
      </w:r>
    </w:p>
    <w:p w:rsidR="00B13128" w:rsidRPr="00B13128" w:rsidRDefault="00B13128" w:rsidP="00B13128">
      <w:pPr>
        <w:spacing w:before="120" w:after="120"/>
        <w:jc w:val="both"/>
      </w:pPr>
      <w:r w:rsidRPr="00B13128">
        <w:t xml:space="preserve">Постъпленията от </w:t>
      </w:r>
      <w:r w:rsidRPr="00B13128">
        <w:rPr>
          <w:b/>
          <w:i/>
        </w:rPr>
        <w:t>помощи</w:t>
      </w:r>
      <w:r w:rsidRPr="00B13128">
        <w:t xml:space="preserve"> </w:t>
      </w:r>
      <w:r w:rsidRPr="00B13128">
        <w:rPr>
          <w:b/>
          <w:i/>
        </w:rPr>
        <w:t xml:space="preserve">и дарения </w:t>
      </w:r>
      <w:r w:rsidRPr="00B13128">
        <w:t xml:space="preserve">от страната и чужбина (основно помощи от фондовете на ЕС) са в размер на </w:t>
      </w:r>
      <w:r w:rsidRPr="00B13128">
        <w:rPr>
          <w:b/>
        </w:rPr>
        <w:t>1 746,8 млн. лв.</w:t>
      </w:r>
      <w:r w:rsidRPr="00B13128">
        <w:t xml:space="preserve"> </w:t>
      </w:r>
    </w:p>
    <w:p w:rsidR="00B13128" w:rsidRPr="00B13128" w:rsidRDefault="00B13128" w:rsidP="00B13128">
      <w:pPr>
        <w:numPr>
          <w:ilvl w:val="0"/>
          <w:numId w:val="34"/>
        </w:numPr>
        <w:tabs>
          <w:tab w:val="left" w:pos="426"/>
        </w:tabs>
        <w:spacing w:before="120" w:after="120"/>
        <w:ind w:left="0" w:firstLine="0"/>
        <w:contextualSpacing/>
        <w:jc w:val="both"/>
        <w:rPr>
          <w:szCs w:val="20"/>
        </w:rPr>
      </w:pPr>
      <w:r w:rsidRPr="00B13128">
        <w:rPr>
          <w:b/>
          <w:szCs w:val="20"/>
        </w:rPr>
        <w:t xml:space="preserve">Разходите по консолидираната фискална програма </w:t>
      </w:r>
      <w:r w:rsidRPr="00B13128">
        <w:rPr>
          <w:szCs w:val="20"/>
        </w:rPr>
        <w:t>(вкл. вноската на Република България в общия бюджет на ЕС) към 30.09.2019 г.</w:t>
      </w:r>
      <w:r w:rsidRPr="00B13128">
        <w:rPr>
          <w:b/>
          <w:szCs w:val="20"/>
        </w:rPr>
        <w:t xml:space="preserve"> са в размер на 31 533,4 млн. лв., </w:t>
      </w:r>
      <w:r w:rsidRPr="00B13128">
        <w:rPr>
          <w:szCs w:val="20"/>
        </w:rPr>
        <w:t>което представлява 68,1 % от годишния разчет. За сравнение разходите по КФП към септември 201</w:t>
      </w:r>
      <w:r w:rsidRPr="00B13128">
        <w:rPr>
          <w:szCs w:val="20"/>
          <w:lang w:val="en-US"/>
        </w:rPr>
        <w:t>8</w:t>
      </w:r>
      <w:r w:rsidRPr="00B13128">
        <w:rPr>
          <w:szCs w:val="20"/>
        </w:rPr>
        <w:t xml:space="preserve"> г. бяха в размер на 26 500,9 млн. лева. </w:t>
      </w:r>
      <w:r w:rsidR="001F5E20" w:rsidRPr="001F5E20">
        <w:rPr>
          <w:szCs w:val="20"/>
        </w:rPr>
        <w:t>Номиналното нарастване на разходите спрямо същия период на предходната година се дължи както на извършените разходи по бюджета на Министерството на отбраната по инвестиционен проект за придобиване на нов тип боен самолет за Военновъздушните сили на Република България, така и на по-високия размер на разходите за персонал (увеличение с 10 на сто на средствата за заплати, възнаграждения и осигурителни вноски на заетите в бюджетния сектор и поредната стъпка на увеличение на възнагражденията в сектор „Образование“), по-високи социални и здравноосигурителни плащания (базов ефект от увеличението на пенсиите от юли 2018 г., индексирането на пенсиите от юли 2019 г. и увеличение на здравноосигурителните плащания, заложено в ЗБНЗОК за 2019 г.), увеличение на разходите за субсидии и други</w:t>
      </w:r>
      <w:r w:rsidRPr="00B13128">
        <w:rPr>
          <w:szCs w:val="20"/>
        </w:rPr>
        <w:t>.</w:t>
      </w:r>
    </w:p>
    <w:p w:rsidR="00B13128" w:rsidRPr="00B13128" w:rsidRDefault="00B13128" w:rsidP="00B13128">
      <w:pPr>
        <w:spacing w:before="240" w:after="120"/>
        <w:jc w:val="both"/>
        <w:rPr>
          <w:color w:val="4F81BD" w:themeColor="accent1"/>
        </w:rPr>
      </w:pPr>
      <w:r w:rsidRPr="00B13128">
        <w:rPr>
          <w:b/>
          <w:i/>
        </w:rPr>
        <w:lastRenderedPageBreak/>
        <w:t>Нелихвените разходи</w:t>
      </w:r>
      <w:r w:rsidRPr="00B13128">
        <w:t xml:space="preserve"> са в размер на 29 954,3 млн. лв., което представлява 67,9 % от годишния разчет. </w:t>
      </w:r>
      <w:r w:rsidRPr="00B13128">
        <w:rPr>
          <w:i/>
        </w:rPr>
        <w:t>Текущите нелихвени разходи</w:t>
      </w:r>
      <w:r w:rsidRPr="00B13128">
        <w:t xml:space="preserve"> са в размер на 25 337,8 млн. лева. </w:t>
      </w:r>
      <w:r w:rsidRPr="00B13128">
        <w:rPr>
          <w:i/>
        </w:rPr>
        <w:t>Капиталовите разходи</w:t>
      </w:r>
      <w:r w:rsidRPr="00B13128">
        <w:t xml:space="preserve"> (вкл. нетния прираст на държавния резерв) възлизат на 4 588,7 млн. лв.</w:t>
      </w:r>
      <w:r w:rsidR="004B41CA">
        <w:t xml:space="preserve"> (54,5 % от годишния разчет).</w:t>
      </w:r>
      <w:r w:rsidRPr="00B13128">
        <w:rPr>
          <w:lang w:val="en-US"/>
        </w:rPr>
        <w:t xml:space="preserve"> </w:t>
      </w:r>
      <w:r w:rsidRPr="00B13128">
        <w:rPr>
          <w:i/>
        </w:rPr>
        <w:t>Предоставените текущи и капиталови трансфери за чужбина</w:t>
      </w:r>
      <w:r w:rsidRPr="00B13128">
        <w:t xml:space="preserve"> са в размер на 27,8 млн. лева. </w:t>
      </w:r>
      <w:r w:rsidRPr="00B13128">
        <w:rPr>
          <w:b/>
          <w:i/>
        </w:rPr>
        <w:t>Лихвените плащания</w:t>
      </w:r>
      <w:r w:rsidRPr="00B13128">
        <w:t xml:space="preserve"> са в размер на 581,6 млн. лв. (86,9 % от планираните за 2019 година)</w:t>
      </w:r>
      <w:r w:rsidRPr="00B13128">
        <w:rPr>
          <w:color w:val="4F81BD" w:themeColor="accent1"/>
        </w:rPr>
        <w:t>.</w:t>
      </w:r>
    </w:p>
    <w:p w:rsidR="00B13128" w:rsidRPr="00B13128" w:rsidRDefault="00B13128" w:rsidP="00B13128">
      <w:pPr>
        <w:numPr>
          <w:ilvl w:val="0"/>
          <w:numId w:val="34"/>
        </w:numPr>
        <w:tabs>
          <w:tab w:val="left" w:pos="426"/>
        </w:tabs>
        <w:ind w:left="0" w:firstLine="0"/>
        <w:contextualSpacing/>
        <w:jc w:val="both"/>
        <w:rPr>
          <w:szCs w:val="20"/>
        </w:rPr>
      </w:pPr>
      <w:r w:rsidRPr="00B13128">
        <w:rPr>
          <w:b/>
          <w:szCs w:val="20"/>
        </w:rPr>
        <w:t>Частта от вноската на Република България в общия бюджет на ЕС</w:t>
      </w:r>
      <w:r w:rsidRPr="00B13128">
        <w:rPr>
          <w:szCs w:val="20"/>
        </w:rPr>
        <w:t xml:space="preserve">, изплатена към 30.09.2019 г. от централния бюджет, възлиза на </w:t>
      </w:r>
      <w:r w:rsidRPr="00B13128">
        <w:rPr>
          <w:b/>
          <w:szCs w:val="20"/>
        </w:rPr>
        <w:t xml:space="preserve">997,5 </w:t>
      </w:r>
      <w:r w:rsidRPr="00B13128">
        <w:rPr>
          <w:szCs w:val="20"/>
        </w:rPr>
        <w:t>млн. лв., което е в изпълнение на действащото към момента законодателство в областта на собствените ресурси на ЕС - Решение на Съвета 2014/335/ЕС, Евратом относно системата на собствените ресурси на Европейския съюз, Регламент (ЕС, Евратом) № 608/2014 на Съвета от 26 май 2014 г. за определяне на мерки за прилагане на системата на собствените ресурси на ЕС и Регламент (EС, Евратом)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изменен с Регламент (EС, Евратом) 2016/804 на Съвета от 17 май 2016 г., в т.ч.:</w:t>
      </w:r>
    </w:p>
    <w:p w:rsidR="00B13128" w:rsidRPr="00B13128" w:rsidRDefault="00B13128" w:rsidP="00B13128">
      <w:pPr>
        <w:numPr>
          <w:ilvl w:val="0"/>
          <w:numId w:val="13"/>
        </w:numPr>
        <w:tabs>
          <w:tab w:val="num" w:pos="720"/>
        </w:tabs>
        <w:ind w:left="709" w:hanging="283"/>
        <w:jc w:val="both"/>
      </w:pPr>
      <w:r w:rsidRPr="00B13128">
        <w:t>ресурс на база брутен национален доход – 657,1 млн. лв.;</w:t>
      </w:r>
    </w:p>
    <w:p w:rsidR="00B13128" w:rsidRPr="00B13128" w:rsidRDefault="00B13128" w:rsidP="00B13128">
      <w:pPr>
        <w:numPr>
          <w:ilvl w:val="0"/>
          <w:numId w:val="13"/>
        </w:numPr>
        <w:tabs>
          <w:tab w:val="num" w:pos="720"/>
        </w:tabs>
        <w:ind w:left="709" w:hanging="283"/>
        <w:jc w:val="both"/>
      </w:pPr>
      <w:r w:rsidRPr="00B13128">
        <w:t>ресурс на база данък върху добавената стойност – 151,8 млн. лв.;</w:t>
      </w:r>
    </w:p>
    <w:p w:rsidR="00B13128" w:rsidRPr="00B13128" w:rsidRDefault="00B13128" w:rsidP="00B13128">
      <w:pPr>
        <w:numPr>
          <w:ilvl w:val="0"/>
          <w:numId w:val="13"/>
        </w:numPr>
        <w:tabs>
          <w:tab w:val="num" w:pos="720"/>
        </w:tabs>
        <w:ind w:left="709" w:hanging="283"/>
        <w:jc w:val="both"/>
      </w:pPr>
      <w:r w:rsidRPr="00B13128">
        <w:t>корекция за Обединеното кралство – 51,2 млн. лв.;</w:t>
      </w:r>
    </w:p>
    <w:p w:rsidR="00B13128" w:rsidRPr="00B13128" w:rsidRDefault="00B13128" w:rsidP="00B13128">
      <w:pPr>
        <w:numPr>
          <w:ilvl w:val="0"/>
          <w:numId w:val="13"/>
        </w:numPr>
        <w:tabs>
          <w:tab w:val="num" w:pos="720"/>
        </w:tabs>
        <w:ind w:left="709" w:hanging="283"/>
        <w:jc w:val="both"/>
      </w:pPr>
      <w:r w:rsidRPr="00B13128">
        <w:t>традиционни собствени ресурси (мита) – 130,9 млн. лв.;</w:t>
      </w:r>
    </w:p>
    <w:p w:rsidR="00B13128" w:rsidRPr="00B13128" w:rsidRDefault="00B13128" w:rsidP="00B13128">
      <w:pPr>
        <w:numPr>
          <w:ilvl w:val="0"/>
          <w:numId w:val="13"/>
        </w:numPr>
        <w:spacing w:after="120"/>
        <w:ind w:left="709" w:hanging="284"/>
        <w:jc w:val="both"/>
      </w:pPr>
      <w:r w:rsidRPr="00B13128">
        <w:t>участие във финансиране на брутното намаление за Нидерландия, Швеция и Дания – 6,5 млн. лв.</w:t>
      </w:r>
    </w:p>
    <w:p w:rsidR="00B13128" w:rsidRPr="00B13128" w:rsidRDefault="00B13128" w:rsidP="00B13128">
      <w:pPr>
        <w:numPr>
          <w:ilvl w:val="0"/>
          <w:numId w:val="34"/>
        </w:numPr>
        <w:tabs>
          <w:tab w:val="left" w:pos="426"/>
        </w:tabs>
        <w:spacing w:before="120" w:after="120"/>
        <w:ind w:left="0" w:firstLine="0"/>
        <w:contextualSpacing/>
        <w:jc w:val="both"/>
        <w:rPr>
          <w:lang w:eastAsia="bg-BG"/>
        </w:rPr>
      </w:pPr>
      <w:r w:rsidRPr="00B13128">
        <w:rPr>
          <w:b/>
          <w:szCs w:val="20"/>
        </w:rPr>
        <w:t>Бюджетното салдо</w:t>
      </w:r>
      <w:r w:rsidRPr="00B13128">
        <w:rPr>
          <w:szCs w:val="20"/>
        </w:rPr>
        <w:t xml:space="preserve"> по консолидираната фискална програма към септември</w:t>
      </w:r>
      <w:r w:rsidRPr="00B13128">
        <w:rPr>
          <w:bCs/>
          <w:szCs w:val="20"/>
        </w:rPr>
        <w:t xml:space="preserve"> </w:t>
      </w:r>
      <w:r w:rsidRPr="00B13128">
        <w:rPr>
          <w:szCs w:val="20"/>
        </w:rPr>
        <w:t xml:space="preserve">2019 г. е </w:t>
      </w:r>
      <w:r w:rsidRPr="00B13128">
        <w:rPr>
          <w:b/>
          <w:szCs w:val="20"/>
        </w:rPr>
        <w:t>положително</w:t>
      </w:r>
      <w:r w:rsidRPr="00B13128">
        <w:rPr>
          <w:szCs w:val="20"/>
        </w:rPr>
        <w:t xml:space="preserve"> в размер на </w:t>
      </w:r>
      <w:r w:rsidRPr="00B13128">
        <w:rPr>
          <w:b/>
          <w:bCs/>
          <w:lang w:eastAsia="bg-BG"/>
        </w:rPr>
        <w:t xml:space="preserve">1 264,5 </w:t>
      </w:r>
      <w:r w:rsidRPr="00B13128">
        <w:rPr>
          <w:b/>
          <w:szCs w:val="20"/>
        </w:rPr>
        <w:t>млн. лв.</w:t>
      </w:r>
      <w:r w:rsidRPr="00B13128">
        <w:rPr>
          <w:szCs w:val="20"/>
        </w:rPr>
        <w:t xml:space="preserve"> (1,1 % от прогнозния БВП) и </w:t>
      </w:r>
      <w:r w:rsidRPr="00B13128">
        <w:rPr>
          <w:bCs/>
          <w:szCs w:val="20"/>
        </w:rPr>
        <w:t>се формира от превишени</w:t>
      </w:r>
      <w:r w:rsidR="00EC5B0D">
        <w:rPr>
          <w:bCs/>
          <w:szCs w:val="20"/>
        </w:rPr>
        <w:t>я</w:t>
      </w:r>
      <w:r w:rsidRPr="00B13128">
        <w:rPr>
          <w:bCs/>
          <w:szCs w:val="20"/>
        </w:rPr>
        <w:t xml:space="preserve"> на приходите над разходите по националния бюджет в размер на 1 205,7 млн.  лв. и по европейските средства в размер на 58,8 млн. лева</w:t>
      </w:r>
      <w:r w:rsidRPr="00B13128">
        <w:rPr>
          <w:lang w:eastAsia="bg-BG"/>
        </w:rPr>
        <w:t>.</w:t>
      </w:r>
    </w:p>
    <w:p w:rsidR="00B13128" w:rsidRPr="00B13128" w:rsidRDefault="00B13128" w:rsidP="002B6BB4">
      <w:pPr>
        <w:numPr>
          <w:ilvl w:val="0"/>
          <w:numId w:val="9"/>
        </w:numPr>
        <w:tabs>
          <w:tab w:val="num" w:pos="0"/>
          <w:tab w:val="left" w:pos="426"/>
          <w:tab w:val="left" w:pos="720"/>
        </w:tabs>
        <w:spacing w:before="240" w:after="60"/>
        <w:ind w:left="0" w:firstLine="0"/>
        <w:jc w:val="both"/>
      </w:pPr>
      <w:r w:rsidRPr="00B13128">
        <w:rPr>
          <w:b/>
          <w:bCs/>
        </w:rPr>
        <w:t>Общият размер на касовите постъпления от ЕС</w:t>
      </w:r>
      <w:r w:rsidRPr="00B13128">
        <w:rPr>
          <w:bCs/>
        </w:rPr>
        <w:t xml:space="preserve"> (от Структурните и Кохезионния фондове, от</w:t>
      </w:r>
      <w:r w:rsidRPr="00B13128">
        <w:t xml:space="preserve"> ЕЗФРСР и ЕФР</w:t>
      </w:r>
      <w:r w:rsidRPr="00B13128">
        <w:rPr>
          <w:bCs/>
        </w:rPr>
        <w:t xml:space="preserve">, от средства за директни плащания към земеделските производители и плащания по пазарни мерки и др.) за деветмесечието на 2019 г. е </w:t>
      </w:r>
      <w:r w:rsidRPr="00B13128">
        <w:rPr>
          <w:b/>
          <w:bCs/>
        </w:rPr>
        <w:t>3 607,5 млн. лв.</w:t>
      </w:r>
      <w:r w:rsidRPr="00B13128">
        <w:rPr>
          <w:b/>
        </w:rPr>
        <w:t xml:space="preserve"> </w:t>
      </w:r>
      <w:r w:rsidRPr="00B13128">
        <w:rPr>
          <w:b/>
          <w:bCs/>
        </w:rPr>
        <w:t xml:space="preserve">Нетните </w:t>
      </w:r>
      <w:r w:rsidRPr="00B13128">
        <w:rPr>
          <w:b/>
          <w:bCs/>
        </w:rPr>
        <w:lastRenderedPageBreak/>
        <w:t xml:space="preserve">постъпления от ЕС към 30.09.2019 г. </w:t>
      </w:r>
      <w:r w:rsidRPr="00B13128">
        <w:rPr>
          <w:bCs/>
        </w:rPr>
        <w:t xml:space="preserve">(касови постъпления от ЕС, намалени с вноската в общия бюджет на ЕС) са положителни в размер на </w:t>
      </w:r>
      <w:r w:rsidRPr="00B13128">
        <w:rPr>
          <w:b/>
          <w:bCs/>
        </w:rPr>
        <w:t>2 610,0 млн. лева</w:t>
      </w:r>
      <w:r w:rsidRPr="00B13128">
        <w:t>.</w:t>
      </w:r>
    </w:p>
    <w:p w:rsidR="00B13128" w:rsidRPr="00216651" w:rsidRDefault="00B13128" w:rsidP="00B13128">
      <w:pPr>
        <w:numPr>
          <w:ilvl w:val="2"/>
          <w:numId w:val="17"/>
        </w:numPr>
        <w:tabs>
          <w:tab w:val="left" w:pos="426"/>
        </w:tabs>
        <w:spacing w:before="120" w:after="120"/>
        <w:ind w:left="0" w:firstLine="0"/>
        <w:jc w:val="both"/>
        <w:rPr>
          <w:color w:val="4F81BD" w:themeColor="accent1"/>
          <w:sz w:val="8"/>
          <w:szCs w:val="8"/>
        </w:rPr>
      </w:pPr>
      <w:r w:rsidRPr="00216651">
        <w:rPr>
          <w:b/>
        </w:rPr>
        <w:t>Фискалният резерв</w:t>
      </w:r>
      <w:r w:rsidRPr="00216651">
        <w:rPr>
          <w:b/>
          <w:bCs/>
          <w:vertAlign w:val="superscript"/>
          <w:lang w:eastAsia="bg-BG"/>
        </w:rPr>
        <w:footnoteReference w:id="6"/>
      </w:r>
      <w:r w:rsidRPr="00216651">
        <w:rPr>
          <w:bCs/>
          <w:lang w:eastAsia="bg-BG"/>
        </w:rPr>
        <w:t xml:space="preserve"> към </w:t>
      </w:r>
      <w:r w:rsidRPr="00216651">
        <w:rPr>
          <w:bCs/>
        </w:rPr>
        <w:t xml:space="preserve">30.09.2019 г. е </w:t>
      </w:r>
      <w:r w:rsidRPr="00216651">
        <w:rPr>
          <w:b/>
          <w:bCs/>
        </w:rPr>
        <w:t>10,14 млрд. лв</w:t>
      </w:r>
      <w:r w:rsidRPr="00216651">
        <w:rPr>
          <w:bCs/>
        </w:rPr>
        <w:t>., в т.ч. 10,12 млрд. лв. депозити на фискалния резерв в БНБ и банки и 0,02 млрд. лв. вземания от фондовете на Европейския съюз за сертифицирани разходи, аванси и други</w:t>
      </w:r>
      <w:r w:rsidRPr="00216651">
        <w:rPr>
          <w:bCs/>
          <w:color w:val="4F81BD" w:themeColor="accent1"/>
          <w:lang w:eastAsia="bg-BG"/>
        </w:rPr>
        <w:t>.</w:t>
      </w:r>
      <w:r w:rsidRPr="00216651">
        <w:rPr>
          <w:bCs/>
          <w:color w:val="4F81BD" w:themeColor="accent1"/>
        </w:rPr>
        <w:t xml:space="preserve"> </w:t>
      </w:r>
    </w:p>
    <w:p w:rsidR="00B13128" w:rsidRPr="00B13128" w:rsidRDefault="00B13128" w:rsidP="00B13128">
      <w:pPr>
        <w:keepNext/>
        <w:numPr>
          <w:ilvl w:val="0"/>
          <w:numId w:val="10"/>
        </w:numPr>
        <w:ind w:right="-108"/>
        <w:jc w:val="both"/>
        <w:outlineLvl w:val="0"/>
        <w:rPr>
          <w:b/>
          <w:bCs/>
        </w:rPr>
      </w:pPr>
      <w:r w:rsidRPr="00B13128">
        <w:rPr>
          <w:b/>
          <w:bCs/>
        </w:rPr>
        <w:t>Изпълнение на държавния бюджет</w:t>
      </w:r>
      <w:r w:rsidRPr="00B13128">
        <w:rPr>
          <w:b/>
          <w:sz w:val="20"/>
          <w:szCs w:val="20"/>
          <w:vertAlign w:val="superscript"/>
        </w:rPr>
        <w:footnoteReference w:id="7"/>
      </w:r>
      <w:r w:rsidRPr="00B13128">
        <w:rPr>
          <w:b/>
          <w:bCs/>
        </w:rPr>
        <w:t xml:space="preserve"> към септември 201</w:t>
      </w:r>
      <w:r w:rsidRPr="00B13128">
        <w:rPr>
          <w:b/>
          <w:bCs/>
          <w:lang w:val="en-US"/>
        </w:rPr>
        <w:t>9</w:t>
      </w:r>
      <w:r w:rsidRPr="00B13128">
        <w:rPr>
          <w:b/>
          <w:bCs/>
        </w:rPr>
        <w:t xml:space="preserve"> г.</w:t>
      </w:r>
    </w:p>
    <w:p w:rsidR="00B13128" w:rsidRPr="00B13128" w:rsidRDefault="00B13128" w:rsidP="00B13128">
      <w:pPr>
        <w:tabs>
          <w:tab w:val="left" w:pos="1080"/>
        </w:tabs>
        <w:spacing w:before="120"/>
        <w:jc w:val="both"/>
        <w:rPr>
          <w:lang w:val="en-US"/>
        </w:rPr>
      </w:pPr>
      <w:r w:rsidRPr="00B13128">
        <w:t>Изпълнението на основните показатели по държавния бюджет, на база месечните отчети на първостепенните разпоредители с бюджет е, както следва:</w:t>
      </w:r>
    </w:p>
    <w:p w:rsidR="00B13128" w:rsidRPr="00B13128" w:rsidRDefault="00B13128" w:rsidP="00B13128">
      <w:pPr>
        <w:tabs>
          <w:tab w:val="left" w:pos="1080"/>
        </w:tabs>
        <w:spacing w:before="120"/>
        <w:jc w:val="both"/>
        <w:rPr>
          <w:color w:val="4F81BD" w:themeColor="accent1"/>
          <w:sz w:val="2"/>
          <w:szCs w:val="2"/>
        </w:rPr>
      </w:pPr>
    </w:p>
    <w:p w:rsidR="00B13128" w:rsidRPr="00B13128" w:rsidRDefault="00B13128" w:rsidP="00B13128">
      <w:pPr>
        <w:ind w:right="-242"/>
        <w:rPr>
          <w:b/>
          <w:bCs/>
          <w:sz w:val="20"/>
          <w:szCs w:val="20"/>
          <w:lang w:eastAsia="bg-BG"/>
        </w:rPr>
      </w:pPr>
      <w:r w:rsidRPr="00B13128">
        <w:rPr>
          <w:b/>
          <w:bCs/>
          <w:sz w:val="20"/>
          <w:szCs w:val="20"/>
          <w:lang w:eastAsia="bg-BG"/>
        </w:rPr>
        <w:t xml:space="preserve">            Таблица</w:t>
      </w:r>
      <w:r w:rsidRPr="00B13128">
        <w:rPr>
          <w:b/>
          <w:bCs/>
          <w:sz w:val="20"/>
          <w:szCs w:val="20"/>
          <w:vertAlign w:val="superscript"/>
          <w:lang w:eastAsia="bg-BG"/>
        </w:rPr>
        <w:footnoteReference w:id="8"/>
      </w:r>
      <w:r w:rsidRPr="00B13128">
        <w:rPr>
          <w:b/>
          <w:bCs/>
          <w:sz w:val="20"/>
          <w:szCs w:val="20"/>
          <w:lang w:eastAsia="bg-BG"/>
        </w:rPr>
        <w:t xml:space="preserve">  №2      </w:t>
      </w:r>
      <w:r w:rsidRPr="00B13128">
        <w:rPr>
          <w:b/>
          <w:bCs/>
          <w:sz w:val="20"/>
          <w:szCs w:val="20"/>
          <w:lang w:eastAsia="bg-BG"/>
        </w:rPr>
        <w:tab/>
      </w:r>
      <w:r w:rsidRPr="00B13128">
        <w:rPr>
          <w:b/>
          <w:bCs/>
          <w:sz w:val="20"/>
          <w:szCs w:val="20"/>
          <w:lang w:eastAsia="bg-BG"/>
        </w:rPr>
        <w:tab/>
        <w:t xml:space="preserve">                                          </w:t>
      </w:r>
      <w:r w:rsidRPr="00B13128">
        <w:rPr>
          <w:b/>
          <w:bCs/>
          <w:sz w:val="20"/>
          <w:szCs w:val="20"/>
          <w:lang w:eastAsia="bg-BG"/>
        </w:rPr>
        <w:tab/>
      </w:r>
      <w:r w:rsidRPr="00B13128">
        <w:rPr>
          <w:b/>
          <w:bCs/>
          <w:sz w:val="20"/>
          <w:szCs w:val="20"/>
          <w:lang w:eastAsia="bg-BG"/>
        </w:rPr>
        <w:tab/>
      </w:r>
      <w:r w:rsidRPr="00B13128">
        <w:rPr>
          <w:b/>
          <w:bCs/>
          <w:sz w:val="20"/>
          <w:szCs w:val="20"/>
          <w:lang w:eastAsia="bg-BG"/>
        </w:rPr>
        <w:tab/>
      </w:r>
      <w:r w:rsidRPr="00B13128">
        <w:rPr>
          <w:b/>
          <w:bCs/>
          <w:sz w:val="20"/>
          <w:szCs w:val="20"/>
          <w:lang w:eastAsia="bg-BG"/>
        </w:rPr>
        <w:tab/>
        <w:t xml:space="preserve">  (млн. лв.)</w:t>
      </w:r>
    </w:p>
    <w:p w:rsidR="00B13128" w:rsidRPr="00B13128" w:rsidRDefault="00B13128" w:rsidP="00B13128">
      <w:pPr>
        <w:ind w:right="-242"/>
        <w:rPr>
          <w:b/>
          <w:bCs/>
          <w:sz w:val="6"/>
          <w:szCs w:val="6"/>
          <w:lang w:eastAsia="bg-BG"/>
        </w:rPr>
      </w:pPr>
    </w:p>
    <w:tbl>
      <w:tblPr>
        <w:tblW w:w="8642" w:type="dxa"/>
        <w:jc w:val="center"/>
        <w:tblCellMar>
          <w:left w:w="70" w:type="dxa"/>
          <w:right w:w="70" w:type="dxa"/>
        </w:tblCellMar>
        <w:tblLook w:val="0000" w:firstRow="0" w:lastRow="0" w:firstColumn="0" w:lastColumn="0" w:noHBand="0" w:noVBand="0"/>
      </w:tblPr>
      <w:tblGrid>
        <w:gridCol w:w="4853"/>
        <w:gridCol w:w="1276"/>
        <w:gridCol w:w="1209"/>
        <w:gridCol w:w="1304"/>
      </w:tblGrid>
      <w:tr w:rsidR="00B13128" w:rsidRPr="00B13128" w:rsidTr="003F3760">
        <w:trPr>
          <w:trHeight w:val="520"/>
          <w:jc w:val="center"/>
        </w:trPr>
        <w:tc>
          <w:tcPr>
            <w:tcW w:w="4853" w:type="dxa"/>
            <w:tcBorders>
              <w:top w:val="single" w:sz="8" w:space="0" w:color="auto"/>
              <w:left w:val="single" w:sz="8" w:space="0" w:color="auto"/>
              <w:bottom w:val="nil"/>
              <w:right w:val="single" w:sz="8" w:space="0" w:color="auto"/>
            </w:tcBorders>
            <w:shd w:val="clear" w:color="auto" w:fill="auto"/>
            <w:noWrap/>
            <w:vAlign w:val="center"/>
          </w:tcPr>
          <w:p w:rsidR="00B13128" w:rsidRPr="00B13128" w:rsidRDefault="00B13128" w:rsidP="00B13128">
            <w:pPr>
              <w:jc w:val="center"/>
              <w:rPr>
                <w:b/>
                <w:bCs/>
                <w:sz w:val="18"/>
                <w:szCs w:val="18"/>
              </w:rPr>
            </w:pPr>
            <w:r w:rsidRPr="00B13128">
              <w:rPr>
                <w:b/>
                <w:bCs/>
                <w:sz w:val="18"/>
                <w:szCs w:val="18"/>
              </w:rPr>
              <w:t>ПОКАЗАТЕЛИ</w:t>
            </w:r>
          </w:p>
        </w:tc>
        <w:tc>
          <w:tcPr>
            <w:tcW w:w="1276" w:type="dxa"/>
            <w:tcBorders>
              <w:top w:val="single" w:sz="8" w:space="0" w:color="auto"/>
              <w:left w:val="nil"/>
              <w:bottom w:val="nil"/>
              <w:right w:val="nil"/>
            </w:tcBorders>
            <w:shd w:val="clear" w:color="auto" w:fill="auto"/>
            <w:vAlign w:val="center"/>
          </w:tcPr>
          <w:p w:rsidR="00B13128" w:rsidRPr="00B13128" w:rsidRDefault="00B13128" w:rsidP="00B13128">
            <w:pPr>
              <w:jc w:val="center"/>
              <w:rPr>
                <w:b/>
                <w:bCs/>
                <w:sz w:val="18"/>
                <w:szCs w:val="18"/>
              </w:rPr>
            </w:pPr>
            <w:r w:rsidRPr="00017EA1">
              <w:rPr>
                <w:b/>
                <w:bCs/>
                <w:sz w:val="18"/>
                <w:szCs w:val="18"/>
              </w:rPr>
              <w:t>ЗДБРБ     201</w:t>
            </w:r>
            <w:r w:rsidRPr="00017EA1">
              <w:rPr>
                <w:b/>
                <w:bCs/>
                <w:sz w:val="18"/>
                <w:szCs w:val="18"/>
                <w:lang w:val="en-US"/>
              </w:rPr>
              <w:t>9</w:t>
            </w:r>
            <w:r w:rsidRPr="00017EA1">
              <w:rPr>
                <w:b/>
                <w:bCs/>
                <w:sz w:val="18"/>
                <w:szCs w:val="18"/>
              </w:rPr>
              <w:t xml:space="preserve"> г.</w:t>
            </w:r>
            <w:r w:rsidRPr="00017EA1">
              <w:rPr>
                <w:b/>
                <w:bCs/>
                <w:sz w:val="18"/>
                <w:szCs w:val="18"/>
                <w:vertAlign w:val="superscript"/>
              </w:rPr>
              <w:footnoteReference w:id="9"/>
            </w:r>
          </w:p>
        </w:tc>
        <w:tc>
          <w:tcPr>
            <w:tcW w:w="1209" w:type="dxa"/>
            <w:tcBorders>
              <w:top w:val="single" w:sz="8" w:space="0" w:color="auto"/>
              <w:left w:val="nil"/>
              <w:bottom w:val="nil"/>
              <w:right w:val="nil"/>
            </w:tcBorders>
            <w:shd w:val="clear" w:color="auto" w:fill="auto"/>
            <w:vAlign w:val="center"/>
          </w:tcPr>
          <w:p w:rsidR="00B13128" w:rsidRPr="00B13128" w:rsidRDefault="00B13128" w:rsidP="00B13128">
            <w:pPr>
              <w:jc w:val="center"/>
              <w:rPr>
                <w:b/>
                <w:bCs/>
                <w:sz w:val="18"/>
                <w:szCs w:val="18"/>
              </w:rPr>
            </w:pPr>
            <w:r w:rsidRPr="00B13128">
              <w:rPr>
                <w:b/>
                <w:bCs/>
                <w:sz w:val="18"/>
                <w:szCs w:val="18"/>
              </w:rPr>
              <w:t xml:space="preserve">Отчет </w:t>
            </w:r>
          </w:p>
          <w:p w:rsidR="00B13128" w:rsidRPr="00B13128" w:rsidRDefault="00B13128" w:rsidP="00B13128">
            <w:pPr>
              <w:jc w:val="center"/>
              <w:rPr>
                <w:b/>
                <w:bCs/>
                <w:sz w:val="18"/>
                <w:szCs w:val="18"/>
              </w:rPr>
            </w:pPr>
            <w:r w:rsidRPr="00B13128">
              <w:rPr>
                <w:b/>
                <w:bCs/>
                <w:sz w:val="18"/>
                <w:szCs w:val="18"/>
              </w:rPr>
              <w:t>септември 2019 г.</w:t>
            </w:r>
          </w:p>
        </w:tc>
        <w:tc>
          <w:tcPr>
            <w:tcW w:w="1304" w:type="dxa"/>
            <w:tcBorders>
              <w:top w:val="single" w:sz="8" w:space="0" w:color="auto"/>
              <w:left w:val="nil"/>
              <w:bottom w:val="nil"/>
              <w:right w:val="single" w:sz="8" w:space="0" w:color="auto"/>
            </w:tcBorders>
            <w:shd w:val="clear" w:color="auto" w:fill="auto"/>
            <w:vAlign w:val="center"/>
          </w:tcPr>
          <w:p w:rsidR="00B13128" w:rsidRPr="00B13128" w:rsidRDefault="00B13128" w:rsidP="00B13128">
            <w:pPr>
              <w:jc w:val="center"/>
              <w:rPr>
                <w:b/>
                <w:bCs/>
                <w:sz w:val="18"/>
                <w:szCs w:val="18"/>
              </w:rPr>
            </w:pPr>
            <w:r w:rsidRPr="00B13128">
              <w:rPr>
                <w:b/>
                <w:bCs/>
                <w:sz w:val="18"/>
                <w:szCs w:val="18"/>
              </w:rPr>
              <w:t>Изпълнение спрямо    закон 2019 г.</w:t>
            </w:r>
          </w:p>
        </w:tc>
      </w:tr>
      <w:tr w:rsidR="00B13128" w:rsidRPr="00B13128" w:rsidTr="003F3760">
        <w:trPr>
          <w:trHeight w:val="92"/>
          <w:jc w:val="center"/>
        </w:trPr>
        <w:tc>
          <w:tcPr>
            <w:tcW w:w="4853" w:type="dxa"/>
            <w:tcBorders>
              <w:top w:val="single" w:sz="4" w:space="0" w:color="auto"/>
              <w:left w:val="single" w:sz="8" w:space="0" w:color="auto"/>
              <w:bottom w:val="single" w:sz="4" w:space="0" w:color="auto"/>
              <w:right w:val="single" w:sz="8" w:space="0" w:color="auto"/>
            </w:tcBorders>
            <w:shd w:val="clear" w:color="auto" w:fill="auto"/>
            <w:noWrap/>
            <w:vAlign w:val="bottom"/>
          </w:tcPr>
          <w:p w:rsidR="00B13128" w:rsidRPr="00B13128" w:rsidRDefault="00B13128" w:rsidP="00B13128">
            <w:pPr>
              <w:rPr>
                <w:b/>
                <w:bCs/>
                <w:sz w:val="18"/>
                <w:szCs w:val="18"/>
              </w:rPr>
            </w:pPr>
            <w:r w:rsidRPr="00B13128">
              <w:rPr>
                <w:b/>
                <w:bCs/>
                <w:sz w:val="18"/>
                <w:szCs w:val="18"/>
              </w:rPr>
              <w:t>Общо приходи,  помощи и дарения</w:t>
            </w:r>
          </w:p>
        </w:tc>
        <w:tc>
          <w:tcPr>
            <w:tcW w:w="1276" w:type="dxa"/>
            <w:tcBorders>
              <w:top w:val="single" w:sz="4" w:space="0" w:color="auto"/>
              <w:left w:val="nil"/>
              <w:bottom w:val="single" w:sz="8" w:space="0" w:color="auto"/>
              <w:right w:val="nil"/>
            </w:tcBorders>
            <w:shd w:val="clear" w:color="auto" w:fill="auto"/>
            <w:noWrap/>
            <w:vAlign w:val="bottom"/>
          </w:tcPr>
          <w:p w:rsidR="00B13128" w:rsidRPr="00B13128" w:rsidRDefault="00B13128" w:rsidP="00B13128">
            <w:pPr>
              <w:jc w:val="right"/>
              <w:rPr>
                <w:b/>
                <w:bCs/>
                <w:sz w:val="18"/>
                <w:szCs w:val="18"/>
              </w:rPr>
            </w:pPr>
            <w:r w:rsidRPr="00B13128">
              <w:rPr>
                <w:b/>
                <w:bCs/>
                <w:sz w:val="18"/>
                <w:szCs w:val="18"/>
              </w:rPr>
              <w:t>25 693,3</w:t>
            </w:r>
          </w:p>
        </w:tc>
        <w:tc>
          <w:tcPr>
            <w:tcW w:w="1209" w:type="dxa"/>
            <w:tcBorders>
              <w:top w:val="single" w:sz="4" w:space="0" w:color="auto"/>
              <w:left w:val="nil"/>
              <w:bottom w:val="single" w:sz="8" w:space="0" w:color="auto"/>
              <w:right w:val="nil"/>
            </w:tcBorders>
            <w:shd w:val="clear" w:color="auto" w:fill="auto"/>
            <w:noWrap/>
            <w:vAlign w:val="bottom"/>
          </w:tcPr>
          <w:p w:rsidR="00B13128" w:rsidRPr="00B13128" w:rsidRDefault="00B13128" w:rsidP="00B13128">
            <w:pPr>
              <w:jc w:val="right"/>
              <w:rPr>
                <w:b/>
                <w:bCs/>
                <w:sz w:val="18"/>
                <w:szCs w:val="18"/>
              </w:rPr>
            </w:pPr>
            <w:r w:rsidRPr="00B13128">
              <w:rPr>
                <w:b/>
                <w:bCs/>
                <w:sz w:val="18"/>
                <w:szCs w:val="18"/>
              </w:rPr>
              <w:t>19 270,0</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B13128" w:rsidRPr="00B13128" w:rsidRDefault="00B13128" w:rsidP="00B13128">
            <w:pPr>
              <w:jc w:val="right"/>
              <w:rPr>
                <w:b/>
                <w:bCs/>
                <w:sz w:val="18"/>
                <w:szCs w:val="18"/>
              </w:rPr>
            </w:pPr>
            <w:r w:rsidRPr="00B13128">
              <w:rPr>
                <w:b/>
                <w:bCs/>
                <w:sz w:val="18"/>
                <w:szCs w:val="18"/>
              </w:rPr>
              <w:t>75,0%</w:t>
            </w:r>
          </w:p>
        </w:tc>
      </w:tr>
      <w:tr w:rsidR="00B13128" w:rsidRPr="00B13128" w:rsidTr="003F3760">
        <w:trPr>
          <w:trHeight w:val="80"/>
          <w:jc w:val="center"/>
        </w:trPr>
        <w:tc>
          <w:tcPr>
            <w:tcW w:w="4853" w:type="dxa"/>
            <w:tcBorders>
              <w:top w:val="single" w:sz="4" w:space="0" w:color="auto"/>
              <w:left w:val="single" w:sz="8" w:space="0" w:color="auto"/>
              <w:bottom w:val="nil"/>
              <w:right w:val="single" w:sz="8" w:space="0" w:color="auto"/>
            </w:tcBorders>
            <w:shd w:val="clear" w:color="auto" w:fill="auto"/>
            <w:noWrap/>
            <w:vAlign w:val="bottom"/>
          </w:tcPr>
          <w:p w:rsidR="00B13128" w:rsidRPr="00B13128" w:rsidRDefault="00B13128" w:rsidP="00B13128">
            <w:pPr>
              <w:rPr>
                <w:sz w:val="18"/>
                <w:szCs w:val="18"/>
              </w:rPr>
            </w:pPr>
            <w:r w:rsidRPr="00B13128">
              <w:rPr>
                <w:sz w:val="18"/>
                <w:szCs w:val="18"/>
              </w:rPr>
              <w:t xml:space="preserve">   -Данъчни приходи</w:t>
            </w:r>
          </w:p>
        </w:tc>
        <w:tc>
          <w:tcPr>
            <w:tcW w:w="1276" w:type="dxa"/>
            <w:tcBorders>
              <w:top w:val="single" w:sz="8" w:space="0" w:color="auto"/>
              <w:left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23 133,2</w:t>
            </w:r>
          </w:p>
        </w:tc>
        <w:tc>
          <w:tcPr>
            <w:tcW w:w="1209" w:type="dxa"/>
            <w:tcBorders>
              <w:top w:val="single" w:sz="8" w:space="0" w:color="auto"/>
              <w:left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17 538,8</w:t>
            </w:r>
          </w:p>
        </w:tc>
        <w:tc>
          <w:tcPr>
            <w:tcW w:w="1304" w:type="dxa"/>
            <w:tcBorders>
              <w:top w:val="single" w:sz="8" w:space="0" w:color="auto"/>
              <w:left w:val="nil"/>
              <w:right w:val="single" w:sz="8" w:space="0" w:color="auto"/>
            </w:tcBorders>
            <w:shd w:val="clear" w:color="auto" w:fill="auto"/>
            <w:noWrap/>
            <w:vAlign w:val="bottom"/>
          </w:tcPr>
          <w:p w:rsidR="00B13128" w:rsidRPr="00B13128" w:rsidRDefault="00B13128" w:rsidP="00B13128">
            <w:pPr>
              <w:jc w:val="right"/>
              <w:rPr>
                <w:sz w:val="18"/>
                <w:szCs w:val="18"/>
              </w:rPr>
            </w:pPr>
            <w:r w:rsidRPr="00B13128">
              <w:rPr>
                <w:sz w:val="18"/>
                <w:szCs w:val="18"/>
              </w:rPr>
              <w:t>75,8%</w:t>
            </w:r>
          </w:p>
        </w:tc>
      </w:tr>
      <w:tr w:rsidR="00B13128" w:rsidRPr="00B13128" w:rsidTr="003F3760">
        <w:trPr>
          <w:trHeight w:val="80"/>
          <w:jc w:val="center"/>
        </w:trPr>
        <w:tc>
          <w:tcPr>
            <w:tcW w:w="4853" w:type="dxa"/>
            <w:tcBorders>
              <w:left w:val="single" w:sz="8" w:space="0" w:color="auto"/>
              <w:right w:val="single" w:sz="8" w:space="0" w:color="auto"/>
            </w:tcBorders>
            <w:shd w:val="clear" w:color="auto" w:fill="auto"/>
            <w:noWrap/>
            <w:vAlign w:val="bottom"/>
          </w:tcPr>
          <w:p w:rsidR="00B13128" w:rsidRPr="00B13128" w:rsidRDefault="00B13128" w:rsidP="00B13128">
            <w:pPr>
              <w:rPr>
                <w:sz w:val="18"/>
                <w:szCs w:val="18"/>
              </w:rPr>
            </w:pPr>
            <w:r w:rsidRPr="00B13128">
              <w:rPr>
                <w:sz w:val="18"/>
                <w:szCs w:val="18"/>
              </w:rPr>
              <w:t xml:space="preserve">       Корпоративни данъци</w:t>
            </w:r>
          </w:p>
        </w:tc>
        <w:tc>
          <w:tcPr>
            <w:tcW w:w="1276"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2 675,9</w:t>
            </w:r>
          </w:p>
        </w:tc>
        <w:tc>
          <w:tcPr>
            <w:tcW w:w="1209" w:type="dxa"/>
            <w:tcBorders>
              <w:left w:val="nil"/>
              <w:bottom w:val="nil"/>
              <w:right w:val="nil"/>
            </w:tcBorders>
            <w:shd w:val="clear" w:color="auto" w:fill="auto"/>
            <w:noWrap/>
            <w:vAlign w:val="bottom"/>
          </w:tcPr>
          <w:p w:rsidR="00B13128" w:rsidRPr="00B13128" w:rsidRDefault="00B13128" w:rsidP="00B13128">
            <w:pPr>
              <w:jc w:val="right"/>
              <w:rPr>
                <w:sz w:val="18"/>
                <w:szCs w:val="18"/>
                <w:lang w:val="en-US"/>
              </w:rPr>
            </w:pPr>
            <w:r w:rsidRPr="00B13128">
              <w:rPr>
                <w:sz w:val="18"/>
                <w:szCs w:val="18"/>
                <w:lang w:val="en-US"/>
              </w:rPr>
              <w:t>1 668,2</w:t>
            </w:r>
          </w:p>
        </w:tc>
        <w:tc>
          <w:tcPr>
            <w:tcW w:w="1304" w:type="dxa"/>
            <w:tcBorders>
              <w:left w:val="nil"/>
              <w:bottom w:val="nil"/>
              <w:right w:val="single" w:sz="8" w:space="0" w:color="auto"/>
            </w:tcBorders>
            <w:shd w:val="clear" w:color="auto" w:fill="auto"/>
            <w:noWrap/>
            <w:vAlign w:val="bottom"/>
          </w:tcPr>
          <w:p w:rsidR="00B13128" w:rsidRPr="00B13128" w:rsidRDefault="00B13128" w:rsidP="00B13128">
            <w:pPr>
              <w:jc w:val="right"/>
              <w:rPr>
                <w:sz w:val="18"/>
                <w:szCs w:val="18"/>
              </w:rPr>
            </w:pPr>
            <w:r w:rsidRPr="00B13128">
              <w:rPr>
                <w:sz w:val="18"/>
                <w:szCs w:val="18"/>
              </w:rPr>
              <w:t>62,3%</w:t>
            </w:r>
          </w:p>
        </w:tc>
      </w:tr>
      <w:tr w:rsidR="00B13128" w:rsidRPr="00B13128" w:rsidTr="003F3760">
        <w:trPr>
          <w:trHeight w:val="165"/>
          <w:jc w:val="center"/>
        </w:trPr>
        <w:tc>
          <w:tcPr>
            <w:tcW w:w="4853" w:type="dxa"/>
            <w:tcBorders>
              <w:left w:val="single" w:sz="8" w:space="0" w:color="auto"/>
              <w:right w:val="single" w:sz="8" w:space="0" w:color="auto"/>
            </w:tcBorders>
            <w:shd w:val="clear" w:color="auto" w:fill="auto"/>
            <w:noWrap/>
            <w:vAlign w:val="bottom"/>
          </w:tcPr>
          <w:p w:rsidR="00B13128" w:rsidRPr="00B13128" w:rsidRDefault="00B13128" w:rsidP="00B13128">
            <w:pPr>
              <w:rPr>
                <w:sz w:val="18"/>
                <w:szCs w:val="18"/>
              </w:rPr>
            </w:pPr>
            <w:r w:rsidRPr="00B13128">
              <w:rPr>
                <w:sz w:val="18"/>
                <w:szCs w:val="18"/>
              </w:rPr>
              <w:t xml:space="preserve">       ДДФЛ</w:t>
            </w:r>
          </w:p>
        </w:tc>
        <w:tc>
          <w:tcPr>
            <w:tcW w:w="1276"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3 861,0</w:t>
            </w:r>
          </w:p>
        </w:tc>
        <w:tc>
          <w:tcPr>
            <w:tcW w:w="1209"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2 979,3</w:t>
            </w:r>
          </w:p>
        </w:tc>
        <w:tc>
          <w:tcPr>
            <w:tcW w:w="1304" w:type="dxa"/>
            <w:tcBorders>
              <w:left w:val="nil"/>
              <w:bottom w:val="nil"/>
              <w:right w:val="single" w:sz="8" w:space="0" w:color="auto"/>
            </w:tcBorders>
            <w:shd w:val="clear" w:color="auto" w:fill="auto"/>
            <w:noWrap/>
            <w:vAlign w:val="bottom"/>
          </w:tcPr>
          <w:p w:rsidR="00B13128" w:rsidRPr="00B13128" w:rsidRDefault="00B13128" w:rsidP="00B13128">
            <w:pPr>
              <w:jc w:val="right"/>
              <w:rPr>
                <w:sz w:val="18"/>
                <w:szCs w:val="18"/>
              </w:rPr>
            </w:pPr>
            <w:r w:rsidRPr="00B13128">
              <w:rPr>
                <w:sz w:val="18"/>
                <w:szCs w:val="18"/>
              </w:rPr>
              <w:t>77,2%</w:t>
            </w:r>
          </w:p>
        </w:tc>
      </w:tr>
      <w:tr w:rsidR="00B13128" w:rsidRPr="00B13128" w:rsidTr="003F3760">
        <w:trPr>
          <w:trHeight w:val="165"/>
          <w:jc w:val="center"/>
        </w:trPr>
        <w:tc>
          <w:tcPr>
            <w:tcW w:w="4853" w:type="dxa"/>
            <w:tcBorders>
              <w:left w:val="single" w:sz="8" w:space="0" w:color="auto"/>
              <w:right w:val="single" w:sz="8" w:space="0" w:color="auto"/>
            </w:tcBorders>
            <w:shd w:val="clear" w:color="auto" w:fill="auto"/>
            <w:noWrap/>
            <w:vAlign w:val="bottom"/>
          </w:tcPr>
          <w:p w:rsidR="00B13128" w:rsidRPr="00B13128" w:rsidRDefault="00B13128" w:rsidP="00B13128">
            <w:pPr>
              <w:rPr>
                <w:sz w:val="18"/>
                <w:szCs w:val="18"/>
              </w:rPr>
            </w:pPr>
            <w:r w:rsidRPr="00B13128">
              <w:rPr>
                <w:sz w:val="18"/>
                <w:szCs w:val="18"/>
              </w:rPr>
              <w:t xml:space="preserve">       ДДС</w:t>
            </w:r>
          </w:p>
        </w:tc>
        <w:tc>
          <w:tcPr>
            <w:tcW w:w="1276"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10 830,0</w:t>
            </w:r>
          </w:p>
        </w:tc>
        <w:tc>
          <w:tcPr>
            <w:tcW w:w="1209"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8 416,5</w:t>
            </w:r>
          </w:p>
        </w:tc>
        <w:tc>
          <w:tcPr>
            <w:tcW w:w="1304" w:type="dxa"/>
            <w:tcBorders>
              <w:left w:val="nil"/>
              <w:bottom w:val="nil"/>
              <w:right w:val="single" w:sz="8" w:space="0" w:color="auto"/>
            </w:tcBorders>
            <w:shd w:val="clear" w:color="auto" w:fill="auto"/>
            <w:noWrap/>
            <w:vAlign w:val="bottom"/>
          </w:tcPr>
          <w:p w:rsidR="00B13128" w:rsidRPr="00B13128" w:rsidRDefault="00B13128" w:rsidP="00B13128">
            <w:pPr>
              <w:jc w:val="right"/>
              <w:rPr>
                <w:sz w:val="18"/>
                <w:szCs w:val="18"/>
              </w:rPr>
            </w:pPr>
            <w:r w:rsidRPr="00B13128">
              <w:rPr>
                <w:sz w:val="18"/>
                <w:szCs w:val="18"/>
              </w:rPr>
              <w:t>77,7%</w:t>
            </w:r>
          </w:p>
        </w:tc>
      </w:tr>
      <w:tr w:rsidR="00B13128" w:rsidRPr="00B13128" w:rsidTr="003F3760">
        <w:trPr>
          <w:trHeight w:val="165"/>
          <w:jc w:val="center"/>
        </w:trPr>
        <w:tc>
          <w:tcPr>
            <w:tcW w:w="4853" w:type="dxa"/>
            <w:tcBorders>
              <w:left w:val="single" w:sz="8" w:space="0" w:color="auto"/>
              <w:right w:val="single" w:sz="8" w:space="0" w:color="auto"/>
            </w:tcBorders>
            <w:shd w:val="clear" w:color="auto" w:fill="auto"/>
            <w:noWrap/>
            <w:vAlign w:val="bottom"/>
          </w:tcPr>
          <w:p w:rsidR="00B13128" w:rsidRPr="00B13128" w:rsidRDefault="00B13128" w:rsidP="00B13128">
            <w:pPr>
              <w:rPr>
                <w:sz w:val="18"/>
                <w:szCs w:val="18"/>
              </w:rPr>
            </w:pPr>
            <w:r w:rsidRPr="00B13128">
              <w:rPr>
                <w:sz w:val="18"/>
                <w:szCs w:val="18"/>
              </w:rPr>
              <w:t xml:space="preserve">       Акцизи </w:t>
            </w:r>
          </w:p>
        </w:tc>
        <w:tc>
          <w:tcPr>
            <w:tcW w:w="1276"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5 330,7</w:t>
            </w:r>
          </w:p>
        </w:tc>
        <w:tc>
          <w:tcPr>
            <w:tcW w:w="1209" w:type="dxa"/>
            <w:tcBorders>
              <w:left w:val="nil"/>
              <w:bottom w:val="nil"/>
              <w:right w:val="nil"/>
            </w:tcBorders>
            <w:shd w:val="clear" w:color="auto" w:fill="auto"/>
            <w:noWrap/>
            <w:vAlign w:val="bottom"/>
          </w:tcPr>
          <w:p w:rsidR="00B13128" w:rsidRPr="00B13128" w:rsidRDefault="00B13128" w:rsidP="00B13128">
            <w:pPr>
              <w:jc w:val="right"/>
              <w:rPr>
                <w:sz w:val="18"/>
                <w:szCs w:val="18"/>
                <w:lang w:val="en-US"/>
              </w:rPr>
            </w:pPr>
            <w:r w:rsidRPr="00B13128">
              <w:rPr>
                <w:sz w:val="18"/>
                <w:szCs w:val="18"/>
                <w:lang w:val="en-US"/>
              </w:rPr>
              <w:t>4 136,7</w:t>
            </w:r>
          </w:p>
        </w:tc>
        <w:tc>
          <w:tcPr>
            <w:tcW w:w="1304" w:type="dxa"/>
            <w:tcBorders>
              <w:left w:val="nil"/>
              <w:bottom w:val="nil"/>
              <w:right w:val="single" w:sz="8" w:space="0" w:color="auto"/>
            </w:tcBorders>
            <w:shd w:val="clear" w:color="auto" w:fill="auto"/>
            <w:noWrap/>
            <w:vAlign w:val="bottom"/>
          </w:tcPr>
          <w:p w:rsidR="00B13128" w:rsidRPr="00B13128" w:rsidRDefault="00B13128" w:rsidP="00B13128">
            <w:pPr>
              <w:jc w:val="right"/>
              <w:rPr>
                <w:sz w:val="18"/>
                <w:szCs w:val="18"/>
                <w:lang w:val="en-US"/>
              </w:rPr>
            </w:pPr>
            <w:r w:rsidRPr="00B13128">
              <w:rPr>
                <w:sz w:val="18"/>
                <w:szCs w:val="18"/>
                <w:lang w:val="en-US"/>
              </w:rPr>
              <w:t>77,6%</w:t>
            </w:r>
          </w:p>
        </w:tc>
      </w:tr>
      <w:tr w:rsidR="00B13128" w:rsidRPr="00B13128" w:rsidTr="003F3760">
        <w:trPr>
          <w:trHeight w:val="165"/>
          <w:jc w:val="center"/>
        </w:trPr>
        <w:tc>
          <w:tcPr>
            <w:tcW w:w="4853" w:type="dxa"/>
            <w:tcBorders>
              <w:left w:val="single" w:sz="8" w:space="0" w:color="auto"/>
              <w:right w:val="single" w:sz="8" w:space="0" w:color="auto"/>
            </w:tcBorders>
            <w:shd w:val="clear" w:color="auto" w:fill="auto"/>
            <w:noWrap/>
            <w:vAlign w:val="bottom"/>
          </w:tcPr>
          <w:p w:rsidR="00B13128" w:rsidRPr="00B13128" w:rsidRDefault="00B13128" w:rsidP="00B13128">
            <w:pPr>
              <w:rPr>
                <w:sz w:val="18"/>
                <w:szCs w:val="18"/>
              </w:rPr>
            </w:pPr>
            <w:r w:rsidRPr="00B13128">
              <w:rPr>
                <w:sz w:val="18"/>
                <w:szCs w:val="18"/>
              </w:rPr>
              <w:t xml:space="preserve">       Данък в/у застрахователните премии</w:t>
            </w:r>
          </w:p>
        </w:tc>
        <w:tc>
          <w:tcPr>
            <w:tcW w:w="1276"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39,7</w:t>
            </w:r>
          </w:p>
        </w:tc>
        <w:tc>
          <w:tcPr>
            <w:tcW w:w="1209"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lang w:val="en-US"/>
              </w:rPr>
              <w:t>32,8</w:t>
            </w:r>
          </w:p>
        </w:tc>
        <w:tc>
          <w:tcPr>
            <w:tcW w:w="1304" w:type="dxa"/>
            <w:tcBorders>
              <w:left w:val="nil"/>
              <w:bottom w:val="nil"/>
              <w:right w:val="single" w:sz="8" w:space="0" w:color="auto"/>
            </w:tcBorders>
            <w:shd w:val="clear" w:color="auto" w:fill="auto"/>
            <w:noWrap/>
            <w:vAlign w:val="bottom"/>
          </w:tcPr>
          <w:p w:rsidR="00B13128" w:rsidRPr="00B13128" w:rsidRDefault="00B13128" w:rsidP="00B13128">
            <w:pPr>
              <w:jc w:val="right"/>
              <w:rPr>
                <w:sz w:val="18"/>
                <w:szCs w:val="18"/>
                <w:lang w:val="en-US"/>
              </w:rPr>
            </w:pPr>
            <w:r w:rsidRPr="00B13128">
              <w:rPr>
                <w:sz w:val="18"/>
                <w:szCs w:val="18"/>
                <w:lang w:val="en-US"/>
              </w:rPr>
              <w:t>82,6%</w:t>
            </w:r>
          </w:p>
        </w:tc>
      </w:tr>
      <w:tr w:rsidR="00B13128" w:rsidRPr="00B13128" w:rsidTr="003F3760">
        <w:trPr>
          <w:trHeight w:val="165"/>
          <w:jc w:val="center"/>
        </w:trPr>
        <w:tc>
          <w:tcPr>
            <w:tcW w:w="4853" w:type="dxa"/>
            <w:tcBorders>
              <w:left w:val="single" w:sz="8" w:space="0" w:color="auto"/>
              <w:right w:val="single" w:sz="8" w:space="0" w:color="auto"/>
            </w:tcBorders>
            <w:shd w:val="clear" w:color="auto" w:fill="auto"/>
            <w:noWrap/>
            <w:vAlign w:val="bottom"/>
          </w:tcPr>
          <w:p w:rsidR="00B13128" w:rsidRPr="00B13128" w:rsidRDefault="00B13128" w:rsidP="00B13128">
            <w:pPr>
              <w:rPr>
                <w:sz w:val="18"/>
                <w:szCs w:val="18"/>
              </w:rPr>
            </w:pPr>
            <w:r w:rsidRPr="00B13128">
              <w:rPr>
                <w:sz w:val="18"/>
                <w:szCs w:val="18"/>
              </w:rPr>
              <w:t xml:space="preserve">       Мита и митнически такси</w:t>
            </w:r>
          </w:p>
        </w:tc>
        <w:tc>
          <w:tcPr>
            <w:tcW w:w="1276"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236,9</w:t>
            </w:r>
          </w:p>
        </w:tc>
        <w:tc>
          <w:tcPr>
            <w:tcW w:w="1209"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172,7</w:t>
            </w:r>
          </w:p>
        </w:tc>
        <w:tc>
          <w:tcPr>
            <w:tcW w:w="1304" w:type="dxa"/>
            <w:tcBorders>
              <w:left w:val="nil"/>
              <w:bottom w:val="nil"/>
              <w:right w:val="single" w:sz="8" w:space="0" w:color="auto"/>
            </w:tcBorders>
            <w:shd w:val="clear" w:color="auto" w:fill="auto"/>
            <w:noWrap/>
            <w:vAlign w:val="bottom"/>
          </w:tcPr>
          <w:p w:rsidR="00B13128" w:rsidRPr="00B13128" w:rsidRDefault="00B13128" w:rsidP="00B13128">
            <w:pPr>
              <w:jc w:val="right"/>
              <w:rPr>
                <w:sz w:val="18"/>
                <w:szCs w:val="18"/>
                <w:lang w:val="en-US"/>
              </w:rPr>
            </w:pPr>
            <w:r w:rsidRPr="00B13128">
              <w:rPr>
                <w:sz w:val="18"/>
                <w:szCs w:val="18"/>
                <w:lang w:val="en-US"/>
              </w:rPr>
              <w:t>72,9%</w:t>
            </w:r>
          </w:p>
        </w:tc>
      </w:tr>
      <w:tr w:rsidR="00B13128" w:rsidRPr="00B13128" w:rsidTr="003F3760">
        <w:trPr>
          <w:trHeight w:val="165"/>
          <w:jc w:val="center"/>
        </w:trPr>
        <w:tc>
          <w:tcPr>
            <w:tcW w:w="4853" w:type="dxa"/>
            <w:tcBorders>
              <w:left w:val="single" w:sz="8" w:space="0" w:color="auto"/>
              <w:right w:val="single" w:sz="8" w:space="0" w:color="auto"/>
            </w:tcBorders>
            <w:shd w:val="clear" w:color="auto" w:fill="auto"/>
            <w:noWrap/>
            <w:vAlign w:val="bottom"/>
          </w:tcPr>
          <w:p w:rsidR="00B13128" w:rsidRPr="00B13128" w:rsidRDefault="00B13128" w:rsidP="00B13128">
            <w:pPr>
              <w:rPr>
                <w:sz w:val="18"/>
                <w:szCs w:val="18"/>
              </w:rPr>
            </w:pPr>
            <w:r w:rsidRPr="00B13128">
              <w:rPr>
                <w:sz w:val="18"/>
                <w:szCs w:val="18"/>
              </w:rPr>
              <w:t xml:space="preserve">       Други данъци</w:t>
            </w:r>
          </w:p>
        </w:tc>
        <w:tc>
          <w:tcPr>
            <w:tcW w:w="1276"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159,0</w:t>
            </w:r>
          </w:p>
        </w:tc>
        <w:tc>
          <w:tcPr>
            <w:tcW w:w="1209"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132,6</w:t>
            </w:r>
          </w:p>
        </w:tc>
        <w:tc>
          <w:tcPr>
            <w:tcW w:w="1304" w:type="dxa"/>
            <w:tcBorders>
              <w:left w:val="nil"/>
              <w:bottom w:val="nil"/>
              <w:right w:val="single" w:sz="8" w:space="0" w:color="auto"/>
            </w:tcBorders>
            <w:shd w:val="clear" w:color="auto" w:fill="auto"/>
            <w:noWrap/>
            <w:vAlign w:val="bottom"/>
          </w:tcPr>
          <w:p w:rsidR="00B13128" w:rsidRPr="00B13128" w:rsidRDefault="00B13128" w:rsidP="00B13128">
            <w:pPr>
              <w:jc w:val="right"/>
              <w:rPr>
                <w:sz w:val="18"/>
                <w:szCs w:val="18"/>
              </w:rPr>
            </w:pPr>
            <w:r w:rsidRPr="00B13128">
              <w:rPr>
                <w:sz w:val="18"/>
                <w:szCs w:val="18"/>
              </w:rPr>
              <w:t>83,4%</w:t>
            </w:r>
          </w:p>
        </w:tc>
      </w:tr>
      <w:tr w:rsidR="00B13128" w:rsidRPr="00B13128" w:rsidTr="003F3760">
        <w:trPr>
          <w:trHeight w:val="165"/>
          <w:jc w:val="center"/>
        </w:trPr>
        <w:tc>
          <w:tcPr>
            <w:tcW w:w="4853" w:type="dxa"/>
            <w:tcBorders>
              <w:left w:val="single" w:sz="8" w:space="0" w:color="auto"/>
              <w:right w:val="single" w:sz="8" w:space="0" w:color="auto"/>
            </w:tcBorders>
            <w:shd w:val="clear" w:color="auto" w:fill="auto"/>
            <w:noWrap/>
            <w:vAlign w:val="bottom"/>
          </w:tcPr>
          <w:p w:rsidR="00B13128" w:rsidRPr="00B13128" w:rsidRDefault="00B13128" w:rsidP="00B13128">
            <w:pPr>
              <w:rPr>
                <w:sz w:val="18"/>
                <w:szCs w:val="18"/>
              </w:rPr>
            </w:pPr>
            <w:r w:rsidRPr="00B13128">
              <w:rPr>
                <w:sz w:val="18"/>
                <w:szCs w:val="18"/>
              </w:rPr>
              <w:t xml:space="preserve">   -Неданъчни приходи</w:t>
            </w:r>
          </w:p>
        </w:tc>
        <w:tc>
          <w:tcPr>
            <w:tcW w:w="1276"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2 560,1</w:t>
            </w:r>
          </w:p>
        </w:tc>
        <w:tc>
          <w:tcPr>
            <w:tcW w:w="1209"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1 729,1</w:t>
            </w:r>
          </w:p>
        </w:tc>
        <w:tc>
          <w:tcPr>
            <w:tcW w:w="1304" w:type="dxa"/>
            <w:tcBorders>
              <w:left w:val="nil"/>
              <w:bottom w:val="nil"/>
              <w:right w:val="single" w:sz="8" w:space="0" w:color="auto"/>
            </w:tcBorders>
            <w:shd w:val="clear" w:color="auto" w:fill="auto"/>
            <w:noWrap/>
            <w:vAlign w:val="bottom"/>
          </w:tcPr>
          <w:p w:rsidR="00B13128" w:rsidRPr="00B13128" w:rsidRDefault="00B13128" w:rsidP="00B13128">
            <w:pPr>
              <w:jc w:val="right"/>
              <w:rPr>
                <w:sz w:val="18"/>
                <w:szCs w:val="18"/>
              </w:rPr>
            </w:pPr>
            <w:r w:rsidRPr="00B13128">
              <w:rPr>
                <w:sz w:val="18"/>
                <w:szCs w:val="18"/>
              </w:rPr>
              <w:t>67,5%</w:t>
            </w:r>
          </w:p>
        </w:tc>
      </w:tr>
      <w:tr w:rsidR="00B13128" w:rsidRPr="00B13128" w:rsidTr="003F3760">
        <w:trPr>
          <w:trHeight w:val="165"/>
          <w:jc w:val="center"/>
        </w:trPr>
        <w:tc>
          <w:tcPr>
            <w:tcW w:w="4853" w:type="dxa"/>
            <w:tcBorders>
              <w:left w:val="single" w:sz="8" w:space="0" w:color="auto"/>
              <w:right w:val="single" w:sz="8" w:space="0" w:color="auto"/>
            </w:tcBorders>
            <w:shd w:val="clear" w:color="auto" w:fill="auto"/>
            <w:noWrap/>
            <w:vAlign w:val="bottom"/>
          </w:tcPr>
          <w:p w:rsidR="00B13128" w:rsidRPr="00B13128" w:rsidRDefault="00B13128" w:rsidP="00B13128">
            <w:pPr>
              <w:rPr>
                <w:sz w:val="18"/>
                <w:szCs w:val="18"/>
              </w:rPr>
            </w:pPr>
            <w:r w:rsidRPr="00B13128">
              <w:rPr>
                <w:sz w:val="18"/>
                <w:szCs w:val="18"/>
              </w:rPr>
              <w:t xml:space="preserve">   -Помощи и дарения</w:t>
            </w:r>
          </w:p>
        </w:tc>
        <w:tc>
          <w:tcPr>
            <w:tcW w:w="1276"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0,0</w:t>
            </w:r>
          </w:p>
        </w:tc>
        <w:tc>
          <w:tcPr>
            <w:tcW w:w="1209" w:type="dxa"/>
            <w:tcBorders>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2,0</w:t>
            </w:r>
          </w:p>
        </w:tc>
        <w:tc>
          <w:tcPr>
            <w:tcW w:w="1304" w:type="dxa"/>
            <w:tcBorders>
              <w:left w:val="nil"/>
              <w:bottom w:val="nil"/>
              <w:right w:val="single" w:sz="8" w:space="0" w:color="auto"/>
            </w:tcBorders>
            <w:shd w:val="clear" w:color="auto" w:fill="auto"/>
            <w:noWrap/>
            <w:vAlign w:val="bottom"/>
          </w:tcPr>
          <w:p w:rsidR="00B13128" w:rsidRPr="00B13128" w:rsidRDefault="00B13128" w:rsidP="00B13128">
            <w:pPr>
              <w:jc w:val="center"/>
              <w:rPr>
                <w:color w:val="0070C0"/>
                <w:sz w:val="18"/>
                <w:szCs w:val="18"/>
              </w:rPr>
            </w:pPr>
          </w:p>
        </w:tc>
      </w:tr>
      <w:tr w:rsidR="00B13128" w:rsidRPr="00B13128" w:rsidTr="003F3760">
        <w:trPr>
          <w:trHeight w:val="199"/>
          <w:jc w:val="center"/>
        </w:trPr>
        <w:tc>
          <w:tcPr>
            <w:tcW w:w="4853" w:type="dxa"/>
            <w:tcBorders>
              <w:top w:val="single" w:sz="4" w:space="0" w:color="auto"/>
              <w:left w:val="single" w:sz="4" w:space="0" w:color="auto"/>
              <w:bottom w:val="nil"/>
              <w:right w:val="single" w:sz="4" w:space="0" w:color="auto"/>
            </w:tcBorders>
            <w:shd w:val="clear" w:color="auto" w:fill="auto"/>
            <w:noWrap/>
            <w:vAlign w:val="bottom"/>
          </w:tcPr>
          <w:p w:rsidR="00B13128" w:rsidRPr="00B13128" w:rsidRDefault="00B13128" w:rsidP="00B13128">
            <w:pPr>
              <w:rPr>
                <w:b/>
                <w:bCs/>
                <w:sz w:val="18"/>
                <w:szCs w:val="18"/>
              </w:rPr>
            </w:pPr>
            <w:r w:rsidRPr="00B13128">
              <w:rPr>
                <w:b/>
                <w:bCs/>
                <w:sz w:val="18"/>
                <w:szCs w:val="18"/>
              </w:rPr>
              <w:t xml:space="preserve"> Разходи,трансфери и вноска в бюджета на ЕС</w:t>
            </w:r>
          </w:p>
        </w:tc>
        <w:tc>
          <w:tcPr>
            <w:tcW w:w="1276" w:type="dxa"/>
            <w:tcBorders>
              <w:top w:val="single" w:sz="4" w:space="0" w:color="auto"/>
              <w:left w:val="nil"/>
              <w:bottom w:val="nil"/>
              <w:right w:val="nil"/>
            </w:tcBorders>
            <w:shd w:val="clear" w:color="auto" w:fill="auto"/>
            <w:noWrap/>
            <w:vAlign w:val="bottom"/>
          </w:tcPr>
          <w:p w:rsidR="00B13128" w:rsidRPr="00B13128" w:rsidRDefault="00B13128" w:rsidP="00B13128">
            <w:pPr>
              <w:jc w:val="right"/>
              <w:rPr>
                <w:b/>
                <w:bCs/>
                <w:sz w:val="18"/>
                <w:szCs w:val="18"/>
              </w:rPr>
            </w:pPr>
            <w:r w:rsidRPr="00B13128">
              <w:rPr>
                <w:b/>
                <w:bCs/>
                <w:sz w:val="18"/>
                <w:szCs w:val="18"/>
              </w:rPr>
              <w:t>27 921,6</w:t>
            </w:r>
          </w:p>
        </w:tc>
        <w:tc>
          <w:tcPr>
            <w:tcW w:w="1209" w:type="dxa"/>
            <w:tcBorders>
              <w:top w:val="single" w:sz="4" w:space="0" w:color="auto"/>
              <w:left w:val="nil"/>
              <w:bottom w:val="nil"/>
              <w:right w:val="nil"/>
            </w:tcBorders>
            <w:shd w:val="clear" w:color="auto" w:fill="auto"/>
            <w:noWrap/>
            <w:vAlign w:val="bottom"/>
          </w:tcPr>
          <w:p w:rsidR="00B13128" w:rsidRPr="00B13128" w:rsidRDefault="00B13128" w:rsidP="00B13128">
            <w:pPr>
              <w:jc w:val="right"/>
              <w:rPr>
                <w:b/>
                <w:bCs/>
                <w:sz w:val="18"/>
                <w:szCs w:val="18"/>
              </w:rPr>
            </w:pPr>
            <w:r w:rsidRPr="00B13128">
              <w:rPr>
                <w:b/>
                <w:bCs/>
                <w:sz w:val="18"/>
                <w:szCs w:val="18"/>
              </w:rPr>
              <w:t>18 756,1</w:t>
            </w:r>
          </w:p>
        </w:tc>
        <w:tc>
          <w:tcPr>
            <w:tcW w:w="1304" w:type="dxa"/>
            <w:tcBorders>
              <w:top w:val="single" w:sz="4" w:space="0" w:color="auto"/>
              <w:left w:val="nil"/>
              <w:bottom w:val="nil"/>
              <w:right w:val="single" w:sz="8" w:space="0" w:color="auto"/>
            </w:tcBorders>
            <w:shd w:val="clear" w:color="auto" w:fill="auto"/>
            <w:noWrap/>
            <w:vAlign w:val="bottom"/>
          </w:tcPr>
          <w:p w:rsidR="00B13128" w:rsidRPr="00B13128" w:rsidRDefault="00B13128" w:rsidP="00B13128">
            <w:pPr>
              <w:jc w:val="right"/>
              <w:rPr>
                <w:b/>
                <w:bCs/>
                <w:sz w:val="18"/>
                <w:szCs w:val="18"/>
              </w:rPr>
            </w:pPr>
            <w:r w:rsidRPr="00B13128">
              <w:rPr>
                <w:b/>
                <w:bCs/>
                <w:sz w:val="18"/>
                <w:szCs w:val="18"/>
              </w:rPr>
              <w:t>67,2%</w:t>
            </w:r>
          </w:p>
        </w:tc>
      </w:tr>
      <w:tr w:rsidR="00B13128" w:rsidRPr="00B13128" w:rsidTr="003F3760">
        <w:trPr>
          <w:trHeight w:val="101"/>
          <w:jc w:val="center"/>
        </w:trPr>
        <w:tc>
          <w:tcPr>
            <w:tcW w:w="4853" w:type="dxa"/>
            <w:tcBorders>
              <w:top w:val="nil"/>
              <w:left w:val="single" w:sz="4" w:space="0" w:color="auto"/>
              <w:bottom w:val="nil"/>
              <w:right w:val="single" w:sz="4" w:space="0" w:color="auto"/>
            </w:tcBorders>
            <w:shd w:val="clear" w:color="auto" w:fill="auto"/>
            <w:noWrap/>
            <w:vAlign w:val="bottom"/>
          </w:tcPr>
          <w:p w:rsidR="00B13128" w:rsidRPr="00B13128" w:rsidRDefault="00B13128" w:rsidP="00B13128">
            <w:pPr>
              <w:rPr>
                <w:b/>
                <w:i/>
                <w:sz w:val="18"/>
                <w:szCs w:val="18"/>
              </w:rPr>
            </w:pPr>
            <w:r w:rsidRPr="00B13128">
              <w:rPr>
                <w:b/>
                <w:i/>
                <w:sz w:val="18"/>
                <w:szCs w:val="18"/>
              </w:rPr>
              <w:t xml:space="preserve">   -Нелихвени разходи</w:t>
            </w:r>
          </w:p>
        </w:tc>
        <w:tc>
          <w:tcPr>
            <w:tcW w:w="1276"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14 438,3</w:t>
            </w:r>
          </w:p>
        </w:tc>
        <w:tc>
          <w:tcPr>
            <w:tcW w:w="1209"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9 122,0</w:t>
            </w:r>
          </w:p>
        </w:tc>
        <w:tc>
          <w:tcPr>
            <w:tcW w:w="1304" w:type="dxa"/>
            <w:tcBorders>
              <w:top w:val="nil"/>
              <w:left w:val="nil"/>
              <w:bottom w:val="nil"/>
              <w:right w:val="single" w:sz="8" w:space="0" w:color="auto"/>
            </w:tcBorders>
            <w:shd w:val="clear" w:color="auto" w:fill="auto"/>
            <w:noWrap/>
            <w:vAlign w:val="bottom"/>
          </w:tcPr>
          <w:p w:rsidR="00B13128" w:rsidRPr="00B13128" w:rsidRDefault="00B13128" w:rsidP="00B13128">
            <w:pPr>
              <w:jc w:val="right"/>
              <w:rPr>
                <w:sz w:val="18"/>
                <w:szCs w:val="18"/>
              </w:rPr>
            </w:pPr>
            <w:r w:rsidRPr="00B13128">
              <w:rPr>
                <w:sz w:val="18"/>
                <w:szCs w:val="18"/>
              </w:rPr>
              <w:t>63,2%</w:t>
            </w:r>
          </w:p>
        </w:tc>
      </w:tr>
      <w:tr w:rsidR="00B13128" w:rsidRPr="00B13128" w:rsidTr="003F3760">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B13128" w:rsidRPr="00B13128" w:rsidRDefault="00B13128" w:rsidP="00B13128">
            <w:pPr>
              <w:rPr>
                <w:sz w:val="18"/>
                <w:szCs w:val="18"/>
              </w:rPr>
            </w:pPr>
            <w:r w:rsidRPr="00B13128">
              <w:rPr>
                <w:sz w:val="18"/>
                <w:szCs w:val="18"/>
              </w:rPr>
              <w:t xml:space="preserve">      Текущи </w:t>
            </w:r>
          </w:p>
        </w:tc>
        <w:tc>
          <w:tcPr>
            <w:tcW w:w="1276"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9 811,5</w:t>
            </w:r>
          </w:p>
        </w:tc>
        <w:tc>
          <w:tcPr>
            <w:tcW w:w="1209"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6 609,4</w:t>
            </w:r>
          </w:p>
        </w:tc>
        <w:tc>
          <w:tcPr>
            <w:tcW w:w="1304" w:type="dxa"/>
            <w:tcBorders>
              <w:top w:val="nil"/>
              <w:left w:val="nil"/>
              <w:bottom w:val="nil"/>
              <w:right w:val="single" w:sz="8" w:space="0" w:color="auto"/>
            </w:tcBorders>
            <w:shd w:val="clear" w:color="auto" w:fill="auto"/>
            <w:noWrap/>
            <w:vAlign w:val="bottom"/>
          </w:tcPr>
          <w:p w:rsidR="00B13128" w:rsidRPr="00B13128" w:rsidRDefault="00B13128" w:rsidP="00B13128">
            <w:pPr>
              <w:jc w:val="right"/>
              <w:rPr>
                <w:sz w:val="18"/>
                <w:szCs w:val="18"/>
              </w:rPr>
            </w:pPr>
            <w:r w:rsidRPr="00B13128">
              <w:rPr>
                <w:sz w:val="18"/>
                <w:szCs w:val="18"/>
              </w:rPr>
              <w:t>67,4%</w:t>
            </w:r>
          </w:p>
        </w:tc>
      </w:tr>
      <w:tr w:rsidR="00B13128" w:rsidRPr="00B13128" w:rsidTr="003F3760">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B13128" w:rsidRPr="00B13128" w:rsidRDefault="00B13128" w:rsidP="00B13128">
            <w:pPr>
              <w:rPr>
                <w:sz w:val="18"/>
                <w:szCs w:val="18"/>
              </w:rPr>
            </w:pPr>
            <w:r w:rsidRPr="00B13128">
              <w:rPr>
                <w:sz w:val="18"/>
                <w:szCs w:val="18"/>
              </w:rPr>
              <w:t xml:space="preserve">      Предоставени тек. и капит. трансфери за чужбина</w:t>
            </w:r>
          </w:p>
        </w:tc>
        <w:tc>
          <w:tcPr>
            <w:tcW w:w="1276"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14,4</w:t>
            </w:r>
          </w:p>
        </w:tc>
        <w:tc>
          <w:tcPr>
            <w:tcW w:w="1209"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10,1</w:t>
            </w:r>
          </w:p>
        </w:tc>
        <w:tc>
          <w:tcPr>
            <w:tcW w:w="1304" w:type="dxa"/>
            <w:tcBorders>
              <w:top w:val="nil"/>
              <w:left w:val="nil"/>
              <w:bottom w:val="nil"/>
              <w:right w:val="single" w:sz="8" w:space="0" w:color="auto"/>
            </w:tcBorders>
            <w:shd w:val="clear" w:color="auto" w:fill="auto"/>
            <w:noWrap/>
            <w:vAlign w:val="bottom"/>
          </w:tcPr>
          <w:p w:rsidR="00B13128" w:rsidRPr="00B13128" w:rsidRDefault="00B13128" w:rsidP="00B13128">
            <w:pPr>
              <w:jc w:val="right"/>
              <w:rPr>
                <w:sz w:val="18"/>
                <w:szCs w:val="18"/>
              </w:rPr>
            </w:pPr>
            <w:r w:rsidRPr="00B13128">
              <w:rPr>
                <w:sz w:val="18"/>
                <w:szCs w:val="18"/>
              </w:rPr>
              <w:t>70,4%</w:t>
            </w:r>
          </w:p>
        </w:tc>
      </w:tr>
      <w:tr w:rsidR="00B13128" w:rsidRPr="00B13128" w:rsidTr="003F3760">
        <w:trPr>
          <w:trHeight w:val="179"/>
          <w:jc w:val="center"/>
        </w:trPr>
        <w:tc>
          <w:tcPr>
            <w:tcW w:w="4853" w:type="dxa"/>
            <w:tcBorders>
              <w:top w:val="nil"/>
              <w:left w:val="single" w:sz="4" w:space="0" w:color="auto"/>
              <w:bottom w:val="nil"/>
              <w:right w:val="single" w:sz="4" w:space="0" w:color="auto"/>
            </w:tcBorders>
            <w:shd w:val="clear" w:color="auto" w:fill="auto"/>
            <w:noWrap/>
            <w:vAlign w:val="bottom"/>
          </w:tcPr>
          <w:p w:rsidR="00B13128" w:rsidRPr="00B13128" w:rsidRDefault="00B13128" w:rsidP="00B13128">
            <w:pPr>
              <w:rPr>
                <w:sz w:val="18"/>
                <w:szCs w:val="18"/>
              </w:rPr>
            </w:pPr>
            <w:r w:rsidRPr="00B13128">
              <w:rPr>
                <w:sz w:val="18"/>
                <w:szCs w:val="18"/>
              </w:rPr>
              <w:t xml:space="preserve">      Капиталови</w:t>
            </w:r>
          </w:p>
        </w:tc>
        <w:tc>
          <w:tcPr>
            <w:tcW w:w="1276"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4 612,5</w:t>
            </w:r>
          </w:p>
        </w:tc>
        <w:tc>
          <w:tcPr>
            <w:tcW w:w="1209"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2 502,5</w:t>
            </w:r>
          </w:p>
        </w:tc>
        <w:tc>
          <w:tcPr>
            <w:tcW w:w="1304" w:type="dxa"/>
            <w:tcBorders>
              <w:top w:val="nil"/>
              <w:left w:val="nil"/>
              <w:bottom w:val="nil"/>
              <w:right w:val="single" w:sz="8" w:space="0" w:color="auto"/>
            </w:tcBorders>
            <w:shd w:val="clear" w:color="auto" w:fill="auto"/>
            <w:noWrap/>
            <w:vAlign w:val="bottom"/>
          </w:tcPr>
          <w:p w:rsidR="00B13128" w:rsidRPr="00B13128" w:rsidRDefault="00B13128" w:rsidP="00B13128">
            <w:pPr>
              <w:jc w:val="right"/>
              <w:rPr>
                <w:sz w:val="18"/>
                <w:szCs w:val="18"/>
              </w:rPr>
            </w:pPr>
            <w:r w:rsidRPr="00B13128">
              <w:rPr>
                <w:sz w:val="18"/>
                <w:szCs w:val="18"/>
              </w:rPr>
              <w:t>54,3%</w:t>
            </w:r>
          </w:p>
        </w:tc>
      </w:tr>
      <w:tr w:rsidR="00B13128" w:rsidRPr="00B13128" w:rsidTr="003F3760">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B13128" w:rsidRPr="00B13128" w:rsidRDefault="00B13128" w:rsidP="00B13128">
            <w:pPr>
              <w:rPr>
                <w:b/>
                <w:i/>
                <w:sz w:val="18"/>
                <w:szCs w:val="18"/>
              </w:rPr>
            </w:pPr>
            <w:r w:rsidRPr="00B13128">
              <w:rPr>
                <w:b/>
                <w:i/>
                <w:sz w:val="18"/>
                <w:szCs w:val="18"/>
              </w:rPr>
              <w:t xml:space="preserve">   -Лихви</w:t>
            </w:r>
          </w:p>
        </w:tc>
        <w:tc>
          <w:tcPr>
            <w:tcW w:w="1276"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633,3</w:t>
            </w:r>
          </w:p>
        </w:tc>
        <w:tc>
          <w:tcPr>
            <w:tcW w:w="1209"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553,3</w:t>
            </w:r>
          </w:p>
        </w:tc>
        <w:tc>
          <w:tcPr>
            <w:tcW w:w="1304" w:type="dxa"/>
            <w:tcBorders>
              <w:top w:val="nil"/>
              <w:left w:val="nil"/>
              <w:bottom w:val="nil"/>
              <w:right w:val="single" w:sz="8" w:space="0" w:color="auto"/>
            </w:tcBorders>
            <w:shd w:val="clear" w:color="auto" w:fill="auto"/>
            <w:noWrap/>
            <w:vAlign w:val="bottom"/>
          </w:tcPr>
          <w:p w:rsidR="00B13128" w:rsidRPr="00B13128" w:rsidRDefault="00B13128" w:rsidP="00B13128">
            <w:pPr>
              <w:jc w:val="right"/>
              <w:rPr>
                <w:sz w:val="18"/>
                <w:szCs w:val="18"/>
              </w:rPr>
            </w:pPr>
            <w:r w:rsidRPr="00B13128">
              <w:rPr>
                <w:sz w:val="18"/>
                <w:szCs w:val="18"/>
              </w:rPr>
              <w:t>87,4%</w:t>
            </w:r>
          </w:p>
        </w:tc>
      </w:tr>
      <w:tr w:rsidR="00B13128" w:rsidRPr="00B13128" w:rsidTr="003F3760">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B13128" w:rsidRPr="00B13128" w:rsidRDefault="00B13128" w:rsidP="00B13128">
            <w:pPr>
              <w:rPr>
                <w:sz w:val="18"/>
                <w:szCs w:val="18"/>
              </w:rPr>
            </w:pPr>
            <w:r w:rsidRPr="00B13128">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436,3</w:t>
            </w:r>
          </w:p>
        </w:tc>
        <w:tc>
          <w:tcPr>
            <w:tcW w:w="1209"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374,9</w:t>
            </w:r>
          </w:p>
        </w:tc>
        <w:tc>
          <w:tcPr>
            <w:tcW w:w="1304" w:type="dxa"/>
            <w:tcBorders>
              <w:top w:val="nil"/>
              <w:left w:val="nil"/>
              <w:bottom w:val="nil"/>
              <w:right w:val="single" w:sz="8" w:space="0" w:color="auto"/>
            </w:tcBorders>
            <w:shd w:val="clear" w:color="auto" w:fill="auto"/>
            <w:noWrap/>
            <w:vAlign w:val="bottom"/>
          </w:tcPr>
          <w:p w:rsidR="00B13128" w:rsidRPr="00B13128" w:rsidRDefault="00B13128" w:rsidP="00B13128">
            <w:pPr>
              <w:jc w:val="right"/>
              <w:rPr>
                <w:sz w:val="18"/>
                <w:szCs w:val="18"/>
              </w:rPr>
            </w:pPr>
            <w:r w:rsidRPr="00B13128">
              <w:rPr>
                <w:sz w:val="18"/>
                <w:szCs w:val="18"/>
              </w:rPr>
              <w:t>85,9%</w:t>
            </w:r>
          </w:p>
        </w:tc>
      </w:tr>
      <w:tr w:rsidR="00B13128" w:rsidRPr="00B13128" w:rsidTr="003F3760">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B13128" w:rsidRPr="00B13128" w:rsidRDefault="00B13128" w:rsidP="00B13128">
            <w:pPr>
              <w:rPr>
                <w:sz w:val="18"/>
                <w:szCs w:val="18"/>
              </w:rPr>
            </w:pPr>
            <w:r w:rsidRPr="00B13128">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197,0</w:t>
            </w:r>
          </w:p>
        </w:tc>
        <w:tc>
          <w:tcPr>
            <w:tcW w:w="1209"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178,5</w:t>
            </w:r>
          </w:p>
        </w:tc>
        <w:tc>
          <w:tcPr>
            <w:tcW w:w="1304" w:type="dxa"/>
            <w:tcBorders>
              <w:top w:val="nil"/>
              <w:left w:val="nil"/>
              <w:bottom w:val="nil"/>
              <w:right w:val="single" w:sz="8" w:space="0" w:color="auto"/>
            </w:tcBorders>
            <w:shd w:val="clear" w:color="auto" w:fill="auto"/>
            <w:noWrap/>
            <w:vAlign w:val="bottom"/>
          </w:tcPr>
          <w:p w:rsidR="00B13128" w:rsidRPr="00B13128" w:rsidRDefault="00B13128" w:rsidP="00B13128">
            <w:pPr>
              <w:jc w:val="right"/>
              <w:rPr>
                <w:sz w:val="18"/>
                <w:szCs w:val="18"/>
              </w:rPr>
            </w:pPr>
            <w:r w:rsidRPr="00B13128">
              <w:rPr>
                <w:sz w:val="18"/>
                <w:szCs w:val="18"/>
              </w:rPr>
              <w:t>90,6%</w:t>
            </w:r>
          </w:p>
        </w:tc>
      </w:tr>
      <w:tr w:rsidR="00B13128" w:rsidRPr="00B13128" w:rsidTr="003F3760">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B13128" w:rsidRPr="00B13128" w:rsidRDefault="00B13128" w:rsidP="00B13128">
            <w:pPr>
              <w:rPr>
                <w:b/>
                <w:i/>
                <w:sz w:val="18"/>
                <w:szCs w:val="18"/>
              </w:rPr>
            </w:pPr>
            <w:r w:rsidRPr="00B13128">
              <w:rPr>
                <w:b/>
                <w:i/>
                <w:sz w:val="18"/>
                <w:szCs w:val="18"/>
              </w:rPr>
              <w:t xml:space="preserve"> - Резерв за непредвидени и неотложни разходи</w:t>
            </w:r>
            <w:r w:rsidRPr="00B13128">
              <w:rPr>
                <w:b/>
                <w:bCs/>
                <w:sz w:val="20"/>
                <w:szCs w:val="20"/>
                <w:vertAlign w:val="superscript"/>
              </w:rPr>
              <w:footnoteReference w:id="10"/>
            </w:r>
            <w:r w:rsidRPr="00B13128">
              <w:rPr>
                <w:b/>
                <w:i/>
                <w:sz w:val="18"/>
                <w:szCs w:val="18"/>
              </w:rPr>
              <w:tab/>
            </w:r>
          </w:p>
        </w:tc>
        <w:tc>
          <w:tcPr>
            <w:tcW w:w="1276"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81,1</w:t>
            </w:r>
          </w:p>
        </w:tc>
        <w:tc>
          <w:tcPr>
            <w:tcW w:w="1209"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p>
        </w:tc>
        <w:tc>
          <w:tcPr>
            <w:tcW w:w="1304" w:type="dxa"/>
            <w:tcBorders>
              <w:top w:val="nil"/>
              <w:left w:val="nil"/>
              <w:bottom w:val="nil"/>
              <w:right w:val="single" w:sz="8" w:space="0" w:color="auto"/>
            </w:tcBorders>
            <w:shd w:val="clear" w:color="auto" w:fill="auto"/>
            <w:noWrap/>
            <w:vAlign w:val="bottom"/>
          </w:tcPr>
          <w:p w:rsidR="00B13128" w:rsidRPr="00B13128" w:rsidRDefault="00B13128" w:rsidP="00B13128">
            <w:pPr>
              <w:jc w:val="right"/>
              <w:rPr>
                <w:sz w:val="18"/>
                <w:szCs w:val="18"/>
              </w:rPr>
            </w:pPr>
          </w:p>
        </w:tc>
      </w:tr>
      <w:tr w:rsidR="00B13128" w:rsidRPr="00B13128" w:rsidTr="003F3760">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B13128" w:rsidRPr="00B13128" w:rsidRDefault="00B13128" w:rsidP="00B13128">
            <w:pPr>
              <w:rPr>
                <w:b/>
                <w:i/>
                <w:sz w:val="18"/>
                <w:szCs w:val="18"/>
              </w:rPr>
            </w:pPr>
            <w:r w:rsidRPr="00B13128">
              <w:rPr>
                <w:b/>
                <w:i/>
                <w:sz w:val="18"/>
                <w:szCs w:val="18"/>
              </w:rPr>
              <w:t xml:space="preserve"> -Трансфери за  др. бюджети - нето</w:t>
            </w:r>
          </w:p>
        </w:tc>
        <w:tc>
          <w:tcPr>
            <w:tcW w:w="1276"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11 486,8</w:t>
            </w:r>
          </w:p>
        </w:tc>
        <w:tc>
          <w:tcPr>
            <w:tcW w:w="1209" w:type="dxa"/>
            <w:tcBorders>
              <w:top w:val="nil"/>
              <w:left w:val="nil"/>
              <w:bottom w:val="nil"/>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8 083,2</w:t>
            </w:r>
          </w:p>
        </w:tc>
        <w:tc>
          <w:tcPr>
            <w:tcW w:w="1304" w:type="dxa"/>
            <w:tcBorders>
              <w:top w:val="nil"/>
              <w:left w:val="nil"/>
              <w:bottom w:val="nil"/>
              <w:right w:val="single" w:sz="8" w:space="0" w:color="auto"/>
            </w:tcBorders>
            <w:shd w:val="clear" w:color="auto" w:fill="auto"/>
            <w:noWrap/>
            <w:vAlign w:val="bottom"/>
          </w:tcPr>
          <w:p w:rsidR="00B13128" w:rsidRPr="00B13128" w:rsidRDefault="00B13128" w:rsidP="00B13128">
            <w:pPr>
              <w:jc w:val="right"/>
              <w:rPr>
                <w:sz w:val="18"/>
                <w:szCs w:val="18"/>
              </w:rPr>
            </w:pPr>
            <w:r w:rsidRPr="00B13128">
              <w:rPr>
                <w:sz w:val="18"/>
                <w:szCs w:val="18"/>
              </w:rPr>
              <w:t>70,4%</w:t>
            </w:r>
          </w:p>
        </w:tc>
      </w:tr>
      <w:tr w:rsidR="00B13128" w:rsidRPr="00B13128" w:rsidTr="003F3760">
        <w:trPr>
          <w:trHeight w:val="80"/>
          <w:jc w:val="center"/>
        </w:trPr>
        <w:tc>
          <w:tcPr>
            <w:tcW w:w="4853" w:type="dxa"/>
            <w:tcBorders>
              <w:top w:val="nil"/>
              <w:left w:val="single" w:sz="4" w:space="0" w:color="auto"/>
              <w:bottom w:val="single" w:sz="4" w:space="0" w:color="auto"/>
              <w:right w:val="single" w:sz="4" w:space="0" w:color="auto"/>
            </w:tcBorders>
            <w:shd w:val="clear" w:color="auto" w:fill="auto"/>
            <w:noWrap/>
            <w:vAlign w:val="bottom"/>
          </w:tcPr>
          <w:p w:rsidR="00B13128" w:rsidRPr="00B13128" w:rsidRDefault="00B13128" w:rsidP="00B13128">
            <w:pPr>
              <w:rPr>
                <w:b/>
                <w:bCs/>
                <w:i/>
                <w:sz w:val="18"/>
                <w:szCs w:val="18"/>
              </w:rPr>
            </w:pPr>
            <w:r w:rsidRPr="00B13128">
              <w:rPr>
                <w:b/>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1 282,1</w:t>
            </w:r>
          </w:p>
        </w:tc>
        <w:tc>
          <w:tcPr>
            <w:tcW w:w="1209" w:type="dxa"/>
            <w:tcBorders>
              <w:top w:val="nil"/>
              <w:left w:val="nil"/>
              <w:bottom w:val="single" w:sz="4" w:space="0" w:color="auto"/>
              <w:right w:val="nil"/>
            </w:tcBorders>
            <w:shd w:val="clear" w:color="auto" w:fill="auto"/>
            <w:noWrap/>
            <w:vAlign w:val="bottom"/>
          </w:tcPr>
          <w:p w:rsidR="00B13128" w:rsidRPr="00B13128" w:rsidRDefault="00B13128" w:rsidP="00B13128">
            <w:pPr>
              <w:jc w:val="right"/>
              <w:rPr>
                <w:sz w:val="18"/>
                <w:szCs w:val="18"/>
              </w:rPr>
            </w:pPr>
            <w:r w:rsidRPr="00B13128">
              <w:rPr>
                <w:sz w:val="18"/>
                <w:szCs w:val="18"/>
              </w:rPr>
              <w:t>997,5</w:t>
            </w:r>
          </w:p>
        </w:tc>
        <w:tc>
          <w:tcPr>
            <w:tcW w:w="1304" w:type="dxa"/>
            <w:tcBorders>
              <w:top w:val="nil"/>
              <w:left w:val="nil"/>
              <w:bottom w:val="single" w:sz="4" w:space="0" w:color="auto"/>
              <w:right w:val="single" w:sz="8" w:space="0" w:color="auto"/>
            </w:tcBorders>
            <w:shd w:val="clear" w:color="auto" w:fill="auto"/>
            <w:noWrap/>
            <w:vAlign w:val="bottom"/>
          </w:tcPr>
          <w:p w:rsidR="00B13128" w:rsidRPr="00B13128" w:rsidRDefault="00B13128" w:rsidP="00B13128">
            <w:pPr>
              <w:jc w:val="right"/>
              <w:rPr>
                <w:sz w:val="18"/>
                <w:szCs w:val="18"/>
              </w:rPr>
            </w:pPr>
            <w:r w:rsidRPr="00B13128">
              <w:rPr>
                <w:sz w:val="18"/>
                <w:szCs w:val="18"/>
              </w:rPr>
              <w:t>77,8%</w:t>
            </w:r>
          </w:p>
        </w:tc>
      </w:tr>
      <w:tr w:rsidR="00B13128" w:rsidRPr="00B13128" w:rsidTr="003F3760">
        <w:trPr>
          <w:trHeight w:val="70"/>
          <w:jc w:val="center"/>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13128" w:rsidRPr="00B13128" w:rsidRDefault="00B13128" w:rsidP="00B13128">
            <w:pPr>
              <w:rPr>
                <w:b/>
                <w:bCs/>
                <w:sz w:val="18"/>
                <w:szCs w:val="18"/>
              </w:rPr>
            </w:pPr>
            <w:r w:rsidRPr="00B13128">
              <w:rPr>
                <w:b/>
                <w:bCs/>
                <w:sz w:val="18"/>
                <w:szCs w:val="18"/>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rsidR="00B13128" w:rsidRPr="00B13128" w:rsidRDefault="00B13128" w:rsidP="00B13128">
            <w:pPr>
              <w:jc w:val="right"/>
              <w:rPr>
                <w:b/>
                <w:bCs/>
                <w:sz w:val="18"/>
                <w:szCs w:val="18"/>
              </w:rPr>
            </w:pPr>
            <w:r w:rsidRPr="00B13128">
              <w:rPr>
                <w:b/>
                <w:bCs/>
                <w:sz w:val="18"/>
                <w:szCs w:val="18"/>
              </w:rPr>
              <w:t>-2 228,3</w:t>
            </w:r>
          </w:p>
        </w:tc>
        <w:tc>
          <w:tcPr>
            <w:tcW w:w="1209" w:type="dxa"/>
            <w:tcBorders>
              <w:top w:val="single" w:sz="4" w:space="0" w:color="auto"/>
              <w:left w:val="nil"/>
              <w:bottom w:val="single" w:sz="8" w:space="0" w:color="auto"/>
              <w:right w:val="nil"/>
            </w:tcBorders>
            <w:shd w:val="clear" w:color="auto" w:fill="auto"/>
            <w:noWrap/>
            <w:vAlign w:val="bottom"/>
          </w:tcPr>
          <w:p w:rsidR="00B13128" w:rsidRPr="00B13128" w:rsidRDefault="00B13128" w:rsidP="00B13128">
            <w:pPr>
              <w:jc w:val="right"/>
              <w:rPr>
                <w:b/>
                <w:bCs/>
                <w:sz w:val="18"/>
                <w:szCs w:val="18"/>
              </w:rPr>
            </w:pPr>
            <w:r w:rsidRPr="00B13128">
              <w:rPr>
                <w:b/>
                <w:bCs/>
                <w:sz w:val="18"/>
                <w:szCs w:val="18"/>
              </w:rPr>
              <w:t>513,9</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B13128" w:rsidRPr="00B13128" w:rsidRDefault="00B13128" w:rsidP="00B13128">
            <w:pPr>
              <w:jc w:val="right"/>
              <w:rPr>
                <w:b/>
                <w:bCs/>
                <w:sz w:val="18"/>
                <w:szCs w:val="18"/>
              </w:rPr>
            </w:pPr>
          </w:p>
        </w:tc>
      </w:tr>
    </w:tbl>
    <w:p w:rsidR="00B13128" w:rsidRPr="00B13128" w:rsidRDefault="00B13128" w:rsidP="00B13128">
      <w:pPr>
        <w:spacing w:after="120"/>
        <w:ind w:left="360"/>
        <w:jc w:val="both"/>
        <w:rPr>
          <w:b/>
          <w:color w:val="4F81BD" w:themeColor="accent1"/>
          <w:sz w:val="6"/>
          <w:lang w:val="en-US"/>
        </w:rPr>
      </w:pPr>
    </w:p>
    <w:p w:rsidR="00B13128" w:rsidRPr="00B13128" w:rsidRDefault="00B13128" w:rsidP="00B13128">
      <w:pPr>
        <w:spacing w:after="120"/>
        <w:ind w:left="360"/>
        <w:jc w:val="both"/>
        <w:rPr>
          <w:b/>
          <w:color w:val="4F81BD" w:themeColor="accent1"/>
          <w:sz w:val="6"/>
          <w:lang w:val="en-US"/>
        </w:rPr>
      </w:pPr>
    </w:p>
    <w:p w:rsidR="00B13128" w:rsidRPr="00B13128" w:rsidRDefault="00B13128" w:rsidP="00B13128">
      <w:pPr>
        <w:numPr>
          <w:ilvl w:val="0"/>
          <w:numId w:val="2"/>
        </w:numPr>
        <w:spacing w:after="120"/>
        <w:jc w:val="both"/>
        <w:rPr>
          <w:b/>
        </w:rPr>
      </w:pPr>
      <w:r w:rsidRPr="00B13128">
        <w:rPr>
          <w:b/>
          <w:bCs/>
        </w:rPr>
        <w:t xml:space="preserve">Приходи по държавния бюджет </w:t>
      </w:r>
    </w:p>
    <w:p w:rsidR="00B13128" w:rsidRDefault="00B13128" w:rsidP="00B13128">
      <w:pPr>
        <w:spacing w:after="120"/>
        <w:jc w:val="both"/>
        <w:rPr>
          <w:bCs/>
        </w:rPr>
      </w:pPr>
      <w:r w:rsidRPr="00B13128">
        <w:rPr>
          <w:bCs/>
        </w:rPr>
        <w:t>Общият размер на</w:t>
      </w:r>
      <w:r w:rsidRPr="00B13128">
        <w:rPr>
          <w:b/>
          <w:bCs/>
        </w:rPr>
        <w:t xml:space="preserve"> приходите, помощите и даренията по държавния бюджет</w:t>
      </w:r>
      <w:r w:rsidRPr="00B13128">
        <w:rPr>
          <w:bCs/>
        </w:rPr>
        <w:t xml:space="preserve"> към септември</w:t>
      </w:r>
      <w:r w:rsidRPr="00B13128">
        <w:t xml:space="preserve"> </w:t>
      </w:r>
      <w:r w:rsidRPr="00B13128">
        <w:rPr>
          <w:bCs/>
        </w:rPr>
        <w:t>2019 г. е</w:t>
      </w:r>
      <w:r w:rsidRPr="00B13128">
        <w:rPr>
          <w:b/>
          <w:bCs/>
        </w:rPr>
        <w:t xml:space="preserve"> 19 270,0</w:t>
      </w:r>
      <w:r w:rsidRPr="00B13128">
        <w:rPr>
          <w:b/>
          <w:bCs/>
          <w:lang w:val="en-US"/>
        </w:rPr>
        <w:t xml:space="preserve"> </w:t>
      </w:r>
      <w:r w:rsidRPr="00B13128">
        <w:rPr>
          <w:b/>
          <w:bCs/>
        </w:rPr>
        <w:t>млн. лв.</w:t>
      </w:r>
      <w:r w:rsidRPr="00B13128">
        <w:rPr>
          <w:bCs/>
        </w:rPr>
        <w:t>, което представлява 75,0 % изпълнение на разчетите по ЗДБРБ за 2019 година.</w:t>
      </w:r>
    </w:p>
    <w:p w:rsidR="00B13128" w:rsidRPr="00B13128" w:rsidRDefault="00B13128" w:rsidP="00B13128">
      <w:pPr>
        <w:numPr>
          <w:ilvl w:val="0"/>
          <w:numId w:val="3"/>
        </w:numPr>
        <w:tabs>
          <w:tab w:val="num" w:pos="720"/>
        </w:tabs>
        <w:ind w:left="0" w:firstLine="180"/>
        <w:jc w:val="both"/>
        <w:rPr>
          <w:b/>
          <w:bCs/>
        </w:rPr>
      </w:pPr>
      <w:r w:rsidRPr="00B13128">
        <w:rPr>
          <w:bCs/>
        </w:rPr>
        <w:t xml:space="preserve"> </w:t>
      </w:r>
      <w:r w:rsidRPr="00B13128">
        <w:rPr>
          <w:b/>
          <w:bCs/>
        </w:rPr>
        <w:t>Данъчни приходи</w:t>
      </w:r>
    </w:p>
    <w:p w:rsidR="00B13128" w:rsidRPr="00B13128" w:rsidRDefault="00B13128" w:rsidP="00B13128">
      <w:pPr>
        <w:jc w:val="both"/>
        <w:rPr>
          <w:bCs/>
          <w:color w:val="0070C0"/>
          <w:sz w:val="4"/>
          <w:szCs w:val="4"/>
        </w:rPr>
      </w:pPr>
    </w:p>
    <w:p w:rsidR="00B13128" w:rsidRPr="00B13128" w:rsidRDefault="00B13128" w:rsidP="00B13128">
      <w:pPr>
        <w:jc w:val="both"/>
        <w:rPr>
          <w:lang w:val="en-US"/>
        </w:rPr>
      </w:pPr>
      <w:r w:rsidRPr="00B13128">
        <w:rPr>
          <w:bCs/>
        </w:rPr>
        <w:t>Размерът на</w:t>
      </w:r>
      <w:r w:rsidRPr="00B13128">
        <w:rPr>
          <w:b/>
          <w:bCs/>
        </w:rPr>
        <w:t xml:space="preserve"> данъчните постъпления по държавния бюджет</w:t>
      </w:r>
      <w:r w:rsidRPr="00B13128">
        <w:rPr>
          <w:bCs/>
        </w:rPr>
        <w:t xml:space="preserve"> към септември</w:t>
      </w:r>
      <w:r w:rsidRPr="00B13128">
        <w:t xml:space="preserve"> </w:t>
      </w:r>
      <w:r w:rsidRPr="00B13128">
        <w:rPr>
          <w:bCs/>
        </w:rPr>
        <w:t xml:space="preserve">2019 г. </w:t>
      </w:r>
      <w:r w:rsidRPr="00B13128">
        <w:t xml:space="preserve">е </w:t>
      </w:r>
      <w:r w:rsidRPr="00B13128">
        <w:rPr>
          <w:b/>
        </w:rPr>
        <w:t>17 538,8 млн. лв</w:t>
      </w:r>
      <w:r w:rsidRPr="00B13128">
        <w:t xml:space="preserve">., което </w:t>
      </w:r>
      <w:r w:rsidRPr="00B13128">
        <w:lastRenderedPageBreak/>
        <w:t>представлява 75,8 % изпълнение на годишните разчети. В сравнение със същия период на 2018 г. постъпленията в групата се повишават с 1 270,3 млн. лв. (7,8</w:t>
      </w:r>
      <w:r w:rsidRPr="00B13128">
        <w:rPr>
          <w:b/>
          <w:bCs/>
        </w:rPr>
        <w:t> </w:t>
      </w:r>
      <w:r w:rsidRPr="00B13128">
        <w:t xml:space="preserve">%). </w:t>
      </w:r>
    </w:p>
    <w:p w:rsidR="00B13128" w:rsidRPr="00B13128" w:rsidRDefault="00B13128" w:rsidP="00B13128">
      <w:pPr>
        <w:jc w:val="both"/>
        <w:rPr>
          <w:color w:val="0070C0"/>
          <w:sz w:val="20"/>
          <w:szCs w:val="20"/>
          <w:lang w:val="en-US"/>
        </w:rPr>
      </w:pPr>
    </w:p>
    <w:p w:rsidR="00B13128" w:rsidRPr="00B13128" w:rsidRDefault="00B13128" w:rsidP="0010358B">
      <w:pPr>
        <w:numPr>
          <w:ilvl w:val="0"/>
          <w:numId w:val="4"/>
        </w:numPr>
        <w:tabs>
          <w:tab w:val="clear" w:pos="1440"/>
          <w:tab w:val="num" w:pos="540"/>
        </w:tabs>
        <w:spacing w:after="120"/>
        <w:ind w:left="0" w:firstLine="181"/>
        <w:jc w:val="both"/>
        <w:rPr>
          <w:b/>
          <w:bCs/>
        </w:rPr>
      </w:pPr>
      <w:r w:rsidRPr="00B13128">
        <w:rPr>
          <w:b/>
          <w:bCs/>
        </w:rPr>
        <w:t>Преки данъци</w:t>
      </w:r>
    </w:p>
    <w:p w:rsidR="00B13128" w:rsidRPr="00B13128" w:rsidRDefault="00B13128" w:rsidP="00B13128">
      <w:pPr>
        <w:spacing w:after="120"/>
        <w:jc w:val="both"/>
      </w:pPr>
      <w:r w:rsidRPr="00B13128">
        <w:t>Приходите в групата на</w:t>
      </w:r>
      <w:r w:rsidRPr="00B13128">
        <w:rPr>
          <w:b/>
        </w:rPr>
        <w:t xml:space="preserve"> преките данъци</w:t>
      </w:r>
      <w:r w:rsidRPr="00B13128">
        <w:t xml:space="preserve"> са в размер на</w:t>
      </w:r>
      <w:r w:rsidRPr="00B13128">
        <w:rPr>
          <w:b/>
        </w:rPr>
        <w:t> 4 647,5</w:t>
      </w:r>
      <w:r w:rsidRPr="00B13128">
        <w:rPr>
          <w:b/>
          <w:lang w:val="en-US"/>
        </w:rPr>
        <w:t xml:space="preserve"> </w:t>
      </w:r>
      <w:r w:rsidRPr="00B13128">
        <w:rPr>
          <w:b/>
        </w:rPr>
        <w:t>млн. лв</w:t>
      </w:r>
      <w:r w:rsidRPr="00B13128">
        <w:t>. или 71,1 % от планираните за годината, като съпоставени със същия период на предходната година нарастват с 342,6 млн. лв. (8,0 %).  Приходите от</w:t>
      </w:r>
      <w:r w:rsidRPr="00B13128">
        <w:rPr>
          <w:b/>
        </w:rPr>
        <w:t xml:space="preserve"> </w:t>
      </w:r>
      <w:r w:rsidRPr="00B13128">
        <w:rPr>
          <w:b/>
          <w:bCs/>
        </w:rPr>
        <w:t>корпоративни данъци</w:t>
      </w:r>
      <w:r w:rsidRPr="00B13128">
        <w:t xml:space="preserve"> </w:t>
      </w:r>
      <w:r w:rsidRPr="00B13128">
        <w:rPr>
          <w:bCs/>
        </w:rPr>
        <w:t xml:space="preserve">към септември </w:t>
      </w:r>
      <w:r w:rsidRPr="00B13128">
        <w:t>2019</w:t>
      </w:r>
      <w:r w:rsidRPr="00B13128">
        <w:rPr>
          <w:b/>
        </w:rPr>
        <w:t> </w:t>
      </w:r>
      <w:r w:rsidRPr="00B13128">
        <w:t xml:space="preserve">г. са в размер на </w:t>
      </w:r>
      <w:r w:rsidRPr="00B13128">
        <w:rPr>
          <w:b/>
        </w:rPr>
        <w:t>1 668,2 млн. лв.</w:t>
      </w:r>
      <w:r w:rsidRPr="00B13128">
        <w:t xml:space="preserve"> или 62,</w:t>
      </w:r>
      <w:r w:rsidRPr="00B13128">
        <w:rPr>
          <w:lang w:val="en-US"/>
        </w:rPr>
        <w:t>3</w:t>
      </w:r>
      <w:r w:rsidRPr="00B13128">
        <w:t xml:space="preserve"> % от годишния план. Приходите от </w:t>
      </w:r>
      <w:r w:rsidRPr="00B13128">
        <w:rPr>
          <w:b/>
          <w:i/>
        </w:rPr>
        <w:t>нефинансови предприятия</w:t>
      </w:r>
      <w:r w:rsidRPr="00B13128">
        <w:t xml:space="preserve"> формират основната част от постъпленията от корпоративен данък.</w:t>
      </w:r>
      <w:r w:rsidRPr="00B13128">
        <w:rPr>
          <w:lang w:val="en-US"/>
        </w:rPr>
        <w:t xml:space="preserve"> </w:t>
      </w:r>
    </w:p>
    <w:p w:rsidR="00B13128" w:rsidRPr="00B13128" w:rsidRDefault="00B13128" w:rsidP="00B13128">
      <w:pPr>
        <w:spacing w:after="120"/>
        <w:jc w:val="both"/>
        <w:rPr>
          <w:color w:val="0070C0"/>
        </w:rPr>
      </w:pPr>
      <w:r w:rsidRPr="00B13128">
        <w:t>Приходите от</w:t>
      </w:r>
      <w:r w:rsidRPr="00B13128">
        <w:rPr>
          <w:b/>
        </w:rPr>
        <w:t xml:space="preserve"> данъци върху доходите на физически лица </w:t>
      </w:r>
      <w:r w:rsidRPr="00B13128">
        <w:t xml:space="preserve">са в размер на </w:t>
      </w:r>
      <w:r w:rsidRPr="00B13128">
        <w:rPr>
          <w:b/>
        </w:rPr>
        <w:t>2 979,3 млн. лв.</w:t>
      </w:r>
      <w:r w:rsidRPr="00B13128">
        <w:t xml:space="preserve"> или 77,2 % от заложените в разчета за годината и нарастват с 270,3 млн. лв. (10,0 %) спрямо септември 2018 година. Върху размера на данъчните постъпления от ДДФЛ основно влияние имат положителното развитие на пазара на труда и предприетите законодателни и административни мерки в областта на трудовото, социалното и данъчното законодателство. За повишаване на приходите от ДДФЛ влияние оказват и предприетите мерки за намаляване на недекларирания труд, мерките за повишаване на събираемостта на задължения за минали периоди и информационните кампании, провеждани от НАП за стимулиране на доброволното изпълнение.      </w:t>
      </w:r>
    </w:p>
    <w:p w:rsidR="00B13128" w:rsidRPr="00B13128" w:rsidRDefault="00B13128" w:rsidP="00B13128">
      <w:pPr>
        <w:spacing w:after="120"/>
        <w:jc w:val="both"/>
        <w:rPr>
          <w:color w:val="0070C0"/>
        </w:rPr>
      </w:pPr>
      <w:r w:rsidRPr="00B13128">
        <w:rPr>
          <w:i/>
        </w:rPr>
        <w:t>По трудови правоотношения</w:t>
      </w:r>
      <w:r w:rsidRPr="00B13128">
        <w:t xml:space="preserve"> приходите от данъка </w:t>
      </w:r>
      <w:r w:rsidRPr="00B13128">
        <w:rPr>
          <w:bCs/>
        </w:rPr>
        <w:t xml:space="preserve">към септември </w:t>
      </w:r>
      <w:r w:rsidRPr="00B13128">
        <w:t>2019 г. са 2 413,0 млн. лв., 77,3 % от годишните разчети. Върху размера на постъпленията влияние оказват</w:t>
      </w:r>
      <w:r w:rsidRPr="00B13128">
        <w:rPr>
          <w:lang w:val="en-US"/>
        </w:rPr>
        <w:t xml:space="preserve">: </w:t>
      </w:r>
      <w:r w:rsidRPr="00B13128">
        <w:t>увеличението на минималната работна заплата за страната от 01.01.2019 г.</w:t>
      </w:r>
      <w:r w:rsidRPr="00B13128">
        <w:rPr>
          <w:lang w:val="en-US"/>
        </w:rPr>
        <w:t xml:space="preserve">; </w:t>
      </w:r>
      <w:r w:rsidRPr="00B13128">
        <w:t>увеличението на минималните осигурителни прагове за 2019 г.</w:t>
      </w:r>
      <w:r w:rsidRPr="00B13128">
        <w:rPr>
          <w:lang w:val="en-US"/>
        </w:rPr>
        <w:t xml:space="preserve">; </w:t>
      </w:r>
      <w:r w:rsidRPr="00B13128">
        <w:t>промените в броя на наетите лица и заплащането на труда,</w:t>
      </w:r>
      <w:r w:rsidRPr="00B13128">
        <w:rPr>
          <w:lang w:val="en-US"/>
        </w:rPr>
        <w:t xml:space="preserve"> </w:t>
      </w:r>
      <w:r w:rsidRPr="00B13128">
        <w:t>и промените в нивото на безработица.</w:t>
      </w:r>
    </w:p>
    <w:p w:rsidR="00B13128" w:rsidRPr="00B13128" w:rsidRDefault="00B13128" w:rsidP="00B13128">
      <w:pPr>
        <w:spacing w:after="120"/>
        <w:jc w:val="both"/>
        <w:rPr>
          <w:color w:val="0070C0"/>
        </w:rPr>
      </w:pPr>
      <w:r w:rsidRPr="00B13128">
        <w:rPr>
          <w:i/>
        </w:rPr>
        <w:t>По извънтрудови правоотношения (свободни професии, граждански договори и др.)</w:t>
      </w:r>
      <w:r w:rsidRPr="00B13128">
        <w:t xml:space="preserve"> приходите от данъка </w:t>
      </w:r>
      <w:r w:rsidRPr="00B13128">
        <w:rPr>
          <w:bCs/>
        </w:rPr>
        <w:t xml:space="preserve">към септември </w:t>
      </w:r>
      <w:r w:rsidRPr="00B13128">
        <w:t>2019 г. са в размер на 306,4 млн. лв., което е 83,3 % от годишния разчет. 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 Значителен принос за данъчните приходи от извънтрудови правоотношения имат и плащанията за минали години, които нарастват със 7,4 % на годишна основа.</w:t>
      </w:r>
    </w:p>
    <w:p w:rsidR="00B13128" w:rsidRPr="00B13128" w:rsidRDefault="00B13128" w:rsidP="00B13128">
      <w:pPr>
        <w:spacing w:after="120"/>
        <w:jc w:val="both"/>
      </w:pPr>
      <w:r w:rsidRPr="00B13128">
        <w:rPr>
          <w:i/>
        </w:rPr>
        <w:lastRenderedPageBreak/>
        <w:t xml:space="preserve">Окончателен данък на местните и чуждестранни физически лица по чл. 37 и 38 от ЗДДФЛ </w:t>
      </w:r>
      <w:r w:rsidRPr="00B13128">
        <w:t xml:space="preserve">и </w:t>
      </w:r>
      <w:r w:rsidRPr="00B13128">
        <w:rPr>
          <w:i/>
        </w:rPr>
        <w:t>данък върху дивидентите и ликвидационните дялове на физически лица</w:t>
      </w:r>
      <w:r w:rsidRPr="00B13128">
        <w:t xml:space="preserve"> - постъпленията от тези данъци са в размер на 254,9 млн. лв., 71,3 % от годишния разчет. </w:t>
      </w:r>
    </w:p>
    <w:p w:rsidR="00B13128" w:rsidRPr="00B13128" w:rsidRDefault="00B13128" w:rsidP="00B13128">
      <w:pPr>
        <w:spacing w:after="120"/>
        <w:jc w:val="both"/>
      </w:pPr>
      <w:r w:rsidRPr="00B13128">
        <w:t xml:space="preserve"> Постъпленията от </w:t>
      </w:r>
      <w:r w:rsidRPr="00B13128">
        <w:rPr>
          <w:i/>
        </w:rPr>
        <w:t xml:space="preserve">окончателния данък върху приходите от лихви от депозити на физическите лица </w:t>
      </w:r>
      <w:r w:rsidRPr="00B13128">
        <w:t>са в размер на 5,1 млн. лева.</w:t>
      </w:r>
    </w:p>
    <w:p w:rsidR="00B13128" w:rsidRPr="00B13128" w:rsidRDefault="00B13128" w:rsidP="00B13128">
      <w:pPr>
        <w:jc w:val="both"/>
        <w:rPr>
          <w:color w:val="0070C0"/>
          <w:sz w:val="8"/>
          <w:szCs w:val="8"/>
        </w:rPr>
      </w:pPr>
    </w:p>
    <w:p w:rsidR="00B13128" w:rsidRPr="00B13128" w:rsidRDefault="00B13128" w:rsidP="0010358B">
      <w:pPr>
        <w:numPr>
          <w:ilvl w:val="0"/>
          <w:numId w:val="4"/>
        </w:numPr>
        <w:tabs>
          <w:tab w:val="clear" w:pos="1440"/>
          <w:tab w:val="num" w:pos="540"/>
        </w:tabs>
        <w:ind w:left="0" w:firstLine="180"/>
        <w:jc w:val="both"/>
        <w:rPr>
          <w:b/>
          <w:bCs/>
        </w:rPr>
      </w:pPr>
      <w:r w:rsidRPr="00B13128">
        <w:rPr>
          <w:b/>
          <w:bCs/>
        </w:rPr>
        <w:t>Косвени данъци</w:t>
      </w:r>
    </w:p>
    <w:p w:rsidR="00B13128" w:rsidRPr="00B13128" w:rsidRDefault="00B13128" w:rsidP="00B13128">
      <w:pPr>
        <w:jc w:val="both"/>
        <w:rPr>
          <w:b/>
          <w:bCs/>
          <w:color w:val="0070C0"/>
          <w:sz w:val="4"/>
          <w:szCs w:val="4"/>
        </w:rPr>
      </w:pPr>
    </w:p>
    <w:p w:rsidR="00B13128" w:rsidRPr="00B13128" w:rsidRDefault="00B13128" w:rsidP="00B13128">
      <w:pPr>
        <w:spacing w:after="120"/>
        <w:jc w:val="both"/>
      </w:pPr>
      <w:r w:rsidRPr="00B13128">
        <w:t xml:space="preserve">Приходите от </w:t>
      </w:r>
      <w:r w:rsidRPr="00B13128">
        <w:rPr>
          <w:b/>
        </w:rPr>
        <w:t>косвени данъци</w:t>
      </w:r>
      <w:r w:rsidRPr="00B13128">
        <w:t xml:space="preserve"> </w:t>
      </w:r>
      <w:r w:rsidRPr="00B13128">
        <w:rPr>
          <w:bCs/>
        </w:rPr>
        <w:t xml:space="preserve">към септември </w:t>
      </w:r>
      <w:r w:rsidRPr="00B13128">
        <w:t xml:space="preserve">2019 г. са в размер на </w:t>
      </w:r>
      <w:r w:rsidRPr="00B13128">
        <w:rPr>
          <w:b/>
        </w:rPr>
        <w:t>12 758,7 млн. лв</w:t>
      </w:r>
      <w:r w:rsidRPr="00B13128">
        <w:t xml:space="preserve">. или 77,6 % от годишния разчет. </w:t>
      </w:r>
    </w:p>
    <w:p w:rsidR="007B7F69" w:rsidRPr="00F36634" w:rsidRDefault="007B7F69" w:rsidP="007B7F69">
      <w:pPr>
        <w:spacing w:after="120"/>
        <w:jc w:val="both"/>
        <w:rPr>
          <w:lang w:val="en-US"/>
        </w:rPr>
      </w:pPr>
      <w:r w:rsidRPr="00F36634">
        <w:rPr>
          <w:b/>
        </w:rPr>
        <w:t>Приходите от ДДС</w:t>
      </w:r>
      <w:r w:rsidRPr="00F36634">
        <w:t xml:space="preserve"> са в размер на </w:t>
      </w:r>
      <w:r w:rsidRPr="00F36634">
        <w:rPr>
          <w:b/>
        </w:rPr>
        <w:t>8 416,5</w:t>
      </w:r>
      <w:r w:rsidRPr="00F36634">
        <w:t xml:space="preserve"> </w:t>
      </w:r>
      <w:r w:rsidRPr="00F36634">
        <w:rPr>
          <w:b/>
        </w:rPr>
        <w:t>млн. лв.,</w:t>
      </w:r>
      <w:r w:rsidRPr="00F36634">
        <w:t xml:space="preserve"> което представлява 77,7 % от планираните със ЗДБРБ за 2019 година. Постъпленията от ДДС нарастват с 696,4 млн. лв. (9,0 %) спрямо отчетените за същия период на предходната година. </w:t>
      </w:r>
    </w:p>
    <w:p w:rsidR="007B7F69" w:rsidRDefault="007B7F69" w:rsidP="007B7F69">
      <w:pPr>
        <w:spacing w:after="120"/>
        <w:jc w:val="both"/>
      </w:pPr>
      <w:r w:rsidRPr="009A6454">
        <w:t xml:space="preserve">Нетният </w:t>
      </w:r>
      <w:r w:rsidRPr="006F53C6">
        <w:t xml:space="preserve">размер на приходите от </w:t>
      </w:r>
      <w:r w:rsidRPr="006F53C6">
        <w:rPr>
          <w:i/>
        </w:rPr>
        <w:t>ДДС от внос</w:t>
      </w:r>
      <w:r w:rsidRPr="006F53C6">
        <w:t xml:space="preserve"> </w:t>
      </w:r>
      <w:r w:rsidRPr="006F53C6">
        <w:rPr>
          <w:bCs/>
        </w:rPr>
        <w:t xml:space="preserve">към септември </w:t>
      </w:r>
      <w:r w:rsidRPr="006F53C6">
        <w:t xml:space="preserve">2019 г. е </w:t>
      </w:r>
      <w:r w:rsidRPr="004E0E9A">
        <w:t>3 186,9 млн. л</w:t>
      </w:r>
      <w:r>
        <w:t>е</w:t>
      </w:r>
      <w:r w:rsidRPr="004E0E9A">
        <w:t>в</w:t>
      </w:r>
      <w:r>
        <w:t>а</w:t>
      </w:r>
      <w:r w:rsidRPr="004E0E9A">
        <w:t>.</w:t>
      </w:r>
      <w:r w:rsidRPr="006F53C6">
        <w:t xml:space="preserve"> </w:t>
      </w:r>
      <w:r w:rsidRPr="009A6454">
        <w:t xml:space="preserve">Влияние върху постъпленията от ДДС от внос оказват цената на суровия петрол, количествата на внасяните стоки за междинно потребление (черни, цветни метали и др.), курса на щатския долар спрямо еврото и други. </w:t>
      </w:r>
    </w:p>
    <w:p w:rsidR="007B7F69" w:rsidRPr="00791EC7" w:rsidRDefault="007B7F69" w:rsidP="007B7F69">
      <w:pPr>
        <w:spacing w:after="120"/>
        <w:jc w:val="both"/>
        <w:rPr>
          <w:b/>
        </w:rPr>
      </w:pPr>
      <w:r w:rsidRPr="00791EC7">
        <w:t>Постъпленията от</w:t>
      </w:r>
      <w:r w:rsidRPr="00791EC7">
        <w:rPr>
          <w:i/>
        </w:rPr>
        <w:t xml:space="preserve"> ДДС при сделки в страната (нето)</w:t>
      </w:r>
      <w:r w:rsidRPr="00791EC7">
        <w:t xml:space="preserve"> </w:t>
      </w:r>
      <w:r w:rsidRPr="00791EC7">
        <w:rPr>
          <w:bCs/>
        </w:rPr>
        <w:t xml:space="preserve">към септември </w:t>
      </w:r>
      <w:r w:rsidRPr="00791EC7">
        <w:t xml:space="preserve">2019 г. възлизат на </w:t>
      </w:r>
      <w:r w:rsidRPr="00C02C80">
        <w:t>5 229,6</w:t>
      </w:r>
      <w:r w:rsidRPr="00C02C80">
        <w:rPr>
          <w:rFonts w:eastAsia="Calibri"/>
          <w:b/>
        </w:rPr>
        <w:t> </w:t>
      </w:r>
      <w:r w:rsidRPr="00C02C80">
        <w:t>млн. лева.</w:t>
      </w:r>
      <w:r w:rsidRPr="004A43BE">
        <w:rPr>
          <w:color w:val="0070C0"/>
        </w:rPr>
        <w:t xml:space="preserve"> </w:t>
      </w:r>
      <w:r w:rsidRPr="00791EC7">
        <w:rPr>
          <w:bCs/>
        </w:rPr>
        <w:t xml:space="preserve">Невъзстановеният данъчен кредит на фирми към 30.09.2019 г. е в размер на </w:t>
      </w:r>
      <w:r>
        <w:rPr>
          <w:bCs/>
        </w:rPr>
        <w:t>223,8</w:t>
      </w:r>
      <w:r w:rsidRPr="00791EC7">
        <w:rPr>
          <w:bCs/>
        </w:rPr>
        <w:t> млн. лева.</w:t>
      </w:r>
    </w:p>
    <w:p w:rsidR="00B13128" w:rsidRPr="00B13128" w:rsidRDefault="00B13128" w:rsidP="00B13128">
      <w:pPr>
        <w:spacing w:after="120"/>
        <w:jc w:val="both"/>
        <w:rPr>
          <w:bCs/>
        </w:rPr>
      </w:pPr>
      <w:r w:rsidRPr="00B13128">
        <w:rPr>
          <w:b/>
        </w:rPr>
        <w:t xml:space="preserve">Приходите от акцизи (нето) </w:t>
      </w:r>
      <w:r w:rsidRPr="00B13128">
        <w:t xml:space="preserve">от внос, вътрешно производство и въведени в страната от други държави-членки на ЕС акцизни стоки са в размер на </w:t>
      </w:r>
      <w:r w:rsidRPr="00B13128">
        <w:rPr>
          <w:b/>
        </w:rPr>
        <w:t>4 136,7 млн. лв</w:t>
      </w:r>
      <w:r w:rsidRPr="00B13128">
        <w:t xml:space="preserve">., което е 77,6 % от планираните със ЗДБРБ за 2019 г. Съпоставено със същия период на 2018 г. постъпленията се увеличават с 221,7 млн. лева. </w:t>
      </w:r>
    </w:p>
    <w:p w:rsidR="00B13128" w:rsidRPr="00B13128" w:rsidRDefault="00B13128" w:rsidP="00B13128">
      <w:pPr>
        <w:spacing w:after="120"/>
        <w:jc w:val="both"/>
        <w:rPr>
          <w:color w:val="0070C0"/>
          <w:lang w:val="en-US"/>
        </w:rPr>
      </w:pPr>
      <w:r w:rsidRPr="00B13128">
        <w:t>Нетните постъпления от акциз са от следните основни стокови групи: тютюневи изделия (49,0 %);</w:t>
      </w:r>
      <w:r w:rsidRPr="00B13128">
        <w:rPr>
          <w:lang w:val="en-US"/>
        </w:rPr>
        <w:t xml:space="preserve"> </w:t>
      </w:r>
      <w:r w:rsidRPr="00B13128">
        <w:t>горива (44,5 %); алкохолни напитки и пиво (5,7 %) и други акцизни стоки – електрическа енергия, въглища и кокс (0,8 %). Постъпления от акциз към септември 2019 г. по основни стокови групи, са както следва:</w:t>
      </w:r>
    </w:p>
    <w:p w:rsidR="00B13128" w:rsidRPr="00B13128" w:rsidRDefault="00B13128" w:rsidP="00B13128">
      <w:pPr>
        <w:numPr>
          <w:ilvl w:val="0"/>
          <w:numId w:val="19"/>
        </w:numPr>
        <w:jc w:val="both"/>
      </w:pPr>
      <w:r w:rsidRPr="00B13128">
        <w:rPr>
          <w:i/>
        </w:rPr>
        <w:t>Акцизите от тютюневи изделия</w:t>
      </w:r>
      <w:r w:rsidRPr="00B13128">
        <w:t xml:space="preserve">  възлизат на 2 028,4 млн. лева; </w:t>
      </w:r>
    </w:p>
    <w:p w:rsidR="00B13128" w:rsidRPr="00B13128" w:rsidRDefault="00B13128" w:rsidP="00B13128">
      <w:pPr>
        <w:numPr>
          <w:ilvl w:val="0"/>
          <w:numId w:val="19"/>
        </w:numPr>
        <w:jc w:val="both"/>
      </w:pPr>
      <w:r w:rsidRPr="00B13128">
        <w:rPr>
          <w:i/>
        </w:rPr>
        <w:t>Акцизите от горив</w:t>
      </w:r>
      <w:r w:rsidRPr="00B13128">
        <w:t xml:space="preserve">а са в размер на 1 840,8 млн. лева; </w:t>
      </w:r>
    </w:p>
    <w:p w:rsidR="00B13128" w:rsidRPr="00B13128" w:rsidRDefault="00B13128" w:rsidP="00B13128">
      <w:pPr>
        <w:numPr>
          <w:ilvl w:val="0"/>
          <w:numId w:val="19"/>
        </w:numPr>
        <w:jc w:val="both"/>
      </w:pPr>
      <w:r w:rsidRPr="00B13128">
        <w:rPr>
          <w:i/>
        </w:rPr>
        <w:lastRenderedPageBreak/>
        <w:t xml:space="preserve">Акцизите от алкохолни напитки и пиво </w:t>
      </w:r>
      <w:r w:rsidRPr="00B13128">
        <w:t xml:space="preserve"> възлизат на 233,9 млн. лева; </w:t>
      </w:r>
    </w:p>
    <w:p w:rsidR="00B13128" w:rsidRPr="00B13128" w:rsidRDefault="00B13128" w:rsidP="00B13128">
      <w:pPr>
        <w:numPr>
          <w:ilvl w:val="0"/>
          <w:numId w:val="19"/>
        </w:numPr>
        <w:jc w:val="both"/>
      </w:pPr>
      <w:r w:rsidRPr="00B13128">
        <w:rPr>
          <w:i/>
        </w:rPr>
        <w:t xml:space="preserve">Приходите от други акцизни стоки - електрическа енергия, въглища и кокс </w:t>
      </w:r>
      <w:r w:rsidRPr="00B13128">
        <w:t>– възлизат на 33,6 млн. лева.</w:t>
      </w:r>
    </w:p>
    <w:p w:rsidR="00B13128" w:rsidRPr="00B13128" w:rsidRDefault="00B13128" w:rsidP="00B13128">
      <w:pPr>
        <w:ind w:left="360"/>
        <w:jc w:val="both"/>
        <w:rPr>
          <w:color w:val="0070C0"/>
          <w:sz w:val="8"/>
          <w:szCs w:val="8"/>
        </w:rPr>
      </w:pPr>
    </w:p>
    <w:p w:rsidR="00B13128" w:rsidRPr="00B13128" w:rsidRDefault="00B13128" w:rsidP="00B13128">
      <w:pPr>
        <w:spacing w:after="120"/>
        <w:jc w:val="both"/>
      </w:pPr>
      <w:r w:rsidRPr="00B13128">
        <w:rPr>
          <w:b/>
        </w:rPr>
        <w:t>Приходите от данък върху застрахователните премии</w:t>
      </w:r>
      <w:r w:rsidRPr="00B13128">
        <w:t xml:space="preserve"> са в размер на </w:t>
      </w:r>
      <w:r w:rsidRPr="00B13128">
        <w:rPr>
          <w:b/>
        </w:rPr>
        <w:t>32,8 млн. лв</w:t>
      </w:r>
      <w:r w:rsidRPr="00B13128">
        <w:t>., при планирани за годината 39,7 млн. лева.</w:t>
      </w:r>
    </w:p>
    <w:p w:rsidR="00B13128" w:rsidRPr="00B13128" w:rsidRDefault="00B13128" w:rsidP="00B13128">
      <w:pPr>
        <w:tabs>
          <w:tab w:val="right" w:pos="9072"/>
        </w:tabs>
        <w:ind w:right="-2"/>
        <w:jc w:val="both"/>
      </w:pPr>
      <w:r w:rsidRPr="00B13128">
        <w:rPr>
          <w:b/>
        </w:rPr>
        <w:t>Постъпленията от</w:t>
      </w:r>
      <w:r w:rsidRPr="00B13128">
        <w:t xml:space="preserve"> </w:t>
      </w:r>
      <w:r w:rsidRPr="00B13128">
        <w:rPr>
          <w:b/>
          <w:bCs/>
        </w:rPr>
        <w:t xml:space="preserve">мита </w:t>
      </w:r>
      <w:r w:rsidRPr="00B13128">
        <w:t xml:space="preserve">възлизат на </w:t>
      </w:r>
      <w:r w:rsidRPr="00B13128">
        <w:rPr>
          <w:b/>
        </w:rPr>
        <w:t>172,7 млн. лв</w:t>
      </w:r>
      <w:r w:rsidRPr="00B13128">
        <w:t xml:space="preserve">. или 72,9 % от планираните със ЗДБРБ за 2019 г., като заемат 1,0 % относителен дял в общия размер на данъчните приходи по държавния бюджет. В сравнение със същия период на предходната година събраните мита са с 2,8 млн. лв. (1,6 %) по-малко. </w:t>
      </w:r>
      <w:r w:rsidRPr="00B13128">
        <w:rPr>
          <w:b/>
          <w:i/>
        </w:rPr>
        <w:t>По-високи постъпленията от мита</w:t>
      </w:r>
      <w:r w:rsidRPr="00B13128">
        <w:t xml:space="preserve"> към 30.09.2019 г., спрямо същия период на предходната година, има в приходите при следните стокови групи: </w:t>
      </w:r>
      <w:r w:rsidRPr="00B13128">
        <w:rPr>
          <w:color w:val="0070C0"/>
        </w:rPr>
        <w:t>„</w:t>
      </w:r>
      <w:r w:rsidRPr="00B13128">
        <w:t>Неорганични химични продукти; неорганични или органични съединения на благородни метали, на радиоактивни елементи, на редкоземни метали или на изотопи“ – постъпленията нарастват с 5,2 млн. лв.</w:t>
      </w:r>
      <w:r w:rsidRPr="00B13128">
        <w:rPr>
          <w:lang w:val="en-US"/>
        </w:rPr>
        <w:t xml:space="preserve"> </w:t>
      </w:r>
      <w:r w:rsidRPr="00B13128">
        <w:t>спрямо септември 2018 г.; „Житни растения“ – постъпленията към края на септември 2019 г. се повишават с 2,1 млн. лв. спрямо същия период  на 2018 г.; „Пластмаси и пластмасови изделия“ – постъпленията към края на септември 2019 г. се повишават с 2,0 млн. лв. (15,4 %) спрямо същия период  на 2018 г.; „Мебели;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 – постъпленията към 30.09.2019 г. се увеличават с 1,0  млн. лв. (27,5 %) в сравнение със същия период на 2018 г. и „Автомобилни превозни средства, трактори, мотоциклети и велосипеди и други сухопътни превозни средства, техните части и принадлежности“ –</w:t>
      </w:r>
      <w:r w:rsidR="008C022C">
        <w:t xml:space="preserve"> </w:t>
      </w:r>
      <w:r w:rsidRPr="00B13128">
        <w:t xml:space="preserve">постъпленията са с 0,8 млн. лв. (5,8 %) повече спрямо септември 2018 г. </w:t>
      </w:r>
      <w:r w:rsidRPr="00B13128">
        <w:rPr>
          <w:b/>
          <w:i/>
        </w:rPr>
        <w:t>Спад в приходите от мита</w:t>
      </w:r>
      <w:r w:rsidRPr="00B13128">
        <w:t xml:space="preserve"> към края на септември 2019 г. се отчита при следните групи стоки: „Чугун, желязо и стомана“ – намаление с 9,4 млн. лв. (74,8 %); „Различни видове продукти на химическата промишленост“ – постъпленията намаляват с 8,9 млн. лв. (86,2 %) на годишна база (основна роля за този спад има преустановеният внос на стоки от вид „Биодизел и смеси от биодизел“ от трети страни); „Ядрени реактори, котли, машини, апарати и механизми; части за тези машини или апарати“ - спадът е с 2,7 млн. лв. </w:t>
      </w:r>
      <w:r w:rsidRPr="00B13128">
        <w:rPr>
          <w:lang w:val="en-US"/>
        </w:rPr>
        <w:t>(</w:t>
      </w:r>
      <w:r w:rsidRPr="00B13128">
        <w:t>18,0 %</w:t>
      </w:r>
      <w:r w:rsidRPr="00B13128">
        <w:rPr>
          <w:lang w:val="en-US"/>
        </w:rPr>
        <w:t>)</w:t>
      </w:r>
      <w:r w:rsidRPr="00B13128">
        <w:t xml:space="preserve"> и стоки от глава „Стъкло и изделия от стъкло“ – спад с 0,8 млн. лв.</w:t>
      </w:r>
      <w:r w:rsidRPr="00B13128">
        <w:rPr>
          <w:lang w:val="en-US"/>
        </w:rPr>
        <w:t xml:space="preserve"> (</w:t>
      </w:r>
      <w:r w:rsidRPr="00B13128">
        <w:t>37,0</w:t>
      </w:r>
      <w:r w:rsidRPr="00B13128">
        <w:rPr>
          <w:b/>
        </w:rPr>
        <w:t> </w:t>
      </w:r>
      <w:r w:rsidRPr="00B13128">
        <w:t>%</w:t>
      </w:r>
      <w:r w:rsidRPr="00B13128">
        <w:rPr>
          <w:lang w:val="en-US"/>
        </w:rPr>
        <w:t>)</w:t>
      </w:r>
      <w:r w:rsidRPr="00B13128">
        <w:t xml:space="preserve"> спрямо </w:t>
      </w:r>
      <w:r w:rsidRPr="00B13128">
        <w:lastRenderedPageBreak/>
        <w:t>септември 2018 г. В зависимост от произхода на внасяните стоки, най-голям е делът на приходите от мита при внос на стоки от Китай, като към края на септември 2019 г. постъпленията възлизат на 86,0 млн. лв. и са с 14,8 % повече спрямо същия период на 2018 година. Те формират 50,0 % от общия обем на митата за периода. На второ място са приходите от мита за внос на стоки с произход Русия, които са в размер на 19,9</w:t>
      </w:r>
      <w:r w:rsidRPr="00B13128">
        <w:rPr>
          <w:b/>
        </w:rPr>
        <w:t> </w:t>
      </w:r>
      <w:r w:rsidRPr="00B13128">
        <w:t xml:space="preserve">млн. лв. и отчитат увеличение с 18,9 % на годишна база. Тези постъпления имат относителен дял от 11,6 % от всички мита. Следват приходите от мита при внос на стоки с произход от САЩ, които са в размер на 7,8 млн. лв., като отчитат намаление с 3,5 % спрямо септември 2018 г. и представляват 4,6 % от всички мита. Постъпленията от внос на стоки с произход Япония са в размер на 6,2 млн. лв., като отчитат намаление с 31,8 % спрямо същия период на предходната година и представляват 3,6 % от всички мита. </w:t>
      </w:r>
      <w:r w:rsidR="00176AE7" w:rsidRPr="00176AE7">
        <w:t>Значителният спад на постъпленията от мита за внесени от Япония стоки е свързан с прилаганите през 2019 г. преференциални ставки в резултат на влязло в сила търговско споразумение между Европейския съюз и Япония</w:t>
      </w:r>
      <w:r w:rsidRPr="00B13128">
        <w:t xml:space="preserve">. Справка в системите на Агенция „Митници“ показва, че приблизително около 24,6 % от стойностния обем на вноса от Япония през деветмесечието на 2019 г. е обхванат от преференциални мерки на търговската политика. Постъпленията от мита за стоки от Еквадор са в размер на 4,7 млн. лв. и отчитат увеличение с 3,0 % на годишна база. Тези постъпления имат относителен дял от 2,7 % от всички мита. </w:t>
      </w:r>
    </w:p>
    <w:p w:rsidR="00B13128" w:rsidRPr="00B13128" w:rsidRDefault="00B13128" w:rsidP="00B13128">
      <w:pPr>
        <w:tabs>
          <w:tab w:val="right" w:pos="9072"/>
        </w:tabs>
        <w:ind w:right="-2"/>
        <w:jc w:val="both"/>
        <w:rPr>
          <w:color w:val="0070C0"/>
          <w:sz w:val="8"/>
          <w:szCs w:val="8"/>
        </w:rPr>
      </w:pPr>
    </w:p>
    <w:p w:rsidR="00B13128" w:rsidRDefault="00B13128" w:rsidP="00B13128">
      <w:pPr>
        <w:shd w:val="clear" w:color="auto" w:fill="FFFFFF"/>
        <w:ind w:right="113"/>
        <w:jc w:val="both"/>
        <w:rPr>
          <w:i/>
          <w:color w:val="0070C0"/>
          <w:sz w:val="8"/>
          <w:szCs w:val="8"/>
        </w:rPr>
      </w:pPr>
    </w:p>
    <w:p w:rsidR="00716847" w:rsidRPr="00B13128" w:rsidRDefault="00716847" w:rsidP="00B13128">
      <w:pPr>
        <w:shd w:val="clear" w:color="auto" w:fill="FFFFFF"/>
        <w:ind w:right="113"/>
        <w:jc w:val="both"/>
        <w:rPr>
          <w:i/>
          <w:color w:val="0070C0"/>
          <w:sz w:val="8"/>
          <w:szCs w:val="8"/>
        </w:rPr>
      </w:pPr>
    </w:p>
    <w:p w:rsidR="00B13128" w:rsidRPr="00B13128" w:rsidRDefault="00B13128" w:rsidP="0010358B">
      <w:pPr>
        <w:numPr>
          <w:ilvl w:val="0"/>
          <w:numId w:val="4"/>
        </w:numPr>
        <w:tabs>
          <w:tab w:val="clear" w:pos="1440"/>
          <w:tab w:val="num" w:pos="540"/>
        </w:tabs>
        <w:ind w:left="0" w:firstLine="180"/>
        <w:jc w:val="both"/>
        <w:rPr>
          <w:b/>
          <w:bCs/>
        </w:rPr>
      </w:pPr>
      <w:r w:rsidRPr="00B13128">
        <w:rPr>
          <w:b/>
          <w:bCs/>
        </w:rPr>
        <w:t>Други данъци</w:t>
      </w:r>
    </w:p>
    <w:p w:rsidR="00B13128" w:rsidRPr="00B13128" w:rsidRDefault="00B13128" w:rsidP="00B13128">
      <w:pPr>
        <w:jc w:val="both"/>
        <w:rPr>
          <w:b/>
          <w:bCs/>
          <w:sz w:val="8"/>
          <w:szCs w:val="8"/>
        </w:rPr>
      </w:pPr>
    </w:p>
    <w:p w:rsidR="00B13128" w:rsidRPr="00B13128" w:rsidRDefault="00B13128" w:rsidP="00B13128">
      <w:pPr>
        <w:spacing w:after="120"/>
        <w:ind w:right="-110"/>
        <w:jc w:val="both"/>
      </w:pPr>
      <w:r w:rsidRPr="00B13128">
        <w:t xml:space="preserve">Постъпленията от </w:t>
      </w:r>
      <w:r w:rsidRPr="00B13128">
        <w:rPr>
          <w:b/>
        </w:rPr>
        <w:t>други данъци</w:t>
      </w:r>
      <w:r w:rsidRPr="00B13128">
        <w:t xml:space="preserve"> по държавния бюджет </w:t>
      </w:r>
      <w:r w:rsidRPr="00B13128">
        <w:rPr>
          <w:bCs/>
        </w:rPr>
        <w:t xml:space="preserve">към края на септември </w:t>
      </w:r>
      <w:r w:rsidRPr="00B13128">
        <w:t xml:space="preserve">2019 г. са в размер на </w:t>
      </w:r>
      <w:r w:rsidRPr="00B13128">
        <w:rPr>
          <w:b/>
        </w:rPr>
        <w:t xml:space="preserve">132,6 млн. лв. </w:t>
      </w:r>
      <w:r w:rsidRPr="00B13128">
        <w:t xml:space="preserve">или 83,4 % от планираните със ЗДБРБ за 2019 година. </w:t>
      </w:r>
    </w:p>
    <w:p w:rsidR="00B13128" w:rsidRPr="00B13128" w:rsidRDefault="00B13128" w:rsidP="00B13128">
      <w:pPr>
        <w:numPr>
          <w:ilvl w:val="0"/>
          <w:numId w:val="3"/>
        </w:numPr>
        <w:spacing w:after="120"/>
        <w:jc w:val="both"/>
        <w:rPr>
          <w:rFonts w:ascii="Arial" w:hAnsi="Arial"/>
          <w:bCs/>
          <w:color w:val="0070C0"/>
          <w:sz w:val="6"/>
          <w:szCs w:val="20"/>
        </w:rPr>
      </w:pPr>
    </w:p>
    <w:p w:rsidR="00B13128" w:rsidRPr="00B13128" w:rsidRDefault="00B13128" w:rsidP="00B13128">
      <w:pPr>
        <w:numPr>
          <w:ilvl w:val="0"/>
          <w:numId w:val="3"/>
        </w:numPr>
        <w:tabs>
          <w:tab w:val="num" w:pos="720"/>
        </w:tabs>
        <w:ind w:left="0" w:firstLine="180"/>
        <w:jc w:val="both"/>
      </w:pPr>
      <w:r w:rsidRPr="00B13128">
        <w:rPr>
          <w:b/>
          <w:bCs/>
        </w:rPr>
        <w:t>Неданъчни приходи</w:t>
      </w:r>
    </w:p>
    <w:p w:rsidR="00B13128" w:rsidRPr="00B13128" w:rsidRDefault="00B13128" w:rsidP="00B13128">
      <w:pPr>
        <w:tabs>
          <w:tab w:val="left" w:pos="900"/>
        </w:tabs>
        <w:jc w:val="both"/>
        <w:rPr>
          <w:color w:val="0070C0"/>
          <w:sz w:val="8"/>
          <w:szCs w:val="8"/>
        </w:rPr>
      </w:pPr>
    </w:p>
    <w:p w:rsidR="00B13128" w:rsidRPr="00B13128" w:rsidRDefault="00B13128" w:rsidP="00B13128">
      <w:pPr>
        <w:tabs>
          <w:tab w:val="left" w:pos="900"/>
        </w:tabs>
        <w:spacing w:after="120"/>
        <w:jc w:val="both"/>
        <w:rPr>
          <w:lang w:val="en-US"/>
        </w:rPr>
      </w:pPr>
      <w:r w:rsidRPr="00B13128">
        <w:t>Отчетените</w:t>
      </w:r>
      <w:r w:rsidRPr="00B13128">
        <w:rPr>
          <w:b/>
          <w:bCs/>
        </w:rPr>
        <w:t xml:space="preserve"> неданъчни приходи</w:t>
      </w:r>
      <w:r w:rsidRPr="00B13128">
        <w:t xml:space="preserve"> по държавния бюджет </w:t>
      </w:r>
      <w:r w:rsidRPr="00B13128">
        <w:rPr>
          <w:bCs/>
        </w:rPr>
        <w:t xml:space="preserve">към септември </w:t>
      </w:r>
      <w:r w:rsidRPr="00B13128">
        <w:t xml:space="preserve">2019 г. са в размер на </w:t>
      </w:r>
      <w:r w:rsidRPr="00B13128">
        <w:rPr>
          <w:b/>
        </w:rPr>
        <w:t>1 729,1 млн. лв</w:t>
      </w:r>
      <w:r w:rsidRPr="00B13128">
        <w:t xml:space="preserve">. и се формират основно от приходи от държавни такси, приходи и доходи от собственост, приходи от концесии и други. </w:t>
      </w:r>
    </w:p>
    <w:p w:rsidR="00B13128" w:rsidRPr="00B13128" w:rsidRDefault="00B13128" w:rsidP="00B13128">
      <w:pPr>
        <w:numPr>
          <w:ilvl w:val="0"/>
          <w:numId w:val="3"/>
        </w:numPr>
        <w:tabs>
          <w:tab w:val="num" w:pos="720"/>
        </w:tabs>
        <w:spacing w:after="120"/>
        <w:ind w:left="0" w:firstLine="180"/>
        <w:jc w:val="both"/>
        <w:rPr>
          <w:b/>
          <w:bCs/>
        </w:rPr>
      </w:pPr>
      <w:r w:rsidRPr="00B13128">
        <w:rPr>
          <w:b/>
          <w:bCs/>
        </w:rPr>
        <w:t>Помощи и дарения</w:t>
      </w:r>
    </w:p>
    <w:p w:rsidR="00B13128" w:rsidRPr="00B13128" w:rsidRDefault="00B13128" w:rsidP="00B13128">
      <w:pPr>
        <w:spacing w:after="120"/>
        <w:jc w:val="both"/>
      </w:pPr>
      <w:r w:rsidRPr="00B13128">
        <w:t xml:space="preserve">Постъпилите </w:t>
      </w:r>
      <w:r w:rsidRPr="00B13128">
        <w:rPr>
          <w:b/>
        </w:rPr>
        <w:t>помощи</w:t>
      </w:r>
      <w:r w:rsidRPr="00B13128">
        <w:t xml:space="preserve"> </w:t>
      </w:r>
      <w:r w:rsidRPr="00B13128">
        <w:rPr>
          <w:b/>
        </w:rPr>
        <w:t>и дарения</w:t>
      </w:r>
      <w:r w:rsidRPr="00B13128">
        <w:t xml:space="preserve"> по държавния бюджет към септември  2019 г. са в размер на </w:t>
      </w:r>
      <w:r w:rsidRPr="00B13128">
        <w:rPr>
          <w:b/>
        </w:rPr>
        <w:t>2,0 млн. лв.</w:t>
      </w:r>
      <w:r w:rsidRPr="00B13128">
        <w:t xml:space="preserve"> и са по бюджетите на министерствата и ведомствата.</w:t>
      </w:r>
    </w:p>
    <w:p w:rsidR="00B13128" w:rsidRPr="00B13128" w:rsidRDefault="00B13128" w:rsidP="00B13128">
      <w:pPr>
        <w:numPr>
          <w:ilvl w:val="0"/>
          <w:numId w:val="6"/>
        </w:numPr>
        <w:tabs>
          <w:tab w:val="num" w:pos="426"/>
        </w:tabs>
        <w:spacing w:before="240"/>
        <w:ind w:left="0" w:firstLine="0"/>
        <w:jc w:val="both"/>
        <w:rPr>
          <w:b/>
          <w:bCs/>
        </w:rPr>
      </w:pPr>
      <w:r w:rsidRPr="00B13128">
        <w:rPr>
          <w:b/>
          <w:bCs/>
        </w:rPr>
        <w:lastRenderedPageBreak/>
        <w:t>Разходи по държавния бюджет</w:t>
      </w:r>
    </w:p>
    <w:p w:rsidR="00B13128" w:rsidRPr="00B13128" w:rsidRDefault="00B13128" w:rsidP="00B13128">
      <w:pPr>
        <w:jc w:val="both"/>
        <w:rPr>
          <w:b/>
          <w:bCs/>
          <w:color w:val="0070C0"/>
          <w:sz w:val="4"/>
          <w:szCs w:val="4"/>
        </w:rPr>
      </w:pPr>
    </w:p>
    <w:p w:rsidR="00B13128" w:rsidRPr="00B13128" w:rsidRDefault="00B13128" w:rsidP="00B13128">
      <w:pPr>
        <w:jc w:val="both"/>
        <w:rPr>
          <w:color w:val="0070C0"/>
          <w:sz w:val="8"/>
          <w:szCs w:val="8"/>
        </w:rPr>
      </w:pPr>
    </w:p>
    <w:p w:rsidR="00B13128" w:rsidRPr="00B13128" w:rsidRDefault="00B13128" w:rsidP="00B13128">
      <w:pPr>
        <w:spacing w:after="120"/>
        <w:jc w:val="both"/>
      </w:pPr>
      <w:r w:rsidRPr="00B13128">
        <w:t xml:space="preserve">Общият размер на </w:t>
      </w:r>
      <w:r w:rsidRPr="00B13128">
        <w:rPr>
          <w:b/>
        </w:rPr>
        <w:t>разходите по държавния бюджет</w:t>
      </w:r>
      <w:r w:rsidRPr="00B13128">
        <w:t xml:space="preserve"> (вкл. трансферите за др. бюджети и вноската в бюджета на ЕС) </w:t>
      </w:r>
      <w:r w:rsidRPr="00B13128">
        <w:rPr>
          <w:bCs/>
        </w:rPr>
        <w:t xml:space="preserve">към септември </w:t>
      </w:r>
      <w:r w:rsidRPr="00B13128">
        <w:t xml:space="preserve">2019 г. е </w:t>
      </w:r>
      <w:r w:rsidRPr="00B13128">
        <w:rPr>
          <w:b/>
        </w:rPr>
        <w:t>18 756,1 млн. лв</w:t>
      </w:r>
      <w:r w:rsidRPr="00B13128">
        <w:t>. или 67,2 % от предвидените със ЗДБРБ за 2019 година.</w:t>
      </w:r>
    </w:p>
    <w:p w:rsidR="00B13128" w:rsidRPr="00B13128" w:rsidRDefault="00B13128" w:rsidP="00B13128">
      <w:pPr>
        <w:jc w:val="center"/>
        <w:rPr>
          <w:b/>
          <w:color w:val="4F81BD" w:themeColor="accent1"/>
          <w:sz w:val="4"/>
          <w:szCs w:val="4"/>
          <w:u w:val="single"/>
        </w:rPr>
      </w:pPr>
    </w:p>
    <w:p w:rsidR="00B13128" w:rsidRPr="00B13128" w:rsidRDefault="00B13128" w:rsidP="00B13128">
      <w:pPr>
        <w:jc w:val="center"/>
        <w:rPr>
          <w:b/>
          <w:u w:val="single"/>
        </w:rPr>
      </w:pPr>
      <w:r w:rsidRPr="00B13128">
        <w:rPr>
          <w:b/>
          <w:u w:val="single"/>
        </w:rPr>
        <w:t xml:space="preserve">Разходи, трансфери за други бюджети и вноска в бюджета на ЕС </w:t>
      </w:r>
    </w:p>
    <w:p w:rsidR="00B13128" w:rsidRPr="00B13128" w:rsidRDefault="00B13128" w:rsidP="00B13128">
      <w:pPr>
        <w:jc w:val="center"/>
        <w:rPr>
          <w:b/>
          <w:u w:val="single"/>
        </w:rPr>
      </w:pPr>
      <w:r w:rsidRPr="00B13128">
        <w:rPr>
          <w:b/>
          <w:u w:val="single"/>
        </w:rPr>
        <w:t>към септември 2018 г. и 2019 г.</w:t>
      </w:r>
    </w:p>
    <w:p w:rsidR="00B13128" w:rsidRPr="00B13128" w:rsidRDefault="00B13128" w:rsidP="00B13128">
      <w:pPr>
        <w:jc w:val="center"/>
        <w:rPr>
          <w:b/>
          <w:color w:val="4F81BD" w:themeColor="accent1"/>
          <w:sz w:val="8"/>
          <w:szCs w:val="8"/>
          <w:u w:val="single"/>
        </w:rPr>
      </w:pPr>
    </w:p>
    <w:p w:rsidR="00B13128" w:rsidRPr="00B13128" w:rsidRDefault="00B13128" w:rsidP="00B13128">
      <w:pPr>
        <w:jc w:val="center"/>
        <w:rPr>
          <w:b/>
          <w:color w:val="4F81BD" w:themeColor="accent1"/>
          <w:u w:val="single"/>
        </w:rPr>
      </w:pPr>
      <w:bookmarkStart w:id="1" w:name="_MON_1562146415"/>
      <w:bookmarkStart w:id="2" w:name="_MON_1562146493"/>
      <w:bookmarkStart w:id="3" w:name="_MON_1562146700"/>
      <w:bookmarkStart w:id="4" w:name="_MON_1562146782"/>
      <w:bookmarkStart w:id="5" w:name="_MON_1562146967"/>
      <w:bookmarkStart w:id="6" w:name="_MON_1562147372"/>
      <w:bookmarkStart w:id="7" w:name="_MON_1562147473"/>
      <w:bookmarkStart w:id="8" w:name="_MON_1562147677"/>
      <w:bookmarkStart w:id="9" w:name="_MON_1562147743"/>
      <w:bookmarkStart w:id="10" w:name="_MON_1562147867"/>
      <w:bookmarkStart w:id="11" w:name="_MON_1562147934"/>
      <w:bookmarkStart w:id="12" w:name="_MON_1562148056"/>
      <w:bookmarkStart w:id="13" w:name="_MON_1562148171"/>
      <w:bookmarkStart w:id="14" w:name="_MON_1562148229"/>
      <w:bookmarkStart w:id="15" w:name="_MON_1562148307"/>
      <w:bookmarkStart w:id="16" w:name="_MON_1562148447"/>
      <w:bookmarkStart w:id="17" w:name="_MON_1562148558"/>
      <w:bookmarkStart w:id="18" w:name="_MON_1562152805"/>
      <w:bookmarkStart w:id="19" w:name="_MON_1562152984"/>
      <w:bookmarkStart w:id="20" w:name="_MON_1562153459"/>
      <w:bookmarkStart w:id="21" w:name="_MON_1562153503"/>
      <w:bookmarkStart w:id="22" w:name="_MON_1562153559"/>
      <w:bookmarkStart w:id="23" w:name="_MON_1562153646"/>
      <w:bookmarkStart w:id="24" w:name="_MON_1562153939"/>
      <w:bookmarkStart w:id="25" w:name="_MON_1562154053"/>
      <w:bookmarkStart w:id="26" w:name="_MON_1562154282"/>
      <w:bookmarkStart w:id="27" w:name="_MON_1562146286"/>
      <w:bookmarkStart w:id="28" w:name="_MON_1562154881"/>
      <w:bookmarkStart w:id="29" w:name="_MON_1562154973"/>
      <w:bookmarkStart w:id="30" w:name="_MON_1562155194"/>
      <w:bookmarkStart w:id="31" w:name="_MON_1562155231"/>
      <w:bookmarkStart w:id="32" w:name="_MON_1562155321"/>
      <w:bookmarkStart w:id="33" w:name="_MON_156215539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B13128">
        <w:rPr>
          <w:noProof/>
          <w:color w:val="0070C0"/>
          <w:lang w:val="en-US"/>
        </w:rPr>
        <w:drawing>
          <wp:inline distT="0" distB="0" distL="0" distR="0" wp14:anchorId="6932D639" wp14:editId="5E513CD8">
            <wp:extent cx="5745480" cy="3093720"/>
            <wp:effectExtent l="0" t="0" r="26670" b="11430"/>
            <wp:docPr id="1"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3128" w:rsidRPr="00B13128" w:rsidRDefault="00B13128" w:rsidP="00B13128">
      <w:pPr>
        <w:ind w:firstLine="360"/>
        <w:rPr>
          <w:color w:val="4F81BD" w:themeColor="accent1"/>
          <w:sz w:val="6"/>
          <w:szCs w:val="18"/>
        </w:rPr>
      </w:pPr>
    </w:p>
    <w:p w:rsidR="00B13128" w:rsidRPr="00B13128" w:rsidRDefault="00B13128" w:rsidP="00B13128">
      <w:pPr>
        <w:ind w:firstLine="360"/>
        <w:rPr>
          <w:sz w:val="18"/>
          <w:szCs w:val="18"/>
        </w:rPr>
      </w:pPr>
      <w:r w:rsidRPr="00B13128">
        <w:rPr>
          <w:sz w:val="18"/>
          <w:szCs w:val="18"/>
        </w:rPr>
        <w:t>*</w:t>
      </w:r>
      <w:r w:rsidRPr="00B13128">
        <w:t xml:space="preserve"> </w:t>
      </w:r>
      <w:r w:rsidRPr="00B13128">
        <w:rPr>
          <w:sz w:val="18"/>
          <w:szCs w:val="18"/>
        </w:rPr>
        <w:t>Вкл. нетния прираст на държавния резерв</w:t>
      </w:r>
    </w:p>
    <w:p w:rsidR="00B13128" w:rsidRPr="00B13128" w:rsidRDefault="00B13128" w:rsidP="00B13128">
      <w:pPr>
        <w:rPr>
          <w:b/>
          <w:color w:val="4F81BD" w:themeColor="accent1"/>
          <w:sz w:val="8"/>
          <w:szCs w:val="8"/>
          <w:u w:val="single"/>
        </w:rPr>
      </w:pPr>
    </w:p>
    <w:p w:rsidR="00B13128" w:rsidRPr="00B13128" w:rsidRDefault="00B13128" w:rsidP="00B13128">
      <w:pPr>
        <w:numPr>
          <w:ilvl w:val="0"/>
          <w:numId w:val="22"/>
        </w:numPr>
        <w:spacing w:before="120"/>
        <w:jc w:val="both"/>
        <w:rPr>
          <w:b/>
          <w:bCs/>
        </w:rPr>
      </w:pPr>
      <w:r w:rsidRPr="00B13128">
        <w:rPr>
          <w:b/>
          <w:bCs/>
        </w:rPr>
        <w:t>Нелихвени разходи</w:t>
      </w:r>
    </w:p>
    <w:p w:rsidR="00B13128" w:rsidRPr="00B13128" w:rsidRDefault="00B13128" w:rsidP="00B13128">
      <w:pPr>
        <w:spacing w:before="120"/>
        <w:jc w:val="both"/>
        <w:rPr>
          <w:bCs/>
        </w:rPr>
      </w:pPr>
      <w:r w:rsidRPr="00B13128">
        <w:rPr>
          <w:b/>
          <w:bCs/>
        </w:rPr>
        <w:t>Нелихвените разходи</w:t>
      </w:r>
      <w:r w:rsidRPr="00B13128">
        <w:rPr>
          <w:bCs/>
        </w:rPr>
        <w:t xml:space="preserve"> по държавния бюджет (без трансферите за др. бюджети) към септември  </w:t>
      </w:r>
      <w:r w:rsidRPr="00B13128">
        <w:t xml:space="preserve">2019 г. </w:t>
      </w:r>
      <w:r w:rsidRPr="00B13128">
        <w:rPr>
          <w:bCs/>
        </w:rPr>
        <w:t xml:space="preserve">са в размер на </w:t>
      </w:r>
      <w:r w:rsidRPr="00B13128">
        <w:rPr>
          <w:b/>
          <w:bCs/>
        </w:rPr>
        <w:t>9 122,0 млн. лв</w:t>
      </w:r>
      <w:r w:rsidRPr="00B13128">
        <w:rPr>
          <w:bCs/>
        </w:rPr>
        <w:t xml:space="preserve">., което представлява 63,2 % от годишния разчет. Съпоставени с данните към септември 2018 г., нелихвените разходи нарастват с 2 780,7 млн. лв. </w:t>
      </w:r>
      <w:r w:rsidRPr="00B13128">
        <w:rPr>
          <w:bCs/>
          <w:lang w:val="en-US"/>
        </w:rPr>
        <w:t>(</w:t>
      </w:r>
      <w:r w:rsidRPr="00B13128">
        <w:rPr>
          <w:bCs/>
        </w:rPr>
        <w:t>43,8 </w:t>
      </w:r>
      <w:r w:rsidRPr="00B13128">
        <w:rPr>
          <w:bCs/>
          <w:lang w:val="en-US"/>
        </w:rPr>
        <w:t>%)</w:t>
      </w:r>
      <w:r w:rsidRPr="00B13128">
        <w:rPr>
          <w:bCs/>
        </w:rPr>
        <w:t xml:space="preserve">. </w:t>
      </w:r>
    </w:p>
    <w:p w:rsidR="00B13128" w:rsidRPr="00B13128" w:rsidRDefault="00B13128" w:rsidP="00B13128">
      <w:pPr>
        <w:spacing w:after="120"/>
        <w:jc w:val="both"/>
        <w:rPr>
          <w:bCs/>
        </w:rPr>
      </w:pPr>
      <w:r w:rsidRPr="00B13128">
        <w:rPr>
          <w:bCs/>
        </w:rPr>
        <w:t xml:space="preserve">Разходите за персонал (заплати и </w:t>
      </w:r>
      <w:r w:rsidRPr="00B13128">
        <w:rPr>
          <w:bCs/>
          <w:noProof/>
        </w:rPr>
        <w:t>възнаграждения</w:t>
      </w:r>
      <w:r w:rsidRPr="00B13128">
        <w:rPr>
          <w:bCs/>
        </w:rPr>
        <w:t xml:space="preserve">, други възнаграждения и плащания за персонала и осигурителни вноски) са в общ размер на 3 817,2 млн. лв. или 74,2 % от планираните </w:t>
      </w:r>
      <w:r w:rsidRPr="00B13128">
        <w:t xml:space="preserve">за 2019 </w:t>
      </w:r>
      <w:r w:rsidRPr="00B13128">
        <w:rPr>
          <w:bCs/>
        </w:rPr>
        <w:t xml:space="preserve">г.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1 140,8 млн. лв. или 47,3 % от планираните </w:t>
      </w:r>
      <w:r w:rsidRPr="00B13128">
        <w:t>за годината</w:t>
      </w:r>
      <w:r w:rsidRPr="00B13128">
        <w:rPr>
          <w:bCs/>
        </w:rPr>
        <w:t xml:space="preserve">. Социалните разходи (вкл. разходите за стипендии) са в размер на 881,1 млн. лв. или 67,8 % от предвидените </w:t>
      </w:r>
      <w:r w:rsidRPr="00B13128">
        <w:t>за годината</w:t>
      </w:r>
      <w:r w:rsidRPr="00B13128">
        <w:rPr>
          <w:bCs/>
        </w:rPr>
        <w:t xml:space="preserve"> и са основно разходи по бюджета на МТСП за помощи по Закона за социално подпомагане, Закона за хората с увреждания, Закона за семейните помощи за деца и др. Предоставените текущи и капиталови трансфери за чужбина са в размер на 10,1</w:t>
      </w:r>
      <w:r w:rsidRPr="00B13128">
        <w:rPr>
          <w:rFonts w:eastAsia="Calibri"/>
          <w:b/>
        </w:rPr>
        <w:t> </w:t>
      </w:r>
      <w:r w:rsidRPr="00B13128">
        <w:rPr>
          <w:bCs/>
        </w:rPr>
        <w:t xml:space="preserve">млн. лв. Разходите за субсидии са в размер на 770,2 млн. лв. или 80,6 % от планираните за годината. </w:t>
      </w:r>
      <w:r w:rsidRPr="00B13128">
        <w:rPr>
          <w:bCs/>
        </w:rPr>
        <w:lastRenderedPageBreak/>
        <w:t>От тях 129,6</w:t>
      </w:r>
      <w:r w:rsidRPr="00B13128">
        <w:t xml:space="preserve"> </w:t>
      </w:r>
      <w:r w:rsidRPr="00B13128">
        <w:rPr>
          <w:bCs/>
        </w:rPr>
        <w:t xml:space="preserve">млн. лв. са субсидиите за </w:t>
      </w:r>
      <w:r w:rsidRPr="00B13128">
        <w:t>„БДЖ – Пътнически превози” ЕООД; 134,9</w:t>
      </w:r>
      <w:r w:rsidRPr="00B13128">
        <w:rPr>
          <w:rFonts w:eastAsia="Calibri"/>
          <w:b/>
        </w:rPr>
        <w:t> </w:t>
      </w:r>
      <w:r w:rsidRPr="00B13128">
        <w:rPr>
          <w:bCs/>
        </w:rPr>
        <w:t xml:space="preserve">млн. лв. са субсидиите за </w:t>
      </w:r>
      <w:r w:rsidRPr="00B13128">
        <w:t>Национална компания „Железопътна инфраструктура”</w:t>
      </w:r>
      <w:r w:rsidRPr="00B13128">
        <w:rPr>
          <w:bCs/>
          <w:color w:val="0070C0"/>
        </w:rPr>
        <w:t xml:space="preserve"> </w:t>
      </w:r>
      <w:r w:rsidRPr="00B13128">
        <w:t>и 18,9</w:t>
      </w:r>
      <w:r w:rsidRPr="00B13128">
        <w:rPr>
          <w:rFonts w:eastAsia="Calibri"/>
          <w:b/>
        </w:rPr>
        <w:t> </w:t>
      </w:r>
      <w:r w:rsidRPr="00B13128">
        <w:t xml:space="preserve">млн. лв. за „Български пощи” ЕАД. Към края на месец септември </w:t>
      </w:r>
      <w:r w:rsidRPr="00B13128">
        <w:rPr>
          <w:bCs/>
        </w:rPr>
        <w:t>2019</w:t>
      </w:r>
      <w:r w:rsidRPr="00B13128">
        <w:rPr>
          <w:rFonts w:eastAsia="Calibri"/>
          <w:b/>
        </w:rPr>
        <w:t> </w:t>
      </w:r>
      <w:r w:rsidRPr="00B13128">
        <w:rPr>
          <w:bCs/>
        </w:rPr>
        <w:t xml:space="preserve">г. ДФ „Земеделие“ e изплатил субсидии в общ размер на </w:t>
      </w:r>
      <w:r w:rsidRPr="00B13128">
        <w:rPr>
          <w:bCs/>
          <w:lang w:val="en-US"/>
        </w:rPr>
        <w:t>20</w:t>
      </w:r>
      <w:r w:rsidRPr="00B13128">
        <w:rPr>
          <w:bCs/>
        </w:rPr>
        <w:t>9,4 млн. лв., от които 90,4 млн. лв. държавна помощ</w:t>
      </w:r>
      <w:r w:rsidRPr="00B13128">
        <w:rPr>
          <w:bCs/>
          <w:lang w:val="en-US"/>
        </w:rPr>
        <w:t>;</w:t>
      </w:r>
      <w:r w:rsidRPr="00B13128">
        <w:rPr>
          <w:bCs/>
        </w:rPr>
        <w:t xml:space="preserve"> 80,1</w:t>
      </w:r>
      <w:r w:rsidRPr="00B13128">
        <w:rPr>
          <w:rFonts w:eastAsia="Calibri"/>
          <w:b/>
        </w:rPr>
        <w:t> </w:t>
      </w:r>
      <w:r w:rsidRPr="00B13128">
        <w:rPr>
          <w:bCs/>
        </w:rPr>
        <w:t>млн. лв.</w:t>
      </w:r>
      <w:r w:rsidRPr="00B13128">
        <w:t xml:space="preserve"> </w:t>
      </w:r>
      <w:r w:rsidRPr="00B13128">
        <w:rPr>
          <w:bCs/>
        </w:rPr>
        <w:t>преходна национална помощ за тютюн</w:t>
      </w:r>
      <w:r w:rsidRPr="00B13128">
        <w:rPr>
          <w:bCs/>
          <w:lang w:val="en-US"/>
        </w:rPr>
        <w:t>;</w:t>
      </w:r>
      <w:r w:rsidRPr="00B13128">
        <w:rPr>
          <w:bCs/>
        </w:rPr>
        <w:t xml:space="preserve"> 35,0 млн. лв. преходна национална помощ за сектор „Животновъдство“ и 3,5 млн. лв. средства за ДДС по схеми „Училищен плод“ и „Училищно мляко“. Капиталовите разходи </w:t>
      </w:r>
      <w:r w:rsidRPr="00B13128">
        <w:t>(вкл. нетния прираст на държавния резерв) по държавния бюджет</w:t>
      </w:r>
      <w:r w:rsidRPr="00B13128">
        <w:rPr>
          <w:bCs/>
        </w:rPr>
        <w:t xml:space="preserve"> възлизат на 2 502,5 млн. лева.</w:t>
      </w:r>
    </w:p>
    <w:p w:rsidR="00B13128" w:rsidRPr="00B13128" w:rsidRDefault="00B13128" w:rsidP="00B13128">
      <w:pPr>
        <w:numPr>
          <w:ilvl w:val="1"/>
          <w:numId w:val="14"/>
        </w:numPr>
        <w:tabs>
          <w:tab w:val="num" w:pos="720"/>
          <w:tab w:val="num" w:pos="900"/>
        </w:tabs>
        <w:spacing w:before="120" w:after="120"/>
        <w:ind w:left="720"/>
        <w:jc w:val="both"/>
        <w:rPr>
          <w:b/>
          <w:bCs/>
        </w:rPr>
      </w:pPr>
      <w:r w:rsidRPr="00B13128">
        <w:rPr>
          <w:b/>
        </w:rPr>
        <w:t>Просрочени задължения</w:t>
      </w:r>
    </w:p>
    <w:p w:rsidR="00B13128" w:rsidRPr="00996230" w:rsidRDefault="00B13128" w:rsidP="00B13128">
      <w:pPr>
        <w:spacing w:after="120"/>
        <w:jc w:val="both"/>
      </w:pPr>
      <w:r w:rsidRPr="00B13128">
        <w:t>Към 30.09.201</w:t>
      </w:r>
      <w:r w:rsidRPr="00B13128">
        <w:rPr>
          <w:lang w:val="en-US"/>
        </w:rPr>
        <w:t>9</w:t>
      </w:r>
      <w:r w:rsidRPr="00B13128">
        <w:t xml:space="preserve"> г. просрочените задължения на централно и местно правителство и социалноосигурителните фондове са в размер на </w:t>
      </w:r>
      <w:r w:rsidR="00996230" w:rsidRPr="00996230">
        <w:rPr>
          <w:b/>
          <w:lang w:val="en-US"/>
        </w:rPr>
        <w:t>311</w:t>
      </w:r>
      <w:r w:rsidR="00996230" w:rsidRPr="00996230">
        <w:rPr>
          <w:b/>
        </w:rPr>
        <w:t>,6</w:t>
      </w:r>
      <w:r w:rsidRPr="00996230">
        <w:rPr>
          <w:b/>
        </w:rPr>
        <w:t xml:space="preserve"> млн. лева.</w:t>
      </w:r>
      <w:r w:rsidRPr="00996230">
        <w:t xml:space="preserve"> </w:t>
      </w:r>
    </w:p>
    <w:p w:rsidR="00F236D5" w:rsidRPr="00946452" w:rsidRDefault="00F236D5" w:rsidP="00F236D5">
      <w:pPr>
        <w:spacing w:before="120"/>
        <w:jc w:val="both"/>
        <w:rPr>
          <w:noProof/>
        </w:rPr>
      </w:pPr>
      <w:r w:rsidRPr="00B57984">
        <w:t xml:space="preserve">Размерът на просрочените задължения на </w:t>
      </w:r>
      <w:r w:rsidRPr="00B57984">
        <w:rPr>
          <w:b/>
        </w:rPr>
        <w:t>централно правителство</w:t>
      </w:r>
      <w:r w:rsidRPr="00B57984">
        <w:t xml:space="preserve"> (министерства, ведомства и разпоредителите с бюджет по чл. 13, ал. 3 и ал. 4 на ЗПФ) е</w:t>
      </w:r>
      <w:r w:rsidRPr="00B57984">
        <w:rPr>
          <w:b/>
        </w:rPr>
        <w:t xml:space="preserve"> 89,3 млн. лв., </w:t>
      </w:r>
      <w:r w:rsidRPr="00B57984">
        <w:t>като</w:t>
      </w:r>
      <w:r w:rsidRPr="00B57984">
        <w:rPr>
          <w:b/>
        </w:rPr>
        <w:t xml:space="preserve">  </w:t>
      </w:r>
      <w:r w:rsidRPr="00B57984">
        <w:t xml:space="preserve">спрямо отчетените в края на юни 2019 г. има </w:t>
      </w:r>
      <w:r w:rsidRPr="002B70F5">
        <w:t>нарастване</w:t>
      </w:r>
      <w:r w:rsidRPr="00B57984">
        <w:t xml:space="preserve"> с 3,7 млн. лева. </w:t>
      </w:r>
      <w:r w:rsidRPr="002B70F5">
        <w:t xml:space="preserve">В обхвата на държавния бюджет по-значими проблеми с наличие на просрочени задължения съществуват </w:t>
      </w:r>
      <w:r w:rsidRPr="002B70F5">
        <w:rPr>
          <w:bCs/>
        </w:rPr>
        <w:t>при няколко министерства, което изисква активни мерки от тези първостепенни разпоредители с бюджет за редуцирането им. С най-значими</w:t>
      </w:r>
      <w:r w:rsidRPr="002B70F5">
        <w:t xml:space="preserve"> просрочени задължения по държавния бюджет са</w:t>
      </w:r>
      <w:r w:rsidRPr="002B70F5">
        <w:rPr>
          <w:lang w:val="en-US"/>
        </w:rPr>
        <w:t xml:space="preserve">: </w:t>
      </w:r>
      <w:r w:rsidRPr="002B70F5">
        <w:t xml:space="preserve">Министерски съвет – </w:t>
      </w:r>
      <w:r w:rsidRPr="002B70F5">
        <w:rPr>
          <w:bCs/>
          <w:noProof/>
        </w:rPr>
        <w:t>30,8</w:t>
      </w:r>
      <w:r w:rsidRPr="002B70F5">
        <w:rPr>
          <w:noProof/>
        </w:rPr>
        <w:t xml:space="preserve"> млн. лв. (увеличение с 5,7 млн. лв. </w:t>
      </w:r>
      <w:r w:rsidRPr="002B70F5">
        <w:t xml:space="preserve">спрямо отчетените в края на </w:t>
      </w:r>
      <w:r>
        <w:t>юни</w:t>
      </w:r>
      <w:r w:rsidRPr="002B70F5">
        <w:t xml:space="preserve"> 2019 г.</w:t>
      </w:r>
      <w:r w:rsidRPr="002B70F5">
        <w:rPr>
          <w:noProof/>
        </w:rPr>
        <w:t>),</w:t>
      </w:r>
      <w:r w:rsidRPr="002B70F5">
        <w:rPr>
          <w:lang w:eastAsia="bg-BG"/>
        </w:rPr>
        <w:t xml:space="preserve"> </w:t>
      </w:r>
      <w:r w:rsidRPr="002B70F5">
        <w:rPr>
          <w:noProof/>
        </w:rPr>
        <w:t>от които 30,5 млн. лв. са на Болница „Лозенец”</w:t>
      </w:r>
      <w:r w:rsidRPr="002B70F5">
        <w:rPr>
          <w:noProof/>
          <w:lang w:val="en-US"/>
        </w:rPr>
        <w:t xml:space="preserve">; </w:t>
      </w:r>
      <w:r w:rsidRPr="000742F8">
        <w:rPr>
          <w:noProof/>
        </w:rPr>
        <w:t xml:space="preserve">Министерство на земеделието, храните и горите – 13,3 млн. </w:t>
      </w:r>
      <w:r w:rsidRPr="006657F6">
        <w:rPr>
          <w:noProof/>
        </w:rPr>
        <w:t xml:space="preserve">лв. (увеличение с 1,5 млн. лв. </w:t>
      </w:r>
      <w:r w:rsidRPr="006657F6">
        <w:t>спрямо просрочията за първо полугодие на 2019 г.</w:t>
      </w:r>
      <w:r w:rsidRPr="006657F6">
        <w:rPr>
          <w:noProof/>
        </w:rPr>
        <w:t>)</w:t>
      </w:r>
      <w:r w:rsidRPr="006657F6">
        <w:rPr>
          <w:noProof/>
          <w:lang w:val="en-US"/>
        </w:rPr>
        <w:t>;</w:t>
      </w:r>
      <w:r w:rsidRPr="006657F6">
        <w:rPr>
          <w:noProof/>
        </w:rPr>
        <w:t xml:space="preserve"> Министерство на отбраната – 3,0 млн. лв. </w:t>
      </w:r>
      <w:r w:rsidRPr="00946452">
        <w:rPr>
          <w:noProof/>
        </w:rPr>
        <w:t xml:space="preserve">(увеличение с 0,9 млн. лв. спрямо </w:t>
      </w:r>
      <w:r w:rsidRPr="00946452">
        <w:t>отчетените в края юни 2019 г.</w:t>
      </w:r>
      <w:r w:rsidRPr="00946452">
        <w:rPr>
          <w:noProof/>
        </w:rPr>
        <w:t xml:space="preserve">) и други. От разпоредителите с бюджет по чл. 13, ал. 3 на Закона за публичните финанси проблеми с наличието на просрочени задължения има основно при Българската национална телевизия – 26,7 млн. лв. (увеличение с 3,0 млн. лв. </w:t>
      </w:r>
      <w:r w:rsidRPr="00946452">
        <w:t>спрямо отчетените в края на юни 2019 г.</w:t>
      </w:r>
      <w:r w:rsidRPr="00946452">
        <w:rPr>
          <w:noProof/>
        </w:rPr>
        <w:t>).</w:t>
      </w:r>
    </w:p>
    <w:p w:rsidR="00F236D5" w:rsidRPr="00392C15" w:rsidRDefault="00F236D5" w:rsidP="00F236D5">
      <w:pPr>
        <w:spacing w:before="120"/>
        <w:jc w:val="both"/>
      </w:pPr>
      <w:r w:rsidRPr="00392C15">
        <w:t xml:space="preserve">Просрочените задължения на </w:t>
      </w:r>
      <w:r w:rsidRPr="00392C15">
        <w:rPr>
          <w:b/>
        </w:rPr>
        <w:t>НЗОК</w:t>
      </w:r>
      <w:r w:rsidRPr="00392C15">
        <w:t xml:space="preserve"> към 30.09.2019 г. са в размер на </w:t>
      </w:r>
      <w:r w:rsidRPr="00392C15">
        <w:rPr>
          <w:b/>
        </w:rPr>
        <w:t>97,2 млн. лв.</w:t>
      </w:r>
      <w:r w:rsidRPr="00392C15">
        <w:t xml:space="preserve">, като се отчита </w:t>
      </w:r>
      <w:r w:rsidRPr="00117EB0">
        <w:t>намаление</w:t>
      </w:r>
      <w:r w:rsidRPr="00392C15">
        <w:t xml:space="preserve"> с 12,3 млн. лв. спрямо първото полугодие на 2019 година.</w:t>
      </w:r>
    </w:p>
    <w:p w:rsidR="00B13128" w:rsidRPr="00B13128" w:rsidRDefault="00B13128" w:rsidP="00B13128">
      <w:pPr>
        <w:ind w:firstLine="567"/>
        <w:jc w:val="both"/>
        <w:rPr>
          <w:bCs/>
          <w:color w:val="4F81BD" w:themeColor="accent1"/>
          <w:sz w:val="6"/>
          <w:szCs w:val="12"/>
        </w:rPr>
      </w:pPr>
    </w:p>
    <w:p w:rsidR="00B13128" w:rsidRPr="00B13128" w:rsidRDefault="00B13128" w:rsidP="00B13128">
      <w:pPr>
        <w:spacing w:after="120"/>
        <w:jc w:val="both"/>
        <w:rPr>
          <w:noProof/>
          <w:color w:val="4F81BD" w:themeColor="accent1"/>
        </w:rPr>
      </w:pPr>
      <w:r w:rsidRPr="00146314">
        <w:rPr>
          <w:noProof/>
          <w:lang w:val="en-US"/>
        </w:rPr>
        <w:t xml:space="preserve">Просрочените задължения по </w:t>
      </w:r>
      <w:r w:rsidRPr="00146314">
        <w:rPr>
          <w:b/>
          <w:noProof/>
        </w:rPr>
        <w:t>бюджетите на общините</w:t>
      </w:r>
      <w:r w:rsidRPr="00146314">
        <w:rPr>
          <w:noProof/>
          <w:lang w:val="en-US"/>
        </w:rPr>
        <w:t xml:space="preserve"> </w:t>
      </w:r>
      <w:r w:rsidRPr="00146314">
        <w:rPr>
          <w:noProof/>
        </w:rPr>
        <w:t xml:space="preserve">към 30.09.2019 г. </w:t>
      </w:r>
      <w:r w:rsidRPr="00146314">
        <w:rPr>
          <w:noProof/>
          <w:lang w:val="en-US"/>
        </w:rPr>
        <w:t xml:space="preserve">са в размер на </w:t>
      </w:r>
      <w:r w:rsidR="00146314" w:rsidRPr="00146314">
        <w:rPr>
          <w:b/>
          <w:noProof/>
        </w:rPr>
        <w:t>125,</w:t>
      </w:r>
      <w:r w:rsidR="00146314" w:rsidRPr="0026189C">
        <w:rPr>
          <w:b/>
          <w:noProof/>
        </w:rPr>
        <w:t>2</w:t>
      </w:r>
      <w:r w:rsidR="0030300D" w:rsidRPr="0026189C">
        <w:rPr>
          <w:b/>
          <w:noProof/>
        </w:rPr>
        <w:t> </w:t>
      </w:r>
      <w:r w:rsidRPr="0026189C">
        <w:rPr>
          <w:b/>
          <w:noProof/>
          <w:lang w:val="en-US"/>
        </w:rPr>
        <w:t>млн. лв.,</w:t>
      </w:r>
      <w:r w:rsidRPr="0026189C">
        <w:rPr>
          <w:noProof/>
          <w:lang w:val="en-US"/>
        </w:rPr>
        <w:t xml:space="preserve"> като </w:t>
      </w:r>
      <w:r w:rsidRPr="0026189C">
        <w:rPr>
          <w:noProof/>
          <w:lang w:val="en-US"/>
        </w:rPr>
        <w:lastRenderedPageBreak/>
        <w:t xml:space="preserve">спрямо </w:t>
      </w:r>
      <w:r w:rsidRPr="0026189C">
        <w:t xml:space="preserve">края на 2018 г. </w:t>
      </w:r>
      <w:r w:rsidRPr="0026189C">
        <w:rPr>
          <w:noProof/>
          <w:lang w:val="en-US"/>
        </w:rPr>
        <w:t xml:space="preserve">се отчита </w:t>
      </w:r>
      <w:r w:rsidRPr="0026189C">
        <w:rPr>
          <w:noProof/>
        </w:rPr>
        <w:t>увеличение с</w:t>
      </w:r>
      <w:r w:rsidRPr="0026189C">
        <w:rPr>
          <w:noProof/>
          <w:lang w:val="en-US"/>
        </w:rPr>
        <w:t xml:space="preserve"> </w:t>
      </w:r>
      <w:r w:rsidR="00146314" w:rsidRPr="0026189C">
        <w:rPr>
          <w:noProof/>
        </w:rPr>
        <w:t>3,0</w:t>
      </w:r>
      <w:r w:rsidRPr="0026189C">
        <w:rPr>
          <w:noProof/>
          <w:lang w:val="en-US"/>
        </w:rPr>
        <w:t xml:space="preserve"> млн. лева. В делегираните от държавата дейности просрочените задължения са в размер на </w:t>
      </w:r>
      <w:r w:rsidRPr="0026189C">
        <w:rPr>
          <w:noProof/>
        </w:rPr>
        <w:t>2,7</w:t>
      </w:r>
      <w:r w:rsidRPr="0026189C">
        <w:rPr>
          <w:noProof/>
          <w:lang w:val="en-US"/>
        </w:rPr>
        <w:t xml:space="preserve"> млн. лева. С най-голям относителен дял в просрочените задължения по бюджета на общините </w:t>
      </w:r>
      <w:r w:rsidRPr="0026189C">
        <w:rPr>
          <w:noProof/>
        </w:rPr>
        <w:t xml:space="preserve">към края на месец септември 2019 г. </w:t>
      </w:r>
      <w:r w:rsidRPr="0026189C">
        <w:rPr>
          <w:noProof/>
          <w:lang w:val="en-US"/>
        </w:rPr>
        <w:t xml:space="preserve">са </w:t>
      </w:r>
      <w:r w:rsidRPr="0026189C">
        <w:rPr>
          <w:noProof/>
        </w:rPr>
        <w:t xml:space="preserve">просрочените задължения към доставчици, които са в размер на </w:t>
      </w:r>
      <w:r w:rsidR="0030300D" w:rsidRPr="0026189C">
        <w:rPr>
          <w:noProof/>
        </w:rPr>
        <w:t>101,2</w:t>
      </w:r>
      <w:r w:rsidRPr="0026189C">
        <w:rPr>
          <w:noProof/>
        </w:rPr>
        <w:t xml:space="preserve"> млн. лева.</w:t>
      </w:r>
    </w:p>
    <w:p w:rsidR="00B13128" w:rsidRPr="00B13128" w:rsidRDefault="00F60F0A" w:rsidP="00B13128">
      <w:pPr>
        <w:spacing w:after="120"/>
        <w:jc w:val="both"/>
        <w:rPr>
          <w:noProof/>
          <w:lang w:val="en-US"/>
        </w:rPr>
      </w:pPr>
      <w:r w:rsidRPr="00F60F0A">
        <w:rPr>
          <w:noProof/>
        </w:rPr>
        <w:t>Извън обхвата на консолидираната фискална програма, сериозен продължава да бъде проблемът с просрочията на лечебните заведения за болнична помощ (държавни и общински болници – търговски дружества). Към 30.09.2019 г. размерът на просрочените задължения е 152,3 млн. лв., от които 117,3 млн. лв. са на държавните болници и 35,0 млн. лв. са на общинските болници. Спрямо отчетените просрочени задължения към 31.12.2018 г. се отчита намаление с 8,7 млн. лв. (с 5 на сто)</w:t>
      </w:r>
      <w:r w:rsidR="00B13128" w:rsidRPr="00B13128">
        <w:t>.</w:t>
      </w:r>
    </w:p>
    <w:p w:rsidR="00BB059C" w:rsidRPr="00B93FD2" w:rsidRDefault="00BB059C" w:rsidP="00BB059C">
      <w:pPr>
        <w:ind w:firstLine="567"/>
        <w:jc w:val="both"/>
        <w:rPr>
          <w:noProof/>
          <w:color w:val="4F81BD" w:themeColor="accent1"/>
          <w:sz w:val="2"/>
          <w:szCs w:val="12"/>
          <w:lang w:val="en-US"/>
        </w:rPr>
      </w:pPr>
    </w:p>
    <w:p w:rsidR="009C2594" w:rsidRPr="00AC645F" w:rsidRDefault="009C2594" w:rsidP="00337CA7">
      <w:pPr>
        <w:pStyle w:val="BodyTextIndent"/>
        <w:numPr>
          <w:ilvl w:val="1"/>
          <w:numId w:val="14"/>
        </w:numPr>
        <w:tabs>
          <w:tab w:val="clear" w:pos="2160"/>
          <w:tab w:val="num" w:pos="720"/>
          <w:tab w:val="num" w:pos="900"/>
        </w:tabs>
        <w:spacing w:before="120" w:after="0"/>
        <w:ind w:left="720"/>
        <w:jc w:val="both"/>
        <w:rPr>
          <w:b/>
          <w:bCs/>
        </w:rPr>
      </w:pPr>
      <w:r w:rsidRPr="00AC645F">
        <w:rPr>
          <w:b/>
          <w:bCs/>
        </w:rPr>
        <w:t xml:space="preserve">Разходи по </w:t>
      </w:r>
      <w:r w:rsidRPr="00AC645F">
        <w:rPr>
          <w:b/>
          <w:bCs/>
          <w:szCs w:val="26"/>
        </w:rPr>
        <w:t xml:space="preserve">централния бюджет </w:t>
      </w:r>
      <w:r w:rsidRPr="00AC645F">
        <w:rPr>
          <w:b/>
          <w:bCs/>
        </w:rPr>
        <w:t>за субсидии</w:t>
      </w:r>
      <w:r w:rsidR="00F202DD" w:rsidRPr="00AC645F">
        <w:rPr>
          <w:b/>
          <w:bCs/>
        </w:rPr>
        <w:t>,</w:t>
      </w:r>
      <w:r w:rsidR="0091667E" w:rsidRPr="00AC645F">
        <w:rPr>
          <w:b/>
          <w:bCs/>
        </w:rPr>
        <w:t xml:space="preserve"> </w:t>
      </w:r>
      <w:r w:rsidR="00F202DD" w:rsidRPr="00AC645F">
        <w:rPr>
          <w:b/>
          <w:bCs/>
        </w:rPr>
        <w:t xml:space="preserve">капиталови </w:t>
      </w:r>
      <w:r w:rsidR="00AF1CA0" w:rsidRPr="00AC645F">
        <w:rPr>
          <w:b/>
          <w:bCs/>
        </w:rPr>
        <w:t>трансфери</w:t>
      </w:r>
      <w:r w:rsidR="00AF1CA0" w:rsidRPr="00AC645F">
        <w:rPr>
          <w:bCs/>
        </w:rPr>
        <w:t xml:space="preserve"> </w:t>
      </w:r>
      <w:r w:rsidRPr="00AC645F">
        <w:rPr>
          <w:b/>
          <w:bCs/>
        </w:rPr>
        <w:t xml:space="preserve">и други разходи, свързани с дейността на реалния сектор </w:t>
      </w:r>
    </w:p>
    <w:p w:rsidR="009C2594" w:rsidRPr="00B93FD2" w:rsidRDefault="009C2594" w:rsidP="009C2594">
      <w:pPr>
        <w:pStyle w:val="Header"/>
        <w:jc w:val="both"/>
        <w:rPr>
          <w:color w:val="4F81BD" w:themeColor="accent1"/>
          <w:sz w:val="8"/>
          <w:szCs w:val="8"/>
        </w:rPr>
      </w:pPr>
    </w:p>
    <w:p w:rsidR="00157673" w:rsidRPr="00AC645F" w:rsidRDefault="009C2594" w:rsidP="009975EC">
      <w:pPr>
        <w:pStyle w:val="Header"/>
        <w:ind w:firstLine="567"/>
        <w:jc w:val="both"/>
      </w:pPr>
      <w:r w:rsidRPr="00AC645F">
        <w:t>Със ЗДБРБ за 201</w:t>
      </w:r>
      <w:r w:rsidR="00D87322" w:rsidRPr="00AC645F">
        <w:rPr>
          <w:lang w:val="en-US"/>
        </w:rPr>
        <w:t>9</w:t>
      </w:r>
      <w:r w:rsidRPr="00AC645F">
        <w:t xml:space="preserve"> г. са утвърдени </w:t>
      </w:r>
      <w:r w:rsidR="00B95110" w:rsidRPr="00AC645F">
        <w:t>17</w:t>
      </w:r>
      <w:r w:rsidR="00A77462" w:rsidRPr="00AC645F">
        <w:t>3</w:t>
      </w:r>
      <w:r w:rsidR="00B95110" w:rsidRPr="00AC645F">
        <w:t>,</w:t>
      </w:r>
      <w:r w:rsidR="00A77462" w:rsidRPr="00AC645F">
        <w:t>0</w:t>
      </w:r>
      <w:r w:rsidRPr="00AC645F">
        <w:t xml:space="preserve"> млн. лв</w:t>
      </w:r>
      <w:r w:rsidRPr="00AC645F">
        <w:rPr>
          <w:b/>
        </w:rPr>
        <w:t>.</w:t>
      </w:r>
      <w:r w:rsidRPr="00AC645F">
        <w:t xml:space="preserve"> </w:t>
      </w:r>
      <w:r w:rsidRPr="00AC645F">
        <w:rPr>
          <w:b/>
        </w:rPr>
        <w:t>субсидии</w:t>
      </w:r>
      <w:r w:rsidRPr="00AC645F">
        <w:t xml:space="preserve"> за нефинансови предприятия</w:t>
      </w:r>
      <w:r w:rsidR="00B34F16" w:rsidRPr="00AC645F">
        <w:t xml:space="preserve"> от централния бюджет.</w:t>
      </w:r>
    </w:p>
    <w:p w:rsidR="00B34F16" w:rsidRPr="00B93FD2" w:rsidRDefault="00B34F16" w:rsidP="009975EC">
      <w:pPr>
        <w:pStyle w:val="Header"/>
        <w:ind w:firstLine="567"/>
        <w:jc w:val="both"/>
        <w:rPr>
          <w:color w:val="4F81BD" w:themeColor="accent1"/>
          <w:sz w:val="4"/>
          <w:szCs w:val="4"/>
        </w:rPr>
      </w:pPr>
    </w:p>
    <w:p w:rsidR="008360FD" w:rsidRPr="00AC645F" w:rsidRDefault="008360FD" w:rsidP="008360FD">
      <w:pPr>
        <w:pStyle w:val="BodyText2"/>
        <w:spacing w:after="0" w:line="240" w:lineRule="auto"/>
        <w:ind w:firstLine="567"/>
        <w:jc w:val="both"/>
      </w:pPr>
      <w:r w:rsidRPr="00AC645F">
        <w:t xml:space="preserve">Средствата за </w:t>
      </w:r>
      <w:r w:rsidRPr="00AC645F">
        <w:rPr>
          <w:bCs/>
        </w:rPr>
        <w:t>субсидии</w:t>
      </w:r>
      <w:r w:rsidRPr="00AC645F">
        <w:t xml:space="preserve"> са предназначени за търговски дружества</w:t>
      </w:r>
      <w:r w:rsidR="00A77462" w:rsidRPr="00AC645F">
        <w:t>, осъществяващи превоза на пътниците по нерентабилни линии във вътрешноградския транспорт и транспорта в планински и други райони,</w:t>
      </w:r>
      <w:r w:rsidRPr="00AC645F">
        <w:t xml:space="preserve"> за текущо поддържане и експлоатация на железопътната инфраструктура и </w:t>
      </w:r>
      <w:r w:rsidR="00844985" w:rsidRPr="00AC645F">
        <w:t>др.</w:t>
      </w:r>
    </w:p>
    <w:p w:rsidR="008360FD" w:rsidRPr="00B93FD2" w:rsidRDefault="008360FD" w:rsidP="008360FD">
      <w:pPr>
        <w:pStyle w:val="BodyText2"/>
        <w:spacing w:after="0" w:line="240" w:lineRule="auto"/>
        <w:jc w:val="both"/>
        <w:rPr>
          <w:color w:val="4F81BD" w:themeColor="accent1"/>
          <w:sz w:val="12"/>
          <w:szCs w:val="12"/>
        </w:rPr>
      </w:pPr>
    </w:p>
    <w:p w:rsidR="008360FD" w:rsidRPr="00AC645F" w:rsidRDefault="008360FD" w:rsidP="008360FD">
      <w:pPr>
        <w:pStyle w:val="BodyTextIndent"/>
        <w:ind w:left="0" w:firstLine="357"/>
        <w:jc w:val="both"/>
      </w:pPr>
      <w:r w:rsidRPr="00B93FD2">
        <w:rPr>
          <w:color w:val="4F81BD" w:themeColor="accent1"/>
        </w:rPr>
        <w:t xml:space="preserve">- </w:t>
      </w:r>
      <w:r w:rsidRPr="00AC645F">
        <w:t>Със ЗДБРБ за 201</w:t>
      </w:r>
      <w:r w:rsidR="00A77462" w:rsidRPr="00AC645F">
        <w:t>9</w:t>
      </w:r>
      <w:r w:rsidRPr="00AC645F">
        <w:t xml:space="preserve"> г. за Национална компания </w:t>
      </w:r>
      <w:r w:rsidR="00D60B43" w:rsidRPr="00AC645F">
        <w:t>„</w:t>
      </w:r>
      <w:r w:rsidRPr="00AC645F">
        <w:t>Железопътна инфраструктура” са предвидени средства под формата на субсидии, предназначени за поддържане и експлоатация на железопътната инфраструктура, в размер на 1</w:t>
      </w:r>
      <w:r w:rsidR="003C199E" w:rsidRPr="00AC645F">
        <w:t>4</w:t>
      </w:r>
      <w:r w:rsidRPr="00AC645F">
        <w:t xml:space="preserve">5,0 млн. лева. </w:t>
      </w:r>
      <w:r w:rsidR="006C1B63" w:rsidRPr="00AC645F">
        <w:t xml:space="preserve">Усвоените средства за </w:t>
      </w:r>
      <w:r w:rsidR="00AC645F" w:rsidRPr="00AC645F">
        <w:t>деветмесе</w:t>
      </w:r>
      <w:r w:rsidR="00FB6CE2">
        <w:t>чието</w:t>
      </w:r>
      <w:r w:rsidR="006C1B63" w:rsidRPr="00AC645F">
        <w:t xml:space="preserve"> на 201</w:t>
      </w:r>
      <w:r w:rsidR="00A77462" w:rsidRPr="00AC645F">
        <w:t>9</w:t>
      </w:r>
      <w:r w:rsidR="006C1B63" w:rsidRPr="00AC645F">
        <w:t xml:space="preserve"> г. са в размер на </w:t>
      </w:r>
      <w:r w:rsidR="00AC645F" w:rsidRPr="00AC645F">
        <w:t>134</w:t>
      </w:r>
      <w:r w:rsidR="00DB7BF9" w:rsidRPr="00AC645F">
        <w:t>,</w:t>
      </w:r>
      <w:r w:rsidR="00AC645F" w:rsidRPr="00AC645F">
        <w:t>9</w:t>
      </w:r>
      <w:r w:rsidR="006C1B63" w:rsidRPr="00AC645F">
        <w:t xml:space="preserve"> млн. лв. или </w:t>
      </w:r>
      <w:r w:rsidR="0078359E" w:rsidRPr="00AC645F">
        <w:t>9</w:t>
      </w:r>
      <w:r w:rsidR="00AC645F" w:rsidRPr="00AC645F">
        <w:t>3</w:t>
      </w:r>
      <w:r w:rsidR="00DB7BF9" w:rsidRPr="00AC645F">
        <w:t>,</w:t>
      </w:r>
      <w:r w:rsidR="00AC645F" w:rsidRPr="00AC645F">
        <w:t>0</w:t>
      </w:r>
      <w:r w:rsidR="002A1772" w:rsidRPr="00AC645F">
        <w:t xml:space="preserve"> на сто от</w:t>
      </w:r>
      <w:r w:rsidR="006C1B63" w:rsidRPr="00AC645F">
        <w:t xml:space="preserve"> годишн</w:t>
      </w:r>
      <w:r w:rsidR="002A1772" w:rsidRPr="00AC645F">
        <w:t>ия</w:t>
      </w:r>
      <w:r w:rsidR="006C1B63" w:rsidRPr="00AC645F">
        <w:t xml:space="preserve"> план. </w:t>
      </w:r>
      <w:r w:rsidR="005830F2" w:rsidRPr="00AC645F">
        <w:t>Същите са предоставени в съответствие с утвърдения от министъра на транспорта, информационните технологии и съобщенията График за превеждане на субсидиите, съобразен с необходимостта от средства за финансиране на текущите дейности на предприятието</w:t>
      </w:r>
      <w:r w:rsidR="006C1B63" w:rsidRPr="00AC645F">
        <w:t>.</w:t>
      </w:r>
      <w:r w:rsidR="00526B74" w:rsidRPr="00AC645F">
        <w:rPr>
          <w:lang w:val="en-US"/>
        </w:rPr>
        <w:t xml:space="preserve"> </w:t>
      </w:r>
    </w:p>
    <w:p w:rsidR="008360FD" w:rsidRPr="00AC645F" w:rsidRDefault="008360FD" w:rsidP="00C83494">
      <w:pPr>
        <w:pStyle w:val="BodyTextIndent2"/>
        <w:spacing w:line="240" w:lineRule="auto"/>
        <w:ind w:left="0" w:firstLine="357"/>
        <w:jc w:val="both"/>
        <w:rPr>
          <w:noProof/>
        </w:rPr>
      </w:pPr>
      <w:r w:rsidRPr="00AC645F">
        <w:t>- Предвидените със ЗДБРБ за 201</w:t>
      </w:r>
      <w:r w:rsidR="006D341F" w:rsidRPr="00AC645F">
        <w:t>9</w:t>
      </w:r>
      <w:r w:rsidRPr="00AC645F">
        <w:t xml:space="preserve"> г. средства за субсидиране на превоза на пътниците по нерентабилни линии във вътрешноградския транспорт и транспорт</w:t>
      </w:r>
      <w:r w:rsidR="00B77876" w:rsidRPr="00AC645F">
        <w:t>а</w:t>
      </w:r>
      <w:r w:rsidRPr="00AC645F">
        <w:t xml:space="preserve"> в </w:t>
      </w:r>
      <w:r w:rsidRPr="00AC645F">
        <w:lastRenderedPageBreak/>
        <w:t xml:space="preserve">планински и други райони са в размер на </w:t>
      </w:r>
      <w:r w:rsidR="002A1277" w:rsidRPr="00AC645F">
        <w:t>2</w:t>
      </w:r>
      <w:r w:rsidR="006D341F" w:rsidRPr="00AC645F">
        <w:t>8</w:t>
      </w:r>
      <w:r w:rsidR="002A1277" w:rsidRPr="00AC645F">
        <w:t>,</w:t>
      </w:r>
      <w:r w:rsidR="006D341F" w:rsidRPr="00AC645F">
        <w:t>0</w:t>
      </w:r>
      <w:r w:rsidRPr="00AC645F">
        <w:t xml:space="preserve"> млн. лева. По своя характер те са обществени превозни услуги от общ икономически интерес</w:t>
      </w:r>
      <w:r w:rsidR="00352F76" w:rsidRPr="00AC645F">
        <w:t xml:space="preserve"> и</w:t>
      </w:r>
      <w:r w:rsidRPr="00AC645F">
        <w:t xml:space="preserve"> имат предимно социална насоченост – масови превози до и от работните места в рамките на града и превози до малки отдалечени селища, осигуря</w:t>
      </w:r>
      <w:r w:rsidR="003F1222" w:rsidRPr="00AC645F">
        <w:t xml:space="preserve">ващи връзка с общинския център. </w:t>
      </w:r>
      <w:r w:rsidR="008625C0" w:rsidRPr="00AC645F">
        <w:t>П</w:t>
      </w:r>
      <w:r w:rsidR="006C1B63" w:rsidRPr="00AC645F">
        <w:rPr>
          <w:noProof/>
        </w:rPr>
        <w:t xml:space="preserve">рез </w:t>
      </w:r>
      <w:r w:rsidR="000B0815" w:rsidRPr="000B0815">
        <w:rPr>
          <w:noProof/>
        </w:rPr>
        <w:t xml:space="preserve">деветмесечието </w:t>
      </w:r>
      <w:r w:rsidR="006C1B63" w:rsidRPr="00AC645F">
        <w:rPr>
          <w:noProof/>
        </w:rPr>
        <w:t>на 201</w:t>
      </w:r>
      <w:r w:rsidR="006D341F" w:rsidRPr="00AC645F">
        <w:rPr>
          <w:noProof/>
        </w:rPr>
        <w:t>9</w:t>
      </w:r>
      <w:r w:rsidR="009B4DFD" w:rsidRPr="00AC645F">
        <w:rPr>
          <w:noProof/>
        </w:rPr>
        <w:t xml:space="preserve"> г.</w:t>
      </w:r>
      <w:r w:rsidR="006C1B63" w:rsidRPr="00AC645F">
        <w:rPr>
          <w:noProof/>
        </w:rPr>
        <w:t xml:space="preserve"> усвоените средства са в размер на </w:t>
      </w:r>
      <w:r w:rsidR="0078359E" w:rsidRPr="00AC645F">
        <w:rPr>
          <w:noProof/>
        </w:rPr>
        <w:t>1</w:t>
      </w:r>
      <w:r w:rsidR="00AC645F" w:rsidRPr="00AC645F">
        <w:rPr>
          <w:noProof/>
        </w:rPr>
        <w:t>9</w:t>
      </w:r>
      <w:r w:rsidR="003F1222" w:rsidRPr="00AC645F">
        <w:rPr>
          <w:noProof/>
        </w:rPr>
        <w:t>,</w:t>
      </w:r>
      <w:r w:rsidR="00AC645F" w:rsidRPr="00AC645F">
        <w:rPr>
          <w:noProof/>
        </w:rPr>
        <w:t>9</w:t>
      </w:r>
      <w:r w:rsidR="006C1B63" w:rsidRPr="00AC645F">
        <w:rPr>
          <w:noProof/>
        </w:rPr>
        <w:t xml:space="preserve"> млн. лв. или </w:t>
      </w:r>
      <w:r w:rsidR="0078359E" w:rsidRPr="00AC645F">
        <w:rPr>
          <w:noProof/>
        </w:rPr>
        <w:t>7</w:t>
      </w:r>
      <w:r w:rsidR="00AC645F" w:rsidRPr="00AC645F">
        <w:rPr>
          <w:noProof/>
        </w:rPr>
        <w:t>1</w:t>
      </w:r>
      <w:r w:rsidR="003F1222" w:rsidRPr="00AC645F">
        <w:rPr>
          <w:noProof/>
        </w:rPr>
        <w:t>,</w:t>
      </w:r>
      <w:r w:rsidR="00AC645F" w:rsidRPr="00AC645F">
        <w:rPr>
          <w:noProof/>
        </w:rPr>
        <w:t>0</w:t>
      </w:r>
      <w:r w:rsidR="006C1B63" w:rsidRPr="00AC645F">
        <w:rPr>
          <w:noProof/>
        </w:rPr>
        <w:t xml:space="preserve"> на сто от </w:t>
      </w:r>
      <w:r w:rsidR="006D341F" w:rsidRPr="00AC645F">
        <w:rPr>
          <w:noProof/>
        </w:rPr>
        <w:t>разчета за годината</w:t>
      </w:r>
      <w:r w:rsidR="006C1B63" w:rsidRPr="00AC645F">
        <w:rPr>
          <w:noProof/>
        </w:rPr>
        <w:t>.</w:t>
      </w:r>
      <w:r w:rsidRPr="00AC645F">
        <w:rPr>
          <w:noProof/>
        </w:rPr>
        <w:t xml:space="preserve"> </w:t>
      </w:r>
    </w:p>
    <w:p w:rsidR="008360FD" w:rsidRPr="00DF1C2D" w:rsidRDefault="008360FD" w:rsidP="008360FD">
      <w:pPr>
        <w:ind w:firstLine="567"/>
        <w:jc w:val="both"/>
        <w:rPr>
          <w:bCs/>
        </w:rPr>
      </w:pPr>
      <w:r w:rsidRPr="00AC645F">
        <w:rPr>
          <w:bCs/>
        </w:rPr>
        <w:t xml:space="preserve">За </w:t>
      </w:r>
      <w:r w:rsidRPr="00AC645F">
        <w:rPr>
          <w:b/>
          <w:bCs/>
        </w:rPr>
        <w:t xml:space="preserve">капиталови </w:t>
      </w:r>
      <w:r w:rsidR="000A301B" w:rsidRPr="00AC645F">
        <w:rPr>
          <w:b/>
          <w:bCs/>
        </w:rPr>
        <w:t xml:space="preserve">трансфери </w:t>
      </w:r>
      <w:r w:rsidRPr="00AC645F">
        <w:rPr>
          <w:bCs/>
        </w:rPr>
        <w:t>от централния бюджет за нефинансови предприятия със ЗДБРБ за 201</w:t>
      </w:r>
      <w:r w:rsidR="006D341F" w:rsidRPr="00AC645F">
        <w:rPr>
          <w:bCs/>
        </w:rPr>
        <w:t>9</w:t>
      </w:r>
      <w:r w:rsidRPr="00AC645F">
        <w:rPr>
          <w:bCs/>
        </w:rPr>
        <w:t xml:space="preserve"> г. са предвидени </w:t>
      </w:r>
      <w:r w:rsidR="006D341F" w:rsidRPr="00AC645F">
        <w:rPr>
          <w:b/>
          <w:bCs/>
        </w:rPr>
        <w:t>380</w:t>
      </w:r>
      <w:r w:rsidRPr="00AC645F">
        <w:rPr>
          <w:b/>
          <w:bCs/>
        </w:rPr>
        <w:t>,0 млн. лева.</w:t>
      </w:r>
      <w:r w:rsidRPr="00AC645F">
        <w:rPr>
          <w:bCs/>
        </w:rPr>
        <w:t xml:space="preserve"> Преведените и усвоени средства </w:t>
      </w:r>
      <w:r w:rsidR="005061E5" w:rsidRPr="00AC645F">
        <w:rPr>
          <w:bCs/>
        </w:rPr>
        <w:t>към 3</w:t>
      </w:r>
      <w:r w:rsidR="00862B00" w:rsidRPr="00AC645F">
        <w:rPr>
          <w:bCs/>
        </w:rPr>
        <w:t>0</w:t>
      </w:r>
      <w:r w:rsidR="005061E5" w:rsidRPr="00AC645F">
        <w:rPr>
          <w:bCs/>
        </w:rPr>
        <w:t>.0</w:t>
      </w:r>
      <w:r w:rsidR="00AC645F" w:rsidRPr="00AC645F">
        <w:rPr>
          <w:bCs/>
        </w:rPr>
        <w:t>9</w:t>
      </w:r>
      <w:r w:rsidR="005061E5" w:rsidRPr="00AC645F">
        <w:rPr>
          <w:bCs/>
        </w:rPr>
        <w:t>.201</w:t>
      </w:r>
      <w:r w:rsidR="006D341F" w:rsidRPr="00AC645F">
        <w:rPr>
          <w:bCs/>
        </w:rPr>
        <w:t>9</w:t>
      </w:r>
      <w:r w:rsidR="005061E5" w:rsidRPr="00AC645F">
        <w:rPr>
          <w:bCs/>
        </w:rPr>
        <w:t xml:space="preserve"> г.</w:t>
      </w:r>
      <w:r w:rsidRPr="00AC645F">
        <w:rPr>
          <w:bCs/>
        </w:rPr>
        <w:t xml:space="preserve"> са в размер на </w:t>
      </w:r>
      <w:r w:rsidR="00856D8A" w:rsidRPr="00AC645F">
        <w:rPr>
          <w:b/>
          <w:bCs/>
        </w:rPr>
        <w:t>9</w:t>
      </w:r>
      <w:r w:rsidR="00AC645F" w:rsidRPr="00AC645F">
        <w:rPr>
          <w:b/>
          <w:bCs/>
        </w:rPr>
        <w:t>9</w:t>
      </w:r>
      <w:r w:rsidR="00810D7B" w:rsidRPr="00AC645F">
        <w:rPr>
          <w:b/>
          <w:bCs/>
        </w:rPr>
        <w:t>,</w:t>
      </w:r>
      <w:r w:rsidR="00AC645F" w:rsidRPr="00AC645F">
        <w:rPr>
          <w:b/>
          <w:bCs/>
        </w:rPr>
        <w:t>7</w:t>
      </w:r>
      <w:r w:rsidRPr="00AC645F">
        <w:rPr>
          <w:b/>
          <w:bCs/>
        </w:rPr>
        <w:t xml:space="preserve"> млн. </w:t>
      </w:r>
      <w:r w:rsidRPr="00DF1C2D">
        <w:rPr>
          <w:b/>
          <w:bCs/>
        </w:rPr>
        <w:t>лв.</w:t>
      </w:r>
      <w:r w:rsidRPr="00DF1C2D">
        <w:rPr>
          <w:bCs/>
        </w:rPr>
        <w:t xml:space="preserve"> или </w:t>
      </w:r>
      <w:r w:rsidR="00862B00" w:rsidRPr="00DF1C2D">
        <w:rPr>
          <w:bCs/>
        </w:rPr>
        <w:t>2</w:t>
      </w:r>
      <w:r w:rsidR="00DF1C2D" w:rsidRPr="00DF1C2D">
        <w:rPr>
          <w:bCs/>
        </w:rPr>
        <w:t>6</w:t>
      </w:r>
      <w:r w:rsidR="00810D7B" w:rsidRPr="00DF1C2D">
        <w:rPr>
          <w:bCs/>
        </w:rPr>
        <w:t>,</w:t>
      </w:r>
      <w:r w:rsidR="00DF1C2D" w:rsidRPr="00DF1C2D">
        <w:rPr>
          <w:bCs/>
        </w:rPr>
        <w:t>2</w:t>
      </w:r>
      <w:r w:rsidRPr="00DF1C2D">
        <w:rPr>
          <w:bCs/>
        </w:rPr>
        <w:t xml:space="preserve"> % от годишния размер, както следва:</w:t>
      </w:r>
    </w:p>
    <w:p w:rsidR="008360FD" w:rsidRPr="00DF1C2D" w:rsidRDefault="008360FD" w:rsidP="00337CA7">
      <w:pPr>
        <w:numPr>
          <w:ilvl w:val="0"/>
          <w:numId w:val="5"/>
        </w:numPr>
        <w:tabs>
          <w:tab w:val="clear" w:pos="1440"/>
          <w:tab w:val="left" w:pos="851"/>
          <w:tab w:val="left" w:pos="1134"/>
        </w:tabs>
        <w:ind w:left="0" w:firstLine="567"/>
        <w:jc w:val="both"/>
        <w:rPr>
          <w:i/>
        </w:rPr>
      </w:pPr>
      <w:r w:rsidRPr="00DF1C2D">
        <w:rPr>
          <w:i/>
        </w:rPr>
        <w:t xml:space="preserve">капиталови трансфери за  Национална компания </w:t>
      </w:r>
      <w:r w:rsidR="00B77876" w:rsidRPr="00DF1C2D">
        <w:rPr>
          <w:i/>
        </w:rPr>
        <w:t>„</w:t>
      </w:r>
      <w:r w:rsidRPr="00DF1C2D">
        <w:rPr>
          <w:i/>
        </w:rPr>
        <w:t>Железопътна инфраструктура</w:t>
      </w:r>
      <w:r w:rsidRPr="00DF1C2D">
        <w:t xml:space="preserve">” - </w:t>
      </w:r>
      <w:r w:rsidR="003D664F" w:rsidRPr="00DF1C2D">
        <w:t>ф</w:t>
      </w:r>
      <w:r w:rsidRPr="00DF1C2D">
        <w:rPr>
          <w:noProof/>
        </w:rPr>
        <w:t>инансовото подпомагане от страна на държавата за изграждане и развитие на железопътната инфраструктура е насочено към повишаване на качеството и нивото на безопасност на транспортните услуги, ускоряване реализацията на проекти, свързани с европейските транспортни оси и коридори на територията на страната, ремонт и рехабилитация на железопътната мрежа</w:t>
      </w:r>
      <w:r w:rsidRPr="00DF1C2D">
        <w:t xml:space="preserve">. </w:t>
      </w:r>
      <w:r w:rsidRPr="00DF1C2D">
        <w:rPr>
          <w:noProof/>
        </w:rPr>
        <w:t>За 201</w:t>
      </w:r>
      <w:r w:rsidR="006D341F" w:rsidRPr="00DF1C2D">
        <w:rPr>
          <w:noProof/>
        </w:rPr>
        <w:t>9</w:t>
      </w:r>
      <w:r w:rsidRPr="00DF1C2D">
        <w:rPr>
          <w:noProof/>
        </w:rPr>
        <w:t xml:space="preserve"> г. от държавния бюджет за компанията е предвиден капиталов трансфер в размер на 1</w:t>
      </w:r>
      <w:r w:rsidR="006D341F" w:rsidRPr="00DF1C2D">
        <w:rPr>
          <w:noProof/>
        </w:rPr>
        <w:t>20</w:t>
      </w:r>
      <w:r w:rsidRPr="00DF1C2D">
        <w:rPr>
          <w:noProof/>
        </w:rPr>
        <w:t xml:space="preserve">,0 млн. лева. </w:t>
      </w:r>
      <w:r w:rsidR="00E5271E" w:rsidRPr="00DF1C2D">
        <w:rPr>
          <w:noProof/>
        </w:rPr>
        <w:t xml:space="preserve">Усвоените средства за </w:t>
      </w:r>
      <w:r w:rsidR="00DF1C2D" w:rsidRPr="00DF1C2D">
        <w:rPr>
          <w:noProof/>
        </w:rPr>
        <w:t>деветмесечието</w:t>
      </w:r>
      <w:r w:rsidR="00E5271E" w:rsidRPr="00DF1C2D">
        <w:rPr>
          <w:noProof/>
        </w:rPr>
        <w:t xml:space="preserve"> на 201</w:t>
      </w:r>
      <w:r w:rsidR="006D341F" w:rsidRPr="00DF1C2D">
        <w:rPr>
          <w:noProof/>
        </w:rPr>
        <w:t>9</w:t>
      </w:r>
      <w:r w:rsidR="00E5271E" w:rsidRPr="00DF1C2D">
        <w:rPr>
          <w:noProof/>
        </w:rPr>
        <w:t xml:space="preserve"> г. са в размер на </w:t>
      </w:r>
      <w:r w:rsidR="005416BB" w:rsidRPr="00DF1C2D">
        <w:rPr>
          <w:noProof/>
        </w:rPr>
        <w:t>63</w:t>
      </w:r>
      <w:r w:rsidR="00F939B6" w:rsidRPr="00DF1C2D">
        <w:rPr>
          <w:noProof/>
        </w:rPr>
        <w:t>,</w:t>
      </w:r>
      <w:r w:rsidR="006D341F" w:rsidRPr="00DF1C2D">
        <w:rPr>
          <w:noProof/>
        </w:rPr>
        <w:t>0</w:t>
      </w:r>
      <w:r w:rsidR="00E5271E" w:rsidRPr="00DF1C2D">
        <w:rPr>
          <w:noProof/>
        </w:rPr>
        <w:t xml:space="preserve"> млн. лв. или </w:t>
      </w:r>
      <w:r w:rsidR="005416BB" w:rsidRPr="00DF1C2D">
        <w:rPr>
          <w:noProof/>
        </w:rPr>
        <w:t>52</w:t>
      </w:r>
      <w:r w:rsidR="00F939B6" w:rsidRPr="00DF1C2D">
        <w:rPr>
          <w:noProof/>
        </w:rPr>
        <w:t>,</w:t>
      </w:r>
      <w:r w:rsidR="005416BB" w:rsidRPr="00DF1C2D">
        <w:rPr>
          <w:noProof/>
        </w:rPr>
        <w:t>5</w:t>
      </w:r>
      <w:r w:rsidR="00E5271E" w:rsidRPr="00DF1C2D">
        <w:rPr>
          <w:noProof/>
        </w:rPr>
        <w:t xml:space="preserve"> на сто от годишн</w:t>
      </w:r>
      <w:r w:rsidR="006D341F" w:rsidRPr="00DF1C2D">
        <w:rPr>
          <w:noProof/>
        </w:rPr>
        <w:t>ия</w:t>
      </w:r>
      <w:r w:rsidR="00E5271E" w:rsidRPr="00DF1C2D">
        <w:rPr>
          <w:noProof/>
        </w:rPr>
        <w:t xml:space="preserve"> </w:t>
      </w:r>
      <w:r w:rsidR="006D341F" w:rsidRPr="00DF1C2D">
        <w:rPr>
          <w:noProof/>
        </w:rPr>
        <w:t>разчет</w:t>
      </w:r>
      <w:r w:rsidR="00E5271E" w:rsidRPr="00DF1C2D">
        <w:rPr>
          <w:noProof/>
        </w:rPr>
        <w:t>.</w:t>
      </w:r>
      <w:r w:rsidR="00222228" w:rsidRPr="00DF1C2D">
        <w:rPr>
          <w:noProof/>
        </w:rPr>
        <w:t xml:space="preserve"> Изпълняват се проекти за ремонт и придобиване на дълготрайни материални активи</w:t>
      </w:r>
      <w:r w:rsidR="00EF5667" w:rsidRPr="00DF1C2D">
        <w:rPr>
          <w:noProof/>
        </w:rPr>
        <w:t>,</w:t>
      </w:r>
      <w:r w:rsidR="00222228" w:rsidRPr="00DF1C2D">
        <w:rPr>
          <w:noProof/>
        </w:rPr>
        <w:t xml:space="preserve"> за възстановяване и подобряване на експлоатационното състояние на железния път и съор</w:t>
      </w:r>
      <w:r w:rsidR="001A5350" w:rsidRPr="00DF1C2D">
        <w:rPr>
          <w:noProof/>
        </w:rPr>
        <w:t>ъ</w:t>
      </w:r>
      <w:r w:rsidR="00222228" w:rsidRPr="00DF1C2D">
        <w:rPr>
          <w:noProof/>
        </w:rPr>
        <w:t>женията, както и ремонт и преустройство на възлови жп гари в съответствие с европейските изисквания</w:t>
      </w:r>
      <w:r w:rsidRPr="00DF1C2D">
        <w:rPr>
          <w:noProof/>
        </w:rPr>
        <w:t>;</w:t>
      </w:r>
    </w:p>
    <w:p w:rsidR="008360FD" w:rsidRPr="00DF1C2D" w:rsidRDefault="008360FD" w:rsidP="00337CA7">
      <w:pPr>
        <w:numPr>
          <w:ilvl w:val="0"/>
          <w:numId w:val="5"/>
        </w:numPr>
        <w:tabs>
          <w:tab w:val="clear" w:pos="1440"/>
          <w:tab w:val="num" w:pos="360"/>
          <w:tab w:val="left" w:pos="851"/>
        </w:tabs>
        <w:ind w:left="0" w:firstLine="567"/>
        <w:jc w:val="both"/>
        <w:rPr>
          <w:i/>
        </w:rPr>
      </w:pPr>
      <w:r w:rsidRPr="00DF1C2D">
        <w:rPr>
          <w:i/>
        </w:rPr>
        <w:t xml:space="preserve">капиталови трансфери за „БДЖ – Пътнически превози” - ЕООД – </w:t>
      </w:r>
      <w:r w:rsidR="003D664F" w:rsidRPr="00DF1C2D">
        <w:t>п</w:t>
      </w:r>
      <w:r w:rsidRPr="00DF1C2D">
        <w:t>редвидените средства със ЗДБРБ за 201</w:t>
      </w:r>
      <w:r w:rsidR="006D341F" w:rsidRPr="00DF1C2D">
        <w:t>9</w:t>
      </w:r>
      <w:r w:rsidRPr="00DF1C2D">
        <w:t> г. са в размер на 3</w:t>
      </w:r>
      <w:r w:rsidR="006D341F" w:rsidRPr="00DF1C2D">
        <w:t>9</w:t>
      </w:r>
      <w:r w:rsidRPr="00DF1C2D">
        <w:t>,0 млн. л</w:t>
      </w:r>
      <w:r w:rsidR="00EF5667" w:rsidRPr="00DF1C2D">
        <w:t>е</w:t>
      </w:r>
      <w:r w:rsidRPr="00DF1C2D">
        <w:t>в</w:t>
      </w:r>
      <w:r w:rsidR="00EF5667" w:rsidRPr="00DF1C2D">
        <w:t>а</w:t>
      </w:r>
      <w:r w:rsidRPr="00DF1C2D">
        <w:t xml:space="preserve">. </w:t>
      </w:r>
      <w:r w:rsidR="006D341F" w:rsidRPr="00DF1C2D">
        <w:rPr>
          <w:noProof/>
        </w:rPr>
        <w:t xml:space="preserve">Усвоените средства за </w:t>
      </w:r>
      <w:r w:rsidR="007A78EA" w:rsidRPr="007A78EA">
        <w:rPr>
          <w:noProof/>
        </w:rPr>
        <w:t>деветмесечието</w:t>
      </w:r>
      <w:r w:rsidR="006D341F" w:rsidRPr="00DF1C2D">
        <w:rPr>
          <w:noProof/>
        </w:rPr>
        <w:t xml:space="preserve"> на 2019 г. са в размер на 23,5 млн. лв. или 60,3 на сто от утвърдения годишен план.</w:t>
      </w:r>
      <w:r w:rsidR="006D341F" w:rsidRPr="00DF1C2D">
        <w:t xml:space="preserve"> Средствата са предназначени за планов заводски (среден и капитален) ремонт на пътнически вагони</w:t>
      </w:r>
      <w:r w:rsidRPr="00DF1C2D">
        <w:t>;</w:t>
      </w:r>
    </w:p>
    <w:p w:rsidR="008360FD" w:rsidRPr="00DF1C2D" w:rsidRDefault="008360FD" w:rsidP="00337CA7">
      <w:pPr>
        <w:numPr>
          <w:ilvl w:val="1"/>
          <w:numId w:val="15"/>
        </w:numPr>
        <w:tabs>
          <w:tab w:val="clear" w:pos="1440"/>
          <w:tab w:val="num" w:pos="360"/>
          <w:tab w:val="left" w:pos="851"/>
        </w:tabs>
        <w:ind w:left="0" w:firstLine="567"/>
        <w:jc w:val="both"/>
      </w:pPr>
      <w:r w:rsidRPr="00DF1C2D">
        <w:rPr>
          <w:i/>
        </w:rPr>
        <w:t>капиталови трансфери за ДП „Пристанищна инфраструктура”</w:t>
      </w:r>
      <w:r w:rsidRPr="00DF1C2D">
        <w:rPr>
          <w:b/>
          <w:i/>
        </w:rPr>
        <w:t xml:space="preserve"> </w:t>
      </w:r>
      <w:r w:rsidRPr="00DF1C2D">
        <w:t xml:space="preserve">- </w:t>
      </w:r>
      <w:r w:rsidR="003D664F" w:rsidRPr="00DF1C2D">
        <w:t>и</w:t>
      </w:r>
      <w:r w:rsidRPr="00DF1C2D">
        <w:t>нвестиционната програма на дружеството, която включва изграждане и капиталов ремонт на пристанищна инфраструктура на пристанищата за обществен транспорт с национално значение, се изпълнява с участието на капиталов</w:t>
      </w:r>
      <w:r w:rsidR="00CC51BE" w:rsidRPr="00DF1C2D">
        <w:t>и</w:t>
      </w:r>
      <w:r w:rsidRPr="00DF1C2D">
        <w:t xml:space="preserve"> трансфер</w:t>
      </w:r>
      <w:r w:rsidR="00CC51BE" w:rsidRPr="00DF1C2D">
        <w:t>и</w:t>
      </w:r>
      <w:r w:rsidRPr="00DF1C2D">
        <w:t xml:space="preserve"> от </w:t>
      </w:r>
      <w:r w:rsidR="00CC51BE" w:rsidRPr="00DF1C2D">
        <w:t>държавния бюджет</w:t>
      </w:r>
      <w:r w:rsidR="00CC51BE" w:rsidRPr="00DF1C2D">
        <w:rPr>
          <w:noProof/>
        </w:rPr>
        <w:t xml:space="preserve">. </w:t>
      </w:r>
      <w:r w:rsidR="00D466A8" w:rsidRPr="00DF1C2D">
        <w:rPr>
          <w:noProof/>
        </w:rPr>
        <w:t xml:space="preserve">Предвидените със </w:t>
      </w:r>
      <w:r w:rsidR="00CC51BE" w:rsidRPr="00DF1C2D">
        <w:rPr>
          <w:noProof/>
        </w:rPr>
        <w:t xml:space="preserve">ЗДБРБ </w:t>
      </w:r>
      <w:r w:rsidR="00D466A8" w:rsidRPr="00DF1C2D">
        <w:rPr>
          <w:noProof/>
        </w:rPr>
        <w:t>за  201</w:t>
      </w:r>
      <w:r w:rsidR="006D341F" w:rsidRPr="00DF1C2D">
        <w:rPr>
          <w:noProof/>
        </w:rPr>
        <w:t>9</w:t>
      </w:r>
      <w:r w:rsidR="00D466A8" w:rsidRPr="00DF1C2D">
        <w:rPr>
          <w:noProof/>
        </w:rPr>
        <w:t xml:space="preserve"> г. средства са в размер на </w:t>
      </w:r>
      <w:r w:rsidR="006D341F" w:rsidRPr="00DF1C2D">
        <w:rPr>
          <w:noProof/>
        </w:rPr>
        <w:t>2</w:t>
      </w:r>
      <w:r w:rsidR="00D466A8" w:rsidRPr="00DF1C2D">
        <w:rPr>
          <w:noProof/>
        </w:rPr>
        <w:t>11</w:t>
      </w:r>
      <w:r w:rsidR="000411D9" w:rsidRPr="00DF1C2D">
        <w:rPr>
          <w:noProof/>
        </w:rPr>
        <w:t>,0</w:t>
      </w:r>
      <w:r w:rsidR="00D466A8" w:rsidRPr="00DF1C2D">
        <w:rPr>
          <w:noProof/>
        </w:rPr>
        <w:t xml:space="preserve"> млн. лева. </w:t>
      </w:r>
      <w:r w:rsidR="006D341F" w:rsidRPr="00DF1C2D">
        <w:rPr>
          <w:noProof/>
        </w:rPr>
        <w:t xml:space="preserve">За </w:t>
      </w:r>
      <w:r w:rsidR="000827A4" w:rsidRPr="000827A4">
        <w:rPr>
          <w:noProof/>
        </w:rPr>
        <w:t xml:space="preserve">деветмесечието </w:t>
      </w:r>
      <w:r w:rsidR="006D341F" w:rsidRPr="00DF1C2D">
        <w:rPr>
          <w:noProof/>
        </w:rPr>
        <w:t xml:space="preserve">на 2019 г. </w:t>
      </w:r>
      <w:r w:rsidR="006D341F" w:rsidRPr="00DF1C2D">
        <w:rPr>
          <w:noProof/>
        </w:rPr>
        <w:lastRenderedPageBreak/>
        <w:t xml:space="preserve">са усвоени средства в размер на </w:t>
      </w:r>
      <w:r w:rsidR="00DF1C2D" w:rsidRPr="00DF1C2D">
        <w:rPr>
          <w:noProof/>
        </w:rPr>
        <w:t>11</w:t>
      </w:r>
      <w:r w:rsidR="006D341F" w:rsidRPr="00DF1C2D">
        <w:rPr>
          <w:noProof/>
        </w:rPr>
        <w:t>,</w:t>
      </w:r>
      <w:r w:rsidR="00DF1C2D" w:rsidRPr="00DF1C2D">
        <w:rPr>
          <w:noProof/>
        </w:rPr>
        <w:t>9</w:t>
      </w:r>
      <w:r w:rsidR="006D341F" w:rsidRPr="00DF1C2D">
        <w:rPr>
          <w:noProof/>
        </w:rPr>
        <w:t xml:space="preserve"> млн. лв. или </w:t>
      </w:r>
      <w:r w:rsidR="00DF1C2D" w:rsidRPr="00DF1C2D">
        <w:rPr>
          <w:noProof/>
        </w:rPr>
        <w:t>5</w:t>
      </w:r>
      <w:r w:rsidR="006D341F" w:rsidRPr="00DF1C2D">
        <w:rPr>
          <w:noProof/>
        </w:rPr>
        <w:t>,</w:t>
      </w:r>
      <w:r w:rsidR="00DF1C2D" w:rsidRPr="00DF1C2D">
        <w:rPr>
          <w:noProof/>
        </w:rPr>
        <w:t>7</w:t>
      </w:r>
      <w:r w:rsidR="006D341F" w:rsidRPr="00DF1C2D">
        <w:rPr>
          <w:noProof/>
        </w:rPr>
        <w:t xml:space="preserve"> на сто от годишн</w:t>
      </w:r>
      <w:r w:rsidR="00790251" w:rsidRPr="00DF1C2D">
        <w:rPr>
          <w:noProof/>
        </w:rPr>
        <w:t>ия</w:t>
      </w:r>
      <w:r w:rsidR="006D341F" w:rsidRPr="00DF1C2D">
        <w:rPr>
          <w:noProof/>
        </w:rPr>
        <w:t xml:space="preserve"> план</w:t>
      </w:r>
      <w:r w:rsidRPr="00DF1C2D">
        <w:t>;</w:t>
      </w:r>
    </w:p>
    <w:p w:rsidR="008360FD" w:rsidRPr="00DF1C2D" w:rsidRDefault="008360FD" w:rsidP="00337CA7">
      <w:pPr>
        <w:numPr>
          <w:ilvl w:val="0"/>
          <w:numId w:val="16"/>
        </w:numPr>
        <w:tabs>
          <w:tab w:val="clear" w:pos="2157"/>
          <w:tab w:val="left" w:pos="360"/>
          <w:tab w:val="left" w:pos="851"/>
        </w:tabs>
        <w:ind w:left="0" w:firstLine="567"/>
        <w:jc w:val="both"/>
      </w:pPr>
      <w:r w:rsidRPr="00DF1C2D">
        <w:t>През 201</w:t>
      </w:r>
      <w:r w:rsidR="00B721C7" w:rsidRPr="00DF1C2D">
        <w:t>9</w:t>
      </w:r>
      <w:r w:rsidRPr="00DF1C2D">
        <w:t xml:space="preserve"> г. продължава изпълнението на Програмите </w:t>
      </w:r>
      <w:r w:rsidR="00601E59" w:rsidRPr="00DF1C2D">
        <w:t xml:space="preserve">за отстраняване на нанесени щети </w:t>
      </w:r>
      <w:r w:rsidR="00601E59" w:rsidRPr="00DF1C2D">
        <w:rPr>
          <w:noProof/>
        </w:rPr>
        <w:t>върху околната среда</w:t>
      </w:r>
      <w:r w:rsidR="00601E59" w:rsidRPr="00DF1C2D">
        <w:t>, настъпили от минали действия или бездействия, при приватизация</w:t>
      </w:r>
      <w:r w:rsidRPr="00DF1C2D">
        <w:t>. В ЗДБРБ за 201</w:t>
      </w:r>
      <w:r w:rsidR="00B721C7" w:rsidRPr="00DF1C2D">
        <w:t>9</w:t>
      </w:r>
      <w:r w:rsidRPr="00DF1C2D">
        <w:t xml:space="preserve"> г. за тези програми са предвидени </w:t>
      </w:r>
      <w:r w:rsidR="00B721C7" w:rsidRPr="00DF1C2D">
        <w:t>10</w:t>
      </w:r>
      <w:r w:rsidRPr="00DF1C2D">
        <w:t>,0 млн. л</w:t>
      </w:r>
      <w:r w:rsidR="000411D9" w:rsidRPr="00DF1C2D">
        <w:t>е</w:t>
      </w:r>
      <w:r w:rsidRPr="00DF1C2D">
        <w:t>в</w:t>
      </w:r>
      <w:r w:rsidR="000411D9" w:rsidRPr="00DF1C2D">
        <w:t xml:space="preserve">а. </w:t>
      </w:r>
      <w:r w:rsidR="00B721C7" w:rsidRPr="00DF1C2D">
        <w:rPr>
          <w:noProof/>
        </w:rPr>
        <w:t xml:space="preserve">За </w:t>
      </w:r>
      <w:r w:rsidR="000D3407" w:rsidRPr="000D3407">
        <w:rPr>
          <w:noProof/>
        </w:rPr>
        <w:t>деветмесечието</w:t>
      </w:r>
      <w:r w:rsidR="00DF1C2D" w:rsidRPr="00DF1C2D">
        <w:rPr>
          <w:noProof/>
        </w:rPr>
        <w:t xml:space="preserve"> </w:t>
      </w:r>
      <w:r w:rsidR="00B721C7" w:rsidRPr="00DF1C2D">
        <w:rPr>
          <w:noProof/>
        </w:rPr>
        <w:t xml:space="preserve">на 2019 г. са усвоени </w:t>
      </w:r>
      <w:r w:rsidR="00DF1C2D" w:rsidRPr="00DF1C2D">
        <w:rPr>
          <w:noProof/>
        </w:rPr>
        <w:t>1</w:t>
      </w:r>
      <w:r w:rsidR="00B721C7" w:rsidRPr="00DF1C2D">
        <w:rPr>
          <w:noProof/>
        </w:rPr>
        <w:t>,</w:t>
      </w:r>
      <w:r w:rsidR="00DF1C2D" w:rsidRPr="00DF1C2D">
        <w:rPr>
          <w:noProof/>
        </w:rPr>
        <w:t>2</w:t>
      </w:r>
      <w:r w:rsidR="00B721C7" w:rsidRPr="00DF1C2D">
        <w:rPr>
          <w:noProof/>
        </w:rPr>
        <w:t xml:space="preserve"> млн. лв. или </w:t>
      </w:r>
      <w:r w:rsidR="00DF1C2D" w:rsidRPr="00DF1C2D">
        <w:rPr>
          <w:noProof/>
        </w:rPr>
        <w:t>12</w:t>
      </w:r>
      <w:r w:rsidR="00B721C7" w:rsidRPr="00DF1C2D">
        <w:rPr>
          <w:noProof/>
        </w:rPr>
        <w:t>,</w:t>
      </w:r>
      <w:r w:rsidR="00DF1C2D" w:rsidRPr="00DF1C2D">
        <w:rPr>
          <w:noProof/>
        </w:rPr>
        <w:t>5</w:t>
      </w:r>
      <w:r w:rsidR="00B721C7" w:rsidRPr="00DF1C2D">
        <w:rPr>
          <w:noProof/>
        </w:rPr>
        <w:t xml:space="preserve"> на сто от годишния план</w:t>
      </w:r>
      <w:r w:rsidR="000411D9" w:rsidRPr="00DF1C2D">
        <w:rPr>
          <w:noProof/>
        </w:rPr>
        <w:t>.</w:t>
      </w:r>
      <w:r w:rsidRPr="00DF1C2D">
        <w:t xml:space="preserve">  </w:t>
      </w:r>
    </w:p>
    <w:p w:rsidR="008360FD" w:rsidRPr="00DF1C2D" w:rsidRDefault="008360FD" w:rsidP="008360FD">
      <w:pPr>
        <w:jc w:val="both"/>
        <w:rPr>
          <w:sz w:val="8"/>
          <w:szCs w:val="8"/>
        </w:rPr>
      </w:pPr>
    </w:p>
    <w:p w:rsidR="008360FD" w:rsidRPr="00DF1C2D" w:rsidRDefault="008360FD" w:rsidP="008360FD">
      <w:pPr>
        <w:jc w:val="both"/>
        <w:rPr>
          <w:sz w:val="8"/>
          <w:szCs w:val="8"/>
          <w:highlight w:val="yellow"/>
        </w:rPr>
      </w:pPr>
    </w:p>
    <w:p w:rsidR="008360FD" w:rsidRPr="00DF1C2D" w:rsidRDefault="008360FD" w:rsidP="008360FD">
      <w:pPr>
        <w:ind w:firstLine="567"/>
        <w:jc w:val="both"/>
      </w:pPr>
      <w:r w:rsidRPr="00DF1C2D">
        <w:rPr>
          <w:b/>
          <w:bCs/>
        </w:rPr>
        <w:t>Други разходи по централния бюджет</w:t>
      </w:r>
      <w:r w:rsidRPr="00DF1C2D">
        <w:t xml:space="preserve"> предназначени за: </w:t>
      </w:r>
    </w:p>
    <w:p w:rsidR="008360FD" w:rsidRPr="00B93FD2" w:rsidRDefault="008360FD" w:rsidP="008360FD">
      <w:pPr>
        <w:jc w:val="both"/>
        <w:rPr>
          <w:color w:val="4F81BD" w:themeColor="accent1"/>
          <w:sz w:val="8"/>
          <w:szCs w:val="8"/>
        </w:rPr>
      </w:pPr>
    </w:p>
    <w:p w:rsidR="00E7455D" w:rsidRPr="00DF1C2D" w:rsidRDefault="008360FD" w:rsidP="00E7455D">
      <w:pPr>
        <w:numPr>
          <w:ilvl w:val="0"/>
          <w:numId w:val="5"/>
        </w:numPr>
        <w:tabs>
          <w:tab w:val="clear" w:pos="1440"/>
          <w:tab w:val="num" w:pos="360"/>
          <w:tab w:val="left" w:pos="851"/>
        </w:tabs>
        <w:ind w:left="0" w:firstLine="567"/>
        <w:jc w:val="both"/>
        <w:rPr>
          <w:sz w:val="8"/>
          <w:szCs w:val="8"/>
        </w:rPr>
      </w:pPr>
      <w:r w:rsidRPr="00DF1C2D">
        <w:rPr>
          <w:i/>
        </w:rPr>
        <w:t>Компенсиране на стойността на</w:t>
      </w:r>
      <w:r w:rsidR="007607CE" w:rsidRPr="00DF1C2D">
        <w:rPr>
          <w:i/>
        </w:rPr>
        <w:t xml:space="preserve"> </w:t>
      </w:r>
      <w:r w:rsidR="007607CE" w:rsidRPr="00DF1C2D">
        <w:rPr>
          <w:bCs/>
          <w:i/>
        </w:rPr>
        <w:t>намалените приходи от прилагането на цени за пътуване, предвидени в нормативни актове за определени категории пътници</w:t>
      </w:r>
      <w:r w:rsidRPr="00DF1C2D">
        <w:rPr>
          <w:i/>
        </w:rPr>
        <w:t xml:space="preserve"> по железопътния и автомобилния транспорт</w:t>
      </w:r>
      <w:r w:rsidR="00F011DB" w:rsidRPr="00DF1C2D">
        <w:rPr>
          <w:i/>
        </w:rPr>
        <w:t>,</w:t>
      </w:r>
      <w:r w:rsidRPr="00DF1C2D">
        <w:rPr>
          <w:i/>
        </w:rPr>
        <w:t xml:space="preserve"> със средства от държавния бюджет</w:t>
      </w:r>
      <w:r w:rsidRPr="00DF1C2D">
        <w:t xml:space="preserve"> - </w:t>
      </w:r>
      <w:r w:rsidR="00FF7965" w:rsidRPr="00DF1C2D">
        <w:t xml:space="preserve">предвидените средства са общо в размер на </w:t>
      </w:r>
      <w:r w:rsidR="00AB44CD" w:rsidRPr="00DF1C2D">
        <w:t>10</w:t>
      </w:r>
      <w:r w:rsidR="00B721C7" w:rsidRPr="00DF1C2D">
        <w:t>9</w:t>
      </w:r>
      <w:r w:rsidR="00AB44CD" w:rsidRPr="00DF1C2D">
        <w:t>,</w:t>
      </w:r>
      <w:r w:rsidR="00B721C7" w:rsidRPr="00DF1C2D">
        <w:t>5</w:t>
      </w:r>
      <w:r w:rsidR="00FF7965" w:rsidRPr="00DF1C2D">
        <w:t xml:space="preserve"> млн. лв., от които </w:t>
      </w:r>
      <w:r w:rsidR="00140F18" w:rsidRPr="00DF1C2D">
        <w:t>40</w:t>
      </w:r>
      <w:r w:rsidR="00FF7965" w:rsidRPr="00DF1C2D">
        <w:rPr>
          <w:lang w:val="en-US"/>
        </w:rPr>
        <w:t>,</w:t>
      </w:r>
      <w:r w:rsidR="00140F18" w:rsidRPr="00DF1C2D">
        <w:t>0</w:t>
      </w:r>
      <w:r w:rsidR="00FF7965" w:rsidRPr="00DF1C2D">
        <w:rPr>
          <w:lang w:val="en-US"/>
        </w:rPr>
        <w:t xml:space="preserve"> </w:t>
      </w:r>
      <w:r w:rsidR="00FF7965" w:rsidRPr="00DF1C2D">
        <w:t xml:space="preserve">млн. лв. </w:t>
      </w:r>
      <w:r w:rsidR="00FF7965" w:rsidRPr="00DF1C2D">
        <w:rPr>
          <w:noProof/>
        </w:rPr>
        <w:t xml:space="preserve">за пътувания с вътрешноградския транспорт и междуселищния автомобилен транспорт, </w:t>
      </w:r>
      <w:r w:rsidR="00FE44CB" w:rsidRPr="00DF1C2D">
        <w:rPr>
          <w:noProof/>
        </w:rPr>
        <w:t>40</w:t>
      </w:r>
      <w:r w:rsidR="0010026D" w:rsidRPr="00DF1C2D">
        <w:rPr>
          <w:noProof/>
        </w:rPr>
        <w:t>,0</w:t>
      </w:r>
      <w:r w:rsidR="00FF7965" w:rsidRPr="00DF1C2D">
        <w:rPr>
          <w:noProof/>
        </w:rPr>
        <w:t xml:space="preserve"> млн. лв. за транспорт на деца и ученици по чл. 283, ал. 2 от Закона за предучилищното и училищното образование, 16,5 млн. лв. за превоз на служители, ползващи право на безплатно пътуване при изпълнение на служебните си задължения и 1</w:t>
      </w:r>
      <w:r w:rsidR="00B721C7" w:rsidRPr="00DF1C2D">
        <w:rPr>
          <w:noProof/>
        </w:rPr>
        <w:t>3</w:t>
      </w:r>
      <w:r w:rsidR="00FF7965" w:rsidRPr="00DF1C2D">
        <w:rPr>
          <w:noProof/>
        </w:rPr>
        <w:t>,0 млн. лв. за пътувания с железопътния транспорт.</w:t>
      </w:r>
      <w:r w:rsidR="007B7497" w:rsidRPr="00B93FD2">
        <w:rPr>
          <w:color w:val="4F81BD" w:themeColor="accent1"/>
        </w:rPr>
        <w:t xml:space="preserve"> </w:t>
      </w:r>
      <w:r w:rsidR="00FF7965" w:rsidRPr="00DF1C2D">
        <w:rPr>
          <w:noProof/>
        </w:rPr>
        <w:t xml:space="preserve">Усвоените средства за </w:t>
      </w:r>
      <w:r w:rsidR="00D42487" w:rsidRPr="00D42487">
        <w:t xml:space="preserve">деветмесечието </w:t>
      </w:r>
      <w:r w:rsidR="00140F18" w:rsidRPr="00DF1C2D">
        <w:t xml:space="preserve">на </w:t>
      </w:r>
      <w:r w:rsidR="00FF7965" w:rsidRPr="00DF1C2D">
        <w:rPr>
          <w:noProof/>
        </w:rPr>
        <w:t>201</w:t>
      </w:r>
      <w:r w:rsidR="00140F18" w:rsidRPr="00DF1C2D">
        <w:rPr>
          <w:noProof/>
        </w:rPr>
        <w:t>9</w:t>
      </w:r>
      <w:r w:rsidR="00FF7965" w:rsidRPr="00DF1C2D">
        <w:rPr>
          <w:noProof/>
        </w:rPr>
        <w:t xml:space="preserve"> г. са общо в размер на </w:t>
      </w:r>
      <w:r w:rsidR="00DF1C2D" w:rsidRPr="00DF1C2D">
        <w:rPr>
          <w:noProof/>
        </w:rPr>
        <w:t>70</w:t>
      </w:r>
      <w:r w:rsidR="007B7497" w:rsidRPr="00DF1C2D">
        <w:rPr>
          <w:noProof/>
        </w:rPr>
        <w:t>,</w:t>
      </w:r>
      <w:r w:rsidR="00DF1C2D" w:rsidRPr="00DF1C2D">
        <w:rPr>
          <w:noProof/>
        </w:rPr>
        <w:t>8</w:t>
      </w:r>
      <w:r w:rsidR="00FD3816" w:rsidRPr="00DF1C2D">
        <w:rPr>
          <w:noProof/>
        </w:rPr>
        <w:t xml:space="preserve"> млн. лв.</w:t>
      </w:r>
      <w:r w:rsidR="00FF7965" w:rsidRPr="00DF1C2D">
        <w:rPr>
          <w:noProof/>
        </w:rPr>
        <w:t xml:space="preserve"> или </w:t>
      </w:r>
      <w:r w:rsidR="00DF1C2D" w:rsidRPr="00DF1C2D">
        <w:rPr>
          <w:noProof/>
        </w:rPr>
        <w:t>64</w:t>
      </w:r>
      <w:r w:rsidR="007B7497" w:rsidRPr="00DF1C2D">
        <w:rPr>
          <w:noProof/>
        </w:rPr>
        <w:t>,</w:t>
      </w:r>
      <w:r w:rsidR="00DF1C2D" w:rsidRPr="00DF1C2D">
        <w:rPr>
          <w:noProof/>
        </w:rPr>
        <w:t>7</w:t>
      </w:r>
      <w:r w:rsidR="00FF7965" w:rsidRPr="00DF1C2D">
        <w:rPr>
          <w:noProof/>
        </w:rPr>
        <w:t xml:space="preserve"> на сто от годишн</w:t>
      </w:r>
      <w:r w:rsidR="00140F18" w:rsidRPr="00DF1C2D">
        <w:rPr>
          <w:noProof/>
        </w:rPr>
        <w:t>ия</w:t>
      </w:r>
      <w:r w:rsidR="00FF7965" w:rsidRPr="00DF1C2D">
        <w:rPr>
          <w:noProof/>
        </w:rPr>
        <w:t xml:space="preserve"> </w:t>
      </w:r>
      <w:r w:rsidR="00140F18" w:rsidRPr="00DF1C2D">
        <w:rPr>
          <w:noProof/>
        </w:rPr>
        <w:t>разчет</w:t>
      </w:r>
      <w:r w:rsidR="00FF7965" w:rsidRPr="00DF1C2D">
        <w:rPr>
          <w:noProof/>
        </w:rPr>
        <w:t>.</w:t>
      </w:r>
      <w:r w:rsidR="00E7455D" w:rsidRPr="00DF1C2D">
        <w:t xml:space="preserve"> </w:t>
      </w:r>
    </w:p>
    <w:p w:rsidR="00E7455D" w:rsidRPr="00DF1C2D" w:rsidRDefault="00E7455D" w:rsidP="00E7455D">
      <w:pPr>
        <w:tabs>
          <w:tab w:val="left" w:pos="851"/>
        </w:tabs>
        <w:ind w:firstLine="567"/>
        <w:jc w:val="both"/>
      </w:pPr>
      <w:r w:rsidRPr="00DF1C2D">
        <w:t xml:space="preserve">Усвоените средства </w:t>
      </w:r>
      <w:r w:rsidR="00410E96" w:rsidRPr="00DF1C2D">
        <w:t>към 3</w:t>
      </w:r>
      <w:r w:rsidR="00822EDB" w:rsidRPr="00DF1C2D">
        <w:t>0</w:t>
      </w:r>
      <w:r w:rsidR="00410E96" w:rsidRPr="00DF1C2D">
        <w:t>.0</w:t>
      </w:r>
      <w:r w:rsidR="00DF1C2D" w:rsidRPr="00DF1C2D">
        <w:t>9</w:t>
      </w:r>
      <w:r w:rsidR="00410E96" w:rsidRPr="00DF1C2D">
        <w:t>.201</w:t>
      </w:r>
      <w:r w:rsidR="00140F18" w:rsidRPr="00DF1C2D">
        <w:t>9</w:t>
      </w:r>
      <w:r w:rsidR="00410E96" w:rsidRPr="00DF1C2D">
        <w:t xml:space="preserve"> </w:t>
      </w:r>
      <w:r w:rsidRPr="00DF1C2D">
        <w:t xml:space="preserve">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DF1C2D">
        <w:rPr>
          <w:noProof/>
        </w:rPr>
        <w:t xml:space="preserve">вътрешноградски транспорт и междуселищен </w:t>
      </w:r>
      <w:r w:rsidRPr="00DF1C2D">
        <w:t xml:space="preserve">автомобилен транспорт или железопътен транспорт, съгласно ПМС № </w:t>
      </w:r>
      <w:r w:rsidR="00140F18" w:rsidRPr="00DF1C2D">
        <w:t>344</w:t>
      </w:r>
      <w:r w:rsidRPr="00DF1C2D">
        <w:t>/201</w:t>
      </w:r>
      <w:r w:rsidR="00140F18" w:rsidRPr="00DF1C2D">
        <w:t>8</w:t>
      </w:r>
      <w:r w:rsidRPr="00DF1C2D">
        <w:t xml:space="preserve"> г. за изпълнението на държавния бюджет на Република България за 201</w:t>
      </w:r>
      <w:r w:rsidR="00140F18" w:rsidRPr="00DF1C2D">
        <w:t>9</w:t>
      </w:r>
      <w:r w:rsidRPr="00DF1C2D">
        <w:t xml:space="preserve"> г., са както следва:</w:t>
      </w:r>
    </w:p>
    <w:p w:rsidR="00E7455D" w:rsidRPr="00A463B8" w:rsidRDefault="00E7455D" w:rsidP="00E7455D">
      <w:pPr>
        <w:ind w:firstLine="567"/>
        <w:jc w:val="both"/>
      </w:pPr>
      <w:r w:rsidRPr="00A463B8">
        <w:t xml:space="preserve">- компенсации за </w:t>
      </w:r>
      <w:r w:rsidR="009E6012" w:rsidRPr="00A463B8">
        <w:t xml:space="preserve">пътувания с </w:t>
      </w:r>
      <w:r w:rsidRPr="00A463B8">
        <w:t xml:space="preserve">железопътния транспорт в размер на </w:t>
      </w:r>
      <w:r w:rsidR="00A463B8" w:rsidRPr="00A463B8">
        <w:t>6</w:t>
      </w:r>
      <w:r w:rsidRPr="00A463B8">
        <w:t>,</w:t>
      </w:r>
      <w:r w:rsidR="00A463B8" w:rsidRPr="00A463B8">
        <w:t>5</w:t>
      </w:r>
      <w:r w:rsidRPr="00A463B8">
        <w:t xml:space="preserve"> млн. лв.,  </w:t>
      </w:r>
      <w:r w:rsidR="00085704" w:rsidRPr="00A463B8">
        <w:t xml:space="preserve">което е </w:t>
      </w:r>
      <w:r w:rsidR="00A463B8" w:rsidRPr="00A463B8">
        <w:t>50</w:t>
      </w:r>
      <w:r w:rsidRPr="00A463B8">
        <w:t>,</w:t>
      </w:r>
      <w:r w:rsidR="00A463B8" w:rsidRPr="00A463B8">
        <w:t>1</w:t>
      </w:r>
      <w:r w:rsidRPr="00A463B8">
        <w:t xml:space="preserve"> на сто от утвърдения годишен план; </w:t>
      </w:r>
    </w:p>
    <w:p w:rsidR="00E7455D" w:rsidRPr="00B93FD2" w:rsidRDefault="00E7455D" w:rsidP="00E7455D">
      <w:pPr>
        <w:tabs>
          <w:tab w:val="left" w:pos="540"/>
          <w:tab w:val="left" w:pos="709"/>
        </w:tabs>
        <w:ind w:firstLine="567"/>
        <w:jc w:val="both"/>
        <w:rPr>
          <w:noProof/>
          <w:color w:val="4F81BD" w:themeColor="accent1"/>
        </w:rPr>
      </w:pPr>
      <w:r w:rsidRPr="00A463B8">
        <w:rPr>
          <w:noProof/>
        </w:rPr>
        <w:t xml:space="preserve">- компенсации за </w:t>
      </w:r>
      <w:r w:rsidR="00FD1298" w:rsidRPr="00A463B8">
        <w:rPr>
          <w:noProof/>
        </w:rPr>
        <w:t>пътувания с</w:t>
      </w:r>
      <w:r w:rsidRPr="00A463B8">
        <w:rPr>
          <w:noProof/>
        </w:rPr>
        <w:t xml:space="preserve"> вътрешноградски транспорт и междуселищния автомобилен транспорт в страната, предоставени чрез Системата за електронни бюджетни разплащания – </w:t>
      </w:r>
      <w:r w:rsidR="00A463B8" w:rsidRPr="00A463B8">
        <w:rPr>
          <w:noProof/>
        </w:rPr>
        <w:t>64</w:t>
      </w:r>
      <w:r w:rsidR="00F14FD5" w:rsidRPr="00A463B8">
        <w:rPr>
          <w:noProof/>
        </w:rPr>
        <w:t>,</w:t>
      </w:r>
      <w:r w:rsidR="00A463B8" w:rsidRPr="00A463B8">
        <w:rPr>
          <w:noProof/>
        </w:rPr>
        <w:t>3</w:t>
      </w:r>
      <w:r w:rsidRPr="00A463B8">
        <w:rPr>
          <w:noProof/>
        </w:rPr>
        <w:t xml:space="preserve"> млн. лв., което е </w:t>
      </w:r>
      <w:r w:rsidR="00A463B8" w:rsidRPr="00A463B8">
        <w:rPr>
          <w:noProof/>
        </w:rPr>
        <w:t>66</w:t>
      </w:r>
      <w:r w:rsidR="009463C3" w:rsidRPr="00A463B8">
        <w:rPr>
          <w:noProof/>
        </w:rPr>
        <w:t>,</w:t>
      </w:r>
      <w:r w:rsidR="00A463B8" w:rsidRPr="00A463B8">
        <w:rPr>
          <w:noProof/>
        </w:rPr>
        <w:t>6</w:t>
      </w:r>
      <w:r w:rsidRPr="00A463B8">
        <w:rPr>
          <w:noProof/>
        </w:rPr>
        <w:t xml:space="preserve"> на сто от </w:t>
      </w:r>
      <w:r w:rsidR="00140F18" w:rsidRPr="00A463B8">
        <w:t>утвърдения</w:t>
      </w:r>
      <w:r w:rsidR="00140F18" w:rsidRPr="00A463B8">
        <w:rPr>
          <w:noProof/>
        </w:rPr>
        <w:t xml:space="preserve"> </w:t>
      </w:r>
      <w:r w:rsidRPr="00A463B8">
        <w:rPr>
          <w:noProof/>
        </w:rPr>
        <w:t xml:space="preserve">годишен план. </w:t>
      </w:r>
    </w:p>
    <w:p w:rsidR="00E7455D" w:rsidRPr="00A463B8" w:rsidRDefault="00E7455D" w:rsidP="00E7455D">
      <w:pPr>
        <w:ind w:firstLine="567"/>
        <w:jc w:val="both"/>
        <w:rPr>
          <w:noProof/>
        </w:rPr>
      </w:pPr>
      <w:r w:rsidRPr="00A463B8">
        <w:rPr>
          <w:noProof/>
        </w:rPr>
        <w:lastRenderedPageBreak/>
        <w:t xml:space="preserve">Усвоените средства за </w:t>
      </w:r>
      <w:r w:rsidRPr="00A463B8">
        <w:t>компенсиране на намалените приходи от прилагането на цени за пътуване, предвидени в нормативни актове за определени категории пътници,</w:t>
      </w:r>
      <w:r w:rsidRPr="00A463B8">
        <w:rPr>
          <w:noProof/>
        </w:rPr>
        <w:t xml:space="preserve"> по вътрешноградския транспорт и междуселищния автомобилен транспорт за </w:t>
      </w:r>
      <w:r w:rsidR="00ED379B" w:rsidRPr="00ED379B">
        <w:rPr>
          <w:noProof/>
        </w:rPr>
        <w:t>деветмесечието</w:t>
      </w:r>
      <w:r w:rsidR="004E1D47">
        <w:rPr>
          <w:noProof/>
        </w:rPr>
        <w:t xml:space="preserve"> </w:t>
      </w:r>
      <w:r w:rsidRPr="00A463B8">
        <w:rPr>
          <w:noProof/>
        </w:rPr>
        <w:t>на 201</w:t>
      </w:r>
      <w:r w:rsidR="00140F18" w:rsidRPr="00A463B8">
        <w:rPr>
          <w:noProof/>
        </w:rPr>
        <w:t>9</w:t>
      </w:r>
      <w:r w:rsidRPr="00A463B8">
        <w:rPr>
          <w:noProof/>
        </w:rPr>
        <w:t xml:space="preserve"> г., диференцирани по групи правоимащи лица и размер на намалението спрямо редовната цена, са както следва:</w:t>
      </w:r>
    </w:p>
    <w:p w:rsidR="00E7455D" w:rsidRPr="00C95DF8" w:rsidRDefault="00E7455D" w:rsidP="00E7455D">
      <w:pPr>
        <w:pStyle w:val="BodyTextIndent"/>
        <w:spacing w:after="0"/>
        <w:ind w:left="0" w:firstLine="567"/>
        <w:jc w:val="both"/>
      </w:pPr>
      <w:r w:rsidRPr="00C95DF8">
        <w:t xml:space="preserve">- </w:t>
      </w:r>
      <w:r w:rsidR="0059381A" w:rsidRPr="00C95DF8">
        <w:t>2</w:t>
      </w:r>
      <w:r w:rsidR="005B5237" w:rsidRPr="00C95DF8">
        <w:t>5</w:t>
      </w:r>
      <w:r w:rsidR="0059381A" w:rsidRPr="00C95DF8">
        <w:t>,</w:t>
      </w:r>
      <w:r w:rsidR="005B5237" w:rsidRPr="00C95DF8">
        <w:t>8</w:t>
      </w:r>
      <w:r w:rsidRPr="00C95DF8">
        <w:rPr>
          <w:lang w:val="en-US"/>
        </w:rPr>
        <w:t xml:space="preserve"> </w:t>
      </w:r>
      <w:r w:rsidRPr="00C95DF8">
        <w:t xml:space="preserve">млн. лв. за транспорт на деца и ученици в съответствие с чл. 283, ал. 2 от Закона за предучилищното и училищното образование, което е </w:t>
      </w:r>
      <w:r w:rsidR="005B5237" w:rsidRPr="00C95DF8">
        <w:t>64</w:t>
      </w:r>
      <w:r w:rsidR="0059381A" w:rsidRPr="00C95DF8">
        <w:t>,</w:t>
      </w:r>
      <w:r w:rsidR="005B5237" w:rsidRPr="00C95DF8">
        <w:t>5</w:t>
      </w:r>
      <w:r w:rsidRPr="00C95DF8">
        <w:t xml:space="preserve"> на сто от ут</w:t>
      </w:r>
      <w:r w:rsidR="00140F18" w:rsidRPr="00C95DF8">
        <w:t>върдения</w:t>
      </w:r>
      <w:r w:rsidRPr="00C95DF8">
        <w:t xml:space="preserve"> годишен план; </w:t>
      </w:r>
    </w:p>
    <w:p w:rsidR="00E7455D" w:rsidRPr="00C95DF8" w:rsidRDefault="00E7455D" w:rsidP="00E7455D">
      <w:pPr>
        <w:pStyle w:val="BodyTextIndent"/>
        <w:tabs>
          <w:tab w:val="left" w:pos="1026"/>
        </w:tabs>
        <w:spacing w:after="0"/>
        <w:ind w:left="0" w:firstLine="567"/>
        <w:jc w:val="both"/>
      </w:pPr>
      <w:r w:rsidRPr="00C95DF8">
        <w:t xml:space="preserve">- </w:t>
      </w:r>
      <w:r w:rsidR="00C95DF8" w:rsidRPr="00C95DF8">
        <w:t>38</w:t>
      </w:r>
      <w:r w:rsidR="006A2C78" w:rsidRPr="00C95DF8">
        <w:t>,</w:t>
      </w:r>
      <w:r w:rsidR="00C95DF8" w:rsidRPr="00C95DF8">
        <w:t>5</w:t>
      </w:r>
      <w:r w:rsidRPr="00C95DF8">
        <w:t xml:space="preserve"> млн. лв. за безплатни и по намалени цени пътувания</w:t>
      </w:r>
      <w:r w:rsidR="00140F18" w:rsidRPr="00C95DF8">
        <w:t xml:space="preserve"> по общини</w:t>
      </w:r>
      <w:r w:rsidRPr="00C95DF8">
        <w:t xml:space="preserve">. Следва да се има предвид, че по пътя на изпълнението тези разходи се отчитат като текущи трансфери, обезщетения и помощи за домакинствата по бюджетите на общините. Изпълнението спрямо годишния план е </w:t>
      </w:r>
      <w:r w:rsidR="005B5237" w:rsidRPr="00C95DF8">
        <w:t>6</w:t>
      </w:r>
      <w:r w:rsidR="00C95DF8" w:rsidRPr="00C95DF8">
        <w:t>8</w:t>
      </w:r>
      <w:r w:rsidR="006A2C78" w:rsidRPr="00C95DF8">
        <w:t>,</w:t>
      </w:r>
      <w:r w:rsidR="00C95DF8" w:rsidRPr="00C95DF8">
        <w:t>1</w:t>
      </w:r>
      <w:r w:rsidRPr="00C95DF8">
        <w:t xml:space="preserve"> на сто, в това число:</w:t>
      </w:r>
    </w:p>
    <w:p w:rsidR="00E7455D" w:rsidRPr="00C95DF8" w:rsidRDefault="00C95DF8" w:rsidP="00E7455D">
      <w:pPr>
        <w:numPr>
          <w:ilvl w:val="0"/>
          <w:numId w:val="20"/>
        </w:numPr>
        <w:tabs>
          <w:tab w:val="left" w:pos="993"/>
        </w:tabs>
        <w:ind w:hanging="275"/>
        <w:jc w:val="both"/>
      </w:pPr>
      <w:r w:rsidRPr="00C95DF8">
        <w:t>26</w:t>
      </w:r>
      <w:r w:rsidR="00ED79B4" w:rsidRPr="00C95DF8">
        <w:t>,</w:t>
      </w:r>
      <w:r w:rsidRPr="00C95DF8">
        <w:t>1</w:t>
      </w:r>
      <w:r w:rsidR="00E7455D" w:rsidRPr="00C95DF8">
        <w:t xml:space="preserve"> млн. лв. за безплатни пътувания на деца до седемгодишна възраст, ветерани от войните, военноинвалиди и военнопострадали,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което е </w:t>
      </w:r>
      <w:r w:rsidRPr="00C95DF8">
        <w:t>65</w:t>
      </w:r>
      <w:r w:rsidR="00E7455D" w:rsidRPr="00C95DF8">
        <w:t>,</w:t>
      </w:r>
      <w:r w:rsidRPr="00C95DF8">
        <w:t>2</w:t>
      </w:r>
      <w:r w:rsidR="00E7455D" w:rsidRPr="00C95DF8">
        <w:t xml:space="preserve"> на сто спрямо утвърдения годишен план; </w:t>
      </w:r>
    </w:p>
    <w:p w:rsidR="008360FD" w:rsidRPr="00C95DF8" w:rsidRDefault="00C95DF8" w:rsidP="00E7455D">
      <w:pPr>
        <w:numPr>
          <w:ilvl w:val="0"/>
          <w:numId w:val="20"/>
        </w:numPr>
        <w:tabs>
          <w:tab w:val="num" w:pos="360"/>
          <w:tab w:val="left" w:pos="993"/>
        </w:tabs>
        <w:ind w:hanging="275"/>
        <w:jc w:val="both"/>
      </w:pPr>
      <w:r w:rsidRPr="00C95DF8">
        <w:t>12</w:t>
      </w:r>
      <w:r w:rsidR="0028636E" w:rsidRPr="00C95DF8">
        <w:t>,</w:t>
      </w:r>
      <w:r w:rsidRPr="00C95DF8">
        <w:t>4</w:t>
      </w:r>
      <w:r w:rsidR="00E7455D" w:rsidRPr="00C95DF8">
        <w:t xml:space="preserve"> млн. лв. за превоз на служители, ползващи право на безплатно пътуване при изпълнение на служебните си задължения, което е </w:t>
      </w:r>
      <w:r w:rsidRPr="00C95DF8">
        <w:t>7</w:t>
      </w:r>
      <w:r w:rsidR="005B5237" w:rsidRPr="00C95DF8">
        <w:t>5</w:t>
      </w:r>
      <w:r w:rsidR="00E7455D" w:rsidRPr="00C95DF8">
        <w:t>,</w:t>
      </w:r>
      <w:r w:rsidRPr="00C95DF8">
        <w:t>1</w:t>
      </w:r>
      <w:r w:rsidR="00E7455D" w:rsidRPr="00C95DF8">
        <w:t xml:space="preserve"> от годишн</w:t>
      </w:r>
      <w:r w:rsidR="00202CDB" w:rsidRPr="00C95DF8">
        <w:t>ия</w:t>
      </w:r>
      <w:r w:rsidR="00E7455D" w:rsidRPr="00C95DF8">
        <w:t xml:space="preserve"> план.</w:t>
      </w:r>
    </w:p>
    <w:p w:rsidR="00333B5E" w:rsidRPr="00B93FD2" w:rsidRDefault="00333B5E" w:rsidP="00333B5E">
      <w:pPr>
        <w:jc w:val="both"/>
        <w:rPr>
          <w:color w:val="4F81BD" w:themeColor="accent1"/>
          <w:sz w:val="12"/>
          <w:szCs w:val="12"/>
        </w:rPr>
      </w:pPr>
    </w:p>
    <w:p w:rsidR="002E2D64" w:rsidRPr="00702819" w:rsidRDefault="002E2D64" w:rsidP="002E2D64">
      <w:pPr>
        <w:numPr>
          <w:ilvl w:val="0"/>
          <w:numId w:val="7"/>
        </w:numPr>
        <w:spacing w:after="120"/>
        <w:ind w:left="0" w:firstLine="360"/>
        <w:jc w:val="both"/>
        <w:rPr>
          <w:b/>
        </w:rPr>
      </w:pPr>
      <w:r w:rsidRPr="00702819">
        <w:rPr>
          <w:b/>
        </w:rPr>
        <w:t xml:space="preserve">Разходи за лихви </w:t>
      </w:r>
    </w:p>
    <w:p w:rsidR="002E2D64" w:rsidRPr="00702819" w:rsidRDefault="002E2D64" w:rsidP="002E2D64">
      <w:pPr>
        <w:spacing w:after="120"/>
        <w:jc w:val="both"/>
        <w:rPr>
          <w:lang w:eastAsia="bg-BG"/>
        </w:rPr>
      </w:pPr>
      <w:r w:rsidRPr="00702819">
        <w:rPr>
          <w:b/>
          <w:lang w:eastAsia="bg-BG"/>
        </w:rPr>
        <w:t xml:space="preserve">Лихвените плащания </w:t>
      </w:r>
      <w:r w:rsidRPr="00702819">
        <w:rPr>
          <w:lang w:eastAsia="bg-BG"/>
        </w:rPr>
        <w:t xml:space="preserve">по държавния бюджет към 30.09.2019 г. са в общ размер на </w:t>
      </w:r>
      <w:r w:rsidRPr="00702819">
        <w:rPr>
          <w:b/>
          <w:lang w:eastAsia="bg-BG"/>
        </w:rPr>
        <w:t>553,3 млн. лв</w:t>
      </w:r>
      <w:r w:rsidRPr="00702819">
        <w:rPr>
          <w:lang w:eastAsia="bg-BG"/>
        </w:rPr>
        <w:t xml:space="preserve">. или 87,4 % от предвидените в годишните разчети. </w:t>
      </w:r>
    </w:p>
    <w:p w:rsidR="002E2D64" w:rsidRPr="00702819" w:rsidRDefault="002E2D64" w:rsidP="002E2D64">
      <w:pPr>
        <w:spacing w:after="120"/>
        <w:jc w:val="both"/>
        <w:rPr>
          <w:lang w:eastAsia="bg-BG"/>
        </w:rPr>
      </w:pPr>
      <w:r w:rsidRPr="00702819">
        <w:rPr>
          <w:lang w:eastAsia="bg-BG"/>
        </w:rPr>
        <w:t xml:space="preserve">Разходите за </w:t>
      </w:r>
      <w:r w:rsidRPr="00702819">
        <w:rPr>
          <w:b/>
          <w:lang w:eastAsia="bg-BG"/>
        </w:rPr>
        <w:t>лихви по външни заеми</w:t>
      </w:r>
      <w:r w:rsidRPr="00702819">
        <w:rPr>
          <w:lang w:eastAsia="bg-BG"/>
        </w:rPr>
        <w:t xml:space="preserve"> са в размер на </w:t>
      </w:r>
      <w:r w:rsidRPr="00702819">
        <w:rPr>
          <w:b/>
          <w:lang w:eastAsia="bg-BG"/>
        </w:rPr>
        <w:t>374,9 млн. лв.,</w:t>
      </w:r>
      <w:r w:rsidRPr="00702819">
        <w:rPr>
          <w:lang w:eastAsia="bg-BG"/>
        </w:rPr>
        <w:t xml:space="preserve"> в т.ч. 350,9 млн. лв. по централния бюджет. Разходите за лихви по ДИЗ, управлявани от министерства и ведомства са в размер на 23,9 млн. лв. </w:t>
      </w:r>
      <w:r w:rsidRPr="00702819">
        <w:rPr>
          <w:lang w:val="en-US" w:eastAsia="bg-BG"/>
        </w:rPr>
        <w:t>(</w:t>
      </w:r>
      <w:r w:rsidRPr="00702819">
        <w:rPr>
          <w:lang w:eastAsia="bg-BG"/>
        </w:rPr>
        <w:t>от които 2,0 млн. лв. са по заемите с краен бенефициент търговско дружество</w:t>
      </w:r>
      <w:r w:rsidRPr="00702819">
        <w:rPr>
          <w:lang w:val="en-US" w:eastAsia="bg-BG"/>
        </w:rPr>
        <w:t>)</w:t>
      </w:r>
      <w:r w:rsidRPr="00702819">
        <w:rPr>
          <w:lang w:eastAsia="bg-BG"/>
        </w:rPr>
        <w:t xml:space="preserve">. </w:t>
      </w:r>
    </w:p>
    <w:p w:rsidR="002E2D64" w:rsidRPr="00702819" w:rsidRDefault="002E2D64" w:rsidP="002E2D64">
      <w:pPr>
        <w:spacing w:after="120"/>
        <w:jc w:val="both"/>
        <w:rPr>
          <w:b/>
          <w:lang w:eastAsia="bg-BG"/>
        </w:rPr>
      </w:pPr>
      <w:r w:rsidRPr="00702819">
        <w:rPr>
          <w:lang w:eastAsia="bg-BG"/>
        </w:rPr>
        <w:t>През отчетния период не са използвани средства, предвидени за покриване на риска от активиране на държавни гаранции.</w:t>
      </w:r>
      <w:r w:rsidRPr="00702819">
        <w:rPr>
          <w:b/>
          <w:lang w:eastAsia="bg-BG"/>
        </w:rPr>
        <w:t xml:space="preserve"> </w:t>
      </w:r>
    </w:p>
    <w:p w:rsidR="002E2D64" w:rsidRPr="00702819" w:rsidRDefault="002E2D64" w:rsidP="002E2D64">
      <w:pPr>
        <w:spacing w:after="120"/>
        <w:jc w:val="both"/>
        <w:rPr>
          <w:lang w:eastAsia="bg-BG"/>
        </w:rPr>
      </w:pPr>
      <w:r w:rsidRPr="00702819">
        <w:rPr>
          <w:b/>
          <w:lang w:eastAsia="bg-BG"/>
        </w:rPr>
        <w:lastRenderedPageBreak/>
        <w:t>Лихвите по вътрешни заеми</w:t>
      </w:r>
      <w:r w:rsidRPr="00702819">
        <w:rPr>
          <w:lang w:eastAsia="bg-BG"/>
        </w:rPr>
        <w:t xml:space="preserve"> по държавния бюджет </w:t>
      </w:r>
      <w:r w:rsidRPr="00702819">
        <w:rPr>
          <w:bCs/>
          <w:lang w:eastAsia="bg-BG"/>
        </w:rPr>
        <w:t xml:space="preserve">към септември </w:t>
      </w:r>
      <w:r w:rsidRPr="00702819">
        <w:rPr>
          <w:lang w:eastAsia="bg-BG"/>
        </w:rPr>
        <w:t xml:space="preserve">2019 г. са в размер на </w:t>
      </w:r>
      <w:r w:rsidRPr="00702819">
        <w:rPr>
          <w:b/>
          <w:lang w:eastAsia="bg-BG"/>
        </w:rPr>
        <w:t>178,5</w:t>
      </w:r>
      <w:r w:rsidRPr="00702819">
        <w:rPr>
          <w:rFonts w:eastAsia="Calibri"/>
          <w:b/>
        </w:rPr>
        <w:t> </w:t>
      </w:r>
      <w:r w:rsidRPr="00702819">
        <w:rPr>
          <w:b/>
          <w:lang w:eastAsia="bg-BG"/>
        </w:rPr>
        <w:t>млн. лв.</w:t>
      </w:r>
      <w:r w:rsidRPr="00702819">
        <w:rPr>
          <w:lang w:eastAsia="bg-BG"/>
        </w:rPr>
        <w:t xml:space="preserve"> и представляват лихви по емисии на ДЦК на вътрешния пазар. Платените лихви и отстъпки по ДЦК, емитирани на аукционен принцип са в размер на 187,1 млн. лв., лихвите по ДЦК, емитирани за структурната реформа – 0,2 млн. лв.</w:t>
      </w:r>
      <w:r w:rsidR="005C109C">
        <w:rPr>
          <w:lang w:eastAsia="bg-BG"/>
        </w:rPr>
        <w:t>,</w:t>
      </w:r>
      <w:r w:rsidRPr="00702819">
        <w:rPr>
          <w:lang w:eastAsia="bg-BG"/>
        </w:rPr>
        <w:t xml:space="preserve"> </w:t>
      </w:r>
      <w:r w:rsidR="005C109C">
        <w:rPr>
          <w:lang w:eastAsia="bg-BG"/>
        </w:rPr>
        <w:t>а</w:t>
      </w:r>
      <w:r w:rsidRPr="00702819">
        <w:rPr>
          <w:lang w:eastAsia="bg-BG"/>
        </w:rPr>
        <w:t xml:space="preserve"> реализираните при аукционите премии над номинала от емисии ДЦК до 30.09.2019 г.</w:t>
      </w:r>
      <w:r w:rsidR="005C109C">
        <w:rPr>
          <w:lang w:eastAsia="bg-BG"/>
        </w:rPr>
        <w:t>,</w:t>
      </w:r>
      <w:r w:rsidRPr="00702819">
        <w:rPr>
          <w:lang w:eastAsia="bg-BG"/>
        </w:rPr>
        <w:t xml:space="preserve"> </w:t>
      </w:r>
      <w:r w:rsidR="005C109C">
        <w:rPr>
          <w:lang w:eastAsia="bg-BG"/>
        </w:rPr>
        <w:t xml:space="preserve">които са </w:t>
      </w:r>
      <w:r w:rsidRPr="00702819">
        <w:rPr>
          <w:lang w:eastAsia="bg-BG"/>
        </w:rPr>
        <w:t xml:space="preserve">отчетени в намаление на разходите за лихви по вътрешния дълг </w:t>
      </w:r>
      <w:r w:rsidR="005C109C">
        <w:t xml:space="preserve">са в размер на </w:t>
      </w:r>
      <w:r w:rsidRPr="00702819">
        <w:rPr>
          <w:lang w:eastAsia="bg-BG"/>
        </w:rPr>
        <w:t>(-8,8) млн. лева.</w:t>
      </w:r>
    </w:p>
    <w:p w:rsidR="002E2D64" w:rsidRPr="00702819" w:rsidRDefault="002E2D64" w:rsidP="002E2D64">
      <w:pPr>
        <w:numPr>
          <w:ilvl w:val="0"/>
          <w:numId w:val="36"/>
        </w:numPr>
        <w:spacing w:after="120"/>
        <w:ind w:left="426" w:hanging="426"/>
        <w:jc w:val="both"/>
        <w:rPr>
          <w:b/>
          <w:bCs/>
          <w:lang w:eastAsia="bg-BG"/>
        </w:rPr>
      </w:pPr>
      <w:r w:rsidRPr="00702819">
        <w:rPr>
          <w:b/>
          <w:bCs/>
          <w:lang w:eastAsia="bg-BG"/>
        </w:rPr>
        <w:t>Нетният размер на трансферите по държавния бюджет</w:t>
      </w:r>
      <w:r w:rsidRPr="00702819">
        <w:rPr>
          <w:bCs/>
          <w:lang w:eastAsia="bg-BG"/>
        </w:rPr>
        <w:t xml:space="preserve"> към септември </w:t>
      </w:r>
      <w:r w:rsidRPr="00702819">
        <w:rPr>
          <w:lang w:eastAsia="bg-BG"/>
        </w:rPr>
        <w:t>2019 г.</w:t>
      </w:r>
      <w:r w:rsidRPr="00702819">
        <w:rPr>
          <w:bCs/>
          <w:lang w:eastAsia="bg-BG"/>
        </w:rPr>
        <w:t xml:space="preserve"> е</w:t>
      </w:r>
      <w:r w:rsidRPr="00702819">
        <w:rPr>
          <w:b/>
          <w:bCs/>
          <w:lang w:eastAsia="bg-BG"/>
        </w:rPr>
        <w:t xml:space="preserve"> 8 083,2</w:t>
      </w:r>
      <w:r w:rsidRPr="00702819">
        <w:rPr>
          <w:rFonts w:eastAsia="Calibri"/>
          <w:b/>
        </w:rPr>
        <w:t> </w:t>
      </w:r>
      <w:r w:rsidRPr="00702819">
        <w:rPr>
          <w:b/>
          <w:bCs/>
          <w:lang w:eastAsia="bg-BG"/>
        </w:rPr>
        <w:t xml:space="preserve">млн. лв., </w:t>
      </w:r>
      <w:r w:rsidRPr="00702819">
        <w:rPr>
          <w:bCs/>
          <w:lang w:eastAsia="bg-BG"/>
        </w:rPr>
        <w:t>в т.ч.:</w:t>
      </w:r>
      <w:r w:rsidRPr="00702819">
        <w:rPr>
          <w:b/>
          <w:bCs/>
          <w:lang w:eastAsia="bg-BG"/>
        </w:rPr>
        <w:t xml:space="preserve"> </w:t>
      </w:r>
    </w:p>
    <w:p w:rsidR="002E2D64" w:rsidRPr="00702819" w:rsidRDefault="002E2D64" w:rsidP="002E2D64">
      <w:pPr>
        <w:numPr>
          <w:ilvl w:val="0"/>
          <w:numId w:val="24"/>
        </w:numPr>
        <w:tabs>
          <w:tab w:val="clear" w:pos="700"/>
          <w:tab w:val="left" w:pos="180"/>
          <w:tab w:val="num" w:pos="540"/>
          <w:tab w:val="num" w:pos="1495"/>
          <w:tab w:val="num" w:pos="9858"/>
        </w:tabs>
        <w:ind w:left="538" w:hanging="357"/>
        <w:jc w:val="both"/>
        <w:rPr>
          <w:lang w:eastAsia="bg-BG"/>
        </w:rPr>
      </w:pPr>
      <w:r w:rsidRPr="00702819">
        <w:rPr>
          <w:lang w:eastAsia="bg-BG"/>
        </w:rPr>
        <w:t>бюджетните взаимоотношения с общините включват нето трансфери в размер на 3 044,1 млн. лв., от които субсидии от централния бюджет в размер на 2 809,9 млн. лв., други целеви трансфери от централния бюджет в размер на 105,9 млн. лв., нетни трансфери от</w:t>
      </w:r>
      <w:r w:rsidRPr="00702819">
        <w:rPr>
          <w:lang w:val="en-US" w:eastAsia="bg-BG"/>
        </w:rPr>
        <w:t>/</w:t>
      </w:r>
      <w:r w:rsidRPr="00702819">
        <w:rPr>
          <w:lang w:eastAsia="bg-BG"/>
        </w:rPr>
        <w:t>за други бюджети в размер на 130,6 млн. лв. и възстановени трансфери от предходни години в централния бюджет – 2,3 млн. лева;</w:t>
      </w:r>
    </w:p>
    <w:p w:rsidR="002E2D64" w:rsidRPr="00702819" w:rsidRDefault="002E2D64" w:rsidP="002E2D64">
      <w:pPr>
        <w:numPr>
          <w:ilvl w:val="0"/>
          <w:numId w:val="24"/>
        </w:numPr>
        <w:tabs>
          <w:tab w:val="clear" w:pos="700"/>
          <w:tab w:val="left" w:pos="180"/>
          <w:tab w:val="num" w:pos="540"/>
          <w:tab w:val="num" w:pos="1495"/>
          <w:tab w:val="num" w:pos="9858"/>
        </w:tabs>
        <w:ind w:left="538" w:hanging="357"/>
        <w:jc w:val="both"/>
        <w:rPr>
          <w:lang w:eastAsia="bg-BG"/>
        </w:rPr>
      </w:pPr>
      <w:r w:rsidRPr="00702819">
        <w:rPr>
          <w:lang w:eastAsia="bg-BG"/>
        </w:rPr>
        <w:t>на социалноосигурителните фондове (нето) – 4 079,6 млн. лв.,</w:t>
      </w:r>
      <w:r w:rsidRPr="00702819">
        <w:rPr>
          <w:b/>
          <w:lang w:eastAsia="bg-BG"/>
        </w:rPr>
        <w:t xml:space="preserve"> </w:t>
      </w:r>
      <w:r w:rsidRPr="00702819">
        <w:rPr>
          <w:lang w:eastAsia="bg-BG"/>
        </w:rPr>
        <w:t>което представлява 72,1 % от годишния разчет;</w:t>
      </w:r>
    </w:p>
    <w:p w:rsidR="002E2D64" w:rsidRPr="00702819" w:rsidRDefault="002E2D64" w:rsidP="002E2D64">
      <w:pPr>
        <w:numPr>
          <w:ilvl w:val="0"/>
          <w:numId w:val="24"/>
        </w:numPr>
        <w:tabs>
          <w:tab w:val="clear" w:pos="700"/>
          <w:tab w:val="left" w:pos="180"/>
          <w:tab w:val="num" w:pos="540"/>
          <w:tab w:val="num" w:pos="1495"/>
          <w:tab w:val="num" w:pos="9858"/>
        </w:tabs>
        <w:ind w:left="538" w:hanging="357"/>
        <w:jc w:val="both"/>
        <w:rPr>
          <w:lang w:eastAsia="bg-BG"/>
        </w:rPr>
      </w:pPr>
      <w:r w:rsidRPr="00702819">
        <w:rPr>
          <w:lang w:eastAsia="bg-BG"/>
        </w:rPr>
        <w:t>на други автономни бюджети (ДВУ, БАН, ССА, БНТ, БНР и БТА) – 570,0 млн. лв., 81,7 % от годишния разчет.</w:t>
      </w:r>
    </w:p>
    <w:p w:rsidR="002E2D64" w:rsidRPr="00702819" w:rsidRDefault="002E2D64" w:rsidP="002E2D64">
      <w:pPr>
        <w:numPr>
          <w:ilvl w:val="0"/>
          <w:numId w:val="6"/>
        </w:numPr>
        <w:tabs>
          <w:tab w:val="clear" w:pos="700"/>
          <w:tab w:val="left" w:pos="426"/>
          <w:tab w:val="num" w:pos="786"/>
        </w:tabs>
        <w:spacing w:before="120"/>
        <w:ind w:left="0"/>
        <w:jc w:val="both"/>
        <w:rPr>
          <w:bCs/>
          <w:lang w:eastAsia="bg-BG"/>
        </w:rPr>
      </w:pPr>
      <w:r w:rsidRPr="00702819">
        <w:rPr>
          <w:lang w:eastAsia="bg-BG"/>
        </w:rPr>
        <w:t>Частта от</w:t>
      </w:r>
      <w:r w:rsidRPr="00702819">
        <w:rPr>
          <w:b/>
          <w:lang w:eastAsia="bg-BG"/>
        </w:rPr>
        <w:t xml:space="preserve"> вноската на Република България в общия бюджет на ЕС, </w:t>
      </w:r>
      <w:r w:rsidRPr="00702819">
        <w:rPr>
          <w:lang w:eastAsia="bg-BG"/>
        </w:rPr>
        <w:t>изплатена към 30.09.2019 г. от централния бюджет, възлиза на</w:t>
      </w:r>
      <w:r w:rsidRPr="00702819">
        <w:rPr>
          <w:b/>
          <w:lang w:eastAsia="bg-BG"/>
        </w:rPr>
        <w:t xml:space="preserve"> 997,5 млн. лева.</w:t>
      </w:r>
      <w:r w:rsidRPr="00702819">
        <w:rPr>
          <w:lang w:eastAsia="bg-BG"/>
        </w:rPr>
        <w:t xml:space="preserve"> </w:t>
      </w:r>
    </w:p>
    <w:p w:rsidR="002E2D64" w:rsidRPr="00702819" w:rsidRDefault="002E2D64" w:rsidP="002E2D64">
      <w:pPr>
        <w:numPr>
          <w:ilvl w:val="0"/>
          <w:numId w:val="6"/>
        </w:numPr>
        <w:tabs>
          <w:tab w:val="clear" w:pos="700"/>
          <w:tab w:val="num" w:pos="426"/>
          <w:tab w:val="num" w:pos="786"/>
        </w:tabs>
        <w:spacing w:before="240" w:after="240"/>
        <w:ind w:left="0"/>
        <w:jc w:val="both"/>
        <w:rPr>
          <w:sz w:val="16"/>
          <w:szCs w:val="16"/>
          <w:lang w:eastAsia="bg-BG"/>
        </w:rPr>
      </w:pPr>
      <w:r w:rsidRPr="00702819">
        <w:rPr>
          <w:b/>
          <w:lang w:eastAsia="bg-BG"/>
        </w:rPr>
        <w:t xml:space="preserve">Бюджетното салдо по държавния бюджет </w:t>
      </w:r>
      <w:r w:rsidRPr="00702819">
        <w:rPr>
          <w:lang w:eastAsia="bg-BG"/>
        </w:rPr>
        <w:t>към 30.09.2019 г.</w:t>
      </w:r>
      <w:r w:rsidRPr="00702819">
        <w:rPr>
          <w:b/>
          <w:lang w:eastAsia="bg-BG"/>
        </w:rPr>
        <w:t xml:space="preserve"> е положително </w:t>
      </w:r>
      <w:r w:rsidRPr="00702819">
        <w:rPr>
          <w:lang w:eastAsia="bg-BG"/>
        </w:rPr>
        <w:t xml:space="preserve">в размер на </w:t>
      </w:r>
      <w:r w:rsidRPr="00702819">
        <w:rPr>
          <w:b/>
          <w:lang w:eastAsia="bg-BG"/>
        </w:rPr>
        <w:t>513,9 млн. лева.</w:t>
      </w:r>
      <w:r w:rsidRPr="00702819">
        <w:rPr>
          <w:lang w:eastAsia="bg-BG"/>
        </w:rPr>
        <w:t xml:space="preserve"> </w:t>
      </w:r>
    </w:p>
    <w:p w:rsidR="002E2D64" w:rsidRPr="00702819" w:rsidRDefault="002E2D64" w:rsidP="002E2D64">
      <w:pPr>
        <w:numPr>
          <w:ilvl w:val="0"/>
          <w:numId w:val="6"/>
        </w:numPr>
        <w:tabs>
          <w:tab w:val="clear" w:pos="700"/>
          <w:tab w:val="num" w:pos="426"/>
          <w:tab w:val="num" w:pos="786"/>
        </w:tabs>
        <w:spacing w:before="240" w:after="240"/>
        <w:ind w:left="0"/>
        <w:jc w:val="both"/>
        <w:rPr>
          <w:b/>
          <w:lang w:eastAsia="bg-BG"/>
        </w:rPr>
      </w:pPr>
      <w:r w:rsidRPr="00702819">
        <w:rPr>
          <w:b/>
          <w:lang w:eastAsia="bg-BG"/>
        </w:rPr>
        <w:t>Финансиране на бюджета чрез операции по дълга</w:t>
      </w:r>
    </w:p>
    <w:p w:rsidR="002E2D64" w:rsidRPr="00702819" w:rsidRDefault="002E2D64" w:rsidP="002E2D64">
      <w:pPr>
        <w:spacing w:after="120"/>
        <w:jc w:val="both"/>
        <w:rPr>
          <w:lang w:eastAsia="bg-BG"/>
        </w:rPr>
      </w:pPr>
      <w:r w:rsidRPr="00702819">
        <w:rPr>
          <w:lang w:eastAsia="bg-BG"/>
        </w:rPr>
        <w:t>Към 30.09.2019 г.</w:t>
      </w:r>
      <w:r w:rsidRPr="00702819">
        <w:rPr>
          <w:b/>
          <w:lang w:eastAsia="bg-BG"/>
        </w:rPr>
        <w:t xml:space="preserve"> </w:t>
      </w:r>
      <w:r w:rsidRPr="00702819">
        <w:rPr>
          <w:lang w:eastAsia="bg-BG"/>
        </w:rPr>
        <w:t xml:space="preserve">е отчетено отрицателно нетно външно финансиране по централния бюджет в размер на 63,7 млн. лева. </w:t>
      </w:r>
      <w:r w:rsidRPr="00702819">
        <w:rPr>
          <w:lang w:val="en-US" w:eastAsia="bg-BG"/>
        </w:rPr>
        <w:t>(</w:t>
      </w:r>
      <w:r w:rsidRPr="00702819">
        <w:rPr>
          <w:lang w:eastAsia="bg-BG"/>
        </w:rPr>
        <w:t>в т. ч. 0,9 млн. лв. п</w:t>
      </w:r>
      <w:r w:rsidRPr="00702819">
        <w:rPr>
          <w:lang w:val="en-US" w:eastAsia="bg-BG"/>
        </w:rPr>
        <w:t xml:space="preserve">олучени погашения по </w:t>
      </w:r>
      <w:r w:rsidRPr="00702819">
        <w:rPr>
          <w:lang w:eastAsia="bg-BG"/>
        </w:rPr>
        <w:t>предоставени кредити на други държави</w:t>
      </w:r>
      <w:r w:rsidRPr="00702819">
        <w:rPr>
          <w:lang w:val="en-US" w:eastAsia="bg-BG"/>
        </w:rPr>
        <w:t>)</w:t>
      </w:r>
      <w:r w:rsidRPr="00702819">
        <w:rPr>
          <w:lang w:eastAsia="bg-BG"/>
        </w:rPr>
        <w:t xml:space="preserve">. </w:t>
      </w:r>
    </w:p>
    <w:p w:rsidR="002E2D64" w:rsidRPr="00702819" w:rsidRDefault="002E2D64" w:rsidP="002E2D64">
      <w:pPr>
        <w:spacing w:before="120" w:after="60"/>
        <w:jc w:val="both"/>
        <w:rPr>
          <w:lang w:eastAsia="bg-BG"/>
        </w:rPr>
      </w:pPr>
      <w:r w:rsidRPr="00702819">
        <w:rPr>
          <w:lang w:eastAsia="bg-BG"/>
        </w:rPr>
        <w:t>Извършените погашения по заеми от чужбина по централния бюджет възлизат на 64,5 млн. лв., в т.ч.:</w:t>
      </w:r>
    </w:p>
    <w:p w:rsidR="002E2D64" w:rsidRPr="00702819" w:rsidRDefault="002E2D64" w:rsidP="002E2D64">
      <w:pPr>
        <w:numPr>
          <w:ilvl w:val="0"/>
          <w:numId w:val="23"/>
        </w:numPr>
        <w:tabs>
          <w:tab w:val="num" w:pos="900"/>
          <w:tab w:val="left" w:pos="993"/>
          <w:tab w:val="left" w:pos="1080"/>
          <w:tab w:val="left" w:pos="10348"/>
        </w:tabs>
        <w:spacing w:after="60"/>
        <w:ind w:left="0" w:right="42" w:firstLine="720"/>
        <w:jc w:val="both"/>
        <w:rPr>
          <w:rFonts w:ascii="Arial" w:hAnsi="Arial" w:cs="Arial"/>
          <w:lang w:eastAsia="bg-BG"/>
        </w:rPr>
      </w:pPr>
      <w:r w:rsidRPr="00702819">
        <w:rPr>
          <w:lang w:eastAsia="bg-BG"/>
        </w:rPr>
        <w:t>47,6 млн. лв. по заем към Международната банка за възстановяване и развитие;</w:t>
      </w:r>
    </w:p>
    <w:p w:rsidR="002E2D64" w:rsidRPr="00702819" w:rsidRDefault="002E2D64" w:rsidP="002E2D64">
      <w:pPr>
        <w:numPr>
          <w:ilvl w:val="0"/>
          <w:numId w:val="23"/>
        </w:numPr>
        <w:tabs>
          <w:tab w:val="num" w:pos="900"/>
          <w:tab w:val="left" w:pos="993"/>
          <w:tab w:val="left" w:pos="1080"/>
          <w:tab w:val="left" w:pos="10348"/>
        </w:tabs>
        <w:spacing w:after="60"/>
        <w:ind w:left="0" w:right="42" w:firstLine="720"/>
        <w:jc w:val="both"/>
        <w:rPr>
          <w:rFonts w:ascii="Arial" w:hAnsi="Arial" w:cs="Arial"/>
          <w:lang w:eastAsia="bg-BG"/>
        </w:rPr>
      </w:pPr>
      <w:r w:rsidRPr="00702819">
        <w:rPr>
          <w:lang w:eastAsia="bg-BG"/>
        </w:rPr>
        <w:lastRenderedPageBreak/>
        <w:t>7,1 млн. лв. по държавен заем към Европейска инвестиционна банка;</w:t>
      </w:r>
    </w:p>
    <w:p w:rsidR="002E2D64" w:rsidRPr="00702819" w:rsidRDefault="002E2D64" w:rsidP="002E2D64">
      <w:pPr>
        <w:numPr>
          <w:ilvl w:val="0"/>
          <w:numId w:val="23"/>
        </w:numPr>
        <w:tabs>
          <w:tab w:val="num" w:pos="900"/>
          <w:tab w:val="left" w:pos="993"/>
          <w:tab w:val="left" w:pos="1080"/>
          <w:tab w:val="left" w:pos="10348"/>
        </w:tabs>
        <w:spacing w:after="60"/>
        <w:ind w:left="0" w:right="42" w:firstLine="720"/>
        <w:jc w:val="both"/>
        <w:rPr>
          <w:lang w:eastAsia="bg-BG"/>
        </w:rPr>
      </w:pPr>
      <w:r w:rsidRPr="00702819">
        <w:rPr>
          <w:lang w:eastAsia="bg-BG"/>
        </w:rPr>
        <w:t>9,8 млн. лв. към Банка за развитие на Съвета на Европа.</w:t>
      </w:r>
    </w:p>
    <w:p w:rsidR="002E2D64" w:rsidRPr="00702819" w:rsidRDefault="002E2D64" w:rsidP="002E2D64">
      <w:pPr>
        <w:spacing w:after="120"/>
        <w:jc w:val="both"/>
        <w:rPr>
          <w:lang w:eastAsia="bg-BG"/>
        </w:rPr>
      </w:pPr>
      <w:r w:rsidRPr="00702819">
        <w:rPr>
          <w:lang w:eastAsia="bg-BG"/>
        </w:rPr>
        <w:t xml:space="preserve">По </w:t>
      </w:r>
      <w:r w:rsidRPr="00702819">
        <w:rPr>
          <w:b/>
          <w:lang w:eastAsia="bg-BG"/>
        </w:rPr>
        <w:t>държавните инвестиционни заеми</w:t>
      </w:r>
      <w:r w:rsidRPr="00702819">
        <w:rPr>
          <w:lang w:eastAsia="bg-BG"/>
        </w:rPr>
        <w:t xml:space="preserve">, управлявани от министерства и ведомства през периода са </w:t>
      </w:r>
      <w:r w:rsidRPr="00702819">
        <w:rPr>
          <w:b/>
          <w:i/>
          <w:lang w:eastAsia="bg-BG"/>
        </w:rPr>
        <w:t>усвоени</w:t>
      </w:r>
      <w:r w:rsidRPr="00702819">
        <w:rPr>
          <w:lang w:eastAsia="bg-BG"/>
        </w:rPr>
        <w:t xml:space="preserve"> 7,8 млн. лв. по заем „Проект за развитие на общинската инфраструктура“ - Световна банка. По заеми с краен бенефициент търговско дружество няма усвоявания. </w:t>
      </w:r>
      <w:r w:rsidRPr="00702819">
        <w:rPr>
          <w:b/>
          <w:i/>
          <w:lang w:eastAsia="bg-BG"/>
        </w:rPr>
        <w:t>Изплатените погашения</w:t>
      </w:r>
      <w:r w:rsidRPr="00702819">
        <w:rPr>
          <w:lang w:eastAsia="bg-BG"/>
        </w:rPr>
        <w:t xml:space="preserve"> по ДИЗ, управлявани от министерства и ведомства, са в размер на 80,4 млн. лева. По заемите с краен бенефициент търговско дружество са извършени погашения  в размер на 10,2 млн. лева. </w:t>
      </w:r>
    </w:p>
    <w:p w:rsidR="002E2D64" w:rsidRPr="00702819" w:rsidRDefault="002E2D64" w:rsidP="002E2D64">
      <w:pPr>
        <w:spacing w:after="120"/>
        <w:jc w:val="both"/>
        <w:rPr>
          <w:lang w:eastAsia="bg-BG"/>
        </w:rPr>
      </w:pPr>
      <w:r w:rsidRPr="00702819">
        <w:rPr>
          <w:lang w:eastAsia="bg-BG"/>
        </w:rPr>
        <w:t>Не са използвани средства, предвидени за покриване на риска от активиране на държавни гаранции.</w:t>
      </w:r>
    </w:p>
    <w:p w:rsidR="002E2D64" w:rsidRPr="00702819" w:rsidRDefault="002E2D64" w:rsidP="002E2D64">
      <w:pPr>
        <w:spacing w:after="60"/>
        <w:jc w:val="both"/>
        <w:rPr>
          <w:lang w:eastAsia="bg-BG"/>
        </w:rPr>
      </w:pPr>
      <w:r w:rsidRPr="00702819">
        <w:rPr>
          <w:lang w:eastAsia="bg-BG"/>
        </w:rPr>
        <w:t xml:space="preserve">Операции с </w:t>
      </w:r>
      <w:r w:rsidRPr="00702819">
        <w:rPr>
          <w:b/>
          <w:lang w:eastAsia="bg-BG"/>
        </w:rPr>
        <w:t xml:space="preserve">държавни ценни книжа </w:t>
      </w:r>
      <w:r w:rsidRPr="00702819">
        <w:rPr>
          <w:lang w:eastAsia="bg-BG"/>
        </w:rPr>
        <w:t xml:space="preserve">по централния бюджет </w:t>
      </w:r>
      <w:r w:rsidRPr="00702819">
        <w:rPr>
          <w:b/>
          <w:lang w:eastAsia="bg-BG"/>
        </w:rPr>
        <w:t>(позиция във вътрешното финансиране):</w:t>
      </w:r>
      <w:r w:rsidRPr="00702819">
        <w:rPr>
          <w:lang w:eastAsia="bg-BG"/>
        </w:rPr>
        <w:t xml:space="preserve"> Към 30 септември 2019 г. е реализирано отрицателно нетно вътрешно финансиране на бюджета с държавни ценни книжа (ДЦК) в размер на 22,2 млн. лв. Общият размер на постъпленията от емисии на ДЦК е 898,1 млн. лв. Емитирани </w:t>
      </w:r>
      <w:bookmarkStart w:id="34" w:name="OLE_LINK4"/>
      <w:bookmarkStart w:id="35" w:name="OLE_LINK5"/>
      <w:r w:rsidRPr="00702819">
        <w:rPr>
          <w:lang w:eastAsia="bg-BG"/>
        </w:rPr>
        <w:t xml:space="preserve">са ДЦК на съвкупна номинална стойност, както следва: 400,0 </w:t>
      </w:r>
      <w:bookmarkEnd w:id="34"/>
      <w:bookmarkEnd w:id="35"/>
      <w:r w:rsidRPr="00702819">
        <w:rPr>
          <w:lang w:eastAsia="bg-BG"/>
        </w:rPr>
        <w:t>млн. лв. - 10,5-годишни ДЦК и 500,6 млн. лв. - 20-годишни ДЦК, деноминирани в лева.</w:t>
      </w:r>
    </w:p>
    <w:p w:rsidR="002E2D64" w:rsidRPr="00702819" w:rsidRDefault="002E2D64" w:rsidP="002E2D64">
      <w:pPr>
        <w:spacing w:before="120" w:after="120"/>
        <w:jc w:val="both"/>
        <w:rPr>
          <w:lang w:eastAsia="bg-BG"/>
        </w:rPr>
      </w:pPr>
      <w:r w:rsidRPr="00702819">
        <w:rPr>
          <w:lang w:eastAsia="bg-BG"/>
        </w:rPr>
        <w:t>Отчетените погашения за периода са в размер на 920,3 млн. лв., в т.ч. 887,9 млн. лв. по ДЦК, емитирани за финансиране на дефицита и 32,4 млн. лв. по ДЦК, емитирани за структурната реформа.</w:t>
      </w:r>
    </w:p>
    <w:p w:rsidR="0004753C" w:rsidRPr="005B6604" w:rsidRDefault="0004753C" w:rsidP="00C2409D">
      <w:pPr>
        <w:pStyle w:val="Heading1"/>
        <w:numPr>
          <w:ilvl w:val="1"/>
          <w:numId w:val="10"/>
        </w:numPr>
        <w:spacing w:before="240" w:after="120"/>
        <w:ind w:right="-108" w:hanging="357"/>
        <w:jc w:val="both"/>
        <w:rPr>
          <w:sz w:val="24"/>
        </w:rPr>
      </w:pPr>
      <w:r w:rsidRPr="005B6604">
        <w:rPr>
          <w:sz w:val="24"/>
        </w:rPr>
        <w:t>Бюджет на съдебната власт</w:t>
      </w:r>
    </w:p>
    <w:p w:rsidR="005B6604" w:rsidRPr="00DE0D0D" w:rsidRDefault="005B6604" w:rsidP="005B6604">
      <w:pPr>
        <w:ind w:firstLine="567"/>
        <w:jc w:val="both"/>
      </w:pPr>
      <w:r w:rsidRPr="002372DD">
        <w:t xml:space="preserve">Със ЗДБРБ за 2019 г. са предвидени общо </w:t>
      </w:r>
      <w:r w:rsidRPr="002372DD">
        <w:rPr>
          <w:b/>
        </w:rPr>
        <w:t>приходи</w:t>
      </w:r>
      <w:r w:rsidRPr="002372DD">
        <w:t xml:space="preserve"> по бюджета на съдебната власт в </w:t>
      </w:r>
      <w:r w:rsidRPr="00DE0D0D">
        <w:t>размер на 116,0 млн.</w:t>
      </w:r>
      <w:r w:rsidRPr="00DE0D0D">
        <w:rPr>
          <w:lang w:val="en-US"/>
        </w:rPr>
        <w:t xml:space="preserve"> </w:t>
      </w:r>
      <w:r w:rsidRPr="00DE0D0D">
        <w:t>лв., от тях 100,0 млн.</w:t>
      </w:r>
      <w:r w:rsidRPr="00DE0D0D">
        <w:rPr>
          <w:lang w:val="en-US"/>
        </w:rPr>
        <w:t xml:space="preserve"> </w:t>
      </w:r>
      <w:r w:rsidRPr="00DE0D0D">
        <w:t>лв. са приходи от съдебни такси. За деветмесечието на 2019 г. са отчетени приходи в размер на 81,9 млн. лв. (70,6 % от планираните), от които 68,5 млн. лв. - приходи от съдебни такси. За сравнение, към 30.09.2018 г. са отчетени общо неданъчни приходи в размер на 88,</w:t>
      </w:r>
      <w:r>
        <w:t>3</w:t>
      </w:r>
      <w:r w:rsidRPr="00DE0D0D">
        <w:t xml:space="preserve"> млн. лв. (76,1 % от закона), от които 70,0 млн. лв. - приходи от съдебни такси.</w:t>
      </w:r>
    </w:p>
    <w:p w:rsidR="005B6604" w:rsidRPr="002A4821" w:rsidRDefault="005B6604" w:rsidP="005B6604">
      <w:pPr>
        <w:ind w:firstLine="567"/>
        <w:jc w:val="both"/>
        <w:rPr>
          <w:lang w:val="en-US"/>
        </w:rPr>
      </w:pPr>
      <w:r w:rsidRPr="00761BAB">
        <w:rPr>
          <w:b/>
        </w:rPr>
        <w:t xml:space="preserve">Разходите </w:t>
      </w:r>
      <w:r w:rsidRPr="00761BAB">
        <w:t>по бюджета на съдебната власт</w:t>
      </w:r>
      <w:r w:rsidRPr="00761BAB">
        <w:rPr>
          <w:b/>
        </w:rPr>
        <w:t xml:space="preserve"> </w:t>
      </w:r>
      <w:r w:rsidRPr="00761BAB">
        <w:t>към 30.09.2019 г.</w:t>
      </w:r>
      <w:r w:rsidRPr="00761BAB">
        <w:rPr>
          <w:b/>
        </w:rPr>
        <w:t xml:space="preserve"> </w:t>
      </w:r>
      <w:r w:rsidRPr="00761BAB">
        <w:t xml:space="preserve">са в размер на 497,0 млн. лв. или 70,6 % от планираните за годината (704,3 млн. лв.). За сравнение, през същия период на </w:t>
      </w:r>
      <w:r w:rsidRPr="002A4821">
        <w:t>2018 г. са отчетени разходи в размер 436,5 млн. лв., които представляват 73,8 % от опре</w:t>
      </w:r>
      <w:r w:rsidRPr="002A4821">
        <w:lastRenderedPageBreak/>
        <w:t>делените с годишния закон 591,1 млн. лева. За деветмесечието на 2019 г. с най-голям относителен дял от отчетените разходи са тези за персонал – 90,6 % (450,0 млн. лв.).</w:t>
      </w:r>
    </w:p>
    <w:p w:rsidR="00F521AA" w:rsidRPr="00554124" w:rsidRDefault="00F521AA" w:rsidP="00F521AA">
      <w:pPr>
        <w:pStyle w:val="Heading1"/>
        <w:numPr>
          <w:ilvl w:val="0"/>
          <w:numId w:val="10"/>
        </w:numPr>
        <w:spacing w:before="240" w:after="120"/>
        <w:ind w:left="748" w:right="-108" w:hanging="391"/>
        <w:jc w:val="both"/>
        <w:rPr>
          <w:sz w:val="24"/>
        </w:rPr>
      </w:pPr>
      <w:r w:rsidRPr="00554124">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rsidR="00F521AA" w:rsidRPr="00554124" w:rsidRDefault="00F521AA" w:rsidP="00F521AA">
      <w:pPr>
        <w:pStyle w:val="Heading1"/>
        <w:numPr>
          <w:ilvl w:val="1"/>
          <w:numId w:val="10"/>
        </w:numPr>
        <w:spacing w:after="120"/>
        <w:ind w:left="788" w:right="-108" w:hanging="431"/>
        <w:jc w:val="both"/>
        <w:rPr>
          <w:sz w:val="24"/>
          <w:lang w:val="en-US"/>
        </w:rPr>
      </w:pPr>
      <w:r w:rsidRPr="00554124">
        <w:rPr>
          <w:sz w:val="24"/>
        </w:rPr>
        <w:t xml:space="preserve"> Сметка за Европейски средства на Разплащателна агенция към Държавен фонд „Земеделие” </w:t>
      </w:r>
    </w:p>
    <w:p w:rsidR="00063CF1" w:rsidRPr="00554124" w:rsidRDefault="00063CF1" w:rsidP="00063CF1">
      <w:pPr>
        <w:numPr>
          <w:ilvl w:val="0"/>
          <w:numId w:val="28"/>
        </w:numPr>
        <w:tabs>
          <w:tab w:val="num" w:pos="540"/>
        </w:tabs>
        <w:spacing w:before="120" w:after="120" w:line="276" w:lineRule="auto"/>
        <w:contextualSpacing/>
        <w:jc w:val="both"/>
        <w:rPr>
          <w:b/>
          <w:lang w:eastAsia="bg-BG"/>
        </w:rPr>
      </w:pPr>
      <w:r w:rsidRPr="00554124">
        <w:rPr>
          <w:b/>
          <w:lang w:eastAsia="bg-BG"/>
        </w:rPr>
        <w:t>Приходи</w:t>
      </w:r>
    </w:p>
    <w:p w:rsidR="00063CF1" w:rsidRPr="00B93FD2" w:rsidRDefault="00063CF1" w:rsidP="00063CF1">
      <w:pPr>
        <w:ind w:firstLine="708"/>
        <w:jc w:val="both"/>
        <w:rPr>
          <w:color w:val="4F81BD" w:themeColor="accent1"/>
        </w:rPr>
      </w:pPr>
      <w:r w:rsidRPr="00DB3FDB">
        <w:t>За 2019 г. 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863,0 млн. лева. Към 3</w:t>
      </w:r>
      <w:r w:rsidR="00701F04" w:rsidRPr="00DB3FDB">
        <w:t>0</w:t>
      </w:r>
      <w:r w:rsidRPr="00DB3FDB">
        <w:t>.0</w:t>
      </w:r>
      <w:r w:rsidR="00DB3FDB" w:rsidRPr="00DB3FDB">
        <w:rPr>
          <w:lang w:val="en-US"/>
        </w:rPr>
        <w:t>9</w:t>
      </w:r>
      <w:r w:rsidRPr="00DB3FDB">
        <w:t>.2019 г. постъпленията са в размер на 2</w:t>
      </w:r>
      <w:r w:rsidR="00DB3FDB" w:rsidRPr="00DB3FDB">
        <w:rPr>
          <w:lang w:val="en-US"/>
        </w:rPr>
        <w:t>83</w:t>
      </w:r>
      <w:r w:rsidR="00701F04" w:rsidRPr="00DB3FDB">
        <w:t>,</w:t>
      </w:r>
      <w:r w:rsidR="00DB3FDB" w:rsidRPr="00DB3FDB">
        <w:rPr>
          <w:lang w:val="en-US"/>
        </w:rPr>
        <w:t>6</w:t>
      </w:r>
      <w:r w:rsidRPr="00DB3FDB">
        <w:t xml:space="preserve"> млн. лв., което представлява </w:t>
      </w:r>
      <w:r w:rsidR="00DB3FDB" w:rsidRPr="00DB3FDB">
        <w:rPr>
          <w:lang w:val="en-US"/>
        </w:rPr>
        <w:t>32</w:t>
      </w:r>
      <w:r w:rsidR="00701F04" w:rsidRPr="00DB3FDB">
        <w:t>,</w:t>
      </w:r>
      <w:r w:rsidR="00DB3FDB" w:rsidRPr="00DB3FDB">
        <w:rPr>
          <w:lang w:val="en-US"/>
        </w:rPr>
        <w:t>9</w:t>
      </w:r>
      <w:r w:rsidRPr="00DB3FDB">
        <w:t xml:space="preserve"> % от годишния план, при </w:t>
      </w:r>
      <w:r w:rsidR="00DB3FDB" w:rsidRPr="00DB3FDB">
        <w:rPr>
          <w:lang w:val="en-US"/>
        </w:rPr>
        <w:t>16</w:t>
      </w:r>
      <w:r w:rsidR="00701F04" w:rsidRPr="00DB3FDB">
        <w:t>,</w:t>
      </w:r>
      <w:r w:rsidR="00DB3FDB" w:rsidRPr="00DB3FDB">
        <w:rPr>
          <w:lang w:val="en-US"/>
        </w:rPr>
        <w:t>3</w:t>
      </w:r>
      <w:r w:rsidRPr="00DB3FDB">
        <w:t xml:space="preserve"> % изпълнение на годишния план за същия период на предходната година.</w:t>
      </w:r>
      <w:r w:rsidRPr="00DB3FDB">
        <w:rPr>
          <w:lang w:val="en-US"/>
        </w:rPr>
        <w:t xml:space="preserve"> </w:t>
      </w:r>
      <w:r w:rsidRPr="00DB3FDB">
        <w:rPr>
          <w:rFonts w:eastAsiaTheme="minorHAnsi"/>
        </w:rPr>
        <w:t>Приходната част е формирана почти изцяло от помощи и дарения от чужбина, разпределени както следва:</w:t>
      </w:r>
    </w:p>
    <w:p w:rsidR="00063CF1" w:rsidRPr="00DB3FDB" w:rsidRDefault="00063CF1" w:rsidP="00063CF1">
      <w:pPr>
        <w:numPr>
          <w:ilvl w:val="0"/>
          <w:numId w:val="25"/>
        </w:numPr>
        <w:tabs>
          <w:tab w:val="left" w:pos="993"/>
        </w:tabs>
        <w:spacing w:before="120" w:after="120" w:line="276" w:lineRule="auto"/>
        <w:ind w:left="1321" w:hanging="612"/>
        <w:jc w:val="both"/>
        <w:rPr>
          <w:b/>
          <w:i/>
        </w:rPr>
      </w:pPr>
      <w:r w:rsidRPr="00DB3FDB">
        <w:rPr>
          <w:b/>
          <w:i/>
        </w:rPr>
        <w:t>Текущи помощи и дарения от Европейския съюз</w:t>
      </w:r>
    </w:p>
    <w:p w:rsidR="00063CF1" w:rsidRPr="00516BBA" w:rsidRDefault="00063CF1" w:rsidP="00063CF1">
      <w:pPr>
        <w:ind w:firstLine="708"/>
        <w:jc w:val="both"/>
      </w:pPr>
      <w:r w:rsidRPr="00516BBA">
        <w:t xml:space="preserve">Общият размер на получените приходи, отчетени в „Текущи помощи и дарения от Европейския съюз“ към края на </w:t>
      </w:r>
      <w:r w:rsidR="00DB3FDB" w:rsidRPr="00516BBA">
        <w:t>септември</w:t>
      </w:r>
      <w:r w:rsidRPr="00516BBA">
        <w:t xml:space="preserve"> 2019 г. е </w:t>
      </w:r>
      <w:r w:rsidR="00516BBA" w:rsidRPr="00516BBA">
        <w:t>41</w:t>
      </w:r>
      <w:r w:rsidR="006711CD" w:rsidRPr="00516BBA">
        <w:t>,</w:t>
      </w:r>
      <w:r w:rsidR="00516BBA" w:rsidRPr="00516BBA">
        <w:t>5</w:t>
      </w:r>
      <w:r w:rsidRPr="00516BBA">
        <w:t xml:space="preserve"> млн. лв. при планирани за годината средства в размер на 200,6 млн. лева.</w:t>
      </w:r>
    </w:p>
    <w:p w:rsidR="009C0765" w:rsidRPr="00B93FD2" w:rsidRDefault="009C0765" w:rsidP="009C0765">
      <w:pPr>
        <w:ind w:firstLine="708"/>
        <w:jc w:val="both"/>
        <w:rPr>
          <w:color w:val="4F81BD" w:themeColor="accent1"/>
          <w:lang w:val="en-US"/>
        </w:rPr>
      </w:pPr>
      <w:r w:rsidRPr="00516BBA">
        <w:t>Получените текущи приходи от възстановяване на средства от Европейски земеделски фонд за развитие на селските райони (ЕЗФРСР) по линия на ПРСР, без директни плащания, към 3</w:t>
      </w:r>
      <w:r w:rsidR="003D6670" w:rsidRPr="00516BBA">
        <w:t>0</w:t>
      </w:r>
      <w:r w:rsidRPr="00516BBA">
        <w:t>.0</w:t>
      </w:r>
      <w:r w:rsidR="00516BBA" w:rsidRPr="00516BBA">
        <w:t>9</w:t>
      </w:r>
      <w:r w:rsidRPr="00516BBA">
        <w:t xml:space="preserve">.2019 г. са </w:t>
      </w:r>
      <w:r w:rsidR="00516BBA" w:rsidRPr="00516BBA">
        <w:t>32</w:t>
      </w:r>
      <w:r w:rsidRPr="00516BBA">
        <w:t>,</w:t>
      </w:r>
      <w:r w:rsidR="00516BBA" w:rsidRPr="00516BBA">
        <w:t>0</w:t>
      </w:r>
      <w:r w:rsidRPr="00516BBA">
        <w:t xml:space="preserve"> млн. лв., което е 1</w:t>
      </w:r>
      <w:r w:rsidR="00516BBA" w:rsidRPr="00516BBA">
        <w:t>7</w:t>
      </w:r>
      <w:r w:rsidR="003D6670" w:rsidRPr="00516BBA">
        <w:t>,</w:t>
      </w:r>
      <w:r w:rsidR="00516BBA" w:rsidRPr="00516BBA">
        <w:t>2</w:t>
      </w:r>
      <w:r w:rsidRPr="00516BBA">
        <w:t xml:space="preserve"> % от планираните за годината 185,6 млн. л</w:t>
      </w:r>
      <w:r w:rsidR="00417E9B" w:rsidRPr="00516BBA">
        <w:t>е</w:t>
      </w:r>
      <w:r w:rsidRPr="00516BBA">
        <w:t>в</w:t>
      </w:r>
      <w:r w:rsidR="00417E9B" w:rsidRPr="00516BBA">
        <w:t>а</w:t>
      </w:r>
      <w:r w:rsidRPr="00516BBA">
        <w:t>.</w:t>
      </w:r>
      <w:r w:rsidRPr="00516BBA">
        <w:rPr>
          <w:lang w:val="en-US"/>
        </w:rPr>
        <w:t xml:space="preserve"> </w:t>
      </w:r>
      <w:r w:rsidR="00417E9B" w:rsidRPr="00073108">
        <w:t>Съпоставено</w:t>
      </w:r>
      <w:r w:rsidRPr="00073108">
        <w:t xml:space="preserve"> със същия период на предходната година, изпълнението на плана </w:t>
      </w:r>
      <w:r w:rsidR="00CB5FC6" w:rsidRPr="00073108">
        <w:t>за първ</w:t>
      </w:r>
      <w:r w:rsidR="00073108" w:rsidRPr="00073108">
        <w:t>ите</w:t>
      </w:r>
      <w:r w:rsidR="00CB5FC6" w:rsidRPr="00073108">
        <w:t xml:space="preserve"> </w:t>
      </w:r>
      <w:r w:rsidR="00073108" w:rsidRPr="00073108">
        <w:t>девет месеца</w:t>
      </w:r>
      <w:r w:rsidR="00CB5FC6" w:rsidRPr="00073108">
        <w:t xml:space="preserve"> на 2019 г. </w:t>
      </w:r>
      <w:r w:rsidRPr="00073108">
        <w:t xml:space="preserve">е </w:t>
      </w:r>
      <w:r w:rsidR="003D6670" w:rsidRPr="00073108">
        <w:t>с</w:t>
      </w:r>
      <w:r w:rsidRPr="00073108">
        <w:t xml:space="preserve"> 1</w:t>
      </w:r>
      <w:r w:rsidR="00073108" w:rsidRPr="00073108">
        <w:t>4</w:t>
      </w:r>
      <w:r w:rsidRPr="00073108">
        <w:t>,</w:t>
      </w:r>
      <w:r w:rsidR="00073108" w:rsidRPr="00073108">
        <w:t>1</w:t>
      </w:r>
      <w:r w:rsidRPr="00073108">
        <w:t xml:space="preserve"> </w:t>
      </w:r>
      <w:r w:rsidR="0070267F">
        <w:t>%</w:t>
      </w:r>
      <w:r w:rsidR="003D6670" w:rsidRPr="00073108">
        <w:t xml:space="preserve"> по-малко</w:t>
      </w:r>
      <w:r w:rsidRPr="00073108">
        <w:t>.</w:t>
      </w:r>
    </w:p>
    <w:p w:rsidR="009C0765" w:rsidRPr="00B93FD2" w:rsidRDefault="009C0765" w:rsidP="009C0765">
      <w:pPr>
        <w:ind w:firstLine="708"/>
        <w:jc w:val="both"/>
        <w:rPr>
          <w:color w:val="4F81BD" w:themeColor="accent1"/>
        </w:rPr>
      </w:pPr>
      <w:r w:rsidRPr="00073108">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(EФГЗ) към 3</w:t>
      </w:r>
      <w:r w:rsidR="001F1E88" w:rsidRPr="00073108">
        <w:rPr>
          <w:lang w:val="en-US"/>
        </w:rPr>
        <w:t>0</w:t>
      </w:r>
      <w:r w:rsidRPr="00073108">
        <w:t>.0</w:t>
      </w:r>
      <w:r w:rsidR="00073108" w:rsidRPr="00073108">
        <w:t>9</w:t>
      </w:r>
      <w:r w:rsidRPr="00073108">
        <w:t>.201</w:t>
      </w:r>
      <w:r w:rsidRPr="00073108">
        <w:rPr>
          <w:lang w:val="en-US"/>
        </w:rPr>
        <w:t>9</w:t>
      </w:r>
      <w:r w:rsidRPr="00073108">
        <w:t xml:space="preserve"> г. са </w:t>
      </w:r>
      <w:r w:rsidR="00073108" w:rsidRPr="00073108">
        <w:t>4</w:t>
      </w:r>
      <w:r w:rsidR="001F1E88" w:rsidRPr="00073108">
        <w:t>,</w:t>
      </w:r>
      <w:r w:rsidR="00073108" w:rsidRPr="00073108">
        <w:t>2</w:t>
      </w:r>
      <w:r w:rsidRPr="00073108">
        <w:t xml:space="preserve"> млн. лв., което представлява </w:t>
      </w:r>
      <w:r w:rsidR="00073108" w:rsidRPr="00073108">
        <w:t>53</w:t>
      </w:r>
      <w:r w:rsidR="001F1E88" w:rsidRPr="00073108">
        <w:t>,</w:t>
      </w:r>
      <w:r w:rsidR="00073108" w:rsidRPr="00073108">
        <w:t>9</w:t>
      </w:r>
      <w:r w:rsidRPr="00073108">
        <w:t xml:space="preserve"> % от планираните за годината 7,8 млн. лева. </w:t>
      </w:r>
      <w:r w:rsidR="00CB5FC6" w:rsidRPr="00073108">
        <w:t>За сравнение, за</w:t>
      </w:r>
      <w:r w:rsidRPr="00073108">
        <w:t xml:space="preserve"> същ</w:t>
      </w:r>
      <w:r w:rsidR="00CB5FC6" w:rsidRPr="00073108">
        <w:t>ия период на предходната година</w:t>
      </w:r>
      <w:r w:rsidRPr="00073108">
        <w:t xml:space="preserve"> възстановените суми по това направление са </w:t>
      </w:r>
      <w:r w:rsidR="00073108" w:rsidRPr="00073108">
        <w:t>80</w:t>
      </w:r>
      <w:r w:rsidR="001F1E88" w:rsidRPr="00073108">
        <w:t>,</w:t>
      </w:r>
      <w:r w:rsidR="00073108" w:rsidRPr="00073108">
        <w:t>2</w:t>
      </w:r>
      <w:r w:rsidRPr="00073108">
        <w:t xml:space="preserve"> %</w:t>
      </w:r>
      <w:r w:rsidR="00CB5FC6" w:rsidRPr="00073108">
        <w:t xml:space="preserve"> от годишния план</w:t>
      </w:r>
      <w:r w:rsidRPr="00073108">
        <w:t xml:space="preserve">. </w:t>
      </w:r>
    </w:p>
    <w:p w:rsidR="009C0765" w:rsidRPr="00B93FD2" w:rsidRDefault="00311D79" w:rsidP="00963799">
      <w:pPr>
        <w:ind w:firstLine="708"/>
        <w:jc w:val="both"/>
        <w:rPr>
          <w:color w:val="4F81BD" w:themeColor="accent1"/>
        </w:rPr>
      </w:pPr>
      <w:r w:rsidRPr="00311D79">
        <w:lastRenderedPageBreak/>
        <w:t>Към края на третото</w:t>
      </w:r>
      <w:r w:rsidR="009C0765" w:rsidRPr="00311D79">
        <w:t xml:space="preserve"> </w:t>
      </w:r>
      <w:r w:rsidRPr="00311D79">
        <w:t>тримесечие</w:t>
      </w:r>
      <w:r w:rsidR="009C0765" w:rsidRPr="00311D79">
        <w:t xml:space="preserve"> на 2019 г. са получени </w:t>
      </w:r>
      <w:r w:rsidR="001F1E88" w:rsidRPr="00311D79">
        <w:t>5,</w:t>
      </w:r>
      <w:r w:rsidRPr="00311D79">
        <w:t>4</w:t>
      </w:r>
      <w:r w:rsidR="009C0765" w:rsidRPr="00311D79">
        <w:t xml:space="preserve"> млн. лв. текущи приходи от възстановяване от Европейския фонд за морско дело и рибарство (ЕФМДР), което представлява </w:t>
      </w:r>
      <w:r w:rsidR="001F1E88" w:rsidRPr="00311D79">
        <w:t>7</w:t>
      </w:r>
      <w:r w:rsidRPr="00311D79">
        <w:t>4</w:t>
      </w:r>
      <w:r w:rsidR="009C0765" w:rsidRPr="00311D79">
        <w:t xml:space="preserve"> % от планираните за годината 7,3 млн. лева. </w:t>
      </w:r>
      <w:r w:rsidR="00963799" w:rsidRPr="00311D79">
        <w:t>За</w:t>
      </w:r>
      <w:r w:rsidR="009C0765" w:rsidRPr="00311D79">
        <w:t xml:space="preserve"> същия период на предходната година </w:t>
      </w:r>
      <w:r w:rsidRPr="00311D79">
        <w:t>изпълнението е било 37,5 %.</w:t>
      </w:r>
      <w:r w:rsidR="009C0765" w:rsidRPr="00311D79">
        <w:t xml:space="preserve"> </w:t>
      </w:r>
    </w:p>
    <w:p w:rsidR="00063CF1" w:rsidRPr="00352C2B" w:rsidRDefault="00063CF1" w:rsidP="00063CF1">
      <w:pPr>
        <w:numPr>
          <w:ilvl w:val="0"/>
          <w:numId w:val="25"/>
        </w:numPr>
        <w:tabs>
          <w:tab w:val="left" w:pos="993"/>
        </w:tabs>
        <w:spacing w:before="120" w:after="120" w:line="276" w:lineRule="auto"/>
        <w:ind w:left="1321" w:hanging="612"/>
        <w:jc w:val="both"/>
        <w:rPr>
          <w:b/>
          <w:i/>
        </w:rPr>
      </w:pPr>
      <w:r w:rsidRPr="00352C2B">
        <w:rPr>
          <w:b/>
          <w:i/>
        </w:rPr>
        <w:t>Капиталови помощи и дарения от Европейския съюз</w:t>
      </w:r>
    </w:p>
    <w:p w:rsidR="00063CF1" w:rsidRPr="00352C2B" w:rsidRDefault="00063CF1" w:rsidP="00063CF1">
      <w:pPr>
        <w:ind w:firstLine="708"/>
        <w:jc w:val="both"/>
      </w:pPr>
      <w:r w:rsidRPr="00352C2B">
        <w:t>Общият размер на получените приходи, отчетени в „Капиталови помощи и дарения от Европейския съюз“ към 3</w:t>
      </w:r>
      <w:r w:rsidR="00E92565" w:rsidRPr="00352C2B">
        <w:t>0</w:t>
      </w:r>
      <w:r w:rsidRPr="00352C2B">
        <w:t>.0</w:t>
      </w:r>
      <w:r w:rsidR="00352C2B" w:rsidRPr="00352C2B">
        <w:t>9</w:t>
      </w:r>
      <w:r w:rsidRPr="00352C2B">
        <w:t xml:space="preserve">.2019 г. е </w:t>
      </w:r>
      <w:r w:rsidR="00352C2B" w:rsidRPr="00352C2B">
        <w:t>241</w:t>
      </w:r>
      <w:r w:rsidR="00E92565" w:rsidRPr="00352C2B">
        <w:t>,8</w:t>
      </w:r>
      <w:r w:rsidRPr="00352C2B">
        <w:t xml:space="preserve"> млн. лв. при планирани за годината 662,4 млн. лева.</w:t>
      </w:r>
    </w:p>
    <w:p w:rsidR="00063CF1" w:rsidRPr="00B93FD2" w:rsidRDefault="00063CF1" w:rsidP="00963799">
      <w:pPr>
        <w:ind w:firstLine="708"/>
        <w:jc w:val="both"/>
        <w:rPr>
          <w:color w:val="4F81BD" w:themeColor="accent1"/>
        </w:rPr>
      </w:pPr>
      <w:r w:rsidRPr="00352C2B">
        <w:t>Получените капиталови приходи от ЕЗФРСР по линия на ПРСР без директни плащания до 3</w:t>
      </w:r>
      <w:r w:rsidR="008F1581" w:rsidRPr="00352C2B">
        <w:t>0</w:t>
      </w:r>
      <w:r w:rsidRPr="00352C2B">
        <w:t>.0</w:t>
      </w:r>
      <w:r w:rsidR="00352C2B" w:rsidRPr="00352C2B">
        <w:t>9</w:t>
      </w:r>
      <w:r w:rsidRPr="00352C2B">
        <w:t xml:space="preserve">.2019 г. са </w:t>
      </w:r>
      <w:r w:rsidR="00352C2B" w:rsidRPr="00352C2B">
        <w:t>234</w:t>
      </w:r>
      <w:r w:rsidR="008F1581" w:rsidRPr="00352C2B">
        <w:t>,3</w:t>
      </w:r>
      <w:r w:rsidRPr="00352C2B">
        <w:t xml:space="preserve"> млн. лева. Общото изпълнение е </w:t>
      </w:r>
      <w:r w:rsidR="00352C2B" w:rsidRPr="00352C2B">
        <w:t>36</w:t>
      </w:r>
      <w:r w:rsidR="008F1581" w:rsidRPr="00352C2B">
        <w:t>,</w:t>
      </w:r>
      <w:r w:rsidR="00352C2B" w:rsidRPr="00352C2B">
        <w:t>6</w:t>
      </w:r>
      <w:r w:rsidRPr="00352C2B">
        <w:t xml:space="preserve">  % от годишния план </w:t>
      </w:r>
      <w:r w:rsidRPr="00352C2B">
        <w:rPr>
          <w:lang w:val="en-US"/>
        </w:rPr>
        <w:t>(</w:t>
      </w:r>
      <w:r w:rsidRPr="00352C2B">
        <w:t>639,7 млн. лв.</w:t>
      </w:r>
      <w:r w:rsidRPr="00352C2B">
        <w:rPr>
          <w:lang w:val="en-US"/>
        </w:rPr>
        <w:t>).</w:t>
      </w:r>
      <w:r w:rsidRPr="00352C2B">
        <w:t xml:space="preserve"> </w:t>
      </w:r>
      <w:r w:rsidR="005C1D42" w:rsidRPr="00352C2B">
        <w:t xml:space="preserve">За сравнение – изпълнението </w:t>
      </w:r>
      <w:r w:rsidR="00963799" w:rsidRPr="00352C2B">
        <w:t xml:space="preserve">на годишния план </w:t>
      </w:r>
      <w:r w:rsidR="005C1D42" w:rsidRPr="00352C2B">
        <w:t xml:space="preserve">за същия период </w:t>
      </w:r>
      <w:r w:rsidR="00963799" w:rsidRPr="00352C2B">
        <w:t>н</w:t>
      </w:r>
      <w:r w:rsidR="005C1D42" w:rsidRPr="00352C2B">
        <w:t xml:space="preserve">а предходната година е </w:t>
      </w:r>
      <w:r w:rsidR="00352C2B" w:rsidRPr="00352C2B">
        <w:t>13</w:t>
      </w:r>
      <w:r w:rsidR="008F1581" w:rsidRPr="00352C2B">
        <w:t>,</w:t>
      </w:r>
      <w:r w:rsidR="00352C2B" w:rsidRPr="00352C2B">
        <w:t>9</w:t>
      </w:r>
      <w:r w:rsidR="005C1D42" w:rsidRPr="00352C2B">
        <w:t xml:space="preserve"> </w:t>
      </w:r>
      <w:r w:rsidR="00963799" w:rsidRPr="00352C2B">
        <w:t>процента</w:t>
      </w:r>
      <w:r w:rsidR="005C1D42" w:rsidRPr="00352C2B">
        <w:t>.</w:t>
      </w:r>
    </w:p>
    <w:p w:rsidR="00063CF1" w:rsidRDefault="00C3675D" w:rsidP="00063CF1">
      <w:pPr>
        <w:ind w:firstLine="708"/>
        <w:jc w:val="both"/>
      </w:pPr>
      <w:r w:rsidRPr="003B7C7B">
        <w:t>През първ</w:t>
      </w:r>
      <w:r w:rsidR="003B7C7B" w:rsidRPr="003B7C7B">
        <w:t>ите</w:t>
      </w:r>
      <w:r w:rsidRPr="003B7C7B">
        <w:t xml:space="preserve"> </w:t>
      </w:r>
      <w:r w:rsidR="003B7C7B" w:rsidRPr="003B7C7B">
        <w:t>девет месеца</w:t>
      </w:r>
      <w:r w:rsidRPr="003B7C7B">
        <w:t xml:space="preserve"> на </w:t>
      </w:r>
      <w:r w:rsidR="00063CF1" w:rsidRPr="003B7C7B">
        <w:t xml:space="preserve">2019 г. са  получени капиталови приходи в размер на </w:t>
      </w:r>
      <w:r w:rsidR="008F1581" w:rsidRPr="003B7C7B">
        <w:t>7,</w:t>
      </w:r>
      <w:r w:rsidR="00063CF1" w:rsidRPr="003B7C7B">
        <w:t xml:space="preserve">5 млн. лв. </w:t>
      </w:r>
      <w:r w:rsidR="00063CF1" w:rsidRPr="003B7C7B">
        <w:rPr>
          <w:rFonts w:eastAsiaTheme="minorHAnsi"/>
        </w:rPr>
        <w:t>от фонд ЕФМДР</w:t>
      </w:r>
      <w:r w:rsidR="00063CF1" w:rsidRPr="003B7C7B">
        <w:t xml:space="preserve"> при планирани за годината 22,6 млн. лв.</w:t>
      </w:r>
      <w:r w:rsidRPr="003B7C7B">
        <w:t>, което е</w:t>
      </w:r>
      <w:r w:rsidR="00063CF1" w:rsidRPr="003B7C7B">
        <w:t xml:space="preserve"> </w:t>
      </w:r>
      <w:r w:rsidR="008F1581" w:rsidRPr="003B7C7B">
        <w:t>33,2</w:t>
      </w:r>
      <w:r w:rsidR="00063CF1" w:rsidRPr="003B7C7B">
        <w:rPr>
          <w:rFonts w:eastAsiaTheme="minorHAnsi"/>
        </w:rPr>
        <w:t xml:space="preserve"> %</w:t>
      </w:r>
      <w:r w:rsidRPr="003B7C7B">
        <w:rPr>
          <w:rFonts w:eastAsiaTheme="minorHAnsi"/>
        </w:rPr>
        <w:t xml:space="preserve"> изпълнение на плана за годината</w:t>
      </w:r>
      <w:r w:rsidR="00063CF1" w:rsidRPr="003B7C7B">
        <w:rPr>
          <w:rFonts w:eastAsiaTheme="minorHAnsi"/>
        </w:rPr>
        <w:t>.</w:t>
      </w:r>
      <w:r w:rsidR="003B7C7B">
        <w:rPr>
          <w:rFonts w:eastAsiaTheme="minorHAnsi"/>
        </w:rPr>
        <w:t xml:space="preserve"> </w:t>
      </w:r>
      <w:r w:rsidR="003B7C7B">
        <w:t>За сравнение към 30.09.2018 г. по това направление са получени 0,2 млн. лв.</w:t>
      </w:r>
    </w:p>
    <w:p w:rsidR="0084199D" w:rsidRDefault="0084199D" w:rsidP="00063CF1">
      <w:pPr>
        <w:ind w:firstLine="708"/>
        <w:jc w:val="both"/>
      </w:pPr>
    </w:p>
    <w:p w:rsidR="0084199D" w:rsidRDefault="0084199D" w:rsidP="00063CF1">
      <w:pPr>
        <w:ind w:firstLine="708"/>
        <w:jc w:val="both"/>
      </w:pPr>
    </w:p>
    <w:p w:rsidR="0084199D" w:rsidRDefault="0084199D" w:rsidP="00063CF1">
      <w:pPr>
        <w:ind w:firstLine="708"/>
        <w:jc w:val="both"/>
      </w:pPr>
    </w:p>
    <w:p w:rsidR="0084199D" w:rsidRPr="003B7C7B" w:rsidRDefault="0084199D" w:rsidP="00063CF1">
      <w:pPr>
        <w:ind w:firstLine="708"/>
        <w:jc w:val="both"/>
        <w:rPr>
          <w:rFonts w:eastAsiaTheme="minorHAnsi"/>
          <w:lang w:val="en-US"/>
        </w:rPr>
      </w:pPr>
    </w:p>
    <w:p w:rsidR="00063CF1" w:rsidRPr="00B93FD2" w:rsidRDefault="00063CF1" w:rsidP="00063CF1">
      <w:pPr>
        <w:jc w:val="both"/>
        <w:rPr>
          <w:color w:val="4F81BD" w:themeColor="accent1"/>
          <w:sz w:val="10"/>
        </w:rPr>
      </w:pPr>
    </w:p>
    <w:p w:rsidR="00063CF1" w:rsidRPr="00B65833" w:rsidRDefault="00063CF1" w:rsidP="00063CF1">
      <w:pPr>
        <w:numPr>
          <w:ilvl w:val="0"/>
          <w:numId w:val="28"/>
        </w:numPr>
        <w:tabs>
          <w:tab w:val="num" w:pos="540"/>
        </w:tabs>
        <w:spacing w:before="240" w:after="120" w:line="276" w:lineRule="auto"/>
        <w:ind w:left="777" w:hanging="357"/>
        <w:contextualSpacing/>
        <w:jc w:val="both"/>
        <w:rPr>
          <w:b/>
          <w:lang w:eastAsia="bg-BG"/>
        </w:rPr>
      </w:pPr>
      <w:r w:rsidRPr="00B65833">
        <w:rPr>
          <w:b/>
          <w:lang w:eastAsia="bg-BG"/>
        </w:rPr>
        <w:t xml:space="preserve">Разходи </w:t>
      </w:r>
    </w:p>
    <w:p w:rsidR="00063CF1" w:rsidRPr="007542B0" w:rsidRDefault="00063CF1" w:rsidP="00063CF1">
      <w:pPr>
        <w:ind w:firstLine="708"/>
        <w:jc w:val="both"/>
      </w:pPr>
      <w:r w:rsidRPr="007542B0">
        <w:t xml:space="preserve">Общият размер на планираните за 2019 г. разходи по утвърдените годишни разчети на сметката за средства от Европейския съюз на Разплащателната агенция към ДФ „Земеделие” </w:t>
      </w:r>
      <w:r w:rsidR="00C3675D" w:rsidRPr="007542B0">
        <w:t>е</w:t>
      </w:r>
      <w:r w:rsidRPr="007542B0">
        <w:t xml:space="preserve"> 1 156,8 млн. лева. </w:t>
      </w:r>
    </w:p>
    <w:p w:rsidR="00063CF1" w:rsidRPr="007542B0" w:rsidRDefault="00063CF1" w:rsidP="00063CF1">
      <w:pPr>
        <w:ind w:firstLine="708"/>
        <w:jc w:val="both"/>
      </w:pPr>
      <w:r w:rsidRPr="007542B0">
        <w:t>Уточненият план на субсидиите за текуща дейност и капиталовите трансфери за 2019 г. е 650,8 млн. лева. Изпълнението към 3</w:t>
      </w:r>
      <w:r w:rsidR="008F1581" w:rsidRPr="007542B0">
        <w:t>0</w:t>
      </w:r>
      <w:r w:rsidRPr="007542B0">
        <w:t>.0</w:t>
      </w:r>
      <w:r w:rsidR="007542B0" w:rsidRPr="007542B0">
        <w:t>9</w:t>
      </w:r>
      <w:r w:rsidRPr="007542B0">
        <w:t xml:space="preserve">.2019 г. възлиза на </w:t>
      </w:r>
      <w:r w:rsidR="007542B0" w:rsidRPr="007542B0">
        <w:t>38</w:t>
      </w:r>
      <w:r w:rsidRPr="007542B0">
        <w:t xml:space="preserve"> % от годишния план и е в размер на </w:t>
      </w:r>
      <w:r w:rsidR="007542B0" w:rsidRPr="007542B0">
        <w:t>247</w:t>
      </w:r>
      <w:r w:rsidR="008F1581" w:rsidRPr="007542B0">
        <w:t>,</w:t>
      </w:r>
      <w:r w:rsidR="007542B0" w:rsidRPr="007542B0">
        <w:t>4</w:t>
      </w:r>
      <w:r w:rsidRPr="007542B0">
        <w:t xml:space="preserve"> млн. лева.</w:t>
      </w:r>
    </w:p>
    <w:p w:rsidR="00063CF1" w:rsidRPr="007542B0" w:rsidRDefault="00063CF1" w:rsidP="00063CF1">
      <w:pPr>
        <w:ind w:firstLine="708"/>
        <w:jc w:val="both"/>
      </w:pPr>
      <w:r w:rsidRPr="007542B0">
        <w:t>Разпределението на разходите е както следва:</w:t>
      </w:r>
    </w:p>
    <w:p w:rsidR="00063CF1" w:rsidRPr="003D7671" w:rsidRDefault="00063CF1" w:rsidP="00063CF1">
      <w:pPr>
        <w:numPr>
          <w:ilvl w:val="0"/>
          <w:numId w:val="25"/>
        </w:numPr>
        <w:tabs>
          <w:tab w:val="left" w:pos="993"/>
        </w:tabs>
        <w:spacing w:before="120" w:after="120" w:line="276" w:lineRule="auto"/>
        <w:ind w:left="1321" w:hanging="612"/>
        <w:jc w:val="both"/>
        <w:rPr>
          <w:b/>
          <w:i/>
        </w:rPr>
      </w:pPr>
      <w:r w:rsidRPr="003D7671">
        <w:rPr>
          <w:b/>
          <w:i/>
        </w:rPr>
        <w:t>Субсидии и други текущи трансфери за нефинансови предприятия</w:t>
      </w:r>
    </w:p>
    <w:p w:rsidR="00063CF1" w:rsidRPr="00B93FD2" w:rsidRDefault="00063CF1" w:rsidP="00063CF1">
      <w:pPr>
        <w:ind w:firstLine="708"/>
        <w:jc w:val="both"/>
        <w:rPr>
          <w:color w:val="4F81BD" w:themeColor="accent1"/>
        </w:rPr>
      </w:pPr>
      <w:r w:rsidRPr="005718EC">
        <w:t>За 201</w:t>
      </w:r>
      <w:r w:rsidRPr="005718EC">
        <w:rPr>
          <w:lang w:val="en-US"/>
        </w:rPr>
        <w:t>9</w:t>
      </w:r>
      <w:r w:rsidRPr="005718EC">
        <w:t xml:space="preserve"> г. са планирани средства в размер на 348,0 млн. лв. за субсидии и други текущи </w:t>
      </w:r>
      <w:r w:rsidRPr="0070267F">
        <w:t xml:space="preserve">трансфери за нефинансови предприятия. Отчетените към края на </w:t>
      </w:r>
      <w:r w:rsidR="005718EC" w:rsidRPr="0070267F">
        <w:t>третото тримесечие</w:t>
      </w:r>
      <w:r w:rsidRPr="0070267F">
        <w:t xml:space="preserve"> на 2019</w:t>
      </w:r>
      <w:r w:rsidR="00C3675D" w:rsidRPr="0070267F">
        <w:t> </w:t>
      </w:r>
      <w:r w:rsidRPr="0070267F">
        <w:t xml:space="preserve">г. средства представляват </w:t>
      </w:r>
      <w:r w:rsidR="0070267F" w:rsidRPr="0070267F">
        <w:rPr>
          <w:lang w:val="en-US"/>
        </w:rPr>
        <w:t>26</w:t>
      </w:r>
      <w:r w:rsidR="008F1581" w:rsidRPr="0070267F">
        <w:t>,1</w:t>
      </w:r>
      <w:r w:rsidRPr="0070267F">
        <w:t xml:space="preserve"> % от планираните за годината и са в размер на </w:t>
      </w:r>
      <w:r w:rsidR="0070267F" w:rsidRPr="0070267F">
        <w:rPr>
          <w:lang w:val="en-US"/>
        </w:rPr>
        <w:t>9</w:t>
      </w:r>
      <w:r w:rsidR="008F1581" w:rsidRPr="0070267F">
        <w:t>0,</w:t>
      </w:r>
      <w:r w:rsidR="0070267F" w:rsidRPr="0070267F">
        <w:rPr>
          <w:lang w:val="en-US"/>
        </w:rPr>
        <w:t>8</w:t>
      </w:r>
      <w:r w:rsidR="002C4201" w:rsidRPr="0070267F">
        <w:t> </w:t>
      </w:r>
      <w:r w:rsidRPr="0070267F">
        <w:t>млн.</w:t>
      </w:r>
      <w:r w:rsidR="00C3675D" w:rsidRPr="0070267F">
        <w:t> </w:t>
      </w:r>
      <w:r w:rsidRPr="0070267F">
        <w:t xml:space="preserve">лева. </w:t>
      </w:r>
      <w:r w:rsidR="002C4201" w:rsidRPr="0070267F">
        <w:lastRenderedPageBreak/>
        <w:t xml:space="preserve">Съпоставено със същия период на предходната година, изпълнението е с </w:t>
      </w:r>
      <w:r w:rsidR="0070267F" w:rsidRPr="0070267F">
        <w:rPr>
          <w:lang w:val="en-US"/>
        </w:rPr>
        <w:t>2</w:t>
      </w:r>
      <w:r w:rsidR="008F1581" w:rsidRPr="0070267F">
        <w:t>1,9</w:t>
      </w:r>
      <w:r w:rsidR="002C4201" w:rsidRPr="0070267F">
        <w:t> </w:t>
      </w:r>
      <w:r w:rsidR="0070267F" w:rsidRPr="0070267F">
        <w:t xml:space="preserve">% </w:t>
      </w:r>
      <w:r w:rsidR="002C4201" w:rsidRPr="0070267F">
        <w:t>по-малко.</w:t>
      </w:r>
    </w:p>
    <w:p w:rsidR="00063CF1" w:rsidRPr="005E670D" w:rsidRDefault="00063CF1" w:rsidP="00063CF1">
      <w:pPr>
        <w:ind w:firstLine="708"/>
        <w:jc w:val="both"/>
      </w:pPr>
      <w:r w:rsidRPr="005E670D">
        <w:t>Изпълнението по дейности е както следва:</w:t>
      </w:r>
    </w:p>
    <w:p w:rsidR="00063CF1" w:rsidRPr="005E670D" w:rsidRDefault="00063CF1" w:rsidP="00063CF1">
      <w:pPr>
        <w:ind w:firstLine="709"/>
        <w:contextualSpacing/>
        <w:jc w:val="both"/>
      </w:pPr>
      <w:r w:rsidRPr="005E670D">
        <w:t>- национално съфинансиране към ЕЗФРСР за директни плащания – 6</w:t>
      </w:r>
      <w:r w:rsidR="005E670D" w:rsidRPr="005E670D">
        <w:t>1</w:t>
      </w:r>
      <w:r w:rsidR="008F1581" w:rsidRPr="005E670D">
        <w:t>,</w:t>
      </w:r>
      <w:r w:rsidR="005E670D" w:rsidRPr="005E670D">
        <w:t>5</w:t>
      </w:r>
      <w:r w:rsidRPr="005E670D">
        <w:t xml:space="preserve"> млн. лв., изпълнение </w:t>
      </w:r>
      <w:r w:rsidR="008F1581" w:rsidRPr="005E670D">
        <w:t>8</w:t>
      </w:r>
      <w:r w:rsidR="005E670D" w:rsidRPr="005E670D">
        <w:t>9</w:t>
      </w:r>
      <w:r w:rsidR="008F1581" w:rsidRPr="005E670D">
        <w:t>,</w:t>
      </w:r>
      <w:r w:rsidR="005E670D" w:rsidRPr="005E670D">
        <w:t>5</w:t>
      </w:r>
      <w:r w:rsidRPr="005E670D">
        <w:t xml:space="preserve"> % на планираните за годината 68,7 млн. лева;</w:t>
      </w:r>
    </w:p>
    <w:p w:rsidR="00063CF1" w:rsidRPr="005D7F1C" w:rsidRDefault="00063CF1" w:rsidP="00063CF1">
      <w:pPr>
        <w:ind w:firstLine="709"/>
        <w:contextualSpacing/>
        <w:jc w:val="both"/>
      </w:pPr>
      <w:r w:rsidRPr="005E670D">
        <w:t xml:space="preserve">- текущи субсидии за сектор „Рибарство“ – планирани за годината средства са </w:t>
      </w:r>
      <w:r w:rsidR="00EE7A69" w:rsidRPr="005E670D">
        <w:t xml:space="preserve">в размер </w:t>
      </w:r>
      <w:r w:rsidR="00EE7A69" w:rsidRPr="005D7F1C">
        <w:t xml:space="preserve">на </w:t>
      </w:r>
      <w:r w:rsidRPr="005D7F1C">
        <w:t>5,4 млн.</w:t>
      </w:r>
      <w:r w:rsidR="00EE7A69" w:rsidRPr="005D7F1C">
        <w:t> </w:t>
      </w:r>
      <w:r w:rsidRPr="005D7F1C">
        <w:t xml:space="preserve">лв., като </w:t>
      </w:r>
      <w:r w:rsidR="00EE7A69" w:rsidRPr="005D7F1C">
        <w:t>към</w:t>
      </w:r>
      <w:r w:rsidRPr="005D7F1C">
        <w:t xml:space="preserve"> края на </w:t>
      </w:r>
      <w:r w:rsidR="005E670D" w:rsidRPr="005D7F1C">
        <w:t>септември</w:t>
      </w:r>
      <w:r w:rsidRPr="005D7F1C">
        <w:t xml:space="preserve"> 2019 г. няма </w:t>
      </w:r>
      <w:r w:rsidR="00EE7A69" w:rsidRPr="005D7F1C">
        <w:t>усвоени</w:t>
      </w:r>
      <w:r w:rsidRPr="005D7F1C">
        <w:t xml:space="preserve"> суми;</w:t>
      </w:r>
    </w:p>
    <w:p w:rsidR="00063CF1" w:rsidRPr="005D7F1C" w:rsidRDefault="00063CF1" w:rsidP="00063CF1">
      <w:pPr>
        <w:ind w:firstLine="720"/>
        <w:contextualSpacing/>
        <w:jc w:val="both"/>
      </w:pPr>
      <w:r w:rsidRPr="005D7F1C">
        <w:t xml:space="preserve">- текущи субсидии по Програмата за развитие на селските райони – </w:t>
      </w:r>
      <w:r w:rsidR="005D7F1C" w:rsidRPr="005D7F1C">
        <w:t>9</w:t>
      </w:r>
      <w:r w:rsidR="008F1581" w:rsidRPr="005D7F1C">
        <w:t>,</w:t>
      </w:r>
      <w:r w:rsidR="005D7F1C" w:rsidRPr="005D7F1C">
        <w:t>7</w:t>
      </w:r>
      <w:r w:rsidRPr="005D7F1C">
        <w:t xml:space="preserve"> млн. лв., изпълнение от </w:t>
      </w:r>
      <w:r w:rsidR="005D7F1C" w:rsidRPr="005D7F1C">
        <w:t>4</w:t>
      </w:r>
      <w:r w:rsidR="008F1581" w:rsidRPr="005D7F1C">
        <w:t>,</w:t>
      </w:r>
      <w:r w:rsidR="005D7F1C" w:rsidRPr="005D7F1C">
        <w:t>5</w:t>
      </w:r>
      <w:r w:rsidRPr="005D7F1C">
        <w:t xml:space="preserve"> % на планираните за годината 216,3 млн. лева;</w:t>
      </w:r>
    </w:p>
    <w:p w:rsidR="00063CF1" w:rsidRPr="00C93859" w:rsidRDefault="00063CF1" w:rsidP="00063CF1">
      <w:pPr>
        <w:tabs>
          <w:tab w:val="left" w:pos="851"/>
          <w:tab w:val="left" w:pos="1134"/>
        </w:tabs>
        <w:ind w:firstLine="720"/>
        <w:contextualSpacing/>
        <w:jc w:val="both"/>
      </w:pPr>
      <w:r w:rsidRPr="00C93859">
        <w:t xml:space="preserve">- текущи субсидии за пазарни мерки – </w:t>
      </w:r>
      <w:r w:rsidR="008F1581" w:rsidRPr="00C93859">
        <w:t>1</w:t>
      </w:r>
      <w:r w:rsidR="00C93859" w:rsidRPr="00C93859">
        <w:t>9</w:t>
      </w:r>
      <w:r w:rsidR="008F1581" w:rsidRPr="00C93859">
        <w:t>,</w:t>
      </w:r>
      <w:r w:rsidR="00C93859" w:rsidRPr="00C93859">
        <w:t>6</w:t>
      </w:r>
      <w:r w:rsidRPr="00C93859">
        <w:t xml:space="preserve"> млн. лв., изпълнение от </w:t>
      </w:r>
      <w:r w:rsidR="00C93859" w:rsidRPr="00C93859">
        <w:t>34</w:t>
      </w:r>
      <w:r w:rsidR="008F1581" w:rsidRPr="00C93859">
        <w:t>,</w:t>
      </w:r>
      <w:r w:rsidR="00C93859" w:rsidRPr="00C93859">
        <w:t>0</w:t>
      </w:r>
      <w:r w:rsidRPr="00C93859">
        <w:t xml:space="preserve"> % на планираните за 2019 г. 57,6 млн. лева.</w:t>
      </w:r>
    </w:p>
    <w:p w:rsidR="00063CF1" w:rsidRPr="008A0DA6" w:rsidRDefault="00063CF1" w:rsidP="00063CF1">
      <w:pPr>
        <w:numPr>
          <w:ilvl w:val="0"/>
          <w:numId w:val="25"/>
        </w:numPr>
        <w:tabs>
          <w:tab w:val="left" w:pos="993"/>
        </w:tabs>
        <w:spacing w:before="120" w:after="120" w:line="276" w:lineRule="auto"/>
        <w:ind w:left="1321" w:hanging="612"/>
        <w:jc w:val="both"/>
        <w:rPr>
          <w:b/>
          <w:i/>
        </w:rPr>
      </w:pPr>
      <w:r w:rsidRPr="008A0DA6">
        <w:rPr>
          <w:b/>
          <w:i/>
        </w:rPr>
        <w:t>Субсидии и други текущи трансфери за юридически лица с нестопанска цел</w:t>
      </w:r>
    </w:p>
    <w:p w:rsidR="00063CF1" w:rsidRPr="00487D87" w:rsidRDefault="00063CF1" w:rsidP="00063CF1">
      <w:pPr>
        <w:contextualSpacing/>
        <w:jc w:val="both"/>
      </w:pPr>
      <w:r w:rsidRPr="008A0DA6">
        <w:tab/>
        <w:t xml:space="preserve">За 2019 г. за субсидии и други текущи трансфери за юридически лица с нестопанска цел са планирани 0,8 млн. лева. </w:t>
      </w:r>
      <w:r w:rsidR="008D1112" w:rsidRPr="008A0DA6">
        <w:t xml:space="preserve">Към края на </w:t>
      </w:r>
      <w:r w:rsidR="008A0DA6" w:rsidRPr="008A0DA6">
        <w:t>деветмесечието</w:t>
      </w:r>
      <w:r w:rsidR="008D1112" w:rsidRPr="008A0DA6">
        <w:t xml:space="preserve"> са отчетени разходи в размер на </w:t>
      </w:r>
      <w:r w:rsidR="008A0DA6" w:rsidRPr="00487D87">
        <w:t>10</w:t>
      </w:r>
      <w:r w:rsidR="008F1581" w:rsidRPr="00487D87">
        <w:t>,</w:t>
      </w:r>
      <w:r w:rsidR="008A0DA6" w:rsidRPr="00487D87">
        <w:t>0</w:t>
      </w:r>
      <w:r w:rsidR="008D1112" w:rsidRPr="00487D87">
        <w:t xml:space="preserve"> млн. л</w:t>
      </w:r>
      <w:r w:rsidR="008A0DA6" w:rsidRPr="00487D87">
        <w:t>в. при 5,1 млн. лв. за същия период на 2018 г.</w:t>
      </w:r>
    </w:p>
    <w:p w:rsidR="00063CF1" w:rsidRPr="00487D87" w:rsidRDefault="00063CF1" w:rsidP="00063CF1">
      <w:pPr>
        <w:ind w:firstLine="708"/>
        <w:contextualSpacing/>
        <w:jc w:val="both"/>
      </w:pPr>
      <w:r w:rsidRPr="00487D87">
        <w:t>Разпределението по дейности е както следва:</w:t>
      </w:r>
    </w:p>
    <w:p w:rsidR="00063CF1" w:rsidRPr="00487D87" w:rsidRDefault="00063CF1" w:rsidP="00063CF1">
      <w:pPr>
        <w:ind w:firstLine="708"/>
        <w:contextualSpacing/>
        <w:jc w:val="both"/>
      </w:pPr>
      <w:r w:rsidRPr="00487D87">
        <w:t>-  национално съфинансиране към ЕЗФРСР за директни плащания  – 0,</w:t>
      </w:r>
      <w:r w:rsidR="00487D87" w:rsidRPr="00487D87">
        <w:t>1</w:t>
      </w:r>
      <w:r w:rsidRPr="00487D87">
        <w:t xml:space="preserve"> млн. лева; </w:t>
      </w:r>
    </w:p>
    <w:p w:rsidR="00063CF1" w:rsidRPr="00487D87" w:rsidRDefault="00063CF1" w:rsidP="00063CF1">
      <w:pPr>
        <w:tabs>
          <w:tab w:val="left" w:pos="851"/>
        </w:tabs>
        <w:ind w:firstLine="720"/>
        <w:contextualSpacing/>
        <w:jc w:val="both"/>
      </w:pPr>
      <w:r w:rsidRPr="00487D87">
        <w:t>-  текущи субсидии за сектор „Рибарство“ – 1,</w:t>
      </w:r>
      <w:r w:rsidR="00487D87" w:rsidRPr="00487D87">
        <w:t>6</w:t>
      </w:r>
      <w:r w:rsidRPr="00487D87">
        <w:t xml:space="preserve"> млн. лв. при планирани 0,8 млн. лева;</w:t>
      </w:r>
    </w:p>
    <w:p w:rsidR="00063CF1" w:rsidRPr="00487D87" w:rsidRDefault="00063CF1" w:rsidP="00063CF1">
      <w:pPr>
        <w:ind w:firstLine="720"/>
        <w:contextualSpacing/>
        <w:jc w:val="both"/>
      </w:pPr>
      <w:r w:rsidRPr="00487D87">
        <w:t xml:space="preserve">-  текущи субсидии по Програмата за развитие на селските райони – </w:t>
      </w:r>
      <w:r w:rsidR="00487D87" w:rsidRPr="00487D87">
        <w:t>6</w:t>
      </w:r>
      <w:r w:rsidR="008F1581" w:rsidRPr="00487D87">
        <w:t>,</w:t>
      </w:r>
      <w:r w:rsidR="00487D87" w:rsidRPr="00487D87">
        <w:t>8</w:t>
      </w:r>
      <w:r w:rsidRPr="00487D87">
        <w:t xml:space="preserve"> млн. лева;</w:t>
      </w:r>
    </w:p>
    <w:p w:rsidR="00063CF1" w:rsidRPr="00487D87" w:rsidRDefault="00063CF1" w:rsidP="00063CF1">
      <w:pPr>
        <w:ind w:firstLine="709"/>
        <w:contextualSpacing/>
        <w:jc w:val="both"/>
      </w:pPr>
      <w:r w:rsidRPr="00487D87">
        <w:t xml:space="preserve">- </w:t>
      </w:r>
      <w:r w:rsidR="008F1581" w:rsidRPr="00487D87">
        <w:t xml:space="preserve"> </w:t>
      </w:r>
      <w:r w:rsidRPr="00487D87">
        <w:t>текущи субсидии за пазарни мерки – 1,</w:t>
      </w:r>
      <w:r w:rsidR="00487D87" w:rsidRPr="00487D87">
        <w:t>5</w:t>
      </w:r>
      <w:r w:rsidRPr="00487D87">
        <w:t xml:space="preserve"> млн. лв. при годишен разчет 0,1 млн. лева.</w:t>
      </w:r>
    </w:p>
    <w:p w:rsidR="00063CF1" w:rsidRPr="00D251CF" w:rsidRDefault="00063CF1" w:rsidP="00063CF1">
      <w:pPr>
        <w:numPr>
          <w:ilvl w:val="0"/>
          <w:numId w:val="25"/>
        </w:numPr>
        <w:tabs>
          <w:tab w:val="left" w:pos="993"/>
        </w:tabs>
        <w:spacing w:before="120" w:after="120" w:line="276" w:lineRule="auto"/>
        <w:ind w:left="1321" w:hanging="612"/>
        <w:jc w:val="both"/>
        <w:rPr>
          <w:b/>
          <w:i/>
        </w:rPr>
      </w:pPr>
      <w:r w:rsidRPr="00D251CF">
        <w:rPr>
          <w:b/>
          <w:i/>
        </w:rPr>
        <w:t>Капиталови трансфери за нефинансови предприятия</w:t>
      </w:r>
    </w:p>
    <w:p w:rsidR="00063CF1" w:rsidRPr="00B93FD2" w:rsidRDefault="00063CF1" w:rsidP="00063CF1">
      <w:pPr>
        <w:ind w:firstLine="708"/>
        <w:jc w:val="both"/>
        <w:rPr>
          <w:color w:val="4F81BD" w:themeColor="accent1"/>
        </w:rPr>
      </w:pPr>
      <w:r w:rsidRPr="00D251CF">
        <w:t>За 2019 г. за капиталови трансфери за нефинансови предприятия са планирани 302,0 млн. лева. Към 3</w:t>
      </w:r>
      <w:r w:rsidR="00C422BA" w:rsidRPr="00D251CF">
        <w:t>0</w:t>
      </w:r>
      <w:r w:rsidRPr="00D251CF">
        <w:t>.0</w:t>
      </w:r>
      <w:r w:rsidR="00D251CF" w:rsidRPr="00D251CF">
        <w:t>9</w:t>
      </w:r>
      <w:r w:rsidRPr="00D251CF">
        <w:t xml:space="preserve">.2019 г. са отчетени </w:t>
      </w:r>
      <w:r w:rsidR="00D251CF" w:rsidRPr="00D251CF">
        <w:t>126</w:t>
      </w:r>
      <w:r w:rsidRPr="00D251CF">
        <w:t>,</w:t>
      </w:r>
      <w:r w:rsidR="00D251CF" w:rsidRPr="00D251CF">
        <w:t>6</w:t>
      </w:r>
      <w:r w:rsidRPr="00D251CF">
        <w:t xml:space="preserve"> млн. лв., което е </w:t>
      </w:r>
      <w:r w:rsidR="00D251CF" w:rsidRPr="00D251CF">
        <w:t>41</w:t>
      </w:r>
      <w:r w:rsidR="00C422BA" w:rsidRPr="00D251CF">
        <w:t>,</w:t>
      </w:r>
      <w:r w:rsidR="00D251CF" w:rsidRPr="00D251CF">
        <w:t>9</w:t>
      </w:r>
      <w:r w:rsidRPr="00D251CF">
        <w:t xml:space="preserve"> % изпълнение на годишния план.</w:t>
      </w:r>
      <w:r w:rsidR="008D1A01" w:rsidRPr="00D251CF">
        <w:t xml:space="preserve"> </w:t>
      </w:r>
      <w:r w:rsidR="007F5114" w:rsidRPr="00D251CF">
        <w:t>И</w:t>
      </w:r>
      <w:r w:rsidR="008D1A01" w:rsidRPr="00D251CF">
        <w:t>зпълнение</w:t>
      </w:r>
      <w:r w:rsidR="00410081" w:rsidRPr="00D251CF">
        <w:t>то</w:t>
      </w:r>
      <w:r w:rsidR="008D1A01" w:rsidRPr="00D251CF">
        <w:t xml:space="preserve"> </w:t>
      </w:r>
      <w:r w:rsidR="00C90F2E" w:rsidRPr="00D251CF">
        <w:t xml:space="preserve">на годишния план </w:t>
      </w:r>
      <w:r w:rsidR="008D1A01" w:rsidRPr="00D251CF">
        <w:t xml:space="preserve">за същия период на предходната година е </w:t>
      </w:r>
      <w:r w:rsidR="00D251CF" w:rsidRPr="00D251CF">
        <w:t>23</w:t>
      </w:r>
      <w:r w:rsidR="007F5114" w:rsidRPr="00D251CF">
        <w:t>,</w:t>
      </w:r>
      <w:r w:rsidR="00D251CF" w:rsidRPr="00D251CF">
        <w:t>5</w:t>
      </w:r>
      <w:r w:rsidR="007F5114" w:rsidRPr="00D251CF">
        <w:t xml:space="preserve"> процента</w:t>
      </w:r>
      <w:r w:rsidR="008D1A01" w:rsidRPr="00D251CF">
        <w:t>.</w:t>
      </w:r>
    </w:p>
    <w:p w:rsidR="00063CF1" w:rsidRPr="003A0890" w:rsidRDefault="00063CF1" w:rsidP="00063CF1">
      <w:pPr>
        <w:ind w:firstLine="708"/>
        <w:jc w:val="both"/>
      </w:pPr>
      <w:r w:rsidRPr="003A0890">
        <w:t>Разпределението по дейности е както следва:</w:t>
      </w:r>
    </w:p>
    <w:p w:rsidR="00063CF1" w:rsidRPr="000551E4" w:rsidRDefault="00063CF1" w:rsidP="00063CF1">
      <w:pPr>
        <w:ind w:firstLine="720"/>
        <w:contextualSpacing/>
        <w:jc w:val="both"/>
      </w:pPr>
      <w:r w:rsidRPr="003A0890">
        <w:t xml:space="preserve">- капиталови трансфери за сектор „Рибарство“ – </w:t>
      </w:r>
      <w:r w:rsidR="003A0890" w:rsidRPr="003A0890">
        <w:t>5</w:t>
      </w:r>
      <w:r w:rsidR="007F5114" w:rsidRPr="003A0890">
        <w:t>,2</w:t>
      </w:r>
      <w:r w:rsidRPr="003A0890">
        <w:t xml:space="preserve"> млн. лв., което е 1</w:t>
      </w:r>
      <w:r w:rsidR="003A0890" w:rsidRPr="003A0890">
        <w:t>6</w:t>
      </w:r>
      <w:r w:rsidRPr="003A0890">
        <w:t>,</w:t>
      </w:r>
      <w:r w:rsidR="003A0890" w:rsidRPr="003A0890">
        <w:t>6</w:t>
      </w:r>
      <w:r w:rsidRPr="003A0890">
        <w:t xml:space="preserve"> %  </w:t>
      </w:r>
      <w:r w:rsidRPr="000551E4">
        <w:t>изпълнение на годишния план (31,3 млн. лева);</w:t>
      </w:r>
    </w:p>
    <w:p w:rsidR="00063CF1" w:rsidRPr="000551E4" w:rsidRDefault="00063CF1" w:rsidP="00063CF1">
      <w:pPr>
        <w:ind w:firstLine="720"/>
        <w:contextualSpacing/>
        <w:jc w:val="both"/>
      </w:pPr>
      <w:r w:rsidRPr="000551E4">
        <w:t>-</w:t>
      </w:r>
      <w:r w:rsidR="003922B1" w:rsidRPr="000551E4">
        <w:t xml:space="preserve"> </w:t>
      </w:r>
      <w:r w:rsidRPr="000551E4">
        <w:t xml:space="preserve"> капиталови трансфери по ПРСР – </w:t>
      </w:r>
      <w:r w:rsidR="000551E4" w:rsidRPr="000551E4">
        <w:t>118</w:t>
      </w:r>
      <w:r w:rsidR="007F5114" w:rsidRPr="000551E4">
        <w:t>,</w:t>
      </w:r>
      <w:r w:rsidR="000551E4" w:rsidRPr="000551E4">
        <w:t>7</w:t>
      </w:r>
      <w:r w:rsidRPr="000551E4">
        <w:t xml:space="preserve"> млн. лв., </w:t>
      </w:r>
      <w:r w:rsidR="000551E4" w:rsidRPr="000551E4">
        <w:t>44</w:t>
      </w:r>
      <w:r w:rsidRPr="000551E4">
        <w:t>,</w:t>
      </w:r>
      <w:r w:rsidR="000551E4" w:rsidRPr="000551E4">
        <w:t>8</w:t>
      </w:r>
      <w:r w:rsidRPr="000551E4">
        <w:t xml:space="preserve"> %  изпълнение на годишния план (264,9 млн. лв.);</w:t>
      </w:r>
    </w:p>
    <w:p w:rsidR="00063CF1" w:rsidRPr="000551E4" w:rsidRDefault="00063CF1" w:rsidP="00063CF1">
      <w:pPr>
        <w:ind w:firstLine="720"/>
        <w:contextualSpacing/>
        <w:jc w:val="both"/>
      </w:pPr>
      <w:r w:rsidRPr="000551E4">
        <w:lastRenderedPageBreak/>
        <w:t xml:space="preserve">- </w:t>
      </w:r>
      <w:r w:rsidR="003922B1" w:rsidRPr="000551E4">
        <w:t xml:space="preserve"> </w:t>
      </w:r>
      <w:r w:rsidRPr="000551E4">
        <w:t xml:space="preserve">капиталови трансфери за пазарни мерки – </w:t>
      </w:r>
      <w:r w:rsidR="000551E4" w:rsidRPr="000551E4">
        <w:t>2</w:t>
      </w:r>
      <w:r w:rsidR="007F5114" w:rsidRPr="000551E4">
        <w:t>,</w:t>
      </w:r>
      <w:r w:rsidR="000551E4" w:rsidRPr="000551E4">
        <w:t>7</w:t>
      </w:r>
      <w:r w:rsidR="007F5114" w:rsidRPr="000551E4">
        <w:t xml:space="preserve"> млн. лв. при </w:t>
      </w:r>
      <w:r w:rsidRPr="000551E4">
        <w:t>планирани за годината  5,9 млн. л</w:t>
      </w:r>
      <w:r w:rsidR="007F5114" w:rsidRPr="000551E4">
        <w:t>е</w:t>
      </w:r>
      <w:r w:rsidRPr="000551E4">
        <w:t>в</w:t>
      </w:r>
      <w:r w:rsidR="007F5114" w:rsidRPr="000551E4">
        <w:t>а</w:t>
      </w:r>
      <w:r w:rsidRPr="000551E4">
        <w:t xml:space="preserve">. </w:t>
      </w:r>
    </w:p>
    <w:p w:rsidR="00063CF1" w:rsidRPr="000551E4" w:rsidRDefault="00063CF1" w:rsidP="00063CF1">
      <w:pPr>
        <w:numPr>
          <w:ilvl w:val="0"/>
          <w:numId w:val="25"/>
        </w:numPr>
        <w:tabs>
          <w:tab w:val="left" w:pos="993"/>
        </w:tabs>
        <w:spacing w:before="120" w:after="120" w:line="276" w:lineRule="auto"/>
        <w:ind w:left="1321" w:hanging="612"/>
        <w:jc w:val="both"/>
        <w:rPr>
          <w:b/>
          <w:i/>
        </w:rPr>
      </w:pPr>
      <w:r w:rsidRPr="000551E4">
        <w:rPr>
          <w:b/>
          <w:i/>
        </w:rPr>
        <w:t>Капиталови трансфери за организации с нестопанска цел</w:t>
      </w:r>
    </w:p>
    <w:p w:rsidR="00063CF1" w:rsidRPr="000551E4" w:rsidRDefault="00063CF1" w:rsidP="00063CF1">
      <w:pPr>
        <w:ind w:firstLine="708"/>
        <w:jc w:val="both"/>
      </w:pPr>
      <w:r w:rsidRPr="000551E4">
        <w:t>За 2019 г. не са планирани капиталови трансфери за организации с нестопанска цел. Към 3</w:t>
      </w:r>
      <w:r w:rsidR="007F5114" w:rsidRPr="000551E4">
        <w:t>0</w:t>
      </w:r>
      <w:r w:rsidRPr="000551E4">
        <w:t>.0</w:t>
      </w:r>
      <w:r w:rsidR="000551E4" w:rsidRPr="000551E4">
        <w:t>9</w:t>
      </w:r>
      <w:r w:rsidRPr="000551E4">
        <w:t xml:space="preserve">.2019 г. са отчетени разходи в размер </w:t>
      </w:r>
      <w:r w:rsidR="000551E4" w:rsidRPr="000551E4">
        <w:t>на 20,1 млн. лв., в т.ч. 0,1 млн.</w:t>
      </w:r>
      <w:r w:rsidR="003F3760">
        <w:t xml:space="preserve"> </w:t>
      </w:r>
      <w:r w:rsidR="000551E4" w:rsidRPr="000551E4">
        <w:t>лв. по ПМДР и 20</w:t>
      </w:r>
      <w:r w:rsidR="003F3760">
        <w:t>,0</w:t>
      </w:r>
      <w:r w:rsidR="000551E4" w:rsidRPr="000551E4">
        <w:t xml:space="preserve"> млн.</w:t>
      </w:r>
      <w:r w:rsidR="003F3760">
        <w:t xml:space="preserve"> </w:t>
      </w:r>
      <w:r w:rsidR="000551E4" w:rsidRPr="000551E4">
        <w:t>лв. по ПРСР</w:t>
      </w:r>
      <w:r w:rsidRPr="000551E4">
        <w:t>.</w:t>
      </w:r>
    </w:p>
    <w:p w:rsidR="00063CF1" w:rsidRPr="00487507" w:rsidRDefault="00EE7A69" w:rsidP="00EE7A69">
      <w:pPr>
        <w:spacing w:before="120"/>
        <w:ind w:firstLine="709"/>
        <w:jc w:val="both"/>
      </w:pPr>
      <w:r w:rsidRPr="00487507">
        <w:t>Пл</w:t>
      </w:r>
      <w:r w:rsidR="00063CF1" w:rsidRPr="00487507">
        <w:t>анирани</w:t>
      </w:r>
      <w:r w:rsidRPr="00487507">
        <w:t>те</w:t>
      </w:r>
      <w:r w:rsidR="00063CF1" w:rsidRPr="00487507">
        <w:t xml:space="preserve"> разходи в размер 506,0 млн. лв., в т.ч.: за заплати и възнаграждения на персонала 9,1 млн. лв., задължителни осигурителни вноски от работодатели 2,6 млн. лв., издръжка 1,6 млн. лв. и придобиване на ДМА 492,7 млн. лв., подлежат на отчитане в § 63-00 „Трансфери между сметки за средствата от ЕС“.</w:t>
      </w:r>
    </w:p>
    <w:p w:rsidR="00063CF1" w:rsidRPr="00B93FD2" w:rsidRDefault="00063CF1" w:rsidP="00063CF1">
      <w:pPr>
        <w:jc w:val="both"/>
        <w:rPr>
          <w:b/>
          <w:color w:val="4F81BD" w:themeColor="accent1"/>
          <w:sz w:val="12"/>
          <w:u w:val="single"/>
        </w:rPr>
      </w:pPr>
    </w:p>
    <w:p w:rsidR="00063CF1" w:rsidRPr="00C94BBF" w:rsidRDefault="00063CF1" w:rsidP="00063CF1">
      <w:pPr>
        <w:numPr>
          <w:ilvl w:val="0"/>
          <w:numId w:val="28"/>
        </w:numPr>
        <w:tabs>
          <w:tab w:val="num" w:pos="540"/>
        </w:tabs>
        <w:spacing w:before="240" w:after="120" w:line="276" w:lineRule="auto"/>
        <w:ind w:left="777" w:hanging="357"/>
        <w:contextualSpacing/>
        <w:jc w:val="both"/>
        <w:rPr>
          <w:b/>
          <w:lang w:eastAsia="bg-BG"/>
        </w:rPr>
      </w:pPr>
      <w:r w:rsidRPr="00C94BBF">
        <w:rPr>
          <w:b/>
          <w:lang w:eastAsia="bg-BG"/>
        </w:rPr>
        <w:t xml:space="preserve">Трансфери </w:t>
      </w:r>
    </w:p>
    <w:p w:rsidR="00063CF1" w:rsidRPr="00C94BBF" w:rsidRDefault="00063CF1" w:rsidP="00063CF1">
      <w:pPr>
        <w:ind w:firstLine="708"/>
        <w:jc w:val="both"/>
      </w:pPr>
      <w:r w:rsidRPr="00C94BBF">
        <w:t>В частта на трансферите, в касовия отчет на ДФЗ-РА към 3</w:t>
      </w:r>
      <w:r w:rsidR="007F5114" w:rsidRPr="00C94BBF">
        <w:t>0</w:t>
      </w:r>
      <w:r w:rsidRPr="00C94BBF">
        <w:t>.0</w:t>
      </w:r>
      <w:r w:rsidR="00C94BBF" w:rsidRPr="00C94BBF">
        <w:t>9</w:t>
      </w:r>
      <w:r w:rsidRPr="00C94BBF">
        <w:t>.2019 г. са отразени следните касови потоци:</w:t>
      </w:r>
    </w:p>
    <w:p w:rsidR="00063CF1" w:rsidRPr="00C94BBF" w:rsidRDefault="00063CF1" w:rsidP="00063CF1">
      <w:pPr>
        <w:numPr>
          <w:ilvl w:val="0"/>
          <w:numId w:val="25"/>
        </w:numPr>
        <w:tabs>
          <w:tab w:val="left" w:pos="993"/>
        </w:tabs>
        <w:spacing w:before="120" w:after="120" w:line="276" w:lineRule="auto"/>
        <w:ind w:left="1321" w:hanging="612"/>
        <w:jc w:val="both"/>
        <w:rPr>
          <w:b/>
          <w:i/>
        </w:rPr>
      </w:pPr>
      <w:r w:rsidRPr="00C94BBF">
        <w:rPr>
          <w:b/>
          <w:i/>
        </w:rPr>
        <w:t xml:space="preserve">Трансфери между бюджети и сметки за средства от Европейския съюз </w:t>
      </w:r>
    </w:p>
    <w:p w:rsidR="00063CF1" w:rsidRPr="00C94BBF" w:rsidRDefault="00063CF1" w:rsidP="00063CF1">
      <w:pPr>
        <w:ind w:firstLine="708"/>
        <w:jc w:val="both"/>
      </w:pPr>
      <w:r w:rsidRPr="00C94BBF">
        <w:t>Към 3</w:t>
      </w:r>
      <w:r w:rsidR="007F5114" w:rsidRPr="00C94BBF">
        <w:t>0</w:t>
      </w:r>
      <w:r w:rsidRPr="00C94BBF">
        <w:t>.0</w:t>
      </w:r>
      <w:r w:rsidR="00C94BBF" w:rsidRPr="00C94BBF">
        <w:t>9</w:t>
      </w:r>
      <w:r w:rsidRPr="00C94BBF">
        <w:t>.2019 г. получените трансфери от бюджетни сметки на бюджетни организации и общини за възстановяване на вземания по ПРСР и ОПРСР са в размер на 1,</w:t>
      </w:r>
      <w:r w:rsidR="00C94BBF" w:rsidRPr="00C94BBF">
        <w:t>1</w:t>
      </w:r>
      <w:r w:rsidRPr="00C94BBF">
        <w:t xml:space="preserve"> млн. лева. Предоставените трансфери във връзка с чл. 14 от Закона за подпомагане на земеделските производители възлизат на 0,</w:t>
      </w:r>
      <w:r w:rsidR="007F5114" w:rsidRPr="00C94BBF">
        <w:t>2</w:t>
      </w:r>
      <w:r w:rsidRPr="00C94BBF">
        <w:t xml:space="preserve"> млн. лева.</w:t>
      </w:r>
    </w:p>
    <w:p w:rsidR="00063CF1" w:rsidRPr="00C94BBF" w:rsidRDefault="00063CF1" w:rsidP="00063CF1">
      <w:pPr>
        <w:numPr>
          <w:ilvl w:val="0"/>
          <w:numId w:val="25"/>
        </w:numPr>
        <w:tabs>
          <w:tab w:val="left" w:pos="993"/>
        </w:tabs>
        <w:spacing w:before="120" w:after="120" w:line="276" w:lineRule="auto"/>
        <w:ind w:left="1321" w:hanging="612"/>
        <w:jc w:val="both"/>
        <w:rPr>
          <w:b/>
          <w:i/>
        </w:rPr>
      </w:pPr>
      <w:r w:rsidRPr="00C94BBF">
        <w:rPr>
          <w:b/>
          <w:i/>
        </w:rPr>
        <w:t>Трансфери между сметки за средства от Европейския съюз:</w:t>
      </w:r>
    </w:p>
    <w:p w:rsidR="00063CF1" w:rsidRPr="00B93FD2" w:rsidRDefault="00063CF1" w:rsidP="00063CF1">
      <w:pPr>
        <w:ind w:firstLine="708"/>
        <w:jc w:val="both"/>
        <w:rPr>
          <w:color w:val="4F81BD" w:themeColor="accent1"/>
        </w:rPr>
      </w:pPr>
      <w:r w:rsidRPr="00C94BBF">
        <w:t>Предоставените трансфери са формирани от изплатените субсидии и възстановените суми от публични б</w:t>
      </w:r>
      <w:r w:rsidRPr="007F1F03">
        <w:t xml:space="preserve">енефициенти. </w:t>
      </w:r>
      <w:r w:rsidR="00C94BBF" w:rsidRPr="007F1F03">
        <w:t>Към края на третото тримесечие на</w:t>
      </w:r>
      <w:r w:rsidRPr="007F1F03">
        <w:t xml:space="preserve"> 2019 г. са отчетени </w:t>
      </w:r>
      <w:r w:rsidR="00C94BBF" w:rsidRPr="007F1F03">
        <w:t>200,3</w:t>
      </w:r>
      <w:r w:rsidRPr="007F1F03">
        <w:t xml:space="preserve"> млн. лв., в т.ч.: по Програмата за развитие на селските райони </w:t>
      </w:r>
      <w:r w:rsidR="007F5114" w:rsidRPr="007F1F03">
        <w:t>–</w:t>
      </w:r>
      <w:r w:rsidRPr="007F1F03">
        <w:t xml:space="preserve"> </w:t>
      </w:r>
      <w:r w:rsidR="007F5114" w:rsidRPr="007F1F03">
        <w:t>1</w:t>
      </w:r>
      <w:r w:rsidR="00C94BBF" w:rsidRPr="007F1F03">
        <w:t>94</w:t>
      </w:r>
      <w:r w:rsidRPr="007F1F03">
        <w:t xml:space="preserve"> млн. лв.; схеми „Училищен плод“ и „Училищно мляко“: 0,</w:t>
      </w:r>
      <w:r w:rsidR="007F1F03" w:rsidRPr="007F1F03">
        <w:t>1</w:t>
      </w:r>
      <w:r w:rsidRPr="007F1F03">
        <w:t xml:space="preserve"> млн. лв.; национално съфинансиране към директни плащания: 0,</w:t>
      </w:r>
      <w:r w:rsidR="007F1F03" w:rsidRPr="007F1F03">
        <w:t>1</w:t>
      </w:r>
      <w:r w:rsidRPr="007F1F03">
        <w:t xml:space="preserve"> млн. лв. и по Програмата за морско дело и рибарство: </w:t>
      </w:r>
      <w:r w:rsidR="007F1F03" w:rsidRPr="007F1F03">
        <w:t>6</w:t>
      </w:r>
      <w:r w:rsidRPr="007F1F03">
        <w:t>,</w:t>
      </w:r>
      <w:r w:rsidR="007F1F03" w:rsidRPr="007F1F03">
        <w:t>1</w:t>
      </w:r>
      <w:r w:rsidRPr="007F1F03">
        <w:t xml:space="preserve"> млн. лева.</w:t>
      </w:r>
    </w:p>
    <w:p w:rsidR="00063CF1" w:rsidRPr="007F1F03" w:rsidRDefault="00063CF1" w:rsidP="00063CF1">
      <w:pPr>
        <w:ind w:firstLine="708"/>
        <w:jc w:val="both"/>
      </w:pPr>
      <w:r w:rsidRPr="007F1F03">
        <w:t>В сравнение със същия период на 2018 г. се наблюдава увеличение с</w:t>
      </w:r>
      <w:r w:rsidR="007F5114" w:rsidRPr="007F1F03">
        <w:t>ъс</w:t>
      </w:r>
      <w:r w:rsidRPr="007F1F03">
        <w:t xml:space="preserve"> </w:t>
      </w:r>
      <w:r w:rsidR="007F5114" w:rsidRPr="007F1F03">
        <w:t>1</w:t>
      </w:r>
      <w:r w:rsidR="007F1F03" w:rsidRPr="007F1F03">
        <w:t>73</w:t>
      </w:r>
      <w:r w:rsidR="007F5114" w:rsidRPr="007F1F03">
        <w:t>,</w:t>
      </w:r>
      <w:r w:rsidR="007F1F03" w:rsidRPr="007F1F03">
        <w:t>8</w:t>
      </w:r>
      <w:r w:rsidRPr="007F1F03">
        <w:t xml:space="preserve"> млн.</w:t>
      </w:r>
      <w:r w:rsidR="007F5114" w:rsidRPr="007F1F03">
        <w:t xml:space="preserve"> </w:t>
      </w:r>
      <w:r w:rsidRPr="007F1F03">
        <w:t xml:space="preserve">лв. в размера на предоставените трансфери по ПРСР и с </w:t>
      </w:r>
      <w:r w:rsidR="007F1F03" w:rsidRPr="007F1F03">
        <w:t>5</w:t>
      </w:r>
      <w:r w:rsidR="00CD394B" w:rsidRPr="007F1F03">
        <w:t>,</w:t>
      </w:r>
      <w:r w:rsidR="007F1F03" w:rsidRPr="007F1F03">
        <w:t>1</w:t>
      </w:r>
      <w:r w:rsidRPr="007F1F03">
        <w:t xml:space="preserve"> млн. лв. </w:t>
      </w:r>
      <w:r w:rsidRPr="007F1F03">
        <w:rPr>
          <w:rFonts w:eastAsiaTheme="minorHAnsi"/>
        </w:rPr>
        <w:t>по ПМДР</w:t>
      </w:r>
      <w:r w:rsidRPr="007F1F03">
        <w:t>.</w:t>
      </w:r>
    </w:p>
    <w:p w:rsidR="00063CF1" w:rsidRPr="00B93FD2" w:rsidRDefault="00C43EE2" w:rsidP="00417E9B">
      <w:pPr>
        <w:tabs>
          <w:tab w:val="left" w:pos="540"/>
        </w:tabs>
        <w:jc w:val="both"/>
        <w:rPr>
          <w:color w:val="4F81BD" w:themeColor="accent1"/>
        </w:rPr>
      </w:pPr>
      <w:r w:rsidRPr="00B93FD2">
        <w:rPr>
          <w:color w:val="4F81BD" w:themeColor="accent1"/>
          <w:lang w:eastAsia="bg-BG"/>
        </w:rPr>
        <w:tab/>
      </w:r>
    </w:p>
    <w:p w:rsidR="00063CF1" w:rsidRPr="007F1F03" w:rsidRDefault="00063CF1" w:rsidP="00063CF1">
      <w:pPr>
        <w:numPr>
          <w:ilvl w:val="0"/>
          <w:numId w:val="28"/>
        </w:numPr>
        <w:tabs>
          <w:tab w:val="num" w:pos="540"/>
        </w:tabs>
        <w:spacing w:before="240" w:after="120" w:line="276" w:lineRule="auto"/>
        <w:ind w:left="777" w:hanging="357"/>
        <w:contextualSpacing/>
        <w:jc w:val="both"/>
        <w:rPr>
          <w:b/>
          <w:lang w:eastAsia="bg-BG"/>
        </w:rPr>
      </w:pPr>
      <w:r w:rsidRPr="007F1F03">
        <w:rPr>
          <w:b/>
          <w:lang w:eastAsia="bg-BG"/>
        </w:rPr>
        <w:t>Финансиране</w:t>
      </w:r>
    </w:p>
    <w:p w:rsidR="00063CF1" w:rsidRPr="009A5E4F" w:rsidRDefault="00063CF1" w:rsidP="00063CF1">
      <w:pPr>
        <w:ind w:firstLine="708"/>
        <w:jc w:val="both"/>
      </w:pPr>
      <w:r w:rsidRPr="009A5E4F">
        <w:lastRenderedPageBreak/>
        <w:t>Към 3</w:t>
      </w:r>
      <w:r w:rsidR="00CD394B" w:rsidRPr="009A5E4F">
        <w:t>0</w:t>
      </w:r>
      <w:r w:rsidRPr="009A5E4F">
        <w:t>.0</w:t>
      </w:r>
      <w:r w:rsidR="007F1F03" w:rsidRPr="009A5E4F">
        <w:t>9</w:t>
      </w:r>
      <w:r w:rsidRPr="009A5E4F">
        <w:t>.2019 г. извършените плащания, възстановените суми и разчет</w:t>
      </w:r>
      <w:r w:rsidR="007F1F03" w:rsidRPr="009A5E4F">
        <w:t>ът</w:t>
      </w:r>
      <w:r w:rsidRPr="009A5E4F">
        <w:t xml:space="preserve"> с централния бюджет, включени в отчетността в „Друго финансиране“, са общо </w:t>
      </w:r>
      <w:r w:rsidR="009A5E4F" w:rsidRPr="009A5E4F">
        <w:t>163</w:t>
      </w:r>
      <w:r w:rsidR="00CD394B" w:rsidRPr="009A5E4F">
        <w:t>,</w:t>
      </w:r>
      <w:r w:rsidR="009A5E4F" w:rsidRPr="009A5E4F">
        <w:t>2</w:t>
      </w:r>
      <w:r w:rsidRPr="009A5E4F">
        <w:t xml:space="preserve"> млн. л</w:t>
      </w:r>
      <w:r w:rsidR="00EE7A69" w:rsidRPr="009A5E4F">
        <w:t>е</w:t>
      </w:r>
      <w:r w:rsidRPr="009A5E4F">
        <w:t>в</w:t>
      </w:r>
      <w:r w:rsidR="00EE7A69" w:rsidRPr="009A5E4F">
        <w:t>а</w:t>
      </w:r>
      <w:r w:rsidRPr="009A5E4F">
        <w:t>.</w:t>
      </w:r>
    </w:p>
    <w:p w:rsidR="00063CF1" w:rsidRPr="009A5E4F" w:rsidRDefault="00063CF1" w:rsidP="003922B1">
      <w:pPr>
        <w:ind w:firstLine="709"/>
        <w:jc w:val="both"/>
        <w:rPr>
          <w:lang w:eastAsia="bg-BG"/>
        </w:rPr>
      </w:pPr>
      <w:r w:rsidRPr="009A5E4F">
        <w:rPr>
          <w:lang w:eastAsia="bg-BG"/>
        </w:rPr>
        <w:t>Към 3</w:t>
      </w:r>
      <w:r w:rsidR="00CD394B" w:rsidRPr="009A5E4F">
        <w:rPr>
          <w:lang w:eastAsia="bg-BG"/>
        </w:rPr>
        <w:t>0</w:t>
      </w:r>
      <w:r w:rsidRPr="009A5E4F">
        <w:rPr>
          <w:lang w:eastAsia="bg-BG"/>
        </w:rPr>
        <w:t>.0</w:t>
      </w:r>
      <w:r w:rsidR="009A5E4F" w:rsidRPr="009A5E4F">
        <w:rPr>
          <w:lang w:eastAsia="bg-BG"/>
        </w:rPr>
        <w:t>9</w:t>
      </w:r>
      <w:r w:rsidRPr="009A5E4F">
        <w:rPr>
          <w:lang w:eastAsia="bg-BG"/>
        </w:rPr>
        <w:t xml:space="preserve">.2019 г. са отчетени плащания в общ размер </w:t>
      </w:r>
      <w:r w:rsidR="00CD394B" w:rsidRPr="009A5E4F">
        <w:rPr>
          <w:lang w:eastAsia="bg-BG"/>
        </w:rPr>
        <w:t>9</w:t>
      </w:r>
      <w:r w:rsidR="009A5E4F" w:rsidRPr="009A5E4F">
        <w:rPr>
          <w:lang w:eastAsia="bg-BG"/>
        </w:rPr>
        <w:t>57</w:t>
      </w:r>
      <w:r w:rsidR="00CD394B" w:rsidRPr="009A5E4F">
        <w:rPr>
          <w:lang w:eastAsia="bg-BG"/>
        </w:rPr>
        <w:t>,</w:t>
      </w:r>
      <w:r w:rsidR="009A5E4F" w:rsidRPr="009A5E4F">
        <w:rPr>
          <w:lang w:eastAsia="bg-BG"/>
        </w:rPr>
        <w:t>4</w:t>
      </w:r>
      <w:r w:rsidRPr="009A5E4F">
        <w:rPr>
          <w:lang w:eastAsia="bg-BG"/>
        </w:rPr>
        <w:t xml:space="preserve"> млн. лв., което е с </w:t>
      </w:r>
      <w:r w:rsidR="009A5E4F" w:rsidRPr="009A5E4F">
        <w:rPr>
          <w:lang w:eastAsia="bg-BG"/>
        </w:rPr>
        <w:t>58</w:t>
      </w:r>
      <w:r w:rsidR="00CD394B" w:rsidRPr="009A5E4F">
        <w:rPr>
          <w:lang w:eastAsia="bg-BG"/>
        </w:rPr>
        <w:t>,</w:t>
      </w:r>
      <w:r w:rsidR="009A5E4F" w:rsidRPr="009A5E4F">
        <w:rPr>
          <w:lang w:eastAsia="bg-BG"/>
        </w:rPr>
        <w:t>4</w:t>
      </w:r>
      <w:r w:rsidRPr="009A5E4F">
        <w:rPr>
          <w:lang w:eastAsia="bg-BG"/>
        </w:rPr>
        <w:t xml:space="preserve"> млн. лв. по</w:t>
      </w:r>
      <w:r w:rsidR="00410081" w:rsidRPr="009A5E4F">
        <w:rPr>
          <w:lang w:eastAsia="bg-BG"/>
        </w:rPr>
        <w:t>-малко</w:t>
      </w:r>
      <w:r w:rsidRPr="009A5E4F">
        <w:rPr>
          <w:lang w:eastAsia="bg-BG"/>
        </w:rPr>
        <w:t xml:space="preserve"> от плащанията към 3</w:t>
      </w:r>
      <w:r w:rsidR="00CD394B" w:rsidRPr="009A5E4F">
        <w:rPr>
          <w:lang w:eastAsia="bg-BG"/>
        </w:rPr>
        <w:t>0</w:t>
      </w:r>
      <w:r w:rsidRPr="009A5E4F">
        <w:rPr>
          <w:lang w:eastAsia="bg-BG"/>
        </w:rPr>
        <w:t>.0</w:t>
      </w:r>
      <w:r w:rsidR="009A5E4F" w:rsidRPr="009A5E4F">
        <w:rPr>
          <w:lang w:eastAsia="bg-BG"/>
        </w:rPr>
        <w:t>9</w:t>
      </w:r>
      <w:r w:rsidRPr="009A5E4F">
        <w:rPr>
          <w:lang w:eastAsia="bg-BG"/>
        </w:rPr>
        <w:t>.2018 г.</w:t>
      </w:r>
    </w:p>
    <w:p w:rsidR="00063CF1" w:rsidRPr="009A5E4F" w:rsidRDefault="00063CF1" w:rsidP="003922B1">
      <w:pPr>
        <w:ind w:firstLine="709"/>
        <w:jc w:val="both"/>
        <w:rPr>
          <w:lang w:eastAsia="bg-BG"/>
        </w:rPr>
      </w:pPr>
      <w:r w:rsidRPr="009A5E4F">
        <w:rPr>
          <w:lang w:eastAsia="bg-BG"/>
        </w:rPr>
        <w:t>Отчетени са плащания по следните направления:</w:t>
      </w:r>
    </w:p>
    <w:p w:rsidR="00063CF1" w:rsidRPr="009A5E4F" w:rsidRDefault="00CD394B" w:rsidP="003922B1">
      <w:pPr>
        <w:numPr>
          <w:ilvl w:val="0"/>
          <w:numId w:val="30"/>
        </w:numPr>
        <w:tabs>
          <w:tab w:val="left" w:pos="993"/>
        </w:tabs>
        <w:spacing w:line="276" w:lineRule="auto"/>
        <w:ind w:left="0" w:firstLine="993"/>
        <w:contextualSpacing/>
        <w:jc w:val="both"/>
        <w:rPr>
          <w:szCs w:val="20"/>
        </w:rPr>
      </w:pPr>
      <w:r w:rsidRPr="009A5E4F">
        <w:rPr>
          <w:szCs w:val="20"/>
        </w:rPr>
        <w:t>7</w:t>
      </w:r>
      <w:r w:rsidR="009A5E4F" w:rsidRPr="009A5E4F">
        <w:rPr>
          <w:szCs w:val="20"/>
        </w:rPr>
        <w:t>63</w:t>
      </w:r>
      <w:r w:rsidRPr="009A5E4F">
        <w:rPr>
          <w:szCs w:val="20"/>
        </w:rPr>
        <w:t>,</w:t>
      </w:r>
      <w:r w:rsidR="009A5E4F" w:rsidRPr="009A5E4F">
        <w:rPr>
          <w:szCs w:val="20"/>
        </w:rPr>
        <w:t>7</w:t>
      </w:r>
      <w:r w:rsidR="00063CF1" w:rsidRPr="009A5E4F">
        <w:rPr>
          <w:szCs w:val="20"/>
        </w:rPr>
        <w:t xml:space="preserve"> млн. лв. за директни плащания за сметка на ЕФГЗ, представляващи </w:t>
      </w:r>
      <w:r w:rsidRPr="009A5E4F">
        <w:rPr>
          <w:szCs w:val="20"/>
        </w:rPr>
        <w:t>4</w:t>
      </w:r>
      <w:r w:rsidR="009A5E4F" w:rsidRPr="009A5E4F">
        <w:rPr>
          <w:szCs w:val="20"/>
        </w:rPr>
        <w:t>9</w:t>
      </w:r>
      <w:r w:rsidRPr="009A5E4F">
        <w:rPr>
          <w:szCs w:val="20"/>
        </w:rPr>
        <w:t>,</w:t>
      </w:r>
      <w:r w:rsidR="009A5E4F" w:rsidRPr="009A5E4F">
        <w:rPr>
          <w:szCs w:val="20"/>
        </w:rPr>
        <w:t>1</w:t>
      </w:r>
      <w:r w:rsidR="00063CF1" w:rsidRPr="009A5E4F">
        <w:rPr>
          <w:szCs w:val="20"/>
        </w:rPr>
        <w:t xml:space="preserve"> % от планираните 1 554,4 млн. лева;</w:t>
      </w:r>
    </w:p>
    <w:p w:rsidR="00063CF1" w:rsidRPr="009A5E4F" w:rsidRDefault="00CD394B" w:rsidP="003922B1">
      <w:pPr>
        <w:numPr>
          <w:ilvl w:val="0"/>
          <w:numId w:val="30"/>
        </w:numPr>
        <w:tabs>
          <w:tab w:val="left" w:pos="993"/>
        </w:tabs>
        <w:spacing w:line="276" w:lineRule="auto"/>
        <w:ind w:left="0" w:firstLine="993"/>
        <w:contextualSpacing/>
        <w:jc w:val="both"/>
        <w:rPr>
          <w:szCs w:val="20"/>
        </w:rPr>
      </w:pPr>
      <w:r w:rsidRPr="009A5E4F">
        <w:rPr>
          <w:szCs w:val="20"/>
        </w:rPr>
        <w:t>18</w:t>
      </w:r>
      <w:r w:rsidR="009A5E4F" w:rsidRPr="009A5E4F">
        <w:rPr>
          <w:szCs w:val="20"/>
        </w:rPr>
        <w:t>4</w:t>
      </w:r>
      <w:r w:rsidRPr="009A5E4F">
        <w:rPr>
          <w:szCs w:val="20"/>
        </w:rPr>
        <w:t>,</w:t>
      </w:r>
      <w:r w:rsidR="009A5E4F" w:rsidRPr="009A5E4F">
        <w:rPr>
          <w:szCs w:val="20"/>
        </w:rPr>
        <w:t>8</w:t>
      </w:r>
      <w:r w:rsidR="00063CF1" w:rsidRPr="009A5E4F">
        <w:rPr>
          <w:szCs w:val="20"/>
        </w:rPr>
        <w:t xml:space="preserve"> млн. лв. - средства от ЕЗФРСР, прехвърлени към директни плащания, което е </w:t>
      </w:r>
      <w:r w:rsidRPr="009A5E4F">
        <w:rPr>
          <w:szCs w:val="20"/>
        </w:rPr>
        <w:t>8</w:t>
      </w:r>
      <w:r w:rsidR="009A5E4F" w:rsidRPr="009A5E4F">
        <w:rPr>
          <w:szCs w:val="20"/>
        </w:rPr>
        <w:t>9</w:t>
      </w:r>
      <w:r w:rsidRPr="009A5E4F">
        <w:rPr>
          <w:szCs w:val="20"/>
        </w:rPr>
        <w:t>,</w:t>
      </w:r>
      <w:r w:rsidR="009A5E4F" w:rsidRPr="009A5E4F">
        <w:rPr>
          <w:szCs w:val="20"/>
        </w:rPr>
        <w:t>7</w:t>
      </w:r>
      <w:r w:rsidR="00063CF1" w:rsidRPr="009A5E4F">
        <w:rPr>
          <w:szCs w:val="20"/>
        </w:rPr>
        <w:t xml:space="preserve"> % от планираните 206,0 млн. лева;</w:t>
      </w:r>
    </w:p>
    <w:p w:rsidR="00063CF1" w:rsidRPr="009A5E4F" w:rsidRDefault="009A5E4F" w:rsidP="003922B1">
      <w:pPr>
        <w:numPr>
          <w:ilvl w:val="0"/>
          <w:numId w:val="30"/>
        </w:numPr>
        <w:tabs>
          <w:tab w:val="left" w:pos="993"/>
        </w:tabs>
        <w:spacing w:line="276" w:lineRule="auto"/>
        <w:ind w:left="0" w:firstLine="993"/>
        <w:contextualSpacing/>
        <w:jc w:val="both"/>
        <w:rPr>
          <w:szCs w:val="20"/>
        </w:rPr>
      </w:pPr>
      <w:r w:rsidRPr="009A5E4F">
        <w:rPr>
          <w:szCs w:val="20"/>
        </w:rPr>
        <w:t>5</w:t>
      </w:r>
      <w:r w:rsidR="00063CF1" w:rsidRPr="009A5E4F">
        <w:rPr>
          <w:szCs w:val="20"/>
        </w:rPr>
        <w:t>,</w:t>
      </w:r>
      <w:r w:rsidRPr="009A5E4F">
        <w:rPr>
          <w:szCs w:val="20"/>
        </w:rPr>
        <w:t>3</w:t>
      </w:r>
      <w:r w:rsidR="00063CF1" w:rsidRPr="009A5E4F">
        <w:rPr>
          <w:szCs w:val="20"/>
        </w:rPr>
        <w:t xml:space="preserve"> млн. лв. за пазарни мерки, което е </w:t>
      </w:r>
      <w:r w:rsidRPr="009A5E4F">
        <w:rPr>
          <w:szCs w:val="20"/>
        </w:rPr>
        <w:t>12</w:t>
      </w:r>
      <w:r w:rsidR="00063CF1" w:rsidRPr="009A5E4F">
        <w:rPr>
          <w:szCs w:val="20"/>
        </w:rPr>
        <w:t>,</w:t>
      </w:r>
      <w:r w:rsidRPr="009A5E4F">
        <w:rPr>
          <w:szCs w:val="20"/>
        </w:rPr>
        <w:t>6</w:t>
      </w:r>
      <w:r w:rsidR="00063CF1" w:rsidRPr="009A5E4F">
        <w:rPr>
          <w:szCs w:val="20"/>
        </w:rPr>
        <w:t xml:space="preserve"> % от планираните 42,1 млн. лева;</w:t>
      </w:r>
    </w:p>
    <w:p w:rsidR="00063CF1" w:rsidRPr="009A5E4F" w:rsidRDefault="009A5E4F" w:rsidP="003922B1">
      <w:pPr>
        <w:numPr>
          <w:ilvl w:val="0"/>
          <w:numId w:val="30"/>
        </w:numPr>
        <w:tabs>
          <w:tab w:val="left" w:pos="993"/>
        </w:tabs>
        <w:spacing w:line="276" w:lineRule="auto"/>
        <w:ind w:left="0" w:firstLine="993"/>
        <w:contextualSpacing/>
        <w:jc w:val="both"/>
        <w:rPr>
          <w:szCs w:val="20"/>
        </w:rPr>
      </w:pPr>
      <w:r w:rsidRPr="009A5E4F">
        <w:rPr>
          <w:szCs w:val="20"/>
        </w:rPr>
        <w:t>3</w:t>
      </w:r>
      <w:r w:rsidR="00CD394B" w:rsidRPr="009A5E4F">
        <w:rPr>
          <w:szCs w:val="20"/>
        </w:rPr>
        <w:t>,</w:t>
      </w:r>
      <w:r w:rsidRPr="009A5E4F">
        <w:rPr>
          <w:szCs w:val="20"/>
        </w:rPr>
        <w:t>5</w:t>
      </w:r>
      <w:r w:rsidR="00063CF1" w:rsidRPr="009A5E4F">
        <w:rPr>
          <w:szCs w:val="20"/>
        </w:rPr>
        <w:t xml:space="preserve"> млн. лв. – суми за преструктуриране, 1</w:t>
      </w:r>
      <w:r w:rsidRPr="009A5E4F">
        <w:rPr>
          <w:szCs w:val="20"/>
        </w:rPr>
        <w:t>1</w:t>
      </w:r>
      <w:r w:rsidR="00CD394B" w:rsidRPr="009A5E4F">
        <w:rPr>
          <w:szCs w:val="20"/>
        </w:rPr>
        <w:t>,</w:t>
      </w:r>
      <w:r w:rsidRPr="009A5E4F">
        <w:rPr>
          <w:szCs w:val="20"/>
        </w:rPr>
        <w:t>7</w:t>
      </w:r>
      <w:r w:rsidR="00063CF1" w:rsidRPr="009A5E4F">
        <w:rPr>
          <w:szCs w:val="20"/>
        </w:rPr>
        <w:t xml:space="preserve"> % от планираните 29,8 млн. л</w:t>
      </w:r>
      <w:r w:rsidR="00EE7A69" w:rsidRPr="009A5E4F">
        <w:rPr>
          <w:szCs w:val="20"/>
        </w:rPr>
        <w:t>е</w:t>
      </w:r>
      <w:r w:rsidR="00063CF1" w:rsidRPr="009A5E4F">
        <w:rPr>
          <w:szCs w:val="20"/>
        </w:rPr>
        <w:t>в</w:t>
      </w:r>
      <w:r w:rsidR="00EE7A69" w:rsidRPr="009A5E4F">
        <w:rPr>
          <w:szCs w:val="20"/>
        </w:rPr>
        <w:t>а</w:t>
      </w:r>
      <w:r w:rsidR="00063CF1" w:rsidRPr="009A5E4F">
        <w:rPr>
          <w:szCs w:val="20"/>
        </w:rPr>
        <w:t>.</w:t>
      </w:r>
    </w:p>
    <w:p w:rsidR="00063CF1" w:rsidRPr="00290C55" w:rsidRDefault="00063CF1" w:rsidP="003922B1">
      <w:pPr>
        <w:ind w:firstLine="709"/>
        <w:jc w:val="both"/>
        <w:rPr>
          <w:lang w:eastAsia="bg-BG"/>
        </w:rPr>
      </w:pPr>
      <w:r w:rsidRPr="00290C55">
        <w:rPr>
          <w:lang w:eastAsia="bg-BG"/>
        </w:rPr>
        <w:t>Възстановените суми от Европейския съюз към 3</w:t>
      </w:r>
      <w:r w:rsidR="00CD394B" w:rsidRPr="00290C55">
        <w:rPr>
          <w:lang w:eastAsia="bg-BG"/>
        </w:rPr>
        <w:t>0</w:t>
      </w:r>
      <w:r w:rsidRPr="00290C55">
        <w:rPr>
          <w:lang w:eastAsia="bg-BG"/>
        </w:rPr>
        <w:t>.0</w:t>
      </w:r>
      <w:r w:rsidR="00290C55" w:rsidRPr="00290C55">
        <w:rPr>
          <w:lang w:eastAsia="bg-BG"/>
        </w:rPr>
        <w:t>9</w:t>
      </w:r>
      <w:r w:rsidRPr="00290C55">
        <w:rPr>
          <w:lang w:eastAsia="bg-BG"/>
        </w:rPr>
        <w:t xml:space="preserve">.2019 г. възлизат общо на </w:t>
      </w:r>
      <w:r w:rsidR="00CD394B" w:rsidRPr="00290C55">
        <w:rPr>
          <w:lang w:eastAsia="bg-BG"/>
        </w:rPr>
        <w:t>1</w:t>
      </w:r>
      <w:r w:rsidR="00290C55" w:rsidRPr="00290C55">
        <w:rPr>
          <w:lang w:eastAsia="bg-BG"/>
        </w:rPr>
        <w:t> 891,5</w:t>
      </w:r>
      <w:r w:rsidR="00B30A94" w:rsidRPr="00290C55">
        <w:t> </w:t>
      </w:r>
      <w:r w:rsidRPr="00290C55">
        <w:rPr>
          <w:lang w:eastAsia="bg-BG"/>
        </w:rPr>
        <w:t>млн. лв., което е с</w:t>
      </w:r>
      <w:r w:rsidR="00290C55" w:rsidRPr="00290C55">
        <w:rPr>
          <w:lang w:eastAsia="bg-BG"/>
        </w:rPr>
        <w:t>ъс</w:t>
      </w:r>
      <w:r w:rsidRPr="00290C55">
        <w:rPr>
          <w:lang w:eastAsia="bg-BG"/>
        </w:rPr>
        <w:t xml:space="preserve"> </w:t>
      </w:r>
      <w:r w:rsidR="00290C55" w:rsidRPr="00290C55">
        <w:rPr>
          <w:lang w:eastAsia="bg-BG"/>
        </w:rPr>
        <w:t>168</w:t>
      </w:r>
      <w:r w:rsidRPr="00290C55">
        <w:rPr>
          <w:lang w:eastAsia="bg-BG"/>
        </w:rPr>
        <w:t>,</w:t>
      </w:r>
      <w:r w:rsidR="00290C55" w:rsidRPr="00290C55">
        <w:rPr>
          <w:lang w:eastAsia="bg-BG"/>
        </w:rPr>
        <w:t>5</w:t>
      </w:r>
      <w:r w:rsidRPr="00290C55">
        <w:rPr>
          <w:lang w:eastAsia="bg-BG"/>
        </w:rPr>
        <w:t xml:space="preserve"> млн. лв. повече от възстановените към 3</w:t>
      </w:r>
      <w:r w:rsidR="00CD394B" w:rsidRPr="00290C55">
        <w:rPr>
          <w:lang w:eastAsia="bg-BG"/>
        </w:rPr>
        <w:t>0</w:t>
      </w:r>
      <w:r w:rsidRPr="00290C55">
        <w:rPr>
          <w:lang w:eastAsia="bg-BG"/>
        </w:rPr>
        <w:t>.0</w:t>
      </w:r>
      <w:r w:rsidR="00290C55" w:rsidRPr="00290C55">
        <w:rPr>
          <w:lang w:eastAsia="bg-BG"/>
        </w:rPr>
        <w:t>9</w:t>
      </w:r>
      <w:r w:rsidRPr="00290C55">
        <w:rPr>
          <w:lang w:eastAsia="bg-BG"/>
        </w:rPr>
        <w:t>.2018 г.</w:t>
      </w:r>
    </w:p>
    <w:p w:rsidR="00063CF1" w:rsidRPr="00290C55" w:rsidRDefault="00063CF1" w:rsidP="003922B1">
      <w:pPr>
        <w:ind w:firstLine="709"/>
        <w:jc w:val="both"/>
        <w:rPr>
          <w:lang w:eastAsia="bg-BG"/>
        </w:rPr>
      </w:pPr>
      <w:r w:rsidRPr="00290C55">
        <w:rPr>
          <w:lang w:eastAsia="bg-BG"/>
        </w:rPr>
        <w:t>Възстановени са суми по следните направления:</w:t>
      </w:r>
    </w:p>
    <w:p w:rsidR="00063CF1" w:rsidRPr="003D321B" w:rsidRDefault="00CD394B" w:rsidP="003922B1">
      <w:pPr>
        <w:numPr>
          <w:ilvl w:val="0"/>
          <w:numId w:val="30"/>
        </w:numPr>
        <w:tabs>
          <w:tab w:val="left" w:pos="993"/>
        </w:tabs>
        <w:spacing w:line="276" w:lineRule="auto"/>
        <w:ind w:left="0" w:firstLine="993"/>
        <w:contextualSpacing/>
        <w:jc w:val="both"/>
        <w:rPr>
          <w:szCs w:val="20"/>
        </w:rPr>
      </w:pPr>
      <w:r w:rsidRPr="003D321B">
        <w:rPr>
          <w:szCs w:val="20"/>
        </w:rPr>
        <w:t>1 </w:t>
      </w:r>
      <w:r w:rsidR="003D321B" w:rsidRPr="003D321B">
        <w:rPr>
          <w:szCs w:val="20"/>
        </w:rPr>
        <w:t>512</w:t>
      </w:r>
      <w:r w:rsidRPr="003D321B">
        <w:rPr>
          <w:szCs w:val="20"/>
        </w:rPr>
        <w:t>,</w:t>
      </w:r>
      <w:r w:rsidR="003D321B" w:rsidRPr="003D321B">
        <w:rPr>
          <w:szCs w:val="20"/>
        </w:rPr>
        <w:t>2</w:t>
      </w:r>
      <w:r w:rsidR="00063CF1" w:rsidRPr="003D321B">
        <w:rPr>
          <w:szCs w:val="20"/>
        </w:rPr>
        <w:t xml:space="preserve"> млн. лв. за директни плащания от ЕФГЗ – </w:t>
      </w:r>
      <w:r w:rsidR="003D321B" w:rsidRPr="003D321B">
        <w:rPr>
          <w:szCs w:val="20"/>
        </w:rPr>
        <w:t>96</w:t>
      </w:r>
      <w:r w:rsidRPr="003D321B">
        <w:rPr>
          <w:szCs w:val="20"/>
        </w:rPr>
        <w:t>,</w:t>
      </w:r>
      <w:r w:rsidR="003D321B" w:rsidRPr="003D321B">
        <w:rPr>
          <w:szCs w:val="20"/>
        </w:rPr>
        <w:t>7</w:t>
      </w:r>
      <w:r w:rsidR="00063CF1" w:rsidRPr="003D321B">
        <w:rPr>
          <w:szCs w:val="20"/>
        </w:rPr>
        <w:t xml:space="preserve"> % от заложените 1 563,5 млн. лева;</w:t>
      </w:r>
    </w:p>
    <w:p w:rsidR="00063CF1" w:rsidRPr="00C47D8D" w:rsidRDefault="00C47D8D" w:rsidP="003922B1">
      <w:pPr>
        <w:numPr>
          <w:ilvl w:val="0"/>
          <w:numId w:val="30"/>
        </w:numPr>
        <w:tabs>
          <w:tab w:val="left" w:pos="993"/>
        </w:tabs>
        <w:spacing w:line="276" w:lineRule="auto"/>
        <w:ind w:left="0" w:firstLine="993"/>
        <w:contextualSpacing/>
        <w:jc w:val="both"/>
        <w:rPr>
          <w:szCs w:val="20"/>
        </w:rPr>
      </w:pPr>
      <w:r w:rsidRPr="00C47D8D">
        <w:rPr>
          <w:szCs w:val="20"/>
        </w:rPr>
        <w:t>3</w:t>
      </w:r>
      <w:r w:rsidR="00CD394B" w:rsidRPr="00C47D8D">
        <w:rPr>
          <w:szCs w:val="20"/>
        </w:rPr>
        <w:t>7</w:t>
      </w:r>
      <w:r w:rsidRPr="00C47D8D">
        <w:rPr>
          <w:szCs w:val="20"/>
        </w:rPr>
        <w:t>1</w:t>
      </w:r>
      <w:r w:rsidR="00CD394B" w:rsidRPr="00C47D8D">
        <w:rPr>
          <w:szCs w:val="20"/>
        </w:rPr>
        <w:t>,</w:t>
      </w:r>
      <w:r w:rsidRPr="00C47D8D">
        <w:rPr>
          <w:szCs w:val="20"/>
        </w:rPr>
        <w:t>7</w:t>
      </w:r>
      <w:r w:rsidR="00063CF1" w:rsidRPr="00C47D8D">
        <w:rPr>
          <w:szCs w:val="20"/>
        </w:rPr>
        <w:t xml:space="preserve"> млн. лв. от ЕЗФРСР, прехвърлени към директни плащания – </w:t>
      </w:r>
      <w:r w:rsidRPr="00C47D8D">
        <w:rPr>
          <w:szCs w:val="20"/>
        </w:rPr>
        <w:t>180</w:t>
      </w:r>
      <w:r w:rsidR="00CD394B" w:rsidRPr="00C47D8D">
        <w:rPr>
          <w:szCs w:val="20"/>
        </w:rPr>
        <w:t>,</w:t>
      </w:r>
      <w:r w:rsidRPr="00C47D8D">
        <w:rPr>
          <w:szCs w:val="20"/>
        </w:rPr>
        <w:t>4</w:t>
      </w:r>
      <w:r w:rsidR="00063CF1" w:rsidRPr="00C47D8D">
        <w:rPr>
          <w:szCs w:val="20"/>
        </w:rPr>
        <w:t xml:space="preserve"> % </w:t>
      </w:r>
      <w:r w:rsidR="003F3760">
        <w:rPr>
          <w:szCs w:val="20"/>
        </w:rPr>
        <w:t>спрямо</w:t>
      </w:r>
      <w:r w:rsidR="00063CF1" w:rsidRPr="00C47D8D">
        <w:rPr>
          <w:szCs w:val="20"/>
        </w:rPr>
        <w:t xml:space="preserve"> заложените 206,0 млн. лева</w:t>
      </w:r>
      <w:r>
        <w:rPr>
          <w:szCs w:val="20"/>
        </w:rPr>
        <w:t xml:space="preserve">. </w:t>
      </w:r>
      <w:r w:rsidRPr="00821DDC">
        <w:rPr>
          <w:szCs w:val="20"/>
        </w:rPr>
        <w:t>Превишението се дължи на получено окончателно плащане във връзка с приключването на ПРСР 2007-2013, възлизащо на 190,2</w:t>
      </w:r>
      <w:r>
        <w:rPr>
          <w:szCs w:val="20"/>
        </w:rPr>
        <w:t xml:space="preserve"> </w:t>
      </w:r>
      <w:r w:rsidRPr="00821DDC">
        <w:rPr>
          <w:szCs w:val="20"/>
        </w:rPr>
        <w:t>млн.л</w:t>
      </w:r>
      <w:r>
        <w:rPr>
          <w:szCs w:val="20"/>
        </w:rPr>
        <w:t>е</w:t>
      </w:r>
      <w:r w:rsidRPr="00821DDC">
        <w:rPr>
          <w:szCs w:val="20"/>
        </w:rPr>
        <w:t>в</w:t>
      </w:r>
      <w:r>
        <w:rPr>
          <w:szCs w:val="20"/>
        </w:rPr>
        <w:t>а</w:t>
      </w:r>
      <w:r w:rsidRPr="00821DDC">
        <w:rPr>
          <w:szCs w:val="20"/>
        </w:rPr>
        <w:t>.</w:t>
      </w:r>
    </w:p>
    <w:p w:rsidR="00063CF1" w:rsidRPr="00C47D8D" w:rsidRDefault="00063CF1" w:rsidP="003922B1">
      <w:pPr>
        <w:numPr>
          <w:ilvl w:val="0"/>
          <w:numId w:val="30"/>
        </w:numPr>
        <w:tabs>
          <w:tab w:val="left" w:pos="993"/>
        </w:tabs>
        <w:spacing w:line="276" w:lineRule="auto"/>
        <w:ind w:left="0" w:firstLine="993"/>
        <w:contextualSpacing/>
        <w:jc w:val="both"/>
        <w:rPr>
          <w:szCs w:val="20"/>
        </w:rPr>
      </w:pPr>
      <w:r w:rsidRPr="00C47D8D">
        <w:rPr>
          <w:szCs w:val="20"/>
        </w:rPr>
        <w:t>2</w:t>
      </w:r>
      <w:r w:rsidR="00CD394B" w:rsidRPr="00C47D8D">
        <w:rPr>
          <w:szCs w:val="20"/>
        </w:rPr>
        <w:t>,</w:t>
      </w:r>
      <w:r w:rsidR="00C47D8D" w:rsidRPr="00C47D8D">
        <w:rPr>
          <w:szCs w:val="20"/>
        </w:rPr>
        <w:t>5</w:t>
      </w:r>
      <w:r w:rsidRPr="00C47D8D">
        <w:rPr>
          <w:szCs w:val="20"/>
        </w:rPr>
        <w:t xml:space="preserve"> млн. лв. за пазарни мерки, </w:t>
      </w:r>
      <w:r w:rsidR="00C47D8D" w:rsidRPr="00C47D8D">
        <w:rPr>
          <w:szCs w:val="20"/>
        </w:rPr>
        <w:t>7</w:t>
      </w:r>
      <w:r w:rsidR="00CD394B" w:rsidRPr="00C47D8D">
        <w:rPr>
          <w:szCs w:val="20"/>
        </w:rPr>
        <w:t>,</w:t>
      </w:r>
      <w:r w:rsidR="00C47D8D" w:rsidRPr="00C47D8D">
        <w:rPr>
          <w:szCs w:val="20"/>
        </w:rPr>
        <w:t>0</w:t>
      </w:r>
      <w:r w:rsidRPr="00C47D8D">
        <w:rPr>
          <w:szCs w:val="20"/>
        </w:rPr>
        <w:t xml:space="preserve"> % изпълнение на планираните 35,5 млн. лева;</w:t>
      </w:r>
    </w:p>
    <w:p w:rsidR="00063CF1" w:rsidRPr="00C47D8D" w:rsidRDefault="00C47D8D" w:rsidP="003922B1">
      <w:pPr>
        <w:numPr>
          <w:ilvl w:val="0"/>
          <w:numId w:val="30"/>
        </w:numPr>
        <w:tabs>
          <w:tab w:val="left" w:pos="993"/>
        </w:tabs>
        <w:spacing w:line="276" w:lineRule="auto"/>
        <w:ind w:left="0" w:firstLine="993"/>
        <w:contextualSpacing/>
        <w:jc w:val="both"/>
      </w:pPr>
      <w:r w:rsidRPr="00C47D8D">
        <w:rPr>
          <w:szCs w:val="20"/>
        </w:rPr>
        <w:t>5</w:t>
      </w:r>
      <w:r w:rsidR="00CD394B" w:rsidRPr="00C47D8D">
        <w:rPr>
          <w:szCs w:val="20"/>
        </w:rPr>
        <w:t>,</w:t>
      </w:r>
      <w:r w:rsidRPr="00C47D8D">
        <w:rPr>
          <w:szCs w:val="20"/>
        </w:rPr>
        <w:t>0</w:t>
      </w:r>
      <w:r w:rsidR="00063CF1" w:rsidRPr="00C47D8D">
        <w:rPr>
          <w:szCs w:val="20"/>
        </w:rPr>
        <w:t xml:space="preserve"> млн. лв. – суми за преструктуриране, 1</w:t>
      </w:r>
      <w:r w:rsidRPr="00C47D8D">
        <w:rPr>
          <w:szCs w:val="20"/>
        </w:rPr>
        <w:t>7</w:t>
      </w:r>
      <w:r w:rsidR="00CD394B" w:rsidRPr="00C47D8D">
        <w:rPr>
          <w:szCs w:val="20"/>
        </w:rPr>
        <w:t>,</w:t>
      </w:r>
      <w:r w:rsidRPr="00C47D8D">
        <w:rPr>
          <w:szCs w:val="20"/>
        </w:rPr>
        <w:t>2</w:t>
      </w:r>
      <w:r w:rsidR="00063CF1" w:rsidRPr="00C47D8D">
        <w:rPr>
          <w:szCs w:val="20"/>
        </w:rPr>
        <w:t xml:space="preserve"> % изпълнение на планираните 29,1</w:t>
      </w:r>
      <w:r w:rsidR="000F68AF" w:rsidRPr="00C47D8D">
        <w:t> </w:t>
      </w:r>
      <w:r w:rsidR="00063CF1" w:rsidRPr="00C47D8D">
        <w:rPr>
          <w:szCs w:val="20"/>
        </w:rPr>
        <w:t>млн. лева.</w:t>
      </w:r>
    </w:p>
    <w:p w:rsidR="00063CF1" w:rsidRPr="00C63E05" w:rsidRDefault="00063CF1" w:rsidP="003922B1">
      <w:pPr>
        <w:spacing w:before="120"/>
        <w:ind w:firstLine="709"/>
        <w:jc w:val="both"/>
        <w:rPr>
          <w:lang w:val="en-US"/>
        </w:rPr>
      </w:pPr>
      <w:r w:rsidRPr="00C63E05">
        <w:t xml:space="preserve">Възстановените суми (нето) по разчети с ЦБ за финансиране на плащания при недостиг на средства по сметки възлизат на </w:t>
      </w:r>
      <w:r w:rsidR="00C63E05" w:rsidRPr="00C63E05">
        <w:t>770</w:t>
      </w:r>
      <w:r w:rsidR="00CD394B" w:rsidRPr="00C63E05">
        <w:t>,</w:t>
      </w:r>
      <w:r w:rsidR="00C63E05" w:rsidRPr="00C63E05">
        <w:t>9</w:t>
      </w:r>
      <w:r w:rsidRPr="00C63E05">
        <w:t xml:space="preserve"> млн. лв. при планирани 2,9 млн. лева. </w:t>
      </w:r>
    </w:p>
    <w:p w:rsidR="00417E9B" w:rsidRPr="00C63E05" w:rsidRDefault="00417E9B" w:rsidP="003922B1">
      <w:pPr>
        <w:tabs>
          <w:tab w:val="left" w:pos="540"/>
        </w:tabs>
        <w:spacing w:before="120"/>
        <w:jc w:val="both"/>
        <w:rPr>
          <w:lang w:eastAsia="bg-BG"/>
        </w:rPr>
      </w:pPr>
      <w:r w:rsidRPr="00C63E05">
        <w:rPr>
          <w:lang w:val="en-US" w:eastAsia="bg-BG"/>
        </w:rPr>
        <w:tab/>
        <w:t xml:space="preserve">   </w:t>
      </w:r>
      <w:r w:rsidRPr="00C63E05">
        <w:rPr>
          <w:lang w:eastAsia="bg-BG"/>
        </w:rPr>
        <w:t>Удържаните суми по разчети за данъци на физически лица към 3</w:t>
      </w:r>
      <w:r w:rsidR="00410081" w:rsidRPr="00C63E05">
        <w:rPr>
          <w:lang w:eastAsia="bg-BG"/>
        </w:rPr>
        <w:t>0</w:t>
      </w:r>
      <w:r w:rsidRPr="00C63E05">
        <w:rPr>
          <w:lang w:eastAsia="bg-BG"/>
        </w:rPr>
        <w:t>.0</w:t>
      </w:r>
      <w:r w:rsidR="00C63E05" w:rsidRPr="00C63E05">
        <w:rPr>
          <w:lang w:eastAsia="bg-BG"/>
        </w:rPr>
        <w:t>9</w:t>
      </w:r>
      <w:r w:rsidRPr="00C63E05">
        <w:rPr>
          <w:lang w:eastAsia="bg-BG"/>
        </w:rPr>
        <w:t>.2019</w:t>
      </w:r>
      <w:r w:rsidRPr="00C63E05">
        <w:rPr>
          <w:lang w:val="en-US" w:eastAsia="bg-BG"/>
        </w:rPr>
        <w:t xml:space="preserve"> </w:t>
      </w:r>
      <w:r w:rsidRPr="00C63E05">
        <w:rPr>
          <w:lang w:eastAsia="bg-BG"/>
        </w:rPr>
        <w:t>г. възлизат на 0</w:t>
      </w:r>
      <w:r w:rsidR="00810DC0" w:rsidRPr="00C63E05">
        <w:rPr>
          <w:lang w:eastAsia="bg-BG"/>
        </w:rPr>
        <w:t>,</w:t>
      </w:r>
      <w:r w:rsidR="00C63E05" w:rsidRPr="00C63E05">
        <w:rPr>
          <w:lang w:eastAsia="bg-BG"/>
        </w:rPr>
        <w:t>04</w:t>
      </w:r>
      <w:r w:rsidRPr="00C63E05">
        <w:rPr>
          <w:lang w:val="en-US" w:eastAsia="bg-BG"/>
        </w:rPr>
        <w:t xml:space="preserve"> </w:t>
      </w:r>
      <w:r w:rsidRPr="00C63E05">
        <w:rPr>
          <w:lang w:eastAsia="bg-BG"/>
        </w:rPr>
        <w:t>млн. лева.</w:t>
      </w:r>
    </w:p>
    <w:p w:rsidR="00063CF1" w:rsidRPr="0099382C" w:rsidRDefault="00063CF1" w:rsidP="00063CF1">
      <w:pPr>
        <w:rPr>
          <w:lang w:val="en-US"/>
        </w:rPr>
      </w:pPr>
    </w:p>
    <w:p w:rsidR="002B1377" w:rsidRPr="0099382C" w:rsidRDefault="002B1377" w:rsidP="005F3781">
      <w:pPr>
        <w:pStyle w:val="Heading1"/>
        <w:numPr>
          <w:ilvl w:val="1"/>
          <w:numId w:val="10"/>
        </w:numPr>
        <w:ind w:left="788" w:right="-108" w:hanging="431"/>
        <w:jc w:val="both"/>
        <w:rPr>
          <w:sz w:val="24"/>
        </w:rPr>
      </w:pPr>
      <w:r w:rsidRPr="0099382C">
        <w:rPr>
          <w:sz w:val="24"/>
        </w:rPr>
        <w:lastRenderedPageBreak/>
        <w:t>Национален фонд към Министерство на финансите</w:t>
      </w:r>
    </w:p>
    <w:p w:rsidR="00810DC0" w:rsidRPr="00B93FD2" w:rsidRDefault="00810DC0" w:rsidP="008B327D">
      <w:pPr>
        <w:spacing w:before="120"/>
        <w:ind w:firstLine="686"/>
        <w:jc w:val="both"/>
        <w:rPr>
          <w:bCs/>
          <w:color w:val="4F81BD" w:themeColor="accent1"/>
        </w:rPr>
      </w:pPr>
      <w:r w:rsidRPr="0099382C">
        <w:rPr>
          <w:bCs/>
        </w:rPr>
        <w:t>По сметките на НФ към 30.0</w:t>
      </w:r>
      <w:r w:rsidR="0099382C" w:rsidRPr="0099382C">
        <w:rPr>
          <w:bCs/>
        </w:rPr>
        <w:t>9</w:t>
      </w:r>
      <w:r w:rsidRPr="0099382C">
        <w:rPr>
          <w:bCs/>
        </w:rPr>
        <w:t xml:space="preserve">.2019 г. са постъпили приходи (нето) в размер на </w:t>
      </w:r>
      <w:r w:rsidR="0099382C" w:rsidRPr="0099382C">
        <w:rPr>
          <w:bCs/>
        </w:rPr>
        <w:t>1 258</w:t>
      </w:r>
      <w:r w:rsidR="00F65A67" w:rsidRPr="0099382C">
        <w:rPr>
          <w:bCs/>
        </w:rPr>
        <w:t>,</w:t>
      </w:r>
      <w:r w:rsidR="0099382C" w:rsidRPr="0099382C">
        <w:rPr>
          <w:bCs/>
        </w:rPr>
        <w:t>2</w:t>
      </w:r>
      <w:r w:rsidRPr="0099382C">
        <w:rPr>
          <w:bCs/>
        </w:rPr>
        <w:t xml:space="preserve"> млн. лв.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и Фонда за европейско подпомагане на най-нуждаещите се лица (ФЕПНЛ) на ЕС за финансовата рамка 2014–2020 г., Финансовия механизъм на Европейското икономическо пространство (ФМ на ЕИП) 2009–2014 г. и 2014–2021 г., Норвежкия финансов механизъм (НФМ) 2009–2014 г. и 2014–2021 г., двустранните програми за трансгранично сътрудничество по външните граници на EС (ПТСВГ) за периода 2014–2020 г., Българо-швейцарската програма за сътрудничество (БШПС) и програма ИСПА/Кохезионен фонд (Регламент 1164/94),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ПТСВГ и изплатените средства от получения ресурс към бенефициенти извън страната.</w:t>
      </w:r>
      <w:r w:rsidRPr="00B93FD2">
        <w:rPr>
          <w:bCs/>
          <w:color w:val="4F81BD" w:themeColor="accent1"/>
        </w:rPr>
        <w:t xml:space="preserve"> </w:t>
      </w:r>
    </w:p>
    <w:p w:rsidR="00810DC0" w:rsidRPr="00B82360" w:rsidRDefault="00810DC0" w:rsidP="00810DC0">
      <w:pPr>
        <w:spacing w:before="120"/>
        <w:ind w:firstLine="686"/>
        <w:jc w:val="both"/>
        <w:rPr>
          <w:bCs/>
        </w:rPr>
      </w:pPr>
      <w:r w:rsidRPr="00B82360">
        <w:rPr>
          <w:bCs/>
        </w:rPr>
        <w:t xml:space="preserve">Извършените разходи (нето) за периода чрез сметките на НФ възлизат на </w:t>
      </w:r>
      <w:r w:rsidR="00B82360" w:rsidRPr="00B82360">
        <w:rPr>
          <w:bCs/>
        </w:rPr>
        <w:t>450</w:t>
      </w:r>
      <w:r w:rsidR="00F65A67" w:rsidRPr="00B82360">
        <w:rPr>
          <w:bCs/>
        </w:rPr>
        <w:t>,</w:t>
      </w:r>
      <w:r w:rsidR="00B82360" w:rsidRPr="00B82360">
        <w:rPr>
          <w:bCs/>
        </w:rPr>
        <w:t>1</w:t>
      </w:r>
      <w:r w:rsidRPr="00B82360">
        <w:rPr>
          <w:bCs/>
        </w:rPr>
        <w:t xml:space="preserve"> млн. лева. По видове разходи изпълнението е както следва: 6</w:t>
      </w:r>
      <w:r w:rsidR="00B82360" w:rsidRPr="00B82360">
        <w:rPr>
          <w:bCs/>
        </w:rPr>
        <w:t>9</w:t>
      </w:r>
      <w:r w:rsidR="00F65A67" w:rsidRPr="00B82360">
        <w:rPr>
          <w:bCs/>
        </w:rPr>
        <w:t>,</w:t>
      </w:r>
      <w:r w:rsidRPr="00B82360">
        <w:rPr>
          <w:bCs/>
        </w:rPr>
        <w:t>5</w:t>
      </w:r>
      <w:r w:rsidR="00B82360" w:rsidRPr="00B82360">
        <w:rPr>
          <w:bCs/>
        </w:rPr>
        <w:t>0</w:t>
      </w:r>
      <w:r w:rsidR="00F65A67" w:rsidRPr="00B82360">
        <w:rPr>
          <w:bCs/>
        </w:rPr>
        <w:t xml:space="preserve"> </w:t>
      </w:r>
      <w:r w:rsidRPr="00B82360">
        <w:rPr>
          <w:bCs/>
        </w:rPr>
        <w:t xml:space="preserve">% от общата стойност са капиталови трансфери, </w:t>
      </w:r>
      <w:r w:rsidR="00B82360" w:rsidRPr="00B82360">
        <w:rPr>
          <w:bCs/>
        </w:rPr>
        <w:t>28</w:t>
      </w:r>
      <w:r w:rsidR="00F65A67" w:rsidRPr="00B82360">
        <w:rPr>
          <w:bCs/>
        </w:rPr>
        <w:t>,</w:t>
      </w:r>
      <w:r w:rsidR="00B82360" w:rsidRPr="00B82360">
        <w:rPr>
          <w:bCs/>
        </w:rPr>
        <w:t>77</w:t>
      </w:r>
      <w:r w:rsidR="00F65A67" w:rsidRPr="00B82360">
        <w:rPr>
          <w:bCs/>
        </w:rPr>
        <w:t xml:space="preserve"> </w:t>
      </w:r>
      <w:r w:rsidRPr="00B82360">
        <w:rPr>
          <w:bCs/>
        </w:rPr>
        <w:t>% са субсидии, 1</w:t>
      </w:r>
      <w:r w:rsidR="00F65A67" w:rsidRPr="00B82360">
        <w:rPr>
          <w:bCs/>
        </w:rPr>
        <w:t>,</w:t>
      </w:r>
      <w:r w:rsidR="00B82360" w:rsidRPr="00B82360">
        <w:rPr>
          <w:bCs/>
        </w:rPr>
        <w:t>73</w:t>
      </w:r>
      <w:r w:rsidR="00F65A67" w:rsidRPr="00B82360">
        <w:rPr>
          <w:bCs/>
        </w:rPr>
        <w:t xml:space="preserve"> </w:t>
      </w:r>
      <w:r w:rsidRPr="00B82360">
        <w:rPr>
          <w:bCs/>
        </w:rPr>
        <w:t>% предоставени текущи и капиталови трансфери за чужбина и 0</w:t>
      </w:r>
      <w:r w:rsidR="00F65A67" w:rsidRPr="00B82360">
        <w:rPr>
          <w:bCs/>
        </w:rPr>
        <w:t>,</w:t>
      </w:r>
      <w:r w:rsidRPr="00B82360">
        <w:rPr>
          <w:bCs/>
        </w:rPr>
        <w:t>0</w:t>
      </w:r>
      <w:r w:rsidR="00B82360" w:rsidRPr="00B82360">
        <w:rPr>
          <w:bCs/>
        </w:rPr>
        <w:t>04</w:t>
      </w:r>
      <w:r w:rsidR="00F65A67" w:rsidRPr="00B82360">
        <w:rPr>
          <w:bCs/>
        </w:rPr>
        <w:t xml:space="preserve"> </w:t>
      </w:r>
      <w:r w:rsidRPr="00B82360">
        <w:rPr>
          <w:bCs/>
        </w:rPr>
        <w:t>% - издръжка.</w:t>
      </w:r>
    </w:p>
    <w:p w:rsidR="00810DC0" w:rsidRPr="007F178D" w:rsidRDefault="00810DC0" w:rsidP="00810DC0">
      <w:pPr>
        <w:spacing w:before="120"/>
        <w:ind w:firstLine="686"/>
        <w:jc w:val="both"/>
        <w:rPr>
          <w:bCs/>
        </w:rPr>
      </w:pPr>
      <w:r w:rsidRPr="007F178D">
        <w:rPr>
          <w:bCs/>
        </w:rPr>
        <w:t xml:space="preserve">Трансферите (нето), временните безлихвени заеми (нето) и временна възмездна финансова помощ за разглеждания период са на стойност </w:t>
      </w:r>
      <w:r w:rsidR="007F178D" w:rsidRPr="0070267F">
        <w:rPr>
          <w:bCs/>
        </w:rPr>
        <w:t>826</w:t>
      </w:r>
      <w:r w:rsidR="00F65A67" w:rsidRPr="0070267F">
        <w:rPr>
          <w:bCs/>
        </w:rPr>
        <w:t>,</w:t>
      </w:r>
      <w:r w:rsidR="007F178D" w:rsidRPr="0070267F">
        <w:rPr>
          <w:bCs/>
        </w:rPr>
        <w:t>6</w:t>
      </w:r>
      <w:r w:rsidRPr="0070267F">
        <w:rPr>
          <w:bCs/>
        </w:rPr>
        <w:t xml:space="preserve"> млн</w:t>
      </w:r>
      <w:r w:rsidRPr="007F178D">
        <w:rPr>
          <w:bCs/>
        </w:rPr>
        <w:t>. лв. (включват предоставените трансфери към бенефициенти по Оперативните програми (ОП) на ЕС - програмен период 2014 – 2020 г., ПТСВГ за периода 2014 – 2020 г., ФМ на ЕИП и 2009 – 2014</w:t>
      </w:r>
      <w:r w:rsidR="00F65A67" w:rsidRPr="007F178D">
        <w:rPr>
          <w:bCs/>
        </w:rPr>
        <w:t> </w:t>
      </w:r>
      <w:r w:rsidRPr="007F178D">
        <w:rPr>
          <w:bCs/>
        </w:rPr>
        <w:t xml:space="preserve">г., НФМ 2009 – 2014 г. и за периода 2014–2021 г. и БШПС, както и възстановени трансфери за неусвоени суми </w:t>
      </w:r>
      <w:r w:rsidR="00A412B4" w:rsidRPr="007F178D">
        <w:rPr>
          <w:bCs/>
        </w:rPr>
        <w:t xml:space="preserve">по </w:t>
      </w:r>
      <w:r w:rsidRPr="007F178D">
        <w:rPr>
          <w:bCs/>
        </w:rPr>
        <w:t>приключили проекти, недопустими разходи и др. суми от бенефициенти-бюджетни организации</w:t>
      </w:r>
      <w:r w:rsidR="007F178D" w:rsidRPr="007F178D">
        <w:rPr>
          <w:bCs/>
        </w:rPr>
        <w:t>)</w:t>
      </w:r>
      <w:r w:rsidRPr="007F178D">
        <w:rPr>
          <w:bCs/>
        </w:rPr>
        <w:t xml:space="preserve">. В консолидираната отчетност на НФ са отразени и трансфери (нето) към бенефициенти, които са за сметка на средства, предоставени на МРРБ от държавите-партньори по ПТСВГ. </w:t>
      </w:r>
    </w:p>
    <w:p w:rsidR="00810DC0" w:rsidRPr="00A37822" w:rsidRDefault="00810DC0" w:rsidP="00810DC0">
      <w:pPr>
        <w:spacing w:before="120"/>
        <w:ind w:firstLine="686"/>
        <w:jc w:val="both"/>
        <w:rPr>
          <w:bCs/>
        </w:rPr>
      </w:pPr>
      <w:r w:rsidRPr="00A37822">
        <w:rPr>
          <w:bCs/>
        </w:rPr>
        <w:t xml:space="preserve">Във връзка с изпълнение на ОП - програмен период 2014 – 2020 г., ЕИП и НФМ 2014–2021 г. и ПТСВГ </w:t>
      </w:r>
      <w:r w:rsidRPr="00A37822">
        <w:rPr>
          <w:bCs/>
        </w:rPr>
        <w:lastRenderedPageBreak/>
        <w:t xml:space="preserve">2014 – 2020 г. по сметките на НФ са получени трансфери от централния бюджет на стойност </w:t>
      </w:r>
      <w:r w:rsidR="00A37822" w:rsidRPr="00A37822">
        <w:rPr>
          <w:bCs/>
        </w:rPr>
        <w:t>209</w:t>
      </w:r>
      <w:r w:rsidR="00F65A67" w:rsidRPr="00A37822">
        <w:rPr>
          <w:bCs/>
        </w:rPr>
        <w:t>,</w:t>
      </w:r>
      <w:r w:rsidRPr="00A37822">
        <w:rPr>
          <w:bCs/>
        </w:rPr>
        <w:t>7 млн. лева.</w:t>
      </w:r>
    </w:p>
    <w:p w:rsidR="00810DC0" w:rsidRPr="00A37822" w:rsidRDefault="00810DC0" w:rsidP="00810DC0">
      <w:pPr>
        <w:spacing w:before="120"/>
        <w:ind w:firstLine="686"/>
        <w:jc w:val="both"/>
        <w:rPr>
          <w:bCs/>
        </w:rPr>
      </w:pPr>
      <w:r w:rsidRPr="00A37822">
        <w:rPr>
          <w:bCs/>
        </w:rPr>
        <w:t>Общата сума от други приходи, постъпили по сметките на НФ, са в размер на 0</w:t>
      </w:r>
      <w:r w:rsidR="00F65A67" w:rsidRPr="00A37822">
        <w:rPr>
          <w:bCs/>
        </w:rPr>
        <w:t>,</w:t>
      </w:r>
      <w:r w:rsidRPr="00A37822">
        <w:rPr>
          <w:bCs/>
        </w:rPr>
        <w:t>2 млн.</w:t>
      </w:r>
      <w:r w:rsidR="00F65A67" w:rsidRPr="00A37822">
        <w:rPr>
          <w:bCs/>
        </w:rPr>
        <w:t> </w:t>
      </w:r>
      <w:r w:rsidRPr="00A37822">
        <w:rPr>
          <w:bCs/>
        </w:rPr>
        <w:t xml:space="preserve">лв. като в тази сума влизат и натрупаните лихви в резултат на управлението на свободните средства в обслужващите търговски банки, както и </w:t>
      </w:r>
      <w:r w:rsidR="00A37822" w:rsidRPr="00A37822">
        <w:rPr>
          <w:bCs/>
        </w:rPr>
        <w:t xml:space="preserve">получените </w:t>
      </w:r>
      <w:r w:rsidRPr="00A37822">
        <w:rPr>
          <w:bCs/>
        </w:rPr>
        <w:t>наказателни лихви.</w:t>
      </w:r>
    </w:p>
    <w:p w:rsidR="00810DC0" w:rsidRPr="00A37822" w:rsidRDefault="00810DC0" w:rsidP="00810DC0">
      <w:pPr>
        <w:spacing w:before="120"/>
        <w:ind w:firstLine="686"/>
        <w:jc w:val="both"/>
        <w:rPr>
          <w:bCs/>
        </w:rPr>
      </w:pPr>
      <w:r w:rsidRPr="00A37822">
        <w:rPr>
          <w:bCs/>
        </w:rPr>
        <w:t>Наличностите по сметката за средства от ЕС на НФ към 30.0</w:t>
      </w:r>
      <w:r w:rsidR="00A37822" w:rsidRPr="00A37822">
        <w:rPr>
          <w:bCs/>
        </w:rPr>
        <w:t>9</w:t>
      </w:r>
      <w:r w:rsidRPr="00A37822">
        <w:rPr>
          <w:bCs/>
        </w:rPr>
        <w:t>.2019 г. възлизат на 3</w:t>
      </w:r>
      <w:r w:rsidR="00F65A67" w:rsidRPr="00A37822">
        <w:rPr>
          <w:bCs/>
        </w:rPr>
        <w:t> 13</w:t>
      </w:r>
      <w:r w:rsidR="00A37822" w:rsidRPr="00A37822">
        <w:rPr>
          <w:bCs/>
        </w:rPr>
        <w:t>1</w:t>
      </w:r>
      <w:r w:rsidR="00F65A67" w:rsidRPr="00A37822">
        <w:rPr>
          <w:bCs/>
        </w:rPr>
        <w:t>,</w:t>
      </w:r>
      <w:r w:rsidR="00A37822" w:rsidRPr="00A37822">
        <w:rPr>
          <w:bCs/>
        </w:rPr>
        <w:t>9</w:t>
      </w:r>
      <w:r w:rsidRPr="00A37822">
        <w:rPr>
          <w:bCs/>
        </w:rPr>
        <w:t xml:space="preserve"> млн. лв. </w:t>
      </w:r>
      <w:r w:rsidRPr="00B93FD2">
        <w:rPr>
          <w:bCs/>
          <w:color w:val="4F81BD" w:themeColor="accent1"/>
        </w:rPr>
        <w:t>(</w:t>
      </w:r>
      <w:r w:rsidRPr="00A37822">
        <w:rPr>
          <w:bCs/>
        </w:rPr>
        <w:t xml:space="preserve">в отчета на НФ са включени и наличностите на Фонд мениджър на финансови инструменти в България (Фонд на фондовете), които са на стойност </w:t>
      </w:r>
      <w:r w:rsidR="00A37822" w:rsidRPr="00A37822">
        <w:rPr>
          <w:bCs/>
        </w:rPr>
        <w:t>295</w:t>
      </w:r>
      <w:r w:rsidR="00F65A67" w:rsidRPr="00A37822">
        <w:rPr>
          <w:bCs/>
        </w:rPr>
        <w:t>,</w:t>
      </w:r>
      <w:r w:rsidR="00A37822" w:rsidRPr="00A37822">
        <w:rPr>
          <w:bCs/>
        </w:rPr>
        <w:t>8</w:t>
      </w:r>
      <w:r w:rsidRPr="00A37822">
        <w:rPr>
          <w:bCs/>
        </w:rPr>
        <w:t xml:space="preserve"> млн.</w:t>
      </w:r>
      <w:r w:rsidR="00F65A67" w:rsidRPr="00A37822">
        <w:rPr>
          <w:bCs/>
        </w:rPr>
        <w:t> </w:t>
      </w:r>
      <w:r w:rsidRPr="00A37822">
        <w:rPr>
          <w:bCs/>
        </w:rPr>
        <w:t>лв.), като в БНБ наличните средства са в размер на 3</w:t>
      </w:r>
      <w:r w:rsidR="00F65A67" w:rsidRPr="00A37822">
        <w:rPr>
          <w:bCs/>
        </w:rPr>
        <w:t> </w:t>
      </w:r>
      <w:r w:rsidRPr="00A37822">
        <w:rPr>
          <w:bCs/>
        </w:rPr>
        <w:t>1</w:t>
      </w:r>
      <w:r w:rsidR="00A37822" w:rsidRPr="00A37822">
        <w:rPr>
          <w:bCs/>
        </w:rPr>
        <w:t>31</w:t>
      </w:r>
      <w:r w:rsidR="00F65A67" w:rsidRPr="00A37822">
        <w:rPr>
          <w:bCs/>
        </w:rPr>
        <w:t>,</w:t>
      </w:r>
      <w:r w:rsidR="00A37822" w:rsidRPr="00A37822">
        <w:rPr>
          <w:bCs/>
        </w:rPr>
        <w:t>7</w:t>
      </w:r>
      <w:r w:rsidRPr="00A37822">
        <w:rPr>
          <w:bCs/>
        </w:rPr>
        <w:t xml:space="preserve"> млн. лв., а в търговските </w:t>
      </w:r>
      <w:r w:rsidRPr="0070267F">
        <w:rPr>
          <w:bCs/>
        </w:rPr>
        <w:t>банки (</w:t>
      </w:r>
      <w:r w:rsidR="00A76521" w:rsidRPr="0070267F">
        <w:rPr>
          <w:bCs/>
        </w:rPr>
        <w:t>Банка ДСК ЕАД</w:t>
      </w:r>
      <w:r w:rsidR="00A37822" w:rsidRPr="0070267F">
        <w:rPr>
          <w:bCs/>
        </w:rPr>
        <w:t>)</w:t>
      </w:r>
      <w:r w:rsidRPr="00A37822">
        <w:rPr>
          <w:bCs/>
        </w:rPr>
        <w:t xml:space="preserve"> са в размер на </w:t>
      </w:r>
      <w:r w:rsidR="00A37822" w:rsidRPr="00A37822">
        <w:rPr>
          <w:bCs/>
        </w:rPr>
        <w:t>0</w:t>
      </w:r>
      <w:r w:rsidR="00F65A67" w:rsidRPr="00A37822">
        <w:rPr>
          <w:bCs/>
        </w:rPr>
        <w:t>,</w:t>
      </w:r>
      <w:r w:rsidR="00A37822" w:rsidRPr="00A37822">
        <w:rPr>
          <w:bCs/>
        </w:rPr>
        <w:t>2</w:t>
      </w:r>
      <w:r w:rsidRPr="00A37822">
        <w:rPr>
          <w:bCs/>
        </w:rPr>
        <w:t xml:space="preserve"> млн. лева.</w:t>
      </w:r>
    </w:p>
    <w:p w:rsidR="00063CF1" w:rsidRPr="00B93FD2" w:rsidRDefault="00063CF1" w:rsidP="00810DC0">
      <w:pPr>
        <w:spacing w:before="120"/>
        <w:ind w:firstLine="686"/>
        <w:jc w:val="both"/>
        <w:rPr>
          <w:b/>
          <w:bCs/>
          <w:color w:val="4F81BD" w:themeColor="accent1"/>
        </w:rPr>
      </w:pPr>
      <w:r w:rsidRPr="00631843">
        <w:rPr>
          <w:b/>
          <w:bCs/>
        </w:rPr>
        <w:t xml:space="preserve">Структурни и Кохезионен фондове </w:t>
      </w:r>
      <w:r w:rsidRPr="00631843">
        <w:rPr>
          <w:b/>
          <w:snapToGrid w:val="0"/>
        </w:rPr>
        <w:t>(СКФ) 2007 – 2013 г.</w:t>
      </w:r>
    </w:p>
    <w:p w:rsidR="00F65A67" w:rsidRPr="00FF360F" w:rsidRDefault="00F65A67" w:rsidP="00F65A67">
      <w:pPr>
        <w:ind w:firstLine="684"/>
        <w:jc w:val="both"/>
        <w:rPr>
          <w:bCs/>
        </w:rPr>
      </w:pPr>
      <w:r w:rsidRPr="00FF360F">
        <w:rPr>
          <w:bCs/>
        </w:rPr>
        <w:t>Във връзка със затваряне на Оперативните програми, съфинансирани от СКФ 2007-2013 г., през отчетния период са получени окончателни плащания на обща стойност 36,0 млн. лева.</w:t>
      </w:r>
    </w:p>
    <w:p w:rsidR="00F65A67" w:rsidRPr="00FF360F" w:rsidRDefault="00F65A67" w:rsidP="00F65A67">
      <w:pPr>
        <w:ind w:firstLine="684"/>
        <w:jc w:val="both"/>
        <w:rPr>
          <w:bCs/>
        </w:rPr>
      </w:pPr>
      <w:r w:rsidRPr="00FF360F">
        <w:rPr>
          <w:bCs/>
        </w:rPr>
        <w:t>През отчетния период са постъпили (нето) възстановени суми от бенефициенти по сметките на Национален фонд на стойност 0,</w:t>
      </w:r>
      <w:r w:rsidR="00FF360F" w:rsidRPr="00FF360F">
        <w:rPr>
          <w:bCs/>
        </w:rPr>
        <w:t>8</w:t>
      </w:r>
      <w:r w:rsidRPr="00FF360F">
        <w:rPr>
          <w:bCs/>
        </w:rPr>
        <w:t xml:space="preserve"> млн. лева.</w:t>
      </w:r>
    </w:p>
    <w:p w:rsidR="00063CF1" w:rsidRPr="00FF360F" w:rsidRDefault="00F65A67" w:rsidP="00F65A67">
      <w:pPr>
        <w:ind w:firstLine="684"/>
        <w:jc w:val="both"/>
        <w:rPr>
          <w:bCs/>
          <w:lang w:eastAsia="bg-BG"/>
        </w:rPr>
      </w:pPr>
      <w:r w:rsidRPr="00FF360F">
        <w:rPr>
          <w:bCs/>
        </w:rPr>
        <w:t xml:space="preserve">През отчетния период е възстановено авансово финансиране, предоставено по реда на ДДС6/2011 г. на бюджетни организации на стойност </w:t>
      </w:r>
      <w:r w:rsidR="00FF360F" w:rsidRPr="00FF360F">
        <w:rPr>
          <w:bCs/>
        </w:rPr>
        <w:t>3</w:t>
      </w:r>
      <w:r w:rsidRPr="00FF360F">
        <w:rPr>
          <w:bCs/>
        </w:rPr>
        <w:t>,</w:t>
      </w:r>
      <w:r w:rsidR="00FF360F" w:rsidRPr="00FF360F">
        <w:rPr>
          <w:bCs/>
        </w:rPr>
        <w:t>6</w:t>
      </w:r>
      <w:r w:rsidRPr="00FF360F">
        <w:rPr>
          <w:bCs/>
        </w:rPr>
        <w:t xml:space="preserve"> млн. лева.</w:t>
      </w:r>
    </w:p>
    <w:p w:rsidR="00063CF1" w:rsidRPr="00337244" w:rsidRDefault="00063CF1" w:rsidP="00063CF1">
      <w:pPr>
        <w:tabs>
          <w:tab w:val="left" w:pos="570"/>
          <w:tab w:val="num" w:pos="741"/>
        </w:tabs>
        <w:spacing w:before="120"/>
        <w:jc w:val="both"/>
        <w:rPr>
          <w:b/>
          <w:bCs/>
        </w:rPr>
      </w:pPr>
      <w:r w:rsidRPr="00311BEA">
        <w:tab/>
        <w:t xml:space="preserve"> </w:t>
      </w:r>
      <w:r w:rsidRPr="00311BEA">
        <w:rPr>
          <w:b/>
          <w:bCs/>
        </w:rPr>
        <w:t xml:space="preserve">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w:t>
      </w:r>
      <w:r w:rsidRPr="00337244">
        <w:rPr>
          <w:b/>
          <w:bCs/>
        </w:rPr>
        <w:t>за финансова рамка 2014 – 2020 г.</w:t>
      </w:r>
    </w:p>
    <w:p w:rsidR="00F65A67" w:rsidRPr="00337244" w:rsidRDefault="00063CF1" w:rsidP="00F65A67">
      <w:pPr>
        <w:tabs>
          <w:tab w:val="left" w:pos="570"/>
          <w:tab w:val="num" w:pos="741"/>
        </w:tabs>
        <w:jc w:val="both"/>
        <w:rPr>
          <w:bCs/>
        </w:rPr>
      </w:pPr>
      <w:r w:rsidRPr="00337244">
        <w:tab/>
      </w:r>
      <w:r w:rsidR="00F65A67" w:rsidRPr="00337244">
        <w:rPr>
          <w:bCs/>
        </w:rPr>
        <w:tab/>
        <w:t xml:space="preserve">Общо получените средства от ЕК за периода са в размер на </w:t>
      </w:r>
      <w:r w:rsidR="00311BEA" w:rsidRPr="00337244">
        <w:rPr>
          <w:bCs/>
        </w:rPr>
        <w:t>1 278</w:t>
      </w:r>
      <w:r w:rsidR="00F65A67" w:rsidRPr="00337244">
        <w:rPr>
          <w:bCs/>
        </w:rPr>
        <w:t>,</w:t>
      </w:r>
      <w:r w:rsidR="00311BEA" w:rsidRPr="00337244">
        <w:rPr>
          <w:bCs/>
        </w:rPr>
        <w:t>0</w:t>
      </w:r>
      <w:r w:rsidR="00F65A67" w:rsidRPr="00337244">
        <w:rPr>
          <w:bCs/>
        </w:rPr>
        <w:t xml:space="preserve"> млн. лв.</w:t>
      </w:r>
      <w:r w:rsidR="00A412B4" w:rsidRPr="00337244">
        <w:rPr>
          <w:bCs/>
        </w:rPr>
        <w:t>,</w:t>
      </w:r>
      <w:r w:rsidR="00F65A67" w:rsidRPr="00337244">
        <w:rPr>
          <w:bCs/>
        </w:rPr>
        <w:t xml:space="preserve"> разпределени както следва:</w:t>
      </w:r>
    </w:p>
    <w:p w:rsidR="00F65A67" w:rsidRPr="00337244" w:rsidRDefault="00F65A67" w:rsidP="00F65A67">
      <w:pPr>
        <w:numPr>
          <w:ilvl w:val="0"/>
          <w:numId w:val="12"/>
        </w:numPr>
        <w:tabs>
          <w:tab w:val="clear" w:pos="1101"/>
          <w:tab w:val="left" w:pos="570"/>
          <w:tab w:val="num" w:pos="741"/>
          <w:tab w:val="num" w:pos="786"/>
        </w:tabs>
        <w:jc w:val="both"/>
        <w:rPr>
          <w:bCs/>
        </w:rPr>
      </w:pPr>
      <w:r w:rsidRPr="00337244">
        <w:rPr>
          <w:bCs/>
        </w:rPr>
        <w:t xml:space="preserve">ОП „Иновации и конкурентоспособност” – </w:t>
      </w:r>
      <w:r w:rsidR="00337244" w:rsidRPr="00337244">
        <w:rPr>
          <w:bCs/>
        </w:rPr>
        <w:t>2</w:t>
      </w:r>
      <w:r w:rsidRPr="00337244">
        <w:rPr>
          <w:bCs/>
        </w:rPr>
        <w:t>5</w:t>
      </w:r>
      <w:r w:rsidR="00337244" w:rsidRPr="00337244">
        <w:rPr>
          <w:bCs/>
        </w:rPr>
        <w:t>5</w:t>
      </w:r>
      <w:r w:rsidRPr="00337244">
        <w:rPr>
          <w:bCs/>
        </w:rPr>
        <w:t>,</w:t>
      </w:r>
      <w:r w:rsidR="00337244" w:rsidRPr="00337244">
        <w:rPr>
          <w:bCs/>
        </w:rPr>
        <w:t>0</w:t>
      </w:r>
      <w:r w:rsidRPr="00337244">
        <w:rPr>
          <w:bCs/>
        </w:rPr>
        <w:t xml:space="preserve"> млн. лв.;  </w:t>
      </w:r>
    </w:p>
    <w:p w:rsidR="00F65A67" w:rsidRPr="00337244" w:rsidRDefault="00F65A67" w:rsidP="00F65A67">
      <w:pPr>
        <w:numPr>
          <w:ilvl w:val="0"/>
          <w:numId w:val="12"/>
        </w:numPr>
        <w:tabs>
          <w:tab w:val="clear" w:pos="1101"/>
          <w:tab w:val="left" w:pos="570"/>
          <w:tab w:val="num" w:pos="741"/>
          <w:tab w:val="num" w:pos="786"/>
        </w:tabs>
        <w:jc w:val="both"/>
        <w:rPr>
          <w:bCs/>
        </w:rPr>
      </w:pPr>
      <w:r w:rsidRPr="00337244">
        <w:rPr>
          <w:bCs/>
        </w:rPr>
        <w:t xml:space="preserve">ОП „Добро управление” – </w:t>
      </w:r>
      <w:r w:rsidR="00337244" w:rsidRPr="00337244">
        <w:rPr>
          <w:bCs/>
        </w:rPr>
        <w:t>55</w:t>
      </w:r>
      <w:r w:rsidRPr="00337244">
        <w:rPr>
          <w:bCs/>
        </w:rPr>
        <w:t>,</w:t>
      </w:r>
      <w:r w:rsidR="00337244" w:rsidRPr="00337244">
        <w:rPr>
          <w:bCs/>
        </w:rPr>
        <w:t>1</w:t>
      </w:r>
      <w:r w:rsidRPr="00337244">
        <w:rPr>
          <w:bCs/>
        </w:rPr>
        <w:t xml:space="preserve"> млн. лв.;</w:t>
      </w:r>
    </w:p>
    <w:p w:rsidR="00F65A67" w:rsidRPr="00337244" w:rsidRDefault="00F65A67" w:rsidP="00F65A67">
      <w:pPr>
        <w:numPr>
          <w:ilvl w:val="0"/>
          <w:numId w:val="12"/>
        </w:numPr>
        <w:tabs>
          <w:tab w:val="clear" w:pos="1101"/>
          <w:tab w:val="left" w:pos="570"/>
          <w:tab w:val="num" w:pos="741"/>
          <w:tab w:val="num" w:pos="786"/>
        </w:tabs>
        <w:jc w:val="both"/>
        <w:rPr>
          <w:bCs/>
        </w:rPr>
      </w:pPr>
      <w:r w:rsidRPr="00337244">
        <w:rPr>
          <w:bCs/>
        </w:rPr>
        <w:t>ОП „Транспорт и транспортна инфраструктура” – 1</w:t>
      </w:r>
      <w:r w:rsidR="00337244" w:rsidRPr="00337244">
        <w:rPr>
          <w:bCs/>
        </w:rPr>
        <w:t>92</w:t>
      </w:r>
      <w:r w:rsidRPr="00337244">
        <w:rPr>
          <w:bCs/>
        </w:rPr>
        <w:t>,</w:t>
      </w:r>
      <w:r w:rsidR="00337244" w:rsidRPr="00337244">
        <w:rPr>
          <w:bCs/>
        </w:rPr>
        <w:t>9</w:t>
      </w:r>
      <w:r w:rsidRPr="00337244">
        <w:rPr>
          <w:bCs/>
        </w:rPr>
        <w:t xml:space="preserve"> млн. лв.;</w:t>
      </w:r>
    </w:p>
    <w:p w:rsidR="00F65A67" w:rsidRPr="00337244" w:rsidRDefault="00F65A67" w:rsidP="00F65A67">
      <w:pPr>
        <w:numPr>
          <w:ilvl w:val="0"/>
          <w:numId w:val="12"/>
        </w:numPr>
        <w:tabs>
          <w:tab w:val="clear" w:pos="1101"/>
          <w:tab w:val="left" w:pos="570"/>
          <w:tab w:val="num" w:pos="741"/>
          <w:tab w:val="num" w:pos="786"/>
        </w:tabs>
        <w:jc w:val="both"/>
        <w:rPr>
          <w:bCs/>
        </w:rPr>
      </w:pPr>
      <w:r w:rsidRPr="00337244">
        <w:rPr>
          <w:bCs/>
        </w:rPr>
        <w:t>ОП „Околна среда 2014 – 2020 г.“ – 1</w:t>
      </w:r>
      <w:r w:rsidR="00337244" w:rsidRPr="00337244">
        <w:rPr>
          <w:bCs/>
        </w:rPr>
        <w:t>89</w:t>
      </w:r>
      <w:r w:rsidRPr="00337244">
        <w:rPr>
          <w:bCs/>
        </w:rPr>
        <w:t>,</w:t>
      </w:r>
      <w:r w:rsidR="00337244" w:rsidRPr="00337244">
        <w:rPr>
          <w:bCs/>
        </w:rPr>
        <w:t>5</w:t>
      </w:r>
      <w:r w:rsidRPr="00337244">
        <w:rPr>
          <w:bCs/>
        </w:rPr>
        <w:t xml:space="preserve"> млн. лв.;</w:t>
      </w:r>
    </w:p>
    <w:p w:rsidR="00F65A67" w:rsidRPr="00337244" w:rsidRDefault="00F65A67" w:rsidP="00F65A67">
      <w:pPr>
        <w:numPr>
          <w:ilvl w:val="0"/>
          <w:numId w:val="12"/>
        </w:numPr>
        <w:tabs>
          <w:tab w:val="clear" w:pos="1101"/>
          <w:tab w:val="left" w:pos="570"/>
          <w:tab w:val="num" w:pos="741"/>
          <w:tab w:val="num" w:pos="786"/>
        </w:tabs>
        <w:jc w:val="both"/>
        <w:rPr>
          <w:bCs/>
        </w:rPr>
      </w:pPr>
      <w:r w:rsidRPr="00337244">
        <w:rPr>
          <w:bCs/>
        </w:rPr>
        <w:t xml:space="preserve">ОП „Развитие на човешките ресурси 2014 - 2020 г.” – </w:t>
      </w:r>
      <w:r w:rsidR="00337244" w:rsidRPr="00337244">
        <w:rPr>
          <w:bCs/>
        </w:rPr>
        <w:t>204</w:t>
      </w:r>
      <w:r w:rsidRPr="00337244">
        <w:rPr>
          <w:bCs/>
        </w:rPr>
        <w:t>,</w:t>
      </w:r>
      <w:r w:rsidR="00337244" w:rsidRPr="00337244">
        <w:rPr>
          <w:bCs/>
        </w:rPr>
        <w:t>0</w:t>
      </w:r>
      <w:r w:rsidRPr="00337244">
        <w:rPr>
          <w:bCs/>
        </w:rPr>
        <w:t xml:space="preserve"> млн. лв.;</w:t>
      </w:r>
    </w:p>
    <w:p w:rsidR="00F65A67" w:rsidRPr="00337244" w:rsidRDefault="00F65A67" w:rsidP="00F65A67">
      <w:pPr>
        <w:numPr>
          <w:ilvl w:val="0"/>
          <w:numId w:val="12"/>
        </w:numPr>
        <w:tabs>
          <w:tab w:val="clear" w:pos="1101"/>
          <w:tab w:val="left" w:pos="570"/>
          <w:tab w:val="num" w:pos="741"/>
          <w:tab w:val="num" w:pos="786"/>
        </w:tabs>
        <w:jc w:val="both"/>
        <w:rPr>
          <w:bCs/>
        </w:rPr>
      </w:pPr>
      <w:r w:rsidRPr="00337244">
        <w:rPr>
          <w:bCs/>
        </w:rPr>
        <w:t>Инициативата за младежка заетост – 1</w:t>
      </w:r>
      <w:r w:rsidR="00337244" w:rsidRPr="00337244">
        <w:rPr>
          <w:bCs/>
        </w:rPr>
        <w:t>5</w:t>
      </w:r>
      <w:r w:rsidRPr="00337244">
        <w:rPr>
          <w:bCs/>
        </w:rPr>
        <w:t>,</w:t>
      </w:r>
      <w:r w:rsidR="00337244" w:rsidRPr="00337244">
        <w:rPr>
          <w:bCs/>
        </w:rPr>
        <w:t>0</w:t>
      </w:r>
      <w:r w:rsidRPr="00337244">
        <w:rPr>
          <w:bCs/>
        </w:rPr>
        <w:t xml:space="preserve"> млн. лв.;</w:t>
      </w:r>
    </w:p>
    <w:p w:rsidR="00F65A67" w:rsidRPr="00337244" w:rsidRDefault="00F65A67" w:rsidP="00F65A67">
      <w:pPr>
        <w:numPr>
          <w:ilvl w:val="0"/>
          <w:numId w:val="12"/>
        </w:numPr>
        <w:tabs>
          <w:tab w:val="clear" w:pos="1101"/>
          <w:tab w:val="left" w:pos="570"/>
          <w:tab w:val="num" w:pos="741"/>
          <w:tab w:val="num" w:pos="786"/>
        </w:tabs>
        <w:jc w:val="both"/>
        <w:rPr>
          <w:bCs/>
        </w:rPr>
      </w:pPr>
      <w:r w:rsidRPr="00337244">
        <w:rPr>
          <w:bCs/>
        </w:rPr>
        <w:lastRenderedPageBreak/>
        <w:t xml:space="preserve">ОП „Региони в растеж“ – </w:t>
      </w:r>
      <w:r w:rsidR="00337244" w:rsidRPr="00337244">
        <w:rPr>
          <w:bCs/>
        </w:rPr>
        <w:t>305</w:t>
      </w:r>
      <w:r w:rsidRPr="00337244">
        <w:rPr>
          <w:bCs/>
        </w:rPr>
        <w:t>,</w:t>
      </w:r>
      <w:r w:rsidR="00337244" w:rsidRPr="00337244">
        <w:rPr>
          <w:bCs/>
        </w:rPr>
        <w:t>4</w:t>
      </w:r>
      <w:r w:rsidRPr="00337244">
        <w:rPr>
          <w:bCs/>
        </w:rPr>
        <w:t xml:space="preserve"> млн. лв.;</w:t>
      </w:r>
    </w:p>
    <w:p w:rsidR="00F65A67" w:rsidRPr="00337244" w:rsidRDefault="00F65A67" w:rsidP="00F65A67">
      <w:pPr>
        <w:numPr>
          <w:ilvl w:val="0"/>
          <w:numId w:val="12"/>
        </w:numPr>
        <w:tabs>
          <w:tab w:val="clear" w:pos="1101"/>
          <w:tab w:val="left" w:pos="570"/>
          <w:tab w:val="num" w:pos="741"/>
          <w:tab w:val="num" w:pos="786"/>
        </w:tabs>
        <w:jc w:val="both"/>
        <w:rPr>
          <w:bCs/>
        </w:rPr>
      </w:pPr>
      <w:r w:rsidRPr="00337244">
        <w:rPr>
          <w:bCs/>
        </w:rPr>
        <w:t>ОП за храни и/или основно материално подпомагане от Фонда за европейско подпомагане на най-нуждаещите се лица в България за периода 2014 – 2020 г. – 2</w:t>
      </w:r>
      <w:r w:rsidR="00337244" w:rsidRPr="00337244">
        <w:rPr>
          <w:bCs/>
        </w:rPr>
        <w:t>7</w:t>
      </w:r>
      <w:r w:rsidRPr="00337244">
        <w:rPr>
          <w:bCs/>
        </w:rPr>
        <w:t>,</w:t>
      </w:r>
      <w:r w:rsidR="00337244" w:rsidRPr="00337244">
        <w:rPr>
          <w:bCs/>
        </w:rPr>
        <w:t>9</w:t>
      </w:r>
      <w:r w:rsidRPr="00337244">
        <w:rPr>
          <w:bCs/>
        </w:rPr>
        <w:t xml:space="preserve"> млн. лв. и</w:t>
      </w:r>
    </w:p>
    <w:p w:rsidR="00F65A67" w:rsidRPr="00337244" w:rsidRDefault="00F65A67" w:rsidP="00F65A67">
      <w:pPr>
        <w:numPr>
          <w:ilvl w:val="0"/>
          <w:numId w:val="12"/>
        </w:numPr>
        <w:tabs>
          <w:tab w:val="clear" w:pos="1101"/>
          <w:tab w:val="left" w:pos="570"/>
          <w:tab w:val="num" w:pos="741"/>
          <w:tab w:val="num" w:pos="786"/>
        </w:tabs>
        <w:jc w:val="both"/>
        <w:rPr>
          <w:bCs/>
        </w:rPr>
      </w:pPr>
      <w:r w:rsidRPr="00337244">
        <w:rPr>
          <w:bCs/>
        </w:rPr>
        <w:t xml:space="preserve">ОП „Наука и образование за интелигентен растеж” – </w:t>
      </w:r>
      <w:r w:rsidR="00337244" w:rsidRPr="00337244">
        <w:rPr>
          <w:bCs/>
        </w:rPr>
        <w:t>33</w:t>
      </w:r>
      <w:r w:rsidRPr="00337244">
        <w:rPr>
          <w:bCs/>
        </w:rPr>
        <w:t>,</w:t>
      </w:r>
      <w:r w:rsidR="00337244" w:rsidRPr="00337244">
        <w:rPr>
          <w:bCs/>
        </w:rPr>
        <w:t>2</w:t>
      </w:r>
      <w:r w:rsidRPr="00337244">
        <w:rPr>
          <w:bCs/>
        </w:rPr>
        <w:t xml:space="preserve"> млн. лв.</w:t>
      </w:r>
    </w:p>
    <w:p w:rsidR="00337244" w:rsidRPr="00BA6913" w:rsidRDefault="00F65A67" w:rsidP="00337244">
      <w:pPr>
        <w:pStyle w:val="BodyTextIndent"/>
        <w:ind w:left="0"/>
        <w:rPr>
          <w:bCs/>
        </w:rPr>
      </w:pPr>
      <w:r w:rsidRPr="00B93FD2">
        <w:rPr>
          <w:bCs/>
          <w:color w:val="4F81BD" w:themeColor="accent1"/>
        </w:rPr>
        <w:tab/>
      </w:r>
      <w:r w:rsidRPr="00337244">
        <w:rPr>
          <w:bCs/>
        </w:rPr>
        <w:t xml:space="preserve">Спрямо заложените приходи в план-сметката на НФ изпълнението </w:t>
      </w:r>
      <w:r w:rsidR="00337244" w:rsidRPr="00337244">
        <w:rPr>
          <w:bCs/>
        </w:rPr>
        <w:t>към 30.09.2019 г. е в размер на 91%.</w:t>
      </w:r>
    </w:p>
    <w:p w:rsidR="00F65A67" w:rsidRPr="00100D97" w:rsidRDefault="00F65A67" w:rsidP="00F65A67">
      <w:pPr>
        <w:tabs>
          <w:tab w:val="left" w:pos="570"/>
          <w:tab w:val="num" w:pos="741"/>
        </w:tabs>
        <w:jc w:val="both"/>
        <w:rPr>
          <w:bCs/>
        </w:rPr>
      </w:pPr>
      <w:r w:rsidRPr="00100D97">
        <w:rPr>
          <w:bCs/>
        </w:rPr>
        <w:tab/>
        <w:t>Направените разходи (нето) по Оперативни програми</w:t>
      </w:r>
      <w:r w:rsidR="00BD6A65" w:rsidRPr="00100D97">
        <w:rPr>
          <w:bCs/>
        </w:rPr>
        <w:t>,</w:t>
      </w:r>
      <w:r w:rsidRPr="00100D97">
        <w:rPr>
          <w:bCs/>
        </w:rPr>
        <w:t xml:space="preserve"> трансферите (нето) към бюджетни организации и операции с </w:t>
      </w:r>
      <w:r w:rsidRPr="0070267F">
        <w:rPr>
          <w:bCs/>
        </w:rPr>
        <w:t xml:space="preserve">активи за </w:t>
      </w:r>
      <w:r w:rsidR="00BD6A65" w:rsidRPr="0070267F">
        <w:rPr>
          <w:bCs/>
        </w:rPr>
        <w:t>деветмесечието</w:t>
      </w:r>
      <w:r w:rsidRPr="00100D97">
        <w:rPr>
          <w:bCs/>
        </w:rPr>
        <w:t xml:space="preserve"> на годината са на стойност </w:t>
      </w:r>
      <w:r w:rsidR="00174C24" w:rsidRPr="00100D97">
        <w:rPr>
          <w:bCs/>
        </w:rPr>
        <w:t>1</w:t>
      </w:r>
      <w:r w:rsidR="002572C6">
        <w:rPr>
          <w:bCs/>
          <w:lang w:val="en-US"/>
        </w:rPr>
        <w:t> </w:t>
      </w:r>
      <w:r w:rsidR="00174C24" w:rsidRPr="00100D97">
        <w:rPr>
          <w:bCs/>
        </w:rPr>
        <w:t>292</w:t>
      </w:r>
      <w:r w:rsidRPr="00100D97">
        <w:rPr>
          <w:bCs/>
        </w:rPr>
        <w:t>,</w:t>
      </w:r>
      <w:r w:rsidR="00174C24" w:rsidRPr="00100D97">
        <w:rPr>
          <w:bCs/>
        </w:rPr>
        <w:t>6</w:t>
      </w:r>
      <w:r w:rsidRPr="00100D97">
        <w:rPr>
          <w:bCs/>
        </w:rPr>
        <w:t xml:space="preserve"> млн. лв., като разпределението по Оперативни програми е следното:</w:t>
      </w:r>
    </w:p>
    <w:p w:rsidR="00F65A67" w:rsidRPr="00100D97" w:rsidRDefault="00F65A67" w:rsidP="00F65A67">
      <w:pPr>
        <w:numPr>
          <w:ilvl w:val="0"/>
          <w:numId w:val="12"/>
        </w:numPr>
        <w:tabs>
          <w:tab w:val="clear" w:pos="1101"/>
          <w:tab w:val="left" w:pos="570"/>
          <w:tab w:val="num" w:pos="741"/>
          <w:tab w:val="num" w:pos="786"/>
        </w:tabs>
        <w:jc w:val="both"/>
        <w:rPr>
          <w:bCs/>
        </w:rPr>
      </w:pPr>
      <w:r w:rsidRPr="00100D97">
        <w:rPr>
          <w:bCs/>
        </w:rPr>
        <w:t xml:space="preserve">ОП „Развитие на човешките ресурси 2014 - 2020 г.” – </w:t>
      </w:r>
      <w:r w:rsidR="00100D97" w:rsidRPr="00100D97">
        <w:rPr>
          <w:bCs/>
        </w:rPr>
        <w:t>242</w:t>
      </w:r>
      <w:r w:rsidRPr="00100D97">
        <w:rPr>
          <w:bCs/>
        </w:rPr>
        <w:t>,</w:t>
      </w:r>
      <w:r w:rsidR="00100D97" w:rsidRPr="00100D97">
        <w:rPr>
          <w:bCs/>
        </w:rPr>
        <w:t>5</w:t>
      </w:r>
      <w:r w:rsidRPr="00100D97">
        <w:rPr>
          <w:bCs/>
        </w:rPr>
        <w:t xml:space="preserve"> млн. лв.;</w:t>
      </w:r>
    </w:p>
    <w:p w:rsidR="00F65A67" w:rsidRPr="00100D97" w:rsidRDefault="00F65A67" w:rsidP="00F65A67">
      <w:pPr>
        <w:numPr>
          <w:ilvl w:val="0"/>
          <w:numId w:val="12"/>
        </w:numPr>
        <w:tabs>
          <w:tab w:val="clear" w:pos="1101"/>
          <w:tab w:val="left" w:pos="570"/>
          <w:tab w:val="num" w:pos="741"/>
          <w:tab w:val="num" w:pos="786"/>
        </w:tabs>
        <w:jc w:val="both"/>
        <w:rPr>
          <w:bCs/>
        </w:rPr>
      </w:pPr>
      <w:r w:rsidRPr="00100D97">
        <w:rPr>
          <w:bCs/>
        </w:rPr>
        <w:t xml:space="preserve">Инициативата за младежка заетост – </w:t>
      </w:r>
      <w:r w:rsidR="00100D97" w:rsidRPr="00100D97">
        <w:rPr>
          <w:bCs/>
        </w:rPr>
        <w:t>13</w:t>
      </w:r>
      <w:r w:rsidRPr="00100D97">
        <w:rPr>
          <w:bCs/>
        </w:rPr>
        <w:t>,</w:t>
      </w:r>
      <w:r w:rsidR="00100D97" w:rsidRPr="00100D97">
        <w:rPr>
          <w:bCs/>
        </w:rPr>
        <w:t>3</w:t>
      </w:r>
      <w:r w:rsidRPr="00100D97">
        <w:rPr>
          <w:bCs/>
        </w:rPr>
        <w:t xml:space="preserve"> млн. лв.;</w:t>
      </w:r>
    </w:p>
    <w:p w:rsidR="00F65A67" w:rsidRPr="00100D97" w:rsidRDefault="00F65A67" w:rsidP="00F65A67">
      <w:pPr>
        <w:numPr>
          <w:ilvl w:val="0"/>
          <w:numId w:val="12"/>
        </w:numPr>
        <w:tabs>
          <w:tab w:val="clear" w:pos="1101"/>
          <w:tab w:val="left" w:pos="570"/>
          <w:tab w:val="num" w:pos="741"/>
          <w:tab w:val="num" w:pos="786"/>
        </w:tabs>
        <w:jc w:val="both"/>
        <w:rPr>
          <w:bCs/>
        </w:rPr>
      </w:pPr>
      <w:r w:rsidRPr="00100D97">
        <w:rPr>
          <w:bCs/>
        </w:rPr>
        <w:t xml:space="preserve">ОП за храни и/или основно материално подпомагане от Фонда за европейско подпомагане на най-нуждаещите се лица в България за периода 2014 – 2020 г. – </w:t>
      </w:r>
      <w:r w:rsidR="00100D97" w:rsidRPr="00100D97">
        <w:rPr>
          <w:bCs/>
        </w:rPr>
        <w:t>22</w:t>
      </w:r>
      <w:r w:rsidRPr="00100D97">
        <w:rPr>
          <w:bCs/>
        </w:rPr>
        <w:t>,0 млн. лева;</w:t>
      </w:r>
    </w:p>
    <w:p w:rsidR="00F65A67" w:rsidRPr="00100D97" w:rsidRDefault="00F65A67" w:rsidP="00F65A67">
      <w:pPr>
        <w:numPr>
          <w:ilvl w:val="0"/>
          <w:numId w:val="12"/>
        </w:numPr>
        <w:tabs>
          <w:tab w:val="clear" w:pos="1101"/>
          <w:tab w:val="left" w:pos="570"/>
          <w:tab w:val="num" w:pos="741"/>
          <w:tab w:val="num" w:pos="786"/>
        </w:tabs>
        <w:jc w:val="both"/>
        <w:rPr>
          <w:bCs/>
        </w:rPr>
      </w:pPr>
      <w:r w:rsidRPr="00100D97">
        <w:rPr>
          <w:bCs/>
        </w:rPr>
        <w:t xml:space="preserve">ОП „Иновации и конкурентоспособност” – </w:t>
      </w:r>
      <w:r w:rsidR="00100D97" w:rsidRPr="00100D97">
        <w:rPr>
          <w:bCs/>
        </w:rPr>
        <w:t>236</w:t>
      </w:r>
      <w:r w:rsidRPr="00100D97">
        <w:rPr>
          <w:bCs/>
        </w:rPr>
        <w:t>,</w:t>
      </w:r>
      <w:r w:rsidR="00100D97" w:rsidRPr="00100D97">
        <w:rPr>
          <w:bCs/>
        </w:rPr>
        <w:t>2</w:t>
      </w:r>
      <w:r w:rsidRPr="00100D97">
        <w:rPr>
          <w:bCs/>
        </w:rPr>
        <w:t xml:space="preserve"> млн. лв.;</w:t>
      </w:r>
    </w:p>
    <w:p w:rsidR="00F65A67" w:rsidRPr="00100D97" w:rsidRDefault="00F65A67" w:rsidP="00F65A67">
      <w:pPr>
        <w:numPr>
          <w:ilvl w:val="0"/>
          <w:numId w:val="12"/>
        </w:numPr>
        <w:tabs>
          <w:tab w:val="clear" w:pos="1101"/>
          <w:tab w:val="left" w:pos="570"/>
          <w:tab w:val="num" w:pos="741"/>
          <w:tab w:val="num" w:pos="786"/>
        </w:tabs>
        <w:jc w:val="both"/>
        <w:rPr>
          <w:bCs/>
        </w:rPr>
      </w:pPr>
      <w:r w:rsidRPr="00100D97">
        <w:rPr>
          <w:bCs/>
        </w:rPr>
        <w:t xml:space="preserve">ОП „Добро управление” – </w:t>
      </w:r>
      <w:r w:rsidR="00100D97" w:rsidRPr="00100D97">
        <w:rPr>
          <w:bCs/>
        </w:rPr>
        <w:t>46</w:t>
      </w:r>
      <w:r w:rsidRPr="00100D97">
        <w:rPr>
          <w:bCs/>
        </w:rPr>
        <w:t>,</w:t>
      </w:r>
      <w:r w:rsidR="00100D97" w:rsidRPr="00100D97">
        <w:rPr>
          <w:bCs/>
        </w:rPr>
        <w:t>9</w:t>
      </w:r>
      <w:r w:rsidRPr="00100D97">
        <w:rPr>
          <w:bCs/>
        </w:rPr>
        <w:t xml:space="preserve"> млн. лв.;</w:t>
      </w:r>
    </w:p>
    <w:p w:rsidR="00F65A67" w:rsidRPr="00100D97" w:rsidRDefault="00F65A67" w:rsidP="00F65A67">
      <w:pPr>
        <w:numPr>
          <w:ilvl w:val="0"/>
          <w:numId w:val="12"/>
        </w:numPr>
        <w:tabs>
          <w:tab w:val="clear" w:pos="1101"/>
          <w:tab w:val="left" w:pos="570"/>
          <w:tab w:val="num" w:pos="741"/>
          <w:tab w:val="num" w:pos="786"/>
        </w:tabs>
        <w:jc w:val="both"/>
        <w:rPr>
          <w:bCs/>
        </w:rPr>
      </w:pPr>
      <w:r w:rsidRPr="00100D97">
        <w:rPr>
          <w:bCs/>
        </w:rPr>
        <w:t xml:space="preserve">ОП „Региони в растеж“ – </w:t>
      </w:r>
      <w:r w:rsidR="00100D97" w:rsidRPr="00100D97">
        <w:rPr>
          <w:bCs/>
        </w:rPr>
        <w:t>298</w:t>
      </w:r>
      <w:r w:rsidRPr="00100D97">
        <w:rPr>
          <w:bCs/>
        </w:rPr>
        <w:t>,</w:t>
      </w:r>
      <w:r w:rsidR="00100D97" w:rsidRPr="00100D97">
        <w:rPr>
          <w:bCs/>
        </w:rPr>
        <w:t>0</w:t>
      </w:r>
      <w:r w:rsidRPr="00100D97">
        <w:rPr>
          <w:bCs/>
        </w:rPr>
        <w:t xml:space="preserve"> млн. лв.;</w:t>
      </w:r>
    </w:p>
    <w:p w:rsidR="00F65A67" w:rsidRPr="00100D97" w:rsidRDefault="00F65A67" w:rsidP="00F65A67">
      <w:pPr>
        <w:numPr>
          <w:ilvl w:val="0"/>
          <w:numId w:val="12"/>
        </w:numPr>
        <w:tabs>
          <w:tab w:val="clear" w:pos="1101"/>
          <w:tab w:val="left" w:pos="570"/>
          <w:tab w:val="num" w:pos="741"/>
          <w:tab w:val="num" w:pos="786"/>
        </w:tabs>
        <w:jc w:val="both"/>
        <w:rPr>
          <w:bCs/>
        </w:rPr>
      </w:pPr>
      <w:r w:rsidRPr="00100D97">
        <w:rPr>
          <w:bCs/>
        </w:rPr>
        <w:t xml:space="preserve">ОП „Транспорт и транспортна инфраструктура” – </w:t>
      </w:r>
      <w:r w:rsidR="00100D97" w:rsidRPr="00100D97">
        <w:rPr>
          <w:bCs/>
        </w:rPr>
        <w:t>231</w:t>
      </w:r>
      <w:r w:rsidRPr="00100D97">
        <w:rPr>
          <w:bCs/>
        </w:rPr>
        <w:t>,</w:t>
      </w:r>
      <w:r w:rsidR="00100D97" w:rsidRPr="00100D97">
        <w:rPr>
          <w:bCs/>
        </w:rPr>
        <w:t>4</w:t>
      </w:r>
      <w:r w:rsidRPr="00100D97">
        <w:rPr>
          <w:bCs/>
        </w:rPr>
        <w:t xml:space="preserve"> млн. лв.;</w:t>
      </w:r>
    </w:p>
    <w:p w:rsidR="00F65A67" w:rsidRPr="00100D97" w:rsidRDefault="00F65A67" w:rsidP="00F65A67">
      <w:pPr>
        <w:numPr>
          <w:ilvl w:val="0"/>
          <w:numId w:val="12"/>
        </w:numPr>
        <w:tabs>
          <w:tab w:val="clear" w:pos="1101"/>
          <w:tab w:val="left" w:pos="570"/>
          <w:tab w:val="num" w:pos="741"/>
          <w:tab w:val="num" w:pos="786"/>
        </w:tabs>
        <w:jc w:val="both"/>
        <w:rPr>
          <w:bCs/>
        </w:rPr>
      </w:pPr>
      <w:r w:rsidRPr="00100D97">
        <w:rPr>
          <w:bCs/>
        </w:rPr>
        <w:t xml:space="preserve">ОП „Наука и образование за интелигентен растеж” – </w:t>
      </w:r>
      <w:r w:rsidR="00100D97" w:rsidRPr="00100D97">
        <w:rPr>
          <w:bCs/>
        </w:rPr>
        <w:t>74</w:t>
      </w:r>
      <w:r w:rsidRPr="00100D97">
        <w:rPr>
          <w:bCs/>
        </w:rPr>
        <w:t>,</w:t>
      </w:r>
      <w:r w:rsidR="00100D97" w:rsidRPr="00100D97">
        <w:rPr>
          <w:bCs/>
        </w:rPr>
        <w:t>9</w:t>
      </w:r>
      <w:r w:rsidRPr="00100D97">
        <w:rPr>
          <w:bCs/>
        </w:rPr>
        <w:t xml:space="preserve"> млн. лв. и</w:t>
      </w:r>
    </w:p>
    <w:p w:rsidR="00F65A67" w:rsidRPr="00100D97" w:rsidRDefault="00F65A67" w:rsidP="00F65A67">
      <w:pPr>
        <w:numPr>
          <w:ilvl w:val="0"/>
          <w:numId w:val="12"/>
        </w:numPr>
        <w:tabs>
          <w:tab w:val="clear" w:pos="1101"/>
          <w:tab w:val="left" w:pos="570"/>
          <w:tab w:val="num" w:pos="741"/>
          <w:tab w:val="num" w:pos="786"/>
        </w:tabs>
        <w:jc w:val="both"/>
        <w:rPr>
          <w:bCs/>
        </w:rPr>
      </w:pPr>
      <w:r w:rsidRPr="00100D97">
        <w:rPr>
          <w:bCs/>
        </w:rPr>
        <w:t xml:space="preserve">ОП „Околна среда 2014 – 2020 г.“ – </w:t>
      </w:r>
      <w:r w:rsidR="00100D97" w:rsidRPr="00100D97">
        <w:rPr>
          <w:bCs/>
        </w:rPr>
        <w:t>127</w:t>
      </w:r>
      <w:r w:rsidRPr="00100D97">
        <w:rPr>
          <w:bCs/>
        </w:rPr>
        <w:t>,</w:t>
      </w:r>
      <w:r w:rsidR="00100D97" w:rsidRPr="00100D97">
        <w:rPr>
          <w:bCs/>
        </w:rPr>
        <w:t>4</w:t>
      </w:r>
      <w:r w:rsidRPr="00100D97">
        <w:rPr>
          <w:bCs/>
        </w:rPr>
        <w:t xml:space="preserve"> млн. лв.</w:t>
      </w:r>
    </w:p>
    <w:p w:rsidR="00F65A67" w:rsidRPr="00100D97" w:rsidRDefault="00F65A67" w:rsidP="00F65A67">
      <w:pPr>
        <w:tabs>
          <w:tab w:val="left" w:pos="570"/>
          <w:tab w:val="num" w:pos="741"/>
        </w:tabs>
        <w:jc w:val="both"/>
        <w:rPr>
          <w:bCs/>
        </w:rPr>
      </w:pPr>
      <w:r w:rsidRPr="00100D97">
        <w:rPr>
          <w:bCs/>
        </w:rPr>
        <w:tab/>
        <w:t>Спрямо заложените разходи и трансфери в план-сметката на НФ изпълнението за първ</w:t>
      </w:r>
      <w:r w:rsidR="0053152B">
        <w:rPr>
          <w:bCs/>
        </w:rPr>
        <w:t>и</w:t>
      </w:r>
      <w:r w:rsidRPr="00100D97">
        <w:rPr>
          <w:bCs/>
        </w:rPr>
        <w:t>т</w:t>
      </w:r>
      <w:r w:rsidR="0053152B">
        <w:rPr>
          <w:bCs/>
        </w:rPr>
        <w:t>е</w:t>
      </w:r>
      <w:r w:rsidRPr="00100D97">
        <w:rPr>
          <w:bCs/>
        </w:rPr>
        <w:t xml:space="preserve"> </w:t>
      </w:r>
      <w:r w:rsidR="00100D97" w:rsidRPr="00100D97">
        <w:rPr>
          <w:bCs/>
        </w:rPr>
        <w:t>девет месеца</w:t>
      </w:r>
      <w:r w:rsidRPr="00100D97">
        <w:rPr>
          <w:bCs/>
        </w:rPr>
        <w:t xml:space="preserve"> на 2019 г. е </w:t>
      </w:r>
      <w:r w:rsidR="00100D97" w:rsidRPr="00100D97">
        <w:rPr>
          <w:bCs/>
        </w:rPr>
        <w:t>64</w:t>
      </w:r>
      <w:r w:rsidRPr="00100D97">
        <w:rPr>
          <w:bCs/>
        </w:rPr>
        <w:t xml:space="preserve"> %, като се очаква в края на годината изпълнението да достигне пълния размер на заложеното.</w:t>
      </w:r>
    </w:p>
    <w:p w:rsidR="00F65A67" w:rsidRPr="00100D97" w:rsidRDefault="00F65A67" w:rsidP="00F65A67">
      <w:pPr>
        <w:tabs>
          <w:tab w:val="left" w:pos="570"/>
          <w:tab w:val="num" w:pos="741"/>
        </w:tabs>
        <w:jc w:val="both"/>
        <w:rPr>
          <w:bCs/>
        </w:rPr>
      </w:pPr>
      <w:r w:rsidRPr="00100D97">
        <w:rPr>
          <w:bCs/>
        </w:rPr>
        <w:tab/>
        <w:t>Предоставеното авансово финансиране по реда на ДДС 6/2011 г. към бюджетни организации за периода е на стойност 1</w:t>
      </w:r>
      <w:r w:rsidR="00100D97" w:rsidRPr="00100D97">
        <w:rPr>
          <w:bCs/>
        </w:rPr>
        <w:t>6</w:t>
      </w:r>
      <w:r w:rsidR="00B95876" w:rsidRPr="00100D97">
        <w:rPr>
          <w:bCs/>
        </w:rPr>
        <w:t>,</w:t>
      </w:r>
      <w:r w:rsidR="00100D97" w:rsidRPr="00100D97">
        <w:rPr>
          <w:bCs/>
        </w:rPr>
        <w:t>3</w:t>
      </w:r>
      <w:r w:rsidRPr="00100D97">
        <w:rPr>
          <w:bCs/>
        </w:rPr>
        <w:t xml:space="preserve"> млн. лв., а възстановените средства – </w:t>
      </w:r>
      <w:r w:rsidR="00100D97" w:rsidRPr="00100D97">
        <w:rPr>
          <w:bCs/>
        </w:rPr>
        <w:t>46</w:t>
      </w:r>
      <w:r w:rsidRPr="00100D97">
        <w:rPr>
          <w:bCs/>
        </w:rPr>
        <w:t>,</w:t>
      </w:r>
      <w:r w:rsidR="00100D97" w:rsidRPr="00100D97">
        <w:rPr>
          <w:bCs/>
        </w:rPr>
        <w:t>4</w:t>
      </w:r>
      <w:r w:rsidRPr="00100D97">
        <w:rPr>
          <w:bCs/>
        </w:rPr>
        <w:t xml:space="preserve"> млн. л</w:t>
      </w:r>
      <w:r w:rsidR="00B95876" w:rsidRPr="00100D97">
        <w:rPr>
          <w:bCs/>
        </w:rPr>
        <w:t>в</w:t>
      </w:r>
      <w:r w:rsidRPr="00100D97">
        <w:rPr>
          <w:bCs/>
        </w:rPr>
        <w:t>.</w:t>
      </w:r>
    </w:p>
    <w:p w:rsidR="00F65A67" w:rsidRPr="00100D97" w:rsidRDefault="00F65A67" w:rsidP="00F65A67">
      <w:pPr>
        <w:tabs>
          <w:tab w:val="left" w:pos="570"/>
          <w:tab w:val="num" w:pos="741"/>
        </w:tabs>
        <w:jc w:val="both"/>
        <w:rPr>
          <w:bCs/>
        </w:rPr>
      </w:pPr>
      <w:r w:rsidRPr="00100D97">
        <w:rPr>
          <w:bCs/>
        </w:rPr>
        <w:tab/>
        <w:t>Предоставена е възмездна финансова помощ в размер на 2,9 млн. лв</w:t>
      </w:r>
      <w:r w:rsidR="00B95876" w:rsidRPr="00100D97">
        <w:rPr>
          <w:bCs/>
        </w:rPr>
        <w:t>.</w:t>
      </w:r>
      <w:r w:rsidRPr="00100D97">
        <w:rPr>
          <w:bCs/>
        </w:rPr>
        <w:t xml:space="preserve"> на ОП „Транспорт и транспортна инфраструктура” по реда на ДДС</w:t>
      </w:r>
      <w:r w:rsidR="00100D97" w:rsidRPr="00100D97">
        <w:rPr>
          <w:bCs/>
        </w:rPr>
        <w:t xml:space="preserve"> </w:t>
      </w:r>
      <w:r w:rsidRPr="00100D97">
        <w:rPr>
          <w:bCs/>
        </w:rPr>
        <w:t xml:space="preserve">6/2011 г. </w:t>
      </w:r>
    </w:p>
    <w:p w:rsidR="00063CF1" w:rsidRPr="00F30B91" w:rsidRDefault="00063CF1" w:rsidP="00195FB3">
      <w:pPr>
        <w:spacing w:before="120"/>
        <w:ind w:firstLine="629"/>
        <w:rPr>
          <w:b/>
        </w:rPr>
      </w:pPr>
      <w:r w:rsidRPr="00F30B91">
        <w:rPr>
          <w:b/>
        </w:rPr>
        <w:t>Програма ФАР и Преходен финансов инструмент</w:t>
      </w:r>
    </w:p>
    <w:p w:rsidR="00195FB3" w:rsidRPr="00F30B91" w:rsidRDefault="00B95876" w:rsidP="00B95876">
      <w:pPr>
        <w:tabs>
          <w:tab w:val="left" w:pos="570"/>
          <w:tab w:val="num" w:pos="741"/>
        </w:tabs>
        <w:jc w:val="both"/>
        <w:rPr>
          <w:bCs/>
        </w:rPr>
      </w:pPr>
      <w:r w:rsidRPr="00F30B91">
        <w:rPr>
          <w:bCs/>
        </w:rPr>
        <w:lastRenderedPageBreak/>
        <w:tab/>
        <w:t xml:space="preserve"> </w:t>
      </w:r>
      <w:r w:rsidR="00195FB3" w:rsidRPr="00F30B91">
        <w:rPr>
          <w:bCs/>
        </w:rPr>
        <w:t>През отчетния период са възстановени суми от бенефициенти по сметките на</w:t>
      </w:r>
      <w:r w:rsidRPr="00F30B91">
        <w:rPr>
          <w:bCs/>
        </w:rPr>
        <w:t xml:space="preserve"> </w:t>
      </w:r>
      <w:r w:rsidR="00195FB3" w:rsidRPr="00F30B91">
        <w:rPr>
          <w:bCs/>
        </w:rPr>
        <w:t xml:space="preserve">Национален фонд на стойност 0,3 млн. лева. </w:t>
      </w:r>
    </w:p>
    <w:p w:rsidR="00063CF1" w:rsidRPr="00F30B91" w:rsidRDefault="00063CF1" w:rsidP="00063CF1">
      <w:pPr>
        <w:spacing w:before="120"/>
        <w:ind w:firstLine="629"/>
        <w:rPr>
          <w:b/>
        </w:rPr>
      </w:pPr>
      <w:r w:rsidRPr="00F30B91">
        <w:rPr>
          <w:b/>
        </w:rPr>
        <w:t>Програма ИСПА/Кохезионен фонд (Регламент 1164/94)</w:t>
      </w:r>
    </w:p>
    <w:p w:rsidR="00063CF1" w:rsidRPr="00F30B91" w:rsidRDefault="00063CF1" w:rsidP="00063CF1">
      <w:pPr>
        <w:ind w:firstLine="629"/>
        <w:rPr>
          <w:snapToGrid w:val="0"/>
        </w:rPr>
      </w:pPr>
      <w:r w:rsidRPr="00F30B91">
        <w:rPr>
          <w:snapToGrid w:val="0"/>
        </w:rPr>
        <w:t>За периода постъпилите средства от ЕК са в размер на 11,0 млн. лева.</w:t>
      </w:r>
    </w:p>
    <w:p w:rsidR="00063CF1" w:rsidRPr="00F30B91" w:rsidRDefault="00063CF1" w:rsidP="00F30B91">
      <w:pPr>
        <w:tabs>
          <w:tab w:val="left" w:pos="7770"/>
        </w:tabs>
        <w:spacing w:before="120"/>
        <w:ind w:firstLine="629"/>
        <w:rPr>
          <w:b/>
        </w:rPr>
      </w:pPr>
      <w:r w:rsidRPr="00F30B91">
        <w:rPr>
          <w:b/>
        </w:rPr>
        <w:t xml:space="preserve">Програма САПАРД </w:t>
      </w:r>
      <w:r w:rsidR="00F30B91" w:rsidRPr="00F30B91">
        <w:rPr>
          <w:b/>
        </w:rPr>
        <w:tab/>
      </w:r>
    </w:p>
    <w:p w:rsidR="00195FB3" w:rsidRPr="00F30B91" w:rsidRDefault="00195FB3" w:rsidP="00195FB3">
      <w:pPr>
        <w:ind w:firstLine="629"/>
        <w:jc w:val="both"/>
      </w:pPr>
      <w:r w:rsidRPr="00F30B91">
        <w:t>На 31.12.2009 г. изтече валидността на Годишното финансово споразумение (ГФС) 2006, с което е прекратено изплащането на субсидии към бенефициенти по програма САПАРД.</w:t>
      </w:r>
    </w:p>
    <w:p w:rsidR="00195FB3" w:rsidRPr="00F30B91" w:rsidRDefault="00195FB3" w:rsidP="00195FB3">
      <w:pPr>
        <w:ind w:firstLine="629"/>
        <w:jc w:val="both"/>
      </w:pPr>
      <w:r w:rsidRPr="00F30B91">
        <w:t>През периода са извършени възстановявания от бенефициенти по дългове на стойност 0,</w:t>
      </w:r>
      <w:r w:rsidR="00F30B91" w:rsidRPr="00F30B91">
        <w:t>2</w:t>
      </w:r>
      <w:r w:rsidRPr="00F30B91">
        <w:t xml:space="preserve"> млн. лева.</w:t>
      </w:r>
    </w:p>
    <w:p w:rsidR="00195FB3" w:rsidRPr="00F30B91" w:rsidRDefault="00195FB3" w:rsidP="00195FB3">
      <w:pPr>
        <w:ind w:firstLine="629"/>
        <w:jc w:val="both"/>
      </w:pPr>
      <w:r w:rsidRPr="00F30B91">
        <w:t>Възстановените средства към ЕК са в размер на 91,6 млн. лева.</w:t>
      </w:r>
    </w:p>
    <w:p w:rsidR="00063CF1" w:rsidRPr="00F30B91" w:rsidRDefault="00063CF1" w:rsidP="00195FB3">
      <w:pPr>
        <w:spacing w:before="120"/>
        <w:ind w:firstLine="629"/>
        <w:jc w:val="both"/>
        <w:rPr>
          <w:b/>
        </w:rPr>
      </w:pPr>
      <w:r w:rsidRPr="00F30B91">
        <w:rPr>
          <w:b/>
        </w:rPr>
        <w:t>Двустранни програми за трансгранично сътрудничество по външните граници на Европейския съюз 2007 – 2013 г.</w:t>
      </w:r>
    </w:p>
    <w:p w:rsidR="00195FB3" w:rsidRPr="00F30B91" w:rsidRDefault="00195FB3" w:rsidP="00195FB3">
      <w:pPr>
        <w:ind w:firstLine="686"/>
        <w:jc w:val="both"/>
        <w:rPr>
          <w:bCs/>
        </w:rPr>
      </w:pPr>
      <w:r w:rsidRPr="00F30B91">
        <w:rPr>
          <w:bCs/>
        </w:rPr>
        <w:t>За периода са постъпили средства от ЕК на стойност 0,4 млн. лв., възстановените средства от бенефициенти са в размер на 0,1 млн. лева.</w:t>
      </w:r>
    </w:p>
    <w:p w:rsidR="00063CF1" w:rsidRPr="00F30B91" w:rsidRDefault="00063CF1" w:rsidP="00B37F65">
      <w:pPr>
        <w:ind w:firstLine="686"/>
        <w:jc w:val="both"/>
        <w:rPr>
          <w:b/>
        </w:rPr>
      </w:pPr>
      <w:r w:rsidRPr="00F30B91">
        <w:rPr>
          <w:b/>
        </w:rPr>
        <w:t>Двустранни програми за трансгранично сътрудничество по външните граници на Европейския съюз 2014 – 2020 г.</w:t>
      </w:r>
    </w:p>
    <w:p w:rsidR="00195FB3" w:rsidRPr="00CC4022" w:rsidRDefault="00195FB3" w:rsidP="00195FB3">
      <w:pPr>
        <w:ind w:firstLine="686"/>
        <w:jc w:val="both"/>
        <w:rPr>
          <w:bCs/>
        </w:rPr>
      </w:pPr>
      <w:r w:rsidRPr="00CC4022">
        <w:rPr>
          <w:bCs/>
        </w:rPr>
        <w:t>Получените средства към 30.0</w:t>
      </w:r>
      <w:r w:rsidR="00F30B91" w:rsidRPr="00CC4022">
        <w:rPr>
          <w:bCs/>
        </w:rPr>
        <w:t>9</w:t>
      </w:r>
      <w:r w:rsidRPr="00CC4022">
        <w:rPr>
          <w:bCs/>
        </w:rPr>
        <w:t>.2019 г. са на стойност 1</w:t>
      </w:r>
      <w:r w:rsidR="00CC4022" w:rsidRPr="00CC4022">
        <w:rPr>
          <w:bCs/>
        </w:rPr>
        <w:t>9</w:t>
      </w:r>
      <w:r w:rsidRPr="00CC4022">
        <w:rPr>
          <w:bCs/>
        </w:rPr>
        <w:t>,</w:t>
      </w:r>
      <w:r w:rsidR="00CC4022" w:rsidRPr="00CC4022">
        <w:rPr>
          <w:bCs/>
        </w:rPr>
        <w:t>5</w:t>
      </w:r>
      <w:r w:rsidRPr="00CC4022">
        <w:rPr>
          <w:bCs/>
        </w:rPr>
        <w:t xml:space="preserve"> млн. лв., представляващи възстановени разходи от ЕК и постъпили средства за съфинансиране от страните-партньори, както </w:t>
      </w:r>
      <w:r w:rsidR="00B95876" w:rsidRPr="00CC4022">
        <w:rPr>
          <w:bCs/>
        </w:rPr>
        <w:t xml:space="preserve">и </w:t>
      </w:r>
      <w:r w:rsidRPr="00CC4022">
        <w:rPr>
          <w:bCs/>
        </w:rPr>
        <w:t>разпределени към администратори в чужбина за сметка на средства от страната-партньор.</w:t>
      </w:r>
    </w:p>
    <w:p w:rsidR="00195FB3" w:rsidRPr="00CC4022" w:rsidRDefault="00195FB3" w:rsidP="00195FB3">
      <w:pPr>
        <w:spacing w:after="120"/>
        <w:ind w:firstLine="686"/>
        <w:jc w:val="both"/>
        <w:rPr>
          <w:bCs/>
        </w:rPr>
      </w:pPr>
      <w:r w:rsidRPr="00CC4022">
        <w:rPr>
          <w:bCs/>
        </w:rPr>
        <w:t xml:space="preserve">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w:t>
      </w:r>
      <w:r w:rsidR="00E26382">
        <w:rPr>
          <w:bCs/>
        </w:rPr>
        <w:t>16,8</w:t>
      </w:r>
      <w:r w:rsidRPr="00CC4022">
        <w:rPr>
          <w:bCs/>
        </w:rPr>
        <w:t xml:space="preserve"> млн. лв., включително за плащания към бенефициенти в страната, извършени за сметка на полученото финансиране от страната-партньор по тези програми. </w:t>
      </w:r>
    </w:p>
    <w:p w:rsidR="00063CF1" w:rsidRPr="00CC4022" w:rsidRDefault="00063CF1" w:rsidP="00195FB3">
      <w:pPr>
        <w:ind w:firstLine="686"/>
        <w:jc w:val="both"/>
        <w:rPr>
          <w:b/>
        </w:rPr>
      </w:pPr>
      <w:r w:rsidRPr="00CC4022">
        <w:rPr>
          <w:b/>
        </w:rPr>
        <w:t>Финансов механизъм на Европейското икономическо пространство и Норвежки финансов механизъм за периода 2009-2014 г. и 2014-2021 г.</w:t>
      </w:r>
    </w:p>
    <w:p w:rsidR="00195FB3" w:rsidRPr="00CC4022" w:rsidRDefault="00195FB3" w:rsidP="00195FB3">
      <w:pPr>
        <w:spacing w:before="120"/>
        <w:ind w:firstLine="743"/>
        <w:jc w:val="both"/>
        <w:rPr>
          <w:bCs/>
        </w:rPr>
      </w:pPr>
      <w:r w:rsidRPr="00CC4022">
        <w:rPr>
          <w:bCs/>
        </w:rPr>
        <w:t xml:space="preserve">Възстановените към Офиса от НФ средства общо по ЕИП и НФМ за периода са на стойност 0,7 млн. лева, а получените са в размер на </w:t>
      </w:r>
      <w:r w:rsidR="00CC4022" w:rsidRPr="00CC4022">
        <w:rPr>
          <w:bCs/>
        </w:rPr>
        <w:t>5</w:t>
      </w:r>
      <w:r w:rsidRPr="00CC4022">
        <w:rPr>
          <w:bCs/>
        </w:rPr>
        <w:t>,</w:t>
      </w:r>
      <w:r w:rsidR="00CC4022" w:rsidRPr="00CC4022">
        <w:rPr>
          <w:bCs/>
        </w:rPr>
        <w:t>0</w:t>
      </w:r>
      <w:r w:rsidRPr="00CC4022">
        <w:rPr>
          <w:bCs/>
        </w:rPr>
        <w:t xml:space="preserve"> млн. лева.</w:t>
      </w:r>
    </w:p>
    <w:p w:rsidR="00195FB3" w:rsidRPr="00CC4022" w:rsidRDefault="00195FB3" w:rsidP="00195FB3">
      <w:pPr>
        <w:ind w:firstLine="743"/>
        <w:jc w:val="both"/>
        <w:rPr>
          <w:bCs/>
        </w:rPr>
      </w:pPr>
      <w:r w:rsidRPr="00CC4022">
        <w:rPr>
          <w:bCs/>
        </w:rPr>
        <w:lastRenderedPageBreak/>
        <w:t>Сумата на разходит</w:t>
      </w:r>
      <w:r w:rsidR="00CC4022" w:rsidRPr="00CC4022">
        <w:rPr>
          <w:bCs/>
        </w:rPr>
        <w:t>е и трансферите (нето) към 30.09</w:t>
      </w:r>
      <w:r w:rsidRPr="00CC4022">
        <w:rPr>
          <w:bCs/>
        </w:rPr>
        <w:t xml:space="preserve">.2019 г. са на обща стойност </w:t>
      </w:r>
      <w:r w:rsidR="00CC4022" w:rsidRPr="00CC4022">
        <w:rPr>
          <w:bCs/>
        </w:rPr>
        <w:t>2</w:t>
      </w:r>
      <w:r w:rsidRPr="00CC4022">
        <w:rPr>
          <w:bCs/>
        </w:rPr>
        <w:t>,7 млн. лева.</w:t>
      </w:r>
    </w:p>
    <w:p w:rsidR="00063CF1" w:rsidRPr="00CC4022" w:rsidRDefault="00063CF1" w:rsidP="00195FB3">
      <w:pPr>
        <w:spacing w:before="120"/>
        <w:ind w:firstLine="743"/>
        <w:jc w:val="both"/>
        <w:rPr>
          <w:b/>
        </w:rPr>
      </w:pPr>
      <w:r w:rsidRPr="00CC4022">
        <w:rPr>
          <w:b/>
        </w:rPr>
        <w:t>Българо-швейцарска програма за сътрудничество за намаляване на икономическите и социални неравенства в рамките на разширения Европейски съюз</w:t>
      </w:r>
    </w:p>
    <w:p w:rsidR="00195FB3" w:rsidRPr="00CC4022" w:rsidRDefault="00195FB3" w:rsidP="00DD6F13">
      <w:pPr>
        <w:ind w:firstLine="743"/>
        <w:jc w:val="both"/>
        <w:rPr>
          <w:bCs/>
        </w:rPr>
      </w:pPr>
      <w:r w:rsidRPr="00CC4022">
        <w:rPr>
          <w:bCs/>
        </w:rPr>
        <w:t>Получените средства по програмата за периода са в размер на 0</w:t>
      </w:r>
      <w:r w:rsidR="0029481A" w:rsidRPr="00CC4022">
        <w:rPr>
          <w:bCs/>
        </w:rPr>
        <w:t>,</w:t>
      </w:r>
      <w:r w:rsidRPr="00CC4022">
        <w:rPr>
          <w:bCs/>
        </w:rPr>
        <w:t>5 млн. лева.</w:t>
      </w:r>
    </w:p>
    <w:p w:rsidR="00CF6248" w:rsidRPr="00CC4022" w:rsidRDefault="00195FB3" w:rsidP="00DD6F13">
      <w:pPr>
        <w:ind w:firstLine="743"/>
        <w:jc w:val="both"/>
        <w:rPr>
          <w:bCs/>
        </w:rPr>
      </w:pPr>
      <w:r w:rsidRPr="00CC4022">
        <w:rPr>
          <w:bCs/>
        </w:rPr>
        <w:t>Извършените изходящи трансфери към бенефициенти</w:t>
      </w:r>
      <w:r w:rsidR="00B95876" w:rsidRPr="00CC4022">
        <w:rPr>
          <w:bCs/>
        </w:rPr>
        <w:t>-</w:t>
      </w:r>
      <w:r w:rsidRPr="00CC4022">
        <w:rPr>
          <w:bCs/>
        </w:rPr>
        <w:t xml:space="preserve">бюджетни организации </w:t>
      </w:r>
      <w:r w:rsidR="00B95876" w:rsidRPr="00CC4022">
        <w:rPr>
          <w:bCs/>
        </w:rPr>
        <w:t>за отчетния период</w:t>
      </w:r>
      <w:r w:rsidRPr="00CC4022">
        <w:rPr>
          <w:bCs/>
        </w:rPr>
        <w:t xml:space="preserve"> са в размер на </w:t>
      </w:r>
      <w:r w:rsidR="00CC4022" w:rsidRPr="00CC4022">
        <w:rPr>
          <w:bCs/>
        </w:rPr>
        <w:t>2</w:t>
      </w:r>
      <w:r w:rsidR="0029481A" w:rsidRPr="00CC4022">
        <w:rPr>
          <w:bCs/>
        </w:rPr>
        <w:t>,</w:t>
      </w:r>
      <w:r w:rsidR="00CC4022" w:rsidRPr="00CC4022">
        <w:rPr>
          <w:bCs/>
        </w:rPr>
        <w:t>5</w:t>
      </w:r>
      <w:r w:rsidRPr="00CC4022">
        <w:rPr>
          <w:bCs/>
        </w:rPr>
        <w:t xml:space="preserve"> млн. лева.</w:t>
      </w:r>
    </w:p>
    <w:p w:rsidR="00E449C3" w:rsidRPr="00CC4022" w:rsidRDefault="00E449C3" w:rsidP="00B37F65">
      <w:pPr>
        <w:pStyle w:val="Heading1"/>
        <w:numPr>
          <w:ilvl w:val="0"/>
          <w:numId w:val="10"/>
        </w:numPr>
        <w:spacing w:before="240"/>
        <w:ind w:left="533" w:right="-108" w:hanging="391"/>
        <w:jc w:val="both"/>
        <w:rPr>
          <w:sz w:val="24"/>
        </w:rPr>
      </w:pPr>
      <w:r w:rsidRPr="00CC4022">
        <w:rPr>
          <w:sz w:val="24"/>
        </w:rPr>
        <w:t>Бюджети на социално и здравно-осигурителните фондове и бюджети по чл. 13, ал. 2 и ал. 3 на Закона за публичните финанси</w:t>
      </w:r>
    </w:p>
    <w:p w:rsidR="00DB70EE" w:rsidRPr="00065DF8" w:rsidRDefault="00DB70EE" w:rsidP="00EB4BEB">
      <w:pPr>
        <w:pStyle w:val="Heading1"/>
        <w:numPr>
          <w:ilvl w:val="1"/>
          <w:numId w:val="10"/>
        </w:numPr>
        <w:spacing w:before="120"/>
        <w:ind w:left="788" w:right="-108" w:hanging="431"/>
        <w:jc w:val="both"/>
        <w:rPr>
          <w:sz w:val="24"/>
          <w:lang w:val="en-US"/>
        </w:rPr>
      </w:pPr>
      <w:r w:rsidRPr="00065DF8">
        <w:rPr>
          <w:sz w:val="24"/>
        </w:rPr>
        <w:t>Социално и здравно-осигурителни фондове</w:t>
      </w:r>
    </w:p>
    <w:p w:rsidR="007240EE" w:rsidRPr="00065DF8" w:rsidRDefault="007240EE" w:rsidP="00EB4BEB">
      <w:pPr>
        <w:numPr>
          <w:ilvl w:val="1"/>
          <w:numId w:val="6"/>
        </w:numPr>
        <w:spacing w:line="276" w:lineRule="auto"/>
        <w:ind w:left="992" w:hanging="357"/>
        <w:jc w:val="both"/>
        <w:rPr>
          <w:b/>
          <w:bCs/>
        </w:rPr>
      </w:pPr>
      <w:r w:rsidRPr="00065DF8">
        <w:rPr>
          <w:b/>
        </w:rPr>
        <w:t>Държавно обществено осигуряване</w:t>
      </w:r>
    </w:p>
    <w:p w:rsidR="00786515" w:rsidRPr="00CD628F" w:rsidRDefault="00786515" w:rsidP="00EB4BEB">
      <w:pPr>
        <w:ind w:firstLine="567"/>
        <w:jc w:val="both"/>
      </w:pPr>
      <w:r w:rsidRPr="00065DF8">
        <w:t xml:space="preserve">Общата сума на </w:t>
      </w:r>
      <w:r w:rsidRPr="00065DF8">
        <w:rPr>
          <w:b/>
        </w:rPr>
        <w:t>приходите</w:t>
      </w:r>
      <w:r w:rsidR="002D51C1" w:rsidRPr="00065DF8">
        <w:rPr>
          <w:b/>
        </w:rPr>
        <w:t>,</w:t>
      </w:r>
      <w:r w:rsidRPr="00065DF8">
        <w:rPr>
          <w:b/>
        </w:rPr>
        <w:t xml:space="preserve"> помощите</w:t>
      </w:r>
      <w:r w:rsidR="002D51C1" w:rsidRPr="00065DF8">
        <w:rPr>
          <w:b/>
        </w:rPr>
        <w:t xml:space="preserve"> и даренията</w:t>
      </w:r>
      <w:r w:rsidRPr="00065DF8">
        <w:t xml:space="preserve"> по бюджета на Държавното общест</w:t>
      </w:r>
      <w:r w:rsidR="00065DF8" w:rsidRPr="00065DF8">
        <w:t>вено осигуряване (ДОО) към 30.0</w:t>
      </w:r>
      <w:r w:rsidR="00065DF8" w:rsidRPr="00065DF8">
        <w:rPr>
          <w:lang w:val="en-US"/>
        </w:rPr>
        <w:t>9</w:t>
      </w:r>
      <w:r w:rsidRPr="00065DF8">
        <w:t>.201</w:t>
      </w:r>
      <w:r w:rsidRPr="00065DF8">
        <w:rPr>
          <w:lang w:val="en-US"/>
        </w:rPr>
        <w:t>9</w:t>
      </w:r>
      <w:r w:rsidRPr="00065DF8">
        <w:t xml:space="preserve"> г. възлиза на </w:t>
      </w:r>
      <w:r w:rsidR="00065DF8" w:rsidRPr="00065DF8">
        <w:rPr>
          <w:lang w:val="en-US"/>
        </w:rPr>
        <w:t>5</w:t>
      </w:r>
      <w:r w:rsidRPr="00065DF8">
        <w:t> </w:t>
      </w:r>
      <w:r w:rsidRPr="00065DF8">
        <w:rPr>
          <w:lang w:val="en-US"/>
        </w:rPr>
        <w:t>7</w:t>
      </w:r>
      <w:r w:rsidR="00065DF8" w:rsidRPr="00065DF8">
        <w:rPr>
          <w:lang w:val="en-US"/>
        </w:rPr>
        <w:t>00</w:t>
      </w:r>
      <w:r w:rsidRPr="00065DF8">
        <w:t>,</w:t>
      </w:r>
      <w:r w:rsidR="00065DF8" w:rsidRPr="00065DF8">
        <w:rPr>
          <w:lang w:val="en-US"/>
        </w:rPr>
        <w:t>8</w:t>
      </w:r>
      <w:r w:rsidRPr="00065DF8">
        <w:t xml:space="preserve"> млн. лв., което представлява </w:t>
      </w:r>
      <w:r w:rsidR="00065DF8" w:rsidRPr="00065DF8">
        <w:rPr>
          <w:lang w:val="en-US"/>
        </w:rPr>
        <w:t>75</w:t>
      </w:r>
      <w:r w:rsidRPr="00065DF8">
        <w:t>,</w:t>
      </w:r>
      <w:r w:rsidR="00065DF8" w:rsidRPr="00065DF8">
        <w:rPr>
          <w:lang w:val="en-US"/>
        </w:rPr>
        <w:t>7</w:t>
      </w:r>
      <w:r w:rsidRPr="00065DF8">
        <w:t xml:space="preserve"> % от заложените в Закона за бюджета на държавното обществено осигуряване за 201</w:t>
      </w:r>
      <w:r w:rsidRPr="00065DF8">
        <w:rPr>
          <w:lang w:val="en-US"/>
        </w:rPr>
        <w:t>9</w:t>
      </w:r>
      <w:r w:rsidRPr="00065DF8">
        <w:t xml:space="preserve"> г. (ЗБДОО) </w:t>
      </w:r>
      <w:r w:rsidRPr="00065DF8">
        <w:rPr>
          <w:lang w:val="en-US"/>
        </w:rPr>
        <w:t>7</w:t>
      </w:r>
      <w:r w:rsidRPr="00065DF8">
        <w:t> 5</w:t>
      </w:r>
      <w:r w:rsidRPr="00065DF8">
        <w:rPr>
          <w:lang w:val="en-US"/>
        </w:rPr>
        <w:t>28</w:t>
      </w:r>
      <w:r w:rsidRPr="00065DF8">
        <w:t>,</w:t>
      </w:r>
      <w:r w:rsidRPr="00065DF8">
        <w:rPr>
          <w:lang w:val="en-US"/>
        </w:rPr>
        <w:t>1</w:t>
      </w:r>
      <w:r w:rsidRPr="00065DF8">
        <w:t> млн. лева. Най-голям е делът на приходите от осигурителни вноски (9</w:t>
      </w:r>
      <w:r w:rsidRPr="00065DF8">
        <w:rPr>
          <w:lang w:val="en-US"/>
        </w:rPr>
        <w:t>7</w:t>
      </w:r>
      <w:r w:rsidRPr="00065DF8">
        <w:t>,</w:t>
      </w:r>
      <w:r w:rsidR="00065DF8" w:rsidRPr="00065DF8">
        <w:rPr>
          <w:lang w:val="en-US"/>
        </w:rPr>
        <w:t>4</w:t>
      </w:r>
      <w:r w:rsidRPr="00065DF8">
        <w:t xml:space="preserve"> % от общите приходи), които за отчетния период са в размер на </w:t>
      </w:r>
      <w:r w:rsidR="00065DF8" w:rsidRPr="00CD628F">
        <w:rPr>
          <w:lang w:val="en-US"/>
        </w:rPr>
        <w:t>5</w:t>
      </w:r>
      <w:r w:rsidRPr="00CD628F">
        <w:t> </w:t>
      </w:r>
      <w:r w:rsidR="00065DF8" w:rsidRPr="00CD628F">
        <w:rPr>
          <w:lang w:val="en-US"/>
        </w:rPr>
        <w:t>554</w:t>
      </w:r>
      <w:r w:rsidRPr="00CD628F">
        <w:t xml:space="preserve">,3 млн. лв., </w:t>
      </w:r>
      <w:r w:rsidR="00065DF8" w:rsidRPr="00CD628F">
        <w:rPr>
          <w:lang w:val="en-US"/>
        </w:rPr>
        <w:t>74</w:t>
      </w:r>
      <w:r w:rsidRPr="00CD628F">
        <w:t>,</w:t>
      </w:r>
      <w:r w:rsidR="00065DF8" w:rsidRPr="00CD628F">
        <w:rPr>
          <w:lang w:val="en-US"/>
        </w:rPr>
        <w:t>3</w:t>
      </w:r>
      <w:r w:rsidRPr="00CD628F">
        <w:t xml:space="preserve"> % от заложените в ЗБДОО за 201</w:t>
      </w:r>
      <w:r w:rsidRPr="00CD628F">
        <w:rPr>
          <w:lang w:val="en-US"/>
        </w:rPr>
        <w:t>9</w:t>
      </w:r>
      <w:r w:rsidRPr="00CD628F">
        <w:t xml:space="preserve"> година. </w:t>
      </w:r>
    </w:p>
    <w:p w:rsidR="00786515" w:rsidRPr="00CD628F" w:rsidRDefault="00786515" w:rsidP="00786515">
      <w:pPr>
        <w:ind w:firstLine="567"/>
        <w:jc w:val="both"/>
        <w:rPr>
          <w:b/>
          <w:bCs/>
        </w:rPr>
      </w:pPr>
      <w:r w:rsidRPr="00CD628F">
        <w:t xml:space="preserve">Съпоставени с </w:t>
      </w:r>
      <w:r w:rsidR="00FF1B15" w:rsidRPr="00CD628F">
        <w:t>деветмесечието</w:t>
      </w:r>
      <w:r w:rsidRPr="00CD628F">
        <w:t xml:space="preserve"> на 2018 г., приходите по бюджета на ДОО нарастват с </w:t>
      </w:r>
      <w:r w:rsidR="00FF1B15" w:rsidRPr="00CD628F">
        <w:t>649</w:t>
      </w:r>
      <w:r w:rsidRPr="00CD628F">
        <w:t>,2 млн. лв. (1</w:t>
      </w:r>
      <w:r w:rsidR="00FF1B15" w:rsidRPr="00CD628F">
        <w:t>2</w:t>
      </w:r>
      <w:r w:rsidRPr="00CD628F">
        <w:t>,</w:t>
      </w:r>
      <w:r w:rsidR="00FF1B15" w:rsidRPr="00CD628F">
        <w:t>9</w:t>
      </w:r>
      <w:r w:rsidRPr="00CD628F">
        <w:t xml:space="preserve"> %). Факторите, които оказват влияние върху състоянието на приходите през 2019 г., са следните:</w:t>
      </w:r>
    </w:p>
    <w:p w:rsidR="00786515" w:rsidRPr="00CD628F" w:rsidRDefault="00786515" w:rsidP="00786515">
      <w:pPr>
        <w:numPr>
          <w:ilvl w:val="0"/>
          <w:numId w:val="21"/>
        </w:numPr>
        <w:tabs>
          <w:tab w:val="num" w:pos="1499"/>
          <w:tab w:val="num" w:pos="2148"/>
        </w:tabs>
        <w:spacing w:line="276" w:lineRule="auto"/>
        <w:ind w:firstLine="567"/>
        <w:jc w:val="both"/>
      </w:pPr>
      <w:r w:rsidRPr="00CD628F">
        <w:t>увеличения</w:t>
      </w:r>
      <w:r w:rsidR="003F3760">
        <w:t>т</w:t>
      </w:r>
      <w:r w:rsidRPr="00CD628F">
        <w:t xml:space="preserve"> размер на максималния осигурителен д</w:t>
      </w:r>
      <w:r w:rsidR="00E32E66" w:rsidRPr="00CD628F">
        <w:t>оход за всички лица от 2</w:t>
      </w:r>
      <w:r w:rsidR="003F3760">
        <w:t> </w:t>
      </w:r>
      <w:r w:rsidR="00E32E66" w:rsidRPr="00CD628F">
        <w:t>600</w:t>
      </w:r>
      <w:r w:rsidR="003F3760">
        <w:t> лв.</w:t>
      </w:r>
      <w:r w:rsidR="00E32E66" w:rsidRPr="00CD628F">
        <w:t xml:space="preserve"> </w:t>
      </w:r>
      <w:r w:rsidR="00E32E66" w:rsidRPr="00CD628F">
        <w:rPr>
          <w:lang w:val="en-US"/>
        </w:rPr>
        <w:t> </w:t>
      </w:r>
      <w:r w:rsidR="00E32E66" w:rsidRPr="00CD628F">
        <w:t>на</w:t>
      </w:r>
      <w:r w:rsidR="00E32E66" w:rsidRPr="00CD628F">
        <w:rPr>
          <w:lang w:val="en-US"/>
        </w:rPr>
        <w:t>  </w:t>
      </w:r>
      <w:r w:rsidRPr="00CD628F">
        <w:t>3 000 лв.;</w:t>
      </w:r>
    </w:p>
    <w:p w:rsidR="00786515" w:rsidRPr="0024415B" w:rsidRDefault="003F3760" w:rsidP="00786515">
      <w:pPr>
        <w:numPr>
          <w:ilvl w:val="0"/>
          <w:numId w:val="21"/>
        </w:numPr>
        <w:tabs>
          <w:tab w:val="num" w:pos="1499"/>
          <w:tab w:val="num" w:pos="2148"/>
        </w:tabs>
        <w:ind w:firstLine="567"/>
        <w:jc w:val="both"/>
      </w:pPr>
      <w:r w:rsidRPr="00CD628F">
        <w:rPr>
          <w:rFonts w:eastAsiaTheme="minorHAnsi"/>
        </w:rPr>
        <w:t xml:space="preserve">средно нарастване на минималните </w:t>
      </w:r>
      <w:r w:rsidRPr="0024415B">
        <w:rPr>
          <w:rFonts w:eastAsiaTheme="minorHAnsi"/>
        </w:rPr>
        <w:t>осигурителни доходи през 2019 г. с около 4,7 на сто спрямо 2018 година</w:t>
      </w:r>
      <w:r w:rsidRPr="00CD628F">
        <w:rPr>
          <w:rFonts w:eastAsiaTheme="minorHAnsi"/>
        </w:rPr>
        <w:t xml:space="preserve"> </w:t>
      </w:r>
      <w:r>
        <w:rPr>
          <w:rFonts w:eastAsiaTheme="minorHAnsi"/>
        </w:rPr>
        <w:t xml:space="preserve">- </w:t>
      </w:r>
      <w:r w:rsidR="00786515" w:rsidRPr="00CD628F">
        <w:rPr>
          <w:rFonts w:eastAsiaTheme="minorHAnsi"/>
        </w:rPr>
        <w:t>равнищата на минималните осигурителни доходи по основните икономически дейности и квалификационни групи професии</w:t>
      </w:r>
      <w:r>
        <w:rPr>
          <w:rFonts w:eastAsiaTheme="minorHAnsi"/>
        </w:rPr>
        <w:t xml:space="preserve"> се запазиха на нивата от</w:t>
      </w:r>
      <w:r w:rsidR="00786515" w:rsidRPr="00CD628F">
        <w:rPr>
          <w:rFonts w:eastAsiaTheme="minorHAnsi"/>
        </w:rPr>
        <w:t xml:space="preserve"> 2018 г., с изключение на позициите</w:t>
      </w:r>
      <w:r w:rsidR="002C64F3">
        <w:rPr>
          <w:rFonts w:eastAsiaTheme="minorHAnsi"/>
        </w:rPr>
        <w:t xml:space="preserve">, които </w:t>
      </w:r>
      <w:r w:rsidR="00DB514B">
        <w:rPr>
          <w:rFonts w:eastAsiaTheme="minorHAnsi"/>
        </w:rPr>
        <w:t>оставаха</w:t>
      </w:r>
      <w:r w:rsidR="002C64F3">
        <w:rPr>
          <w:rFonts w:eastAsiaTheme="minorHAnsi"/>
        </w:rPr>
        <w:t xml:space="preserve"> </w:t>
      </w:r>
      <w:r w:rsidR="00786515" w:rsidRPr="00CD628F">
        <w:rPr>
          <w:rFonts w:eastAsiaTheme="minorHAnsi"/>
        </w:rPr>
        <w:t xml:space="preserve">под новия </w:t>
      </w:r>
      <w:r>
        <w:rPr>
          <w:rFonts w:eastAsiaTheme="minorHAnsi"/>
        </w:rPr>
        <w:t xml:space="preserve">за 2019 г. </w:t>
      </w:r>
      <w:r w:rsidR="00786515" w:rsidRPr="00CD628F">
        <w:rPr>
          <w:rFonts w:eastAsiaTheme="minorHAnsi"/>
        </w:rPr>
        <w:t>размер на минималната работна заплата (560 лв.)</w:t>
      </w:r>
      <w:r w:rsidR="002C64F3">
        <w:rPr>
          <w:rFonts w:eastAsiaTheme="minorHAnsi"/>
        </w:rPr>
        <w:t xml:space="preserve"> и съответно </w:t>
      </w:r>
      <w:r w:rsidR="00DB514B">
        <w:rPr>
          <w:rFonts w:eastAsiaTheme="minorHAnsi"/>
        </w:rPr>
        <w:t>бяха</w:t>
      </w:r>
      <w:r w:rsidR="002C64F3">
        <w:rPr>
          <w:rFonts w:eastAsiaTheme="minorHAnsi"/>
        </w:rPr>
        <w:t xml:space="preserve"> </w:t>
      </w:r>
      <w:r w:rsidR="00786515" w:rsidRPr="00CD628F">
        <w:rPr>
          <w:rFonts w:eastAsiaTheme="minorHAnsi"/>
        </w:rPr>
        <w:t xml:space="preserve">приравнени на нея. </w:t>
      </w:r>
      <w:r w:rsidR="00786515" w:rsidRPr="0024415B">
        <w:rPr>
          <w:rFonts w:eastAsiaTheme="minorHAnsi"/>
        </w:rPr>
        <w:t xml:space="preserve"> </w:t>
      </w:r>
    </w:p>
    <w:p w:rsidR="00786515" w:rsidRPr="0024415B" w:rsidRDefault="00786515" w:rsidP="00786515">
      <w:pPr>
        <w:ind w:firstLine="567"/>
        <w:jc w:val="both"/>
        <w:rPr>
          <w:bCs/>
        </w:rPr>
      </w:pPr>
      <w:r w:rsidRPr="0024415B">
        <w:rPr>
          <w:bCs/>
        </w:rPr>
        <w:t xml:space="preserve">Отчетените неданъчни приходи към края на </w:t>
      </w:r>
      <w:r w:rsidR="0024415B" w:rsidRPr="0024415B">
        <w:rPr>
          <w:bCs/>
        </w:rPr>
        <w:t>септември</w:t>
      </w:r>
      <w:r w:rsidRPr="0024415B">
        <w:rPr>
          <w:bCs/>
        </w:rPr>
        <w:t xml:space="preserve"> 2019 г. по бюджета на ДОО възлизат на </w:t>
      </w:r>
      <w:r w:rsidR="0024415B" w:rsidRPr="0024415B">
        <w:rPr>
          <w:bCs/>
        </w:rPr>
        <w:t>146</w:t>
      </w:r>
      <w:r w:rsidRPr="0024415B">
        <w:rPr>
          <w:bCs/>
        </w:rPr>
        <w:t>,</w:t>
      </w:r>
      <w:r w:rsidR="0024415B" w:rsidRPr="0024415B">
        <w:rPr>
          <w:bCs/>
        </w:rPr>
        <w:t>4</w:t>
      </w:r>
      <w:r w:rsidRPr="0024415B">
        <w:rPr>
          <w:bCs/>
        </w:rPr>
        <w:t xml:space="preserve"> млн. лв., в т.ч. </w:t>
      </w:r>
      <w:r w:rsidR="0024415B" w:rsidRPr="0024415B">
        <w:rPr>
          <w:bCs/>
        </w:rPr>
        <w:t>124</w:t>
      </w:r>
      <w:r w:rsidRPr="0024415B">
        <w:rPr>
          <w:bCs/>
        </w:rPr>
        <w:t>,</w:t>
      </w:r>
      <w:r w:rsidR="0024415B" w:rsidRPr="0024415B">
        <w:rPr>
          <w:bCs/>
        </w:rPr>
        <w:t>1</w:t>
      </w:r>
      <w:r w:rsidRPr="0024415B">
        <w:rPr>
          <w:bCs/>
        </w:rPr>
        <w:t xml:space="preserve"> млн. лв. постъпили средства по реда на </w:t>
      </w:r>
      <w:r w:rsidRPr="0024415B">
        <w:t>чл. 4б и чл. 4в от Кодекса за социално осигуряване (КСО) и § 4б от ПЗР на КСО</w:t>
      </w:r>
      <w:r w:rsidRPr="0024415B">
        <w:rPr>
          <w:bCs/>
        </w:rPr>
        <w:t xml:space="preserve"> (п</w:t>
      </w:r>
      <w:r w:rsidRPr="0024415B">
        <w:t xml:space="preserve">рехвърлени </w:t>
      </w:r>
      <w:r w:rsidRPr="0024415B">
        <w:rPr>
          <w:lang w:val="en-US"/>
        </w:rPr>
        <w:lastRenderedPageBreak/>
        <w:t>(</w:t>
      </w:r>
      <w:r w:rsidRPr="0024415B">
        <w:t>възстановени</w:t>
      </w:r>
      <w:r w:rsidRPr="0024415B">
        <w:rPr>
          <w:lang w:val="en-US"/>
        </w:rPr>
        <w:t>)</w:t>
      </w:r>
      <w:r w:rsidRPr="0024415B">
        <w:t xml:space="preserve"> акумулирани средства от осигурителни вноски).</w:t>
      </w:r>
      <w:r w:rsidRPr="0024415B">
        <w:rPr>
          <w:bCs/>
        </w:rPr>
        <w:t xml:space="preserve"> </w:t>
      </w:r>
    </w:p>
    <w:p w:rsidR="00786515" w:rsidRPr="00B93FD2" w:rsidRDefault="00786515" w:rsidP="00786515">
      <w:pPr>
        <w:tabs>
          <w:tab w:val="num" w:pos="1499"/>
          <w:tab w:val="num" w:pos="2148"/>
        </w:tabs>
        <w:spacing w:after="120"/>
        <w:ind w:firstLine="567"/>
        <w:jc w:val="both"/>
        <w:rPr>
          <w:color w:val="4F81BD" w:themeColor="accent1"/>
        </w:rPr>
      </w:pPr>
      <w:r w:rsidRPr="00570B11">
        <w:rPr>
          <w:bCs/>
        </w:rPr>
        <w:t xml:space="preserve">Размерът на извършените </w:t>
      </w:r>
      <w:r w:rsidRPr="00570B11">
        <w:rPr>
          <w:b/>
          <w:bCs/>
        </w:rPr>
        <w:t xml:space="preserve">разходи </w:t>
      </w:r>
      <w:r w:rsidRPr="00570B11">
        <w:rPr>
          <w:bCs/>
        </w:rPr>
        <w:t xml:space="preserve">за първите </w:t>
      </w:r>
      <w:r w:rsidR="00570B11" w:rsidRPr="00570B11">
        <w:rPr>
          <w:bCs/>
        </w:rPr>
        <w:t>девет</w:t>
      </w:r>
      <w:r w:rsidRPr="00570B11">
        <w:rPr>
          <w:bCs/>
        </w:rPr>
        <w:t xml:space="preserve"> месеца на 2019 г. по бюджета на ДОО е </w:t>
      </w:r>
      <w:r w:rsidR="00570B11" w:rsidRPr="00570B11">
        <w:rPr>
          <w:bCs/>
        </w:rPr>
        <w:t>8</w:t>
      </w:r>
      <w:r w:rsidRPr="00570B11">
        <w:rPr>
          <w:bCs/>
        </w:rPr>
        <w:t> </w:t>
      </w:r>
      <w:r w:rsidR="00570B11" w:rsidRPr="00570B11">
        <w:rPr>
          <w:bCs/>
        </w:rPr>
        <w:t>572</w:t>
      </w:r>
      <w:r w:rsidRPr="00570B11">
        <w:rPr>
          <w:bCs/>
        </w:rPr>
        <w:t>,</w:t>
      </w:r>
      <w:r w:rsidR="00570B11" w:rsidRPr="00570B11">
        <w:rPr>
          <w:bCs/>
        </w:rPr>
        <w:t>6</w:t>
      </w:r>
      <w:r w:rsidRPr="00570B11">
        <w:rPr>
          <w:bCs/>
        </w:rPr>
        <w:t xml:space="preserve"> млн. лв., което представлява </w:t>
      </w:r>
      <w:r w:rsidR="00570B11" w:rsidRPr="00570B11">
        <w:rPr>
          <w:bCs/>
        </w:rPr>
        <w:t>72</w:t>
      </w:r>
      <w:r w:rsidRPr="00570B11">
        <w:rPr>
          <w:bCs/>
        </w:rPr>
        <w:t>,</w:t>
      </w:r>
      <w:r w:rsidR="00570B11" w:rsidRPr="00570B11">
        <w:rPr>
          <w:bCs/>
        </w:rPr>
        <w:t>9</w:t>
      </w:r>
      <w:r w:rsidRPr="00570B11">
        <w:rPr>
          <w:bCs/>
        </w:rPr>
        <w:t xml:space="preserve"> % от предвидените  в ЗБДОО за 2019 г. средства. Спрямо същия период на миналата година, общо разходите по бюджета на ДОО са с</w:t>
      </w:r>
      <w:r w:rsidR="00570B11" w:rsidRPr="00570B11">
        <w:rPr>
          <w:bCs/>
        </w:rPr>
        <w:t xml:space="preserve"> </w:t>
      </w:r>
      <w:r w:rsidRPr="00570B11">
        <w:rPr>
          <w:bCs/>
        </w:rPr>
        <w:t xml:space="preserve"> </w:t>
      </w:r>
      <w:r w:rsidR="00570B11" w:rsidRPr="00570B11">
        <w:rPr>
          <w:bCs/>
        </w:rPr>
        <w:t>307</w:t>
      </w:r>
      <w:r w:rsidRPr="009427EB">
        <w:rPr>
          <w:bCs/>
        </w:rPr>
        <w:t>,</w:t>
      </w:r>
      <w:r w:rsidR="00570B11" w:rsidRPr="009427EB">
        <w:rPr>
          <w:bCs/>
        </w:rPr>
        <w:t>1</w:t>
      </w:r>
      <w:r w:rsidRPr="009427EB">
        <w:rPr>
          <w:bCs/>
        </w:rPr>
        <w:t xml:space="preserve"> млн. лв. (</w:t>
      </w:r>
      <w:r w:rsidR="00570B11" w:rsidRPr="009427EB">
        <w:rPr>
          <w:bCs/>
        </w:rPr>
        <w:t>3</w:t>
      </w:r>
      <w:r w:rsidRPr="009427EB">
        <w:rPr>
          <w:bCs/>
        </w:rPr>
        <w:t>,</w:t>
      </w:r>
      <w:r w:rsidR="00570B11" w:rsidRPr="009427EB">
        <w:rPr>
          <w:bCs/>
        </w:rPr>
        <w:t>7</w:t>
      </w:r>
      <w:r w:rsidRPr="009427EB">
        <w:rPr>
          <w:bCs/>
        </w:rPr>
        <w:t xml:space="preserve"> %) повече. От структурна гледна точка с най-голям относителен дял в общите разходи са разходите за пенсии, обезщетения и помощи, изплащани на основание Кодекса за социално осигуряване – общо </w:t>
      </w:r>
      <w:r w:rsidR="009427EB" w:rsidRPr="009427EB">
        <w:rPr>
          <w:bCs/>
        </w:rPr>
        <w:t>8</w:t>
      </w:r>
      <w:r w:rsidRPr="009427EB">
        <w:rPr>
          <w:bCs/>
        </w:rPr>
        <w:t> </w:t>
      </w:r>
      <w:r w:rsidR="009427EB" w:rsidRPr="009427EB">
        <w:rPr>
          <w:bCs/>
        </w:rPr>
        <w:t>484</w:t>
      </w:r>
      <w:r w:rsidRPr="009427EB">
        <w:rPr>
          <w:bCs/>
        </w:rPr>
        <w:t>,</w:t>
      </w:r>
      <w:r w:rsidR="009427EB" w:rsidRPr="009427EB">
        <w:rPr>
          <w:bCs/>
        </w:rPr>
        <w:t>8</w:t>
      </w:r>
      <w:r w:rsidRPr="009427EB">
        <w:rPr>
          <w:bCs/>
        </w:rPr>
        <w:t xml:space="preserve"> млн. лв. или 9</w:t>
      </w:r>
      <w:r w:rsidR="009427EB" w:rsidRPr="009427EB">
        <w:rPr>
          <w:bCs/>
        </w:rPr>
        <w:t>9</w:t>
      </w:r>
      <w:r w:rsidRPr="009427EB">
        <w:rPr>
          <w:bCs/>
        </w:rPr>
        <w:t>,</w:t>
      </w:r>
      <w:r w:rsidR="009427EB" w:rsidRPr="009427EB">
        <w:rPr>
          <w:bCs/>
        </w:rPr>
        <w:t>0</w:t>
      </w:r>
      <w:r w:rsidRPr="009427EB">
        <w:rPr>
          <w:bCs/>
        </w:rPr>
        <w:t xml:space="preserve"> % от общия размер на разходите за отчетния период. Отчетените разходи за </w:t>
      </w:r>
      <w:r w:rsidRPr="009427EB">
        <w:rPr>
          <w:b/>
          <w:bCs/>
        </w:rPr>
        <w:t>пенсии</w:t>
      </w:r>
      <w:r w:rsidRPr="009427EB">
        <w:rPr>
          <w:bCs/>
        </w:rPr>
        <w:t xml:space="preserve"> по бюджета на ДОО към 30.0</w:t>
      </w:r>
      <w:r w:rsidR="009427EB" w:rsidRPr="009427EB">
        <w:rPr>
          <w:bCs/>
        </w:rPr>
        <w:t>9</w:t>
      </w:r>
      <w:r w:rsidRPr="009427EB">
        <w:rPr>
          <w:bCs/>
        </w:rPr>
        <w:t xml:space="preserve">.2019 г. възлизат на </w:t>
      </w:r>
      <w:r w:rsidR="009427EB" w:rsidRPr="009427EB">
        <w:rPr>
          <w:bCs/>
        </w:rPr>
        <w:t>7</w:t>
      </w:r>
      <w:r w:rsidRPr="009427EB">
        <w:rPr>
          <w:bCs/>
        </w:rPr>
        <w:t> </w:t>
      </w:r>
      <w:r w:rsidR="009427EB" w:rsidRPr="009427EB">
        <w:rPr>
          <w:bCs/>
        </w:rPr>
        <w:t>277</w:t>
      </w:r>
      <w:r w:rsidRPr="009427EB">
        <w:rPr>
          <w:bCs/>
        </w:rPr>
        <w:t>,</w:t>
      </w:r>
      <w:r w:rsidR="009427EB" w:rsidRPr="009427EB">
        <w:rPr>
          <w:bCs/>
        </w:rPr>
        <w:t>2</w:t>
      </w:r>
      <w:r w:rsidRPr="009427EB">
        <w:rPr>
          <w:bCs/>
        </w:rPr>
        <w:t xml:space="preserve"> млн. лв., което е с </w:t>
      </w:r>
      <w:r w:rsidR="009427EB" w:rsidRPr="009427EB">
        <w:rPr>
          <w:bCs/>
        </w:rPr>
        <w:t>252</w:t>
      </w:r>
      <w:r w:rsidRPr="009427EB">
        <w:rPr>
          <w:bCs/>
        </w:rPr>
        <w:t>,</w:t>
      </w:r>
      <w:r w:rsidR="009427EB" w:rsidRPr="009427EB">
        <w:rPr>
          <w:bCs/>
        </w:rPr>
        <w:t>6</w:t>
      </w:r>
      <w:r w:rsidRPr="009427EB">
        <w:rPr>
          <w:bCs/>
        </w:rPr>
        <w:t xml:space="preserve"> млн. лв. повече спрямо първ</w:t>
      </w:r>
      <w:r w:rsidR="009427EB" w:rsidRPr="009427EB">
        <w:rPr>
          <w:bCs/>
        </w:rPr>
        <w:t>ите</w:t>
      </w:r>
      <w:r w:rsidRPr="009427EB">
        <w:rPr>
          <w:bCs/>
        </w:rPr>
        <w:t xml:space="preserve"> </w:t>
      </w:r>
      <w:r w:rsidR="009427EB" w:rsidRPr="009427EB">
        <w:rPr>
          <w:bCs/>
        </w:rPr>
        <w:t>девет месеца</w:t>
      </w:r>
      <w:r w:rsidRPr="009427EB">
        <w:rPr>
          <w:bCs/>
        </w:rPr>
        <w:t xml:space="preserve"> на 2018 г. </w:t>
      </w:r>
      <w:r w:rsidRPr="009427EB">
        <w:t xml:space="preserve">Отчетените разходи за </w:t>
      </w:r>
      <w:r w:rsidRPr="009427EB">
        <w:rPr>
          <w:b/>
        </w:rPr>
        <w:t>краткосрочни обезщетения и помощи по КСО</w:t>
      </w:r>
      <w:r w:rsidRPr="009427EB">
        <w:t xml:space="preserve"> са в размер на </w:t>
      </w:r>
      <w:r w:rsidR="009427EB" w:rsidRPr="009427EB">
        <w:t>1 207</w:t>
      </w:r>
      <w:r w:rsidRPr="009427EB">
        <w:t>,</w:t>
      </w:r>
      <w:r w:rsidR="003F3760">
        <w:t>7</w:t>
      </w:r>
      <w:r w:rsidRPr="009427EB">
        <w:t xml:space="preserve"> млн. лева. Спрямо същия период на миналата година изплатените обезщетения по КСО са с </w:t>
      </w:r>
      <w:r w:rsidR="009427EB" w:rsidRPr="009427EB">
        <w:t>44</w:t>
      </w:r>
      <w:r w:rsidRPr="009427EB">
        <w:t>,</w:t>
      </w:r>
      <w:r w:rsidR="009427EB" w:rsidRPr="009427EB">
        <w:t>6</w:t>
      </w:r>
      <w:r w:rsidRPr="009427EB">
        <w:t xml:space="preserve"> млн. лв. (</w:t>
      </w:r>
      <w:r w:rsidR="009427EB" w:rsidRPr="009427EB">
        <w:t>3</w:t>
      </w:r>
      <w:r w:rsidRPr="009427EB">
        <w:t>,</w:t>
      </w:r>
      <w:r w:rsidR="009427EB" w:rsidRPr="009427EB">
        <w:t>8</w:t>
      </w:r>
      <w:r w:rsidRPr="009427EB">
        <w:t xml:space="preserve"> %) повече.</w:t>
      </w:r>
    </w:p>
    <w:p w:rsidR="00786515" w:rsidRPr="009427EB" w:rsidRDefault="00786515" w:rsidP="00786515">
      <w:pPr>
        <w:numPr>
          <w:ilvl w:val="1"/>
          <w:numId w:val="6"/>
        </w:numPr>
        <w:tabs>
          <w:tab w:val="num" w:pos="709"/>
          <w:tab w:val="left" w:pos="851"/>
          <w:tab w:val="left" w:pos="1134"/>
        </w:tabs>
        <w:spacing w:before="120" w:line="276" w:lineRule="auto"/>
        <w:ind w:left="709" w:hanging="357"/>
        <w:jc w:val="both"/>
        <w:rPr>
          <w:b/>
          <w:bCs/>
        </w:rPr>
      </w:pPr>
      <w:r w:rsidRPr="009427EB">
        <w:rPr>
          <w:b/>
          <w:bCs/>
        </w:rPr>
        <w:t>Национална здравноосигурителна каса</w:t>
      </w:r>
    </w:p>
    <w:p w:rsidR="00786515" w:rsidRPr="00B93FD2" w:rsidRDefault="00786515" w:rsidP="00786515">
      <w:pPr>
        <w:ind w:firstLine="567"/>
        <w:jc w:val="both"/>
        <w:rPr>
          <w:color w:val="4F81BD" w:themeColor="accent1"/>
        </w:rPr>
      </w:pPr>
      <w:r w:rsidRPr="007957B6">
        <w:t xml:space="preserve">Общият размер на събраните </w:t>
      </w:r>
      <w:r w:rsidRPr="007957B6">
        <w:rPr>
          <w:b/>
        </w:rPr>
        <w:t>приходи</w:t>
      </w:r>
      <w:r w:rsidRPr="007957B6">
        <w:t xml:space="preserve"> по бюджета на НЗОК за първ</w:t>
      </w:r>
      <w:r w:rsidR="007957B6" w:rsidRPr="007957B6">
        <w:t>ите</w:t>
      </w:r>
      <w:r w:rsidRPr="007957B6">
        <w:t xml:space="preserve"> </w:t>
      </w:r>
      <w:r w:rsidR="007957B6" w:rsidRPr="007957B6">
        <w:t>девет месеца</w:t>
      </w:r>
      <w:r w:rsidRPr="007957B6">
        <w:t xml:space="preserve"> на 2019 г. възлиза на </w:t>
      </w:r>
      <w:r w:rsidR="007957B6" w:rsidRPr="007957B6">
        <w:t>2</w:t>
      </w:r>
      <w:r w:rsidRPr="007957B6">
        <w:t xml:space="preserve"> </w:t>
      </w:r>
      <w:r w:rsidR="007957B6" w:rsidRPr="007957B6">
        <w:t>168</w:t>
      </w:r>
      <w:r w:rsidRPr="007957B6">
        <w:t>,</w:t>
      </w:r>
      <w:r w:rsidR="007957B6" w:rsidRPr="007957B6">
        <w:t>4</w:t>
      </w:r>
      <w:r w:rsidRPr="007957B6">
        <w:t xml:space="preserve"> млн. лв., което представлява </w:t>
      </w:r>
      <w:r w:rsidR="007957B6" w:rsidRPr="007957B6">
        <w:t>75</w:t>
      </w:r>
      <w:r w:rsidRPr="007957B6">
        <w:t>,</w:t>
      </w:r>
      <w:r w:rsidR="007957B6" w:rsidRPr="007957B6">
        <w:t>8</w:t>
      </w:r>
      <w:r w:rsidRPr="007957B6">
        <w:t xml:space="preserve"> % от предвидените със Закона за бюджета на НЗОК (ЗБНЗОК) за 2019 г. – 2 862,0 млн. лева. Постъпленията от здравноосигурителни вноски са в размер на </w:t>
      </w:r>
      <w:r w:rsidR="007957B6" w:rsidRPr="007957B6">
        <w:t>2</w:t>
      </w:r>
      <w:r w:rsidRPr="007957B6">
        <w:t xml:space="preserve"> </w:t>
      </w:r>
      <w:r w:rsidR="007957B6" w:rsidRPr="007957B6">
        <w:t>151</w:t>
      </w:r>
      <w:r w:rsidRPr="007957B6">
        <w:t>,</w:t>
      </w:r>
      <w:r w:rsidR="007957B6" w:rsidRPr="007957B6">
        <w:t>8</w:t>
      </w:r>
      <w:r w:rsidRPr="007957B6">
        <w:t xml:space="preserve"> млн. лв., което е </w:t>
      </w:r>
      <w:r w:rsidR="007957B6" w:rsidRPr="007957B6">
        <w:t>75</w:t>
      </w:r>
      <w:r w:rsidRPr="007957B6">
        <w:t>,</w:t>
      </w:r>
      <w:r w:rsidR="007957B6" w:rsidRPr="007957B6">
        <w:t>7</w:t>
      </w:r>
      <w:r w:rsidRPr="007957B6">
        <w:t xml:space="preserve"> % изпълнение на утвърдените със ЗБНЗОК за 2019 г. средства в размер на 2 842,3 млн. лева. Събраните неданъчни приходи за </w:t>
      </w:r>
      <w:r w:rsidR="00D64236">
        <w:t>деветмесечието</w:t>
      </w:r>
      <w:r w:rsidRPr="007957B6">
        <w:t xml:space="preserve"> на 2019 г. са 1</w:t>
      </w:r>
      <w:r w:rsidR="007957B6" w:rsidRPr="007957B6">
        <w:t>6</w:t>
      </w:r>
      <w:r w:rsidRPr="007957B6">
        <w:t>,</w:t>
      </w:r>
      <w:r w:rsidR="007957B6" w:rsidRPr="007957B6">
        <w:t>6</w:t>
      </w:r>
      <w:r w:rsidRPr="007957B6">
        <w:t xml:space="preserve"> млн. лв. или </w:t>
      </w:r>
      <w:r w:rsidR="007957B6" w:rsidRPr="007957B6">
        <w:t>83</w:t>
      </w:r>
      <w:r w:rsidRPr="007957B6">
        <w:t>,</w:t>
      </w:r>
      <w:r w:rsidR="007957B6" w:rsidRPr="007957B6">
        <w:t>9</w:t>
      </w:r>
      <w:r w:rsidRPr="007957B6">
        <w:t xml:space="preserve"> % от заложените в ЗБНЗОК за 2019 г., като основната част от тях са приходи от глоби, санкции и наказателни лихви. </w:t>
      </w:r>
    </w:p>
    <w:p w:rsidR="00786515" w:rsidRPr="00DE6912" w:rsidRDefault="00786515" w:rsidP="00786515">
      <w:pPr>
        <w:ind w:firstLine="567"/>
        <w:jc w:val="both"/>
      </w:pPr>
      <w:r w:rsidRPr="00DE6912">
        <w:t xml:space="preserve">Полученият трансфер от МЗ за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здравнонеосигурени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и за сумите по чл. 37, ал. 6 от Закона за здравното осигуряване и за дейности във връзка с лечение на български граждани в страната или в чужбина, съобразно тяхното заболяване, за които не са предвидени други механизми за финансиране със средства от държавния бюджет, общинските </w:t>
      </w:r>
      <w:r w:rsidRPr="00DE6912">
        <w:lastRenderedPageBreak/>
        <w:t xml:space="preserve">бюджети и от бюджета на Националната здравноосигурителна каса, или които не могат да бъдат осигурени в страната е в размер на </w:t>
      </w:r>
      <w:r w:rsidR="00DE6912" w:rsidRPr="00DE6912">
        <w:t>31</w:t>
      </w:r>
      <w:r w:rsidRPr="00DE6912">
        <w:t>,</w:t>
      </w:r>
      <w:r w:rsidR="00DE6912" w:rsidRPr="00DE6912">
        <w:t>5</w:t>
      </w:r>
      <w:r w:rsidRPr="00DE6912">
        <w:t xml:space="preserve"> млн. лв., което представлява </w:t>
      </w:r>
      <w:r w:rsidR="00DE6912" w:rsidRPr="00DE6912">
        <w:t>73</w:t>
      </w:r>
      <w:r w:rsidRPr="00DE6912">
        <w:t>,</w:t>
      </w:r>
      <w:r w:rsidR="00DE6912" w:rsidRPr="00DE6912">
        <w:t>2</w:t>
      </w:r>
      <w:r w:rsidRPr="00DE6912">
        <w:t xml:space="preserve"> % от заложените със ЗБНЗОК за 2019 г. средства в размер на 43,0 млн. лева. </w:t>
      </w:r>
    </w:p>
    <w:p w:rsidR="00786515" w:rsidRPr="004A6087" w:rsidRDefault="00786515" w:rsidP="00786515">
      <w:pPr>
        <w:ind w:firstLine="567"/>
        <w:jc w:val="both"/>
      </w:pPr>
      <w:r w:rsidRPr="00DE6912">
        <w:t xml:space="preserve">Трансферите за здравно осигуряване от централния бюджет за периода са </w:t>
      </w:r>
      <w:r w:rsidR="00DE6912" w:rsidRPr="00DE6912">
        <w:t>1 046,0</w:t>
      </w:r>
      <w:r w:rsidRPr="00DE6912">
        <w:t xml:space="preserve"> млн. лв</w:t>
      </w:r>
      <w:r w:rsidRPr="004A6087">
        <w:t>.</w:t>
      </w:r>
    </w:p>
    <w:p w:rsidR="00786515" w:rsidRPr="00B93FD2" w:rsidRDefault="00786515" w:rsidP="00786515">
      <w:pPr>
        <w:ind w:firstLine="567"/>
        <w:jc w:val="both"/>
        <w:rPr>
          <w:color w:val="4F81BD" w:themeColor="accent1"/>
        </w:rPr>
      </w:pPr>
      <w:r w:rsidRPr="004A6087">
        <w:t xml:space="preserve">Отчетените </w:t>
      </w:r>
      <w:r w:rsidRPr="004A6087">
        <w:rPr>
          <w:b/>
        </w:rPr>
        <w:t>разходи</w:t>
      </w:r>
      <w:r w:rsidRPr="004A6087">
        <w:t xml:space="preserve"> към 30.0</w:t>
      </w:r>
      <w:r w:rsidR="00DE6912" w:rsidRPr="004A6087">
        <w:t>9</w:t>
      </w:r>
      <w:r w:rsidRPr="004A6087">
        <w:t xml:space="preserve">.2019 г. са в размер на </w:t>
      </w:r>
      <w:r w:rsidR="004A6087" w:rsidRPr="004A6087">
        <w:t>3</w:t>
      </w:r>
      <w:r w:rsidRPr="004A6087">
        <w:t> </w:t>
      </w:r>
      <w:r w:rsidR="004A6087" w:rsidRPr="004A6087">
        <w:t>106</w:t>
      </w:r>
      <w:r w:rsidRPr="004A6087">
        <w:t xml:space="preserve">,0 млн. лв. и представляват </w:t>
      </w:r>
      <w:r w:rsidR="004A6087" w:rsidRPr="004A6087">
        <w:t>71</w:t>
      </w:r>
      <w:r w:rsidRPr="004A6087">
        <w:t>,</w:t>
      </w:r>
      <w:r w:rsidR="004A6087" w:rsidRPr="004A6087">
        <w:t>5</w:t>
      </w:r>
      <w:r w:rsidRPr="004A6087">
        <w:t> % от предвидените в ЗБНЗОК за 2019 г. 4 344,9 млн. лева. Най-голям относителен дял (98,</w:t>
      </w:r>
      <w:r w:rsidR="004A6087" w:rsidRPr="004A6087">
        <w:t>0</w:t>
      </w:r>
      <w:r w:rsidRPr="004A6087">
        <w:t xml:space="preserve"> %) заемат здравноосигурителните плащания, които възлизат на </w:t>
      </w:r>
      <w:r w:rsidR="004A6087" w:rsidRPr="004A6087">
        <w:t>3</w:t>
      </w:r>
      <w:r w:rsidRPr="004A6087">
        <w:t xml:space="preserve"> 0</w:t>
      </w:r>
      <w:r w:rsidR="004A6087" w:rsidRPr="004A6087">
        <w:t>43</w:t>
      </w:r>
      <w:r w:rsidRPr="004A6087">
        <w:t>,</w:t>
      </w:r>
      <w:r w:rsidR="004A6087" w:rsidRPr="004A6087">
        <w:t>0</w:t>
      </w:r>
      <w:r w:rsidRPr="004A6087">
        <w:t xml:space="preserve"> млн. лева. В отделните направления на здравноосигурителни плащания изпълнението на бюджета за </w:t>
      </w:r>
      <w:r w:rsidR="004A6087" w:rsidRPr="004A6087">
        <w:t>деветмесечието</w:t>
      </w:r>
      <w:r w:rsidRPr="004A6087">
        <w:t xml:space="preserve"> на 2019 г. е следното:</w:t>
      </w:r>
    </w:p>
    <w:p w:rsidR="00786515" w:rsidRPr="004A6087" w:rsidRDefault="00786515" w:rsidP="00786515">
      <w:pPr>
        <w:numPr>
          <w:ilvl w:val="0"/>
          <w:numId w:val="18"/>
        </w:numPr>
        <w:tabs>
          <w:tab w:val="num" w:pos="0"/>
          <w:tab w:val="left" w:pos="720"/>
          <w:tab w:val="left" w:pos="1134"/>
        </w:tabs>
        <w:spacing w:line="276" w:lineRule="auto"/>
        <w:ind w:hanging="6169"/>
        <w:jc w:val="both"/>
        <w:rPr>
          <w:bCs/>
        </w:rPr>
      </w:pPr>
      <w:r w:rsidRPr="004A6087">
        <w:rPr>
          <w:b/>
          <w:i/>
        </w:rPr>
        <w:t>първична извънболнична медицинска помощ</w:t>
      </w:r>
      <w:r w:rsidRPr="004A6087">
        <w:rPr>
          <w:i/>
        </w:rPr>
        <w:t xml:space="preserve"> –</w:t>
      </w:r>
      <w:r w:rsidRPr="004A6087">
        <w:t xml:space="preserve"> 1</w:t>
      </w:r>
      <w:r w:rsidR="004A6087" w:rsidRPr="004A6087">
        <w:t>67</w:t>
      </w:r>
      <w:r w:rsidRPr="004A6087">
        <w:t>,</w:t>
      </w:r>
      <w:r w:rsidR="004A6087" w:rsidRPr="004A6087">
        <w:t>8</w:t>
      </w:r>
      <w:r w:rsidRPr="004A6087">
        <w:t xml:space="preserve"> млн. лева;</w:t>
      </w:r>
      <w:r w:rsidRPr="004A6087">
        <w:rPr>
          <w:bCs/>
        </w:rPr>
        <w:t xml:space="preserve"> </w:t>
      </w:r>
    </w:p>
    <w:p w:rsidR="00786515" w:rsidRPr="004A6087" w:rsidRDefault="00786515" w:rsidP="00786515">
      <w:pPr>
        <w:numPr>
          <w:ilvl w:val="0"/>
          <w:numId w:val="18"/>
        </w:numPr>
        <w:tabs>
          <w:tab w:val="num" w:pos="0"/>
          <w:tab w:val="left" w:pos="720"/>
          <w:tab w:val="left" w:pos="1134"/>
        </w:tabs>
        <w:spacing w:line="276" w:lineRule="auto"/>
        <w:ind w:hanging="6169"/>
        <w:jc w:val="both"/>
        <w:rPr>
          <w:i/>
        </w:rPr>
      </w:pPr>
      <w:r w:rsidRPr="004A6087">
        <w:rPr>
          <w:b/>
          <w:i/>
        </w:rPr>
        <w:t xml:space="preserve">специализирана извънболнична медицинска помощ </w:t>
      </w:r>
      <w:r w:rsidRPr="004A6087">
        <w:t xml:space="preserve"> – 1</w:t>
      </w:r>
      <w:r w:rsidR="004A6087" w:rsidRPr="004A6087">
        <w:t>7</w:t>
      </w:r>
      <w:r w:rsidR="004A6087" w:rsidRPr="004A6087">
        <w:lastRenderedPageBreak/>
        <w:t>6</w:t>
      </w:r>
      <w:r w:rsidRPr="004A6087">
        <w:t>,</w:t>
      </w:r>
      <w:r w:rsidR="004A6087" w:rsidRPr="004A6087">
        <w:t>8</w:t>
      </w:r>
      <w:r w:rsidRPr="004A6087">
        <w:t> млн. лева;</w:t>
      </w:r>
    </w:p>
    <w:p w:rsidR="00786515" w:rsidRPr="004A6087" w:rsidRDefault="00786515" w:rsidP="00786515">
      <w:pPr>
        <w:numPr>
          <w:ilvl w:val="0"/>
          <w:numId w:val="18"/>
        </w:numPr>
        <w:tabs>
          <w:tab w:val="num" w:pos="0"/>
          <w:tab w:val="left" w:pos="720"/>
          <w:tab w:val="left" w:pos="1134"/>
        </w:tabs>
        <w:spacing w:line="276" w:lineRule="auto"/>
        <w:ind w:hanging="6169"/>
        <w:jc w:val="both"/>
        <w:rPr>
          <w:b/>
        </w:rPr>
      </w:pPr>
      <w:r w:rsidRPr="004A6087">
        <w:rPr>
          <w:b/>
          <w:i/>
        </w:rPr>
        <w:t xml:space="preserve">дентална помощ – </w:t>
      </w:r>
      <w:r w:rsidR="004A6087" w:rsidRPr="004A6087">
        <w:t>122</w:t>
      </w:r>
      <w:r w:rsidRPr="004A6087">
        <w:t>,</w:t>
      </w:r>
      <w:r w:rsidR="004A6087" w:rsidRPr="004A6087">
        <w:t>0</w:t>
      </w:r>
      <w:r w:rsidRPr="004A6087">
        <w:t xml:space="preserve"> млн. лева;</w:t>
      </w:r>
    </w:p>
    <w:p w:rsidR="00786515" w:rsidRPr="004A6087" w:rsidRDefault="00786515" w:rsidP="00786515">
      <w:pPr>
        <w:numPr>
          <w:ilvl w:val="0"/>
          <w:numId w:val="18"/>
        </w:numPr>
        <w:tabs>
          <w:tab w:val="num" w:pos="0"/>
          <w:tab w:val="left" w:pos="720"/>
          <w:tab w:val="left" w:pos="1134"/>
        </w:tabs>
        <w:spacing w:line="276" w:lineRule="auto"/>
        <w:ind w:hanging="6169"/>
        <w:jc w:val="both"/>
        <w:rPr>
          <w:b/>
          <w:i/>
        </w:rPr>
      </w:pPr>
      <w:r w:rsidRPr="004A6087">
        <w:rPr>
          <w:b/>
          <w:i/>
        </w:rPr>
        <w:t xml:space="preserve">медико-диагностична дейност – </w:t>
      </w:r>
      <w:r w:rsidR="004A6087" w:rsidRPr="004A6087">
        <w:t>6</w:t>
      </w:r>
      <w:r w:rsidRPr="004A6087">
        <w:t>0,9 млн. лева;</w:t>
      </w:r>
      <w:r w:rsidRPr="004A6087">
        <w:rPr>
          <w:b/>
          <w:i/>
        </w:rPr>
        <w:t xml:space="preserve"> </w:t>
      </w:r>
    </w:p>
    <w:p w:rsidR="00786515" w:rsidRPr="004A6087" w:rsidRDefault="00786515" w:rsidP="00786515">
      <w:pPr>
        <w:numPr>
          <w:ilvl w:val="0"/>
          <w:numId w:val="18"/>
        </w:numPr>
        <w:tabs>
          <w:tab w:val="num" w:pos="0"/>
          <w:tab w:val="left" w:pos="1134"/>
        </w:tabs>
        <w:spacing w:line="276" w:lineRule="auto"/>
        <w:ind w:left="1134" w:hanging="425"/>
        <w:jc w:val="both"/>
      </w:pPr>
      <w:r w:rsidRPr="004A6087">
        <w:rPr>
          <w:b/>
          <w:i/>
        </w:rPr>
        <w:t xml:space="preserve">лекарствени продукти, медицински изделия и диетични храни за домашно лечение на територията на страната </w:t>
      </w:r>
      <w:r w:rsidRPr="004A6087">
        <w:rPr>
          <w:b/>
          <w:i/>
          <w:lang w:val="en-US"/>
        </w:rPr>
        <w:t xml:space="preserve"> - </w:t>
      </w:r>
      <w:r w:rsidR="004A6087" w:rsidRPr="004A6087">
        <w:t>583</w:t>
      </w:r>
      <w:r w:rsidRPr="004A6087">
        <w:t>,</w:t>
      </w:r>
      <w:r w:rsidR="004A6087" w:rsidRPr="004A6087">
        <w:t>1</w:t>
      </w:r>
      <w:r w:rsidRPr="004A6087">
        <w:t xml:space="preserve"> млн. лв.</w:t>
      </w:r>
    </w:p>
    <w:p w:rsidR="00786515" w:rsidRPr="004A6087" w:rsidRDefault="00786515" w:rsidP="00786515">
      <w:pPr>
        <w:numPr>
          <w:ilvl w:val="0"/>
          <w:numId w:val="18"/>
        </w:numPr>
        <w:tabs>
          <w:tab w:val="num" w:pos="0"/>
          <w:tab w:val="left" w:pos="1134"/>
          <w:tab w:val="num" w:pos="6096"/>
        </w:tabs>
        <w:spacing w:line="276" w:lineRule="auto"/>
        <w:ind w:left="1134" w:hanging="425"/>
        <w:jc w:val="both"/>
      </w:pPr>
      <w:r w:rsidRPr="004A6087">
        <w:rPr>
          <w:b/>
          <w:i/>
          <w:lang w:val="en-US"/>
        </w:rPr>
        <w:t xml:space="preserve"> </w:t>
      </w:r>
      <w:r w:rsidRPr="004A6087">
        <w:rPr>
          <w:b/>
          <w:i/>
        </w:rPr>
        <w:t xml:space="preserve">лекарствени продукти за лечение на злокачествени заболявания в условията на болнична медицинска помощ </w:t>
      </w:r>
      <w:r w:rsidRPr="004A6087">
        <w:t xml:space="preserve"> – </w:t>
      </w:r>
      <w:r w:rsidR="004A6087" w:rsidRPr="004A6087">
        <w:t>327</w:t>
      </w:r>
      <w:r w:rsidRPr="004A6087">
        <w:t>,6 млн. лева;</w:t>
      </w:r>
    </w:p>
    <w:p w:rsidR="00786515" w:rsidRPr="004A6087" w:rsidRDefault="00786515" w:rsidP="00786515">
      <w:pPr>
        <w:numPr>
          <w:ilvl w:val="0"/>
          <w:numId w:val="18"/>
        </w:numPr>
        <w:tabs>
          <w:tab w:val="num" w:pos="0"/>
          <w:tab w:val="left" w:pos="720"/>
          <w:tab w:val="num" w:pos="1134"/>
        </w:tabs>
        <w:spacing w:line="276" w:lineRule="auto"/>
        <w:ind w:left="1134" w:hanging="425"/>
        <w:jc w:val="both"/>
      </w:pPr>
      <w:r w:rsidRPr="004A6087">
        <w:rPr>
          <w:b/>
          <w:i/>
        </w:rPr>
        <w:t>медицински изделия, прилагани в болничната  помощ –</w:t>
      </w:r>
      <w:r w:rsidRPr="004A6087">
        <w:t xml:space="preserve"> </w:t>
      </w:r>
      <w:r w:rsidR="004A6087" w:rsidRPr="004A6087">
        <w:t>69</w:t>
      </w:r>
      <w:r w:rsidRPr="004A6087">
        <w:t>,</w:t>
      </w:r>
      <w:r w:rsidR="004A6087" w:rsidRPr="004A6087">
        <w:t>6</w:t>
      </w:r>
      <w:r w:rsidRPr="004A6087">
        <w:t xml:space="preserve"> млн. лева;</w:t>
      </w:r>
    </w:p>
    <w:p w:rsidR="00786515" w:rsidRPr="00B93FD2" w:rsidRDefault="00786515" w:rsidP="00786515">
      <w:pPr>
        <w:numPr>
          <w:ilvl w:val="0"/>
          <w:numId w:val="18"/>
        </w:numPr>
        <w:tabs>
          <w:tab w:val="num" w:pos="0"/>
          <w:tab w:val="left" w:pos="720"/>
          <w:tab w:val="left" w:pos="1134"/>
        </w:tabs>
        <w:spacing w:line="276" w:lineRule="auto"/>
        <w:ind w:hanging="6169"/>
        <w:jc w:val="both"/>
        <w:rPr>
          <w:color w:val="4F81BD" w:themeColor="accent1"/>
        </w:rPr>
      </w:pPr>
      <w:r w:rsidRPr="004A6087">
        <w:rPr>
          <w:b/>
          <w:i/>
        </w:rPr>
        <w:t>болнична медицинска помощ –</w:t>
      </w:r>
      <w:r w:rsidRPr="004A6087">
        <w:t xml:space="preserve"> </w:t>
      </w:r>
      <w:r w:rsidR="004A6087" w:rsidRPr="004A6087">
        <w:t>1 420</w:t>
      </w:r>
      <w:r w:rsidRPr="004A6087">
        <w:t>,</w:t>
      </w:r>
      <w:r w:rsidR="004A6087" w:rsidRPr="004A6087">
        <w:t>9</w:t>
      </w:r>
      <w:r w:rsidRPr="004A6087">
        <w:t xml:space="preserve"> млн. лева.</w:t>
      </w:r>
      <w:r w:rsidRPr="00B93FD2">
        <w:rPr>
          <w:color w:val="4F81BD" w:themeColor="accent1"/>
        </w:rPr>
        <w:tab/>
        <w:t xml:space="preserve"> </w:t>
      </w:r>
    </w:p>
    <w:p w:rsidR="00786515" w:rsidRPr="004A6087" w:rsidRDefault="00786515" w:rsidP="00786515">
      <w:pPr>
        <w:numPr>
          <w:ilvl w:val="0"/>
          <w:numId w:val="18"/>
        </w:numPr>
        <w:tabs>
          <w:tab w:val="num" w:pos="0"/>
          <w:tab w:val="left" w:pos="720"/>
          <w:tab w:val="left" w:pos="1134"/>
        </w:tabs>
        <w:spacing w:line="276" w:lineRule="auto"/>
        <w:ind w:hanging="6169"/>
        <w:jc w:val="both"/>
      </w:pPr>
      <w:r w:rsidRPr="004A6087">
        <w:rPr>
          <w:b/>
          <w:i/>
        </w:rPr>
        <w:t xml:space="preserve">други здравноосигурителни плащания – </w:t>
      </w:r>
      <w:r w:rsidR="004A6087" w:rsidRPr="004A6087">
        <w:t>11</w:t>
      </w:r>
      <w:r w:rsidR="004A6087" w:rsidRPr="004A6087">
        <w:lastRenderedPageBreak/>
        <w:t>4</w:t>
      </w:r>
      <w:r w:rsidRPr="004A6087">
        <w:t>,</w:t>
      </w:r>
      <w:r w:rsidR="004A6087" w:rsidRPr="004A6087">
        <w:t>3</w:t>
      </w:r>
      <w:r w:rsidRPr="004A6087">
        <w:t xml:space="preserve"> млн. лева.</w:t>
      </w:r>
    </w:p>
    <w:p w:rsidR="00786515" w:rsidRPr="00B93FD2" w:rsidRDefault="00786515" w:rsidP="00786515">
      <w:pPr>
        <w:spacing w:before="120"/>
        <w:ind w:firstLine="567"/>
        <w:jc w:val="both"/>
        <w:rPr>
          <w:color w:val="4F81BD" w:themeColor="accent1"/>
        </w:rPr>
      </w:pPr>
      <w:r w:rsidRPr="00FC051A">
        <w:t xml:space="preserve">Като здравноосигурителни плащания следва да се третират и преведените </w:t>
      </w:r>
      <w:r w:rsidR="00FC051A" w:rsidRPr="00FC051A">
        <w:t>77</w:t>
      </w:r>
      <w:r w:rsidRPr="00FC051A">
        <w:t>,</w:t>
      </w:r>
      <w:r w:rsidR="00FC051A" w:rsidRPr="00FC051A">
        <w:t>5</w:t>
      </w:r>
      <w:r w:rsidRPr="00FC051A">
        <w:t xml:space="preserve">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w:t>
      </w:r>
      <w:r w:rsidR="00FC051A">
        <w:t>Заедно с преведените трансфери</w:t>
      </w:r>
      <w:r w:rsidR="00FC051A" w:rsidRPr="0055388F">
        <w:t xml:space="preserve"> усвоените средства за </w:t>
      </w:r>
      <w:r w:rsidR="00FC051A">
        <w:t>здравноосигурителни плащания въз</w:t>
      </w:r>
      <w:r w:rsidR="00FC051A" w:rsidRPr="0055388F">
        <w:t xml:space="preserve">лизат на </w:t>
      </w:r>
      <w:r w:rsidR="00FC051A">
        <w:t>3 120,5</w:t>
      </w:r>
      <w:r w:rsidR="00FC051A" w:rsidRPr="00A764BB">
        <w:t xml:space="preserve"> млн.</w:t>
      </w:r>
      <w:r w:rsidR="00CD477E">
        <w:t xml:space="preserve"> </w:t>
      </w:r>
      <w:r w:rsidR="00FC051A" w:rsidRPr="0055388F">
        <w:t>лв.</w:t>
      </w:r>
    </w:p>
    <w:p w:rsidR="00786515" w:rsidRPr="00251F57" w:rsidRDefault="00786515" w:rsidP="00786515">
      <w:pPr>
        <w:ind w:firstLine="567"/>
        <w:jc w:val="both"/>
      </w:pPr>
      <w:r w:rsidRPr="00750DF9">
        <w:t xml:space="preserve">За периода са отчетени плащания в размер на </w:t>
      </w:r>
      <w:r w:rsidR="00750DF9" w:rsidRPr="00750DF9">
        <w:t>2</w:t>
      </w:r>
      <w:r w:rsidRPr="00750DF9">
        <w:t>4,</w:t>
      </w:r>
      <w:r w:rsidR="00750DF9" w:rsidRPr="00750DF9">
        <w:t>4</w:t>
      </w:r>
      <w:r w:rsidRPr="00750DF9">
        <w:t xml:space="preserve"> млн. лв. от предоставения трансфер  </w:t>
      </w:r>
      <w:r w:rsidRPr="00251F57">
        <w:t>от Министерството на здравеопазването за дейности за здравнонеосигурени лица, лекарствени продукти и за потребителска такса.</w:t>
      </w:r>
    </w:p>
    <w:p w:rsidR="00786515" w:rsidRPr="00B93FD2" w:rsidRDefault="00786515" w:rsidP="00786515">
      <w:pPr>
        <w:ind w:firstLine="567"/>
        <w:jc w:val="both"/>
        <w:rPr>
          <w:color w:val="4F81BD" w:themeColor="accent1"/>
          <w:lang w:val="en-US"/>
        </w:rPr>
      </w:pPr>
      <w:r w:rsidRPr="00251F57">
        <w:t xml:space="preserve">По бюджета на НЗОК за 2019 година са утвърдени 53,4 млн. лв. за административни разходи на институцията, които включват разходите за персонал и за текуща издръжка. За първите </w:t>
      </w:r>
      <w:r w:rsidR="00251F57" w:rsidRPr="00251F57">
        <w:t>девет</w:t>
      </w:r>
      <w:r w:rsidRPr="00251F57">
        <w:t xml:space="preserve"> месеца са отчетени </w:t>
      </w:r>
      <w:r w:rsidR="00251F57" w:rsidRPr="00251F57">
        <w:t>37</w:t>
      </w:r>
      <w:r w:rsidRPr="00251F57">
        <w:t>,</w:t>
      </w:r>
      <w:r w:rsidR="00251F57" w:rsidRPr="00251F57">
        <w:t>4</w:t>
      </w:r>
      <w:r w:rsidRPr="00251F57">
        <w:t xml:space="preserve"> млн. лв., което представлява </w:t>
      </w:r>
      <w:r w:rsidR="00251F57" w:rsidRPr="00251F57">
        <w:t>70</w:t>
      </w:r>
      <w:r w:rsidRPr="00251F57">
        <w:t>,</w:t>
      </w:r>
      <w:r w:rsidR="00251F57" w:rsidRPr="00251F57">
        <w:t>1</w:t>
      </w:r>
      <w:r w:rsidRPr="00251F57">
        <w:t xml:space="preserve"> % от годишния разчет. Усвоените средства за административни разходи заемат 1,2 на сто в структурата на общите разходи за отчетния период.</w:t>
      </w:r>
    </w:p>
    <w:p w:rsidR="00CF6248" w:rsidRPr="00B93FD2" w:rsidRDefault="00CF6248" w:rsidP="00CF6248">
      <w:pPr>
        <w:tabs>
          <w:tab w:val="num" w:pos="1499"/>
          <w:tab w:val="num" w:pos="2148"/>
        </w:tabs>
        <w:spacing w:after="120"/>
        <w:ind w:firstLine="567"/>
        <w:jc w:val="both"/>
        <w:rPr>
          <w:color w:val="4F81BD" w:themeColor="accent1"/>
          <w:sz w:val="8"/>
        </w:rPr>
      </w:pPr>
    </w:p>
    <w:p w:rsidR="00BD2711" w:rsidRPr="00BC02C9" w:rsidRDefault="00BD2711" w:rsidP="00EB4BEB">
      <w:pPr>
        <w:pStyle w:val="Heading1"/>
        <w:numPr>
          <w:ilvl w:val="1"/>
          <w:numId w:val="10"/>
        </w:numPr>
        <w:spacing w:before="120"/>
        <w:ind w:left="788" w:right="-108" w:hanging="431"/>
        <w:jc w:val="both"/>
        <w:rPr>
          <w:sz w:val="24"/>
        </w:rPr>
      </w:pPr>
      <w:r w:rsidRPr="00BC02C9">
        <w:rPr>
          <w:sz w:val="24"/>
        </w:rPr>
        <w:t>Общински бюджети</w:t>
      </w:r>
    </w:p>
    <w:p w:rsidR="00AA4582" w:rsidRPr="00C95508" w:rsidRDefault="00AA4582" w:rsidP="00AA4582">
      <w:pPr>
        <w:numPr>
          <w:ilvl w:val="0"/>
          <w:numId w:val="8"/>
        </w:numPr>
        <w:tabs>
          <w:tab w:val="num" w:pos="540"/>
        </w:tabs>
        <w:spacing w:before="120" w:line="276" w:lineRule="auto"/>
        <w:ind w:left="714" w:hanging="147"/>
        <w:jc w:val="both"/>
        <w:rPr>
          <w:b/>
        </w:rPr>
      </w:pPr>
      <w:r w:rsidRPr="00C95508">
        <w:rPr>
          <w:b/>
        </w:rPr>
        <w:t>Приходи</w:t>
      </w:r>
    </w:p>
    <w:p w:rsidR="00AA4582" w:rsidRDefault="00AA4582" w:rsidP="00AA4582">
      <w:pPr>
        <w:ind w:firstLine="567"/>
        <w:jc w:val="both"/>
      </w:pPr>
      <w:r w:rsidRPr="00C95508">
        <w:t xml:space="preserve">Собствените приходи по </w:t>
      </w:r>
      <w:r w:rsidRPr="00F41A6F">
        <w:t>бюджетите на общините към 3</w:t>
      </w:r>
      <w:r w:rsidRPr="00F41A6F">
        <w:rPr>
          <w:lang w:val="en-US"/>
        </w:rPr>
        <w:t>0</w:t>
      </w:r>
      <w:r w:rsidRPr="00F41A6F">
        <w:t>.</w:t>
      </w:r>
      <w:r w:rsidRPr="00F41A6F">
        <w:rPr>
          <w:lang w:val="en-US"/>
        </w:rPr>
        <w:t>0</w:t>
      </w:r>
      <w:r w:rsidRPr="00F41A6F">
        <w:t>9</w:t>
      </w:r>
      <w:r w:rsidRPr="00F41A6F">
        <w:rPr>
          <w:lang w:val="en-US"/>
        </w:rPr>
        <w:t>.</w:t>
      </w:r>
      <w:r w:rsidRPr="00F41A6F">
        <w:t>201</w:t>
      </w:r>
      <w:r w:rsidRPr="00F41A6F">
        <w:rPr>
          <w:lang w:val="en-US"/>
        </w:rPr>
        <w:t>9</w:t>
      </w:r>
      <w:r w:rsidRPr="00F41A6F">
        <w:t xml:space="preserve"> г. са в размер на 1 864,4</w:t>
      </w:r>
      <w:r w:rsidRPr="00F41A6F">
        <w:rPr>
          <w:bCs/>
        </w:rPr>
        <w:t> м</w:t>
      </w:r>
      <w:r w:rsidRPr="00F41A6F">
        <w:t>лн. лв., което представлява 77</w:t>
      </w:r>
      <w:r w:rsidRPr="00F41A6F">
        <w:rPr>
          <w:lang w:val="en-US"/>
        </w:rPr>
        <w:t>,</w:t>
      </w:r>
      <w:r w:rsidRPr="00F41A6F">
        <w:t>3 % от разчетените към ЗДБРБ за 201</w:t>
      </w:r>
      <w:r w:rsidRPr="00F41A6F">
        <w:rPr>
          <w:lang w:val="en-US"/>
        </w:rPr>
        <w:t>9</w:t>
      </w:r>
      <w:r w:rsidRPr="00F41A6F">
        <w:t xml:space="preserve"> г. </w:t>
      </w:r>
      <w:r w:rsidRPr="005F6C6B">
        <w:t xml:space="preserve">постъпления в размер на </w:t>
      </w:r>
      <w:r w:rsidRPr="005F6C6B">
        <w:rPr>
          <w:bCs/>
        </w:rPr>
        <w:t xml:space="preserve">2 </w:t>
      </w:r>
      <w:r w:rsidRPr="005F6C6B">
        <w:rPr>
          <w:bCs/>
          <w:lang w:val="en-US"/>
        </w:rPr>
        <w:t>410,5</w:t>
      </w:r>
      <w:r w:rsidRPr="005F6C6B">
        <w:t xml:space="preserve"> млн. лева</w:t>
      </w:r>
      <w:r w:rsidRPr="005F6C6B">
        <w:rPr>
          <w:lang w:val="en-US"/>
        </w:rPr>
        <w:t xml:space="preserve"> </w:t>
      </w:r>
      <w:r w:rsidRPr="005F6C6B">
        <w:t xml:space="preserve">и с </w:t>
      </w:r>
      <w:r>
        <w:t>62,</w:t>
      </w:r>
      <w:r w:rsidR="000D26D5">
        <w:t>4</w:t>
      </w:r>
      <w:r w:rsidRPr="005F6C6B">
        <w:t xml:space="preserve"> млн. лв. повече спрямо събраните за същия период през 2018 г.</w:t>
      </w:r>
      <w:r w:rsidRPr="00B93FD2">
        <w:rPr>
          <w:color w:val="4F81BD" w:themeColor="accent1"/>
        </w:rPr>
        <w:t xml:space="preserve"> </w:t>
      </w:r>
      <w:r w:rsidRPr="005F6C6B">
        <w:rPr>
          <w:i/>
        </w:rPr>
        <w:t>Данъчните приходи</w:t>
      </w:r>
      <w:r w:rsidRPr="005F6C6B">
        <w:t xml:space="preserve"> по общинските бюджети са в размер на </w:t>
      </w:r>
      <w:r>
        <w:t>807,7</w:t>
      </w:r>
      <w:r w:rsidRPr="005F6C6B">
        <w:t xml:space="preserve"> млн. лв. или </w:t>
      </w:r>
      <w:r>
        <w:t>78,1</w:t>
      </w:r>
      <w:r w:rsidRPr="005F6C6B">
        <w:t> % от годишните разчети към ЗДБРБ за 2019 г. и с 4,</w:t>
      </w:r>
      <w:r>
        <w:t>3</w:t>
      </w:r>
      <w:r w:rsidRPr="005F6C6B">
        <w:t xml:space="preserve"> % повече спрямо тези за същия период на предходната година. </w:t>
      </w:r>
      <w:r w:rsidRPr="005F6C6B">
        <w:rPr>
          <w:bCs/>
        </w:rPr>
        <w:t xml:space="preserve">От </w:t>
      </w:r>
      <w:r w:rsidRPr="005F6C6B">
        <w:rPr>
          <w:bCs/>
          <w:i/>
        </w:rPr>
        <w:t>имуществени данъци по Закона за местните данъци и такси</w:t>
      </w:r>
      <w:r w:rsidRPr="005F6C6B">
        <w:rPr>
          <w:bCs/>
        </w:rPr>
        <w:t xml:space="preserve"> в местните </w:t>
      </w:r>
      <w:r w:rsidRPr="005F6C6B">
        <w:rPr>
          <w:bCs/>
        </w:rPr>
        <w:lastRenderedPageBreak/>
        <w:t xml:space="preserve">бюджети към 30 </w:t>
      </w:r>
      <w:r>
        <w:rPr>
          <w:bCs/>
        </w:rPr>
        <w:t>септември</w:t>
      </w:r>
      <w:r w:rsidRPr="005F6C6B">
        <w:rPr>
          <w:bCs/>
        </w:rPr>
        <w:t xml:space="preserve"> 2019 г. са постъпили общо </w:t>
      </w:r>
      <w:r>
        <w:rPr>
          <w:bCs/>
        </w:rPr>
        <w:t>7</w:t>
      </w:r>
      <w:r w:rsidRPr="005F6C6B">
        <w:rPr>
          <w:bCs/>
        </w:rPr>
        <w:t>9</w:t>
      </w:r>
      <w:r>
        <w:rPr>
          <w:bCs/>
        </w:rPr>
        <w:t>5</w:t>
      </w:r>
      <w:r w:rsidRPr="005F6C6B">
        <w:rPr>
          <w:bCs/>
        </w:rPr>
        <w:t xml:space="preserve">,0 млн. лв., което представлява </w:t>
      </w:r>
      <w:r>
        <w:rPr>
          <w:bCs/>
        </w:rPr>
        <w:t>7</w:t>
      </w:r>
      <w:r w:rsidRPr="005F6C6B">
        <w:rPr>
          <w:bCs/>
        </w:rPr>
        <w:t>8,7 % от годишния разчет</w:t>
      </w:r>
      <w:r w:rsidRPr="005F6C6B">
        <w:rPr>
          <w:bCs/>
          <w:lang w:val="en-US"/>
        </w:rPr>
        <w:t xml:space="preserve"> </w:t>
      </w:r>
      <w:r w:rsidRPr="005F6C6B">
        <w:rPr>
          <w:bCs/>
        </w:rPr>
        <w:t xml:space="preserve">и с </w:t>
      </w:r>
      <w:r w:rsidRPr="005F6C6B">
        <w:rPr>
          <w:bCs/>
          <w:lang w:val="en-US"/>
        </w:rPr>
        <w:t>4</w:t>
      </w:r>
      <w:r w:rsidRPr="005F6C6B">
        <w:rPr>
          <w:bCs/>
        </w:rPr>
        <w:t>,</w:t>
      </w:r>
      <w:r>
        <w:rPr>
          <w:bCs/>
        </w:rPr>
        <w:t>4</w:t>
      </w:r>
      <w:r w:rsidRPr="005F6C6B">
        <w:rPr>
          <w:bCs/>
        </w:rPr>
        <w:t xml:space="preserve"> % повече от постъпленията за същия период на 2018 г. С най-значителен дял в приходите от имуществени данъци е данъкът върху превозните средства – 36,</w:t>
      </w:r>
      <w:r>
        <w:rPr>
          <w:bCs/>
        </w:rPr>
        <w:t>0</w:t>
      </w:r>
      <w:r w:rsidRPr="005F6C6B">
        <w:rPr>
          <w:bCs/>
        </w:rPr>
        <w:t xml:space="preserve"> %, следват данъкът върху недвижимите имоти </w:t>
      </w:r>
      <w:r>
        <w:rPr>
          <w:bCs/>
        </w:rPr>
        <w:t>– 35,4</w:t>
      </w:r>
      <w:r w:rsidRPr="005F6C6B">
        <w:rPr>
          <w:bCs/>
        </w:rPr>
        <w:t xml:space="preserve"> %, данъкът върху придобиване на имущество по дарения и възмезден начин – </w:t>
      </w:r>
      <w:r>
        <w:rPr>
          <w:bCs/>
        </w:rPr>
        <w:t>26,4</w:t>
      </w:r>
      <w:r w:rsidRPr="005F6C6B">
        <w:rPr>
          <w:bCs/>
          <w:lang w:val="en-US"/>
        </w:rPr>
        <w:t> </w:t>
      </w:r>
      <w:r w:rsidRPr="005F6C6B">
        <w:rPr>
          <w:bCs/>
        </w:rPr>
        <w:t xml:space="preserve">% и туристически данък – </w:t>
      </w:r>
      <w:r>
        <w:rPr>
          <w:bCs/>
        </w:rPr>
        <w:t>2,2</w:t>
      </w:r>
      <w:r w:rsidRPr="005F6C6B">
        <w:rPr>
          <w:bCs/>
        </w:rPr>
        <w:t xml:space="preserve"> %.</w:t>
      </w:r>
      <w:r w:rsidRPr="005F6C6B">
        <w:t xml:space="preserve"> През отчетния период по бюджетите на общините са постъпили </w:t>
      </w:r>
      <w:r>
        <w:t>12,6</w:t>
      </w:r>
      <w:r w:rsidRPr="005F6C6B">
        <w:t xml:space="preserve"> млн. лв. от </w:t>
      </w:r>
      <w:r w:rsidRPr="005F6C6B">
        <w:rPr>
          <w:i/>
        </w:rPr>
        <w:t>патентен данък и данък върху таксиметров превоз на пътници</w:t>
      </w:r>
      <w:r w:rsidRPr="005F6C6B">
        <w:t xml:space="preserve"> (</w:t>
      </w:r>
      <w:r>
        <w:t>54,9</w:t>
      </w:r>
      <w:r w:rsidRPr="005F6C6B">
        <w:t xml:space="preserve"> % от годишния разчет). </w:t>
      </w:r>
    </w:p>
    <w:p w:rsidR="00AA4582" w:rsidRPr="005F6C6B" w:rsidRDefault="00AA4582" w:rsidP="00AA4582">
      <w:pPr>
        <w:ind w:firstLine="567"/>
        <w:jc w:val="both"/>
        <w:rPr>
          <w:color w:val="1F497D" w:themeColor="text2"/>
        </w:rPr>
      </w:pPr>
      <w:r w:rsidRPr="005F6C6B">
        <w:t xml:space="preserve">Общият размер на </w:t>
      </w:r>
      <w:r w:rsidRPr="005F6C6B">
        <w:rPr>
          <w:i/>
        </w:rPr>
        <w:t>неданъчните приходи</w:t>
      </w:r>
      <w:r w:rsidRPr="005F6C6B">
        <w:t xml:space="preserve"> по местните бюджети към 30 </w:t>
      </w:r>
      <w:r w:rsidRPr="001D69BD">
        <w:t xml:space="preserve">септември </w:t>
      </w:r>
      <w:r>
        <w:t>2019 г. е 1 040</w:t>
      </w:r>
      <w:r w:rsidRPr="005F6C6B">
        <w:t>,</w:t>
      </w:r>
      <w:r>
        <w:t>6</w:t>
      </w:r>
      <w:r w:rsidRPr="005F6C6B">
        <w:t xml:space="preserve"> млн. лв. или </w:t>
      </w:r>
      <w:r>
        <w:t>76,7</w:t>
      </w:r>
      <w:r w:rsidRPr="005F6C6B">
        <w:t xml:space="preserve"> % от разчетите към ЗДБРБ за 2019 г. Най-голям относителен дял заемат приходите от общински такси, които възлизат на </w:t>
      </w:r>
      <w:r>
        <w:t>666,2</w:t>
      </w:r>
      <w:r w:rsidRPr="005F6C6B">
        <w:t xml:space="preserve"> млн. лв. </w:t>
      </w:r>
      <w:r w:rsidRPr="005F6C6B">
        <w:rPr>
          <w:lang w:val="en-US"/>
        </w:rPr>
        <w:t>(</w:t>
      </w:r>
      <w:r w:rsidR="00F75ADB">
        <w:t>80</w:t>
      </w:r>
      <w:r>
        <w:t>,</w:t>
      </w:r>
      <w:r w:rsidR="00F75ADB">
        <w:t>2</w:t>
      </w:r>
      <w:r w:rsidRPr="005F6C6B">
        <w:t xml:space="preserve"> % от разчетените за годината</w:t>
      </w:r>
      <w:r w:rsidRPr="005F6C6B">
        <w:rPr>
          <w:lang w:val="en-US"/>
        </w:rPr>
        <w:t>)</w:t>
      </w:r>
      <w:r w:rsidRPr="005F6C6B">
        <w:t xml:space="preserve">, следват приходите и доходите от собственост – </w:t>
      </w:r>
      <w:r>
        <w:t>212,7</w:t>
      </w:r>
      <w:r w:rsidRPr="005F6C6B">
        <w:t xml:space="preserve"> млн. лв. </w:t>
      </w:r>
      <w:r w:rsidRPr="005F6C6B">
        <w:rPr>
          <w:lang w:val="en-US"/>
        </w:rPr>
        <w:t>(</w:t>
      </w:r>
      <w:r>
        <w:t>69,4</w:t>
      </w:r>
      <w:r w:rsidRPr="005F6C6B">
        <w:t xml:space="preserve"> % от разчетените за 2019 г.</w:t>
      </w:r>
      <w:r w:rsidRPr="005F6C6B">
        <w:rPr>
          <w:lang w:val="en-US"/>
        </w:rPr>
        <w:t>)</w:t>
      </w:r>
      <w:r w:rsidRPr="005F6C6B">
        <w:t>, постъпленията</w:t>
      </w:r>
      <w:r w:rsidRPr="005F6C6B">
        <w:rPr>
          <w:lang w:val="en-US"/>
        </w:rPr>
        <w:t xml:space="preserve"> </w:t>
      </w:r>
      <w:r w:rsidRPr="005F6C6B">
        <w:t xml:space="preserve">от продажба на нефинансови активи – </w:t>
      </w:r>
      <w:r>
        <w:t>98</w:t>
      </w:r>
      <w:r w:rsidRPr="005F6C6B">
        <w:t xml:space="preserve">,0 млн. лв. </w:t>
      </w:r>
      <w:r w:rsidRPr="005F6C6B">
        <w:rPr>
          <w:lang w:val="en-US"/>
        </w:rPr>
        <w:t>(</w:t>
      </w:r>
      <w:r>
        <w:t>66,7</w:t>
      </w:r>
      <w:r w:rsidRPr="005F6C6B">
        <w:t xml:space="preserve"> % от разчета за годината</w:t>
      </w:r>
      <w:r w:rsidRPr="005F6C6B">
        <w:rPr>
          <w:lang w:val="en-US"/>
        </w:rPr>
        <w:t>)</w:t>
      </w:r>
      <w:r w:rsidRPr="005F6C6B">
        <w:t xml:space="preserve">, постъпленията от глоби, санкции и наказателни лихви – </w:t>
      </w:r>
      <w:r>
        <w:t>56</w:t>
      </w:r>
      <w:r w:rsidRPr="005F6C6B">
        <w:t xml:space="preserve">,4 млн. лв. </w:t>
      </w:r>
      <w:r w:rsidRPr="005F6C6B">
        <w:rPr>
          <w:lang w:val="en-US"/>
        </w:rPr>
        <w:t>(</w:t>
      </w:r>
      <w:r>
        <w:t>70,5</w:t>
      </w:r>
      <w:r w:rsidRPr="005F6C6B">
        <w:t xml:space="preserve"> % от планираните</w:t>
      </w:r>
      <w:r w:rsidRPr="005F6C6B">
        <w:rPr>
          <w:lang w:val="en-US"/>
        </w:rPr>
        <w:t>)</w:t>
      </w:r>
      <w:r w:rsidRPr="005F6C6B">
        <w:t xml:space="preserve"> и приходите от концесии </w:t>
      </w:r>
      <w:r>
        <w:t>42,0</w:t>
      </w:r>
      <w:r w:rsidRPr="005F6C6B">
        <w:t xml:space="preserve"> млн. лв. </w:t>
      </w:r>
      <w:r w:rsidRPr="005F6C6B">
        <w:rPr>
          <w:lang w:val="en-US"/>
        </w:rPr>
        <w:t>(</w:t>
      </w:r>
      <w:r>
        <w:t>91,1</w:t>
      </w:r>
      <w:r w:rsidRPr="005F6C6B">
        <w:t xml:space="preserve"> % от разчета за 2019 г.</w:t>
      </w:r>
      <w:r w:rsidRPr="005F6C6B">
        <w:rPr>
          <w:lang w:val="en-US"/>
        </w:rPr>
        <w:t>)</w:t>
      </w:r>
      <w:r w:rsidRPr="005F6C6B">
        <w:t>.</w:t>
      </w:r>
    </w:p>
    <w:p w:rsidR="00AA4582" w:rsidRDefault="00AA4582" w:rsidP="00AA4582">
      <w:pPr>
        <w:ind w:firstLine="567"/>
        <w:jc w:val="both"/>
        <w:rPr>
          <w:color w:val="0070C0"/>
        </w:rPr>
      </w:pPr>
      <w:r w:rsidRPr="005F6C6B">
        <w:t xml:space="preserve">През отчетния период по общинските бюджети са постъпили </w:t>
      </w:r>
      <w:r>
        <w:t>16,1</w:t>
      </w:r>
      <w:r w:rsidRPr="005F6C6B">
        <w:t xml:space="preserve"> млн. лв. приходи от </w:t>
      </w:r>
      <w:r w:rsidRPr="005F6C6B">
        <w:rPr>
          <w:i/>
        </w:rPr>
        <w:t>помощи и дарения</w:t>
      </w:r>
      <w:r w:rsidRPr="005F6C6B">
        <w:t xml:space="preserve">, което е </w:t>
      </w:r>
      <w:r>
        <w:t>82,4</w:t>
      </w:r>
      <w:r w:rsidRPr="005F6C6B">
        <w:t xml:space="preserve"> % от разчетените за годината 19,6 млн. лева</w:t>
      </w:r>
      <w:r w:rsidRPr="005F6C6B">
        <w:rPr>
          <w:color w:val="0070C0"/>
        </w:rPr>
        <w:t xml:space="preserve">. </w:t>
      </w:r>
    </w:p>
    <w:p w:rsidR="00AA4582" w:rsidRPr="005F6C6B" w:rsidRDefault="00AA4582" w:rsidP="00AA4582">
      <w:pPr>
        <w:ind w:firstLine="567"/>
        <w:jc w:val="both"/>
        <w:rPr>
          <w:color w:val="0070C0"/>
        </w:rPr>
      </w:pPr>
    </w:p>
    <w:p w:rsidR="00AA4582" w:rsidRPr="00696E6D" w:rsidRDefault="00AA4582" w:rsidP="00AA4582">
      <w:pPr>
        <w:numPr>
          <w:ilvl w:val="0"/>
          <w:numId w:val="8"/>
        </w:numPr>
        <w:tabs>
          <w:tab w:val="num" w:pos="540"/>
        </w:tabs>
        <w:spacing w:line="276" w:lineRule="auto"/>
        <w:ind w:left="714" w:hanging="147"/>
        <w:jc w:val="both"/>
        <w:rPr>
          <w:b/>
        </w:rPr>
      </w:pPr>
      <w:r w:rsidRPr="00696E6D">
        <w:rPr>
          <w:b/>
        </w:rPr>
        <w:t>Разходи</w:t>
      </w:r>
    </w:p>
    <w:p w:rsidR="00AA4582" w:rsidRDefault="00AA4582" w:rsidP="00AA4582">
      <w:pPr>
        <w:ind w:firstLine="567"/>
        <w:jc w:val="both"/>
      </w:pPr>
      <w:r w:rsidRPr="00CF38C1">
        <w:t>Към 3</w:t>
      </w:r>
      <w:r w:rsidRPr="00CF38C1">
        <w:rPr>
          <w:lang w:val="en-US"/>
        </w:rPr>
        <w:t>0</w:t>
      </w:r>
      <w:r w:rsidRPr="00CF38C1">
        <w:t>.</w:t>
      </w:r>
      <w:r w:rsidRPr="00CF38C1">
        <w:rPr>
          <w:lang w:val="en-US"/>
        </w:rPr>
        <w:t>09</w:t>
      </w:r>
      <w:r w:rsidRPr="00CF38C1">
        <w:t>.201</w:t>
      </w:r>
      <w:r w:rsidRPr="00CF38C1">
        <w:rPr>
          <w:lang w:val="en-US"/>
        </w:rPr>
        <w:t>9</w:t>
      </w:r>
      <w:r w:rsidRPr="00CF38C1">
        <w:t xml:space="preserve"> г. общините са отчели общо разходи в размер на </w:t>
      </w:r>
      <w:r>
        <w:rPr>
          <w:lang w:val="en-US"/>
        </w:rPr>
        <w:t>4 8</w:t>
      </w:r>
      <w:r>
        <w:t>40</w:t>
      </w:r>
      <w:r>
        <w:rPr>
          <w:lang w:val="en-US"/>
        </w:rPr>
        <w:t>,</w:t>
      </w:r>
      <w:r>
        <w:t>1</w:t>
      </w:r>
      <w:r w:rsidRPr="00CF38C1">
        <w:rPr>
          <w:lang w:val="en-US"/>
        </w:rPr>
        <w:t xml:space="preserve"> </w:t>
      </w:r>
      <w:r w:rsidRPr="00CF38C1">
        <w:t>млн. лв., които представляват 79,0%</w:t>
      </w:r>
      <w:r w:rsidRPr="00CF38C1">
        <w:rPr>
          <w:lang w:val="en-US"/>
        </w:rPr>
        <w:t xml:space="preserve"> </w:t>
      </w:r>
      <w:r w:rsidRPr="00CF38C1">
        <w:t>спрям</w:t>
      </w:r>
      <w:r>
        <w:t>о разчетите по ЗДБРБ за 2019 година.</w:t>
      </w:r>
    </w:p>
    <w:p w:rsidR="00AA4582" w:rsidRPr="00B93FD2" w:rsidRDefault="00AA4582" w:rsidP="00AA4582">
      <w:pPr>
        <w:ind w:firstLine="567"/>
        <w:jc w:val="both"/>
        <w:rPr>
          <w:color w:val="4F81BD" w:themeColor="accent1"/>
        </w:rPr>
      </w:pPr>
      <w:r w:rsidRPr="00696E6D">
        <w:rPr>
          <w:i/>
        </w:rPr>
        <w:t>Нелихвените разходи</w:t>
      </w:r>
      <w:r w:rsidRPr="00696E6D">
        <w:t xml:space="preserve"> възлизат на 4 812,0 млн. лв. </w:t>
      </w:r>
      <w:r w:rsidRPr="005268B3">
        <w:t>или 79,0 % от годишния разчет. Разходите за персонал (</w:t>
      </w:r>
      <w:r w:rsidRPr="005268B3">
        <w:rPr>
          <w:bCs/>
        </w:rPr>
        <w:t xml:space="preserve">заплати и възнаграждения, други възнаграждения и плащания за персонала и </w:t>
      </w:r>
      <w:r w:rsidRPr="00BD232C">
        <w:rPr>
          <w:bCs/>
        </w:rPr>
        <w:t>осигурителни вноски)</w:t>
      </w:r>
      <w:r w:rsidRPr="00BD232C">
        <w:t xml:space="preserve"> са в размер на </w:t>
      </w:r>
      <w:r w:rsidRPr="00BD232C">
        <w:rPr>
          <w:lang w:val="en-US"/>
        </w:rPr>
        <w:t>2 477</w:t>
      </w:r>
      <w:r w:rsidRPr="00BD232C">
        <w:t xml:space="preserve">,0 млн. лв. или </w:t>
      </w:r>
      <w:r w:rsidRPr="00BD232C">
        <w:rPr>
          <w:lang w:val="en-US"/>
        </w:rPr>
        <w:t>75</w:t>
      </w:r>
      <w:r w:rsidRPr="00BD232C">
        <w:t>,</w:t>
      </w:r>
      <w:r w:rsidRPr="00BD232C">
        <w:rPr>
          <w:lang w:val="en-US"/>
        </w:rPr>
        <w:t>0</w:t>
      </w:r>
      <w:r w:rsidRPr="00BD232C">
        <w:t xml:space="preserve"> % от планираните за 2019 г. Разходите за издръжка </w:t>
      </w:r>
      <w:r w:rsidRPr="00BD232C">
        <w:rPr>
          <w:bCs/>
        </w:rPr>
        <w:t>(вкл. разходи за членски внос и участие в нетърговски организации и дейности, платени данъци, такси и административни санкции)</w:t>
      </w:r>
      <w:r w:rsidRPr="00BD232C">
        <w:t xml:space="preserve"> са в размер на </w:t>
      </w:r>
      <w:r w:rsidRPr="00BD232C">
        <w:rPr>
          <w:lang w:val="en-US"/>
        </w:rPr>
        <w:t>1</w:t>
      </w:r>
      <w:r w:rsidR="00DA7F35">
        <w:rPr>
          <w:lang w:val="en-US"/>
        </w:rPr>
        <w:t> </w:t>
      </w:r>
      <w:r w:rsidRPr="00BD232C">
        <w:rPr>
          <w:lang w:val="en-US"/>
        </w:rPr>
        <w:t>386</w:t>
      </w:r>
      <w:r w:rsidRPr="00BD232C">
        <w:t>,</w:t>
      </w:r>
      <w:r w:rsidRPr="00BD232C">
        <w:rPr>
          <w:lang w:val="en-US"/>
        </w:rPr>
        <w:t>0</w:t>
      </w:r>
      <w:r w:rsidRPr="00BD232C">
        <w:t xml:space="preserve"> млн. лв., </w:t>
      </w:r>
      <w:r w:rsidRPr="00BD232C">
        <w:rPr>
          <w:lang w:val="en-US"/>
        </w:rPr>
        <w:t>83</w:t>
      </w:r>
      <w:r w:rsidRPr="00BD232C">
        <w:t>,4 % от годишния разчет. Разходите за субсидии са в размер на 1</w:t>
      </w:r>
      <w:r w:rsidRPr="00BD232C">
        <w:rPr>
          <w:lang w:val="en-US"/>
        </w:rPr>
        <w:t>59</w:t>
      </w:r>
      <w:r w:rsidRPr="00BD232C">
        <w:t>,</w:t>
      </w:r>
      <w:r w:rsidRPr="00BD232C">
        <w:rPr>
          <w:lang w:val="en-US"/>
        </w:rPr>
        <w:t>7</w:t>
      </w:r>
      <w:r w:rsidRPr="00BD232C">
        <w:t xml:space="preserve"> млн. лева</w:t>
      </w:r>
      <w:r w:rsidRPr="00BD232C">
        <w:rPr>
          <w:lang w:val="en-US"/>
        </w:rPr>
        <w:t xml:space="preserve"> (131,3 % </w:t>
      </w:r>
      <w:r w:rsidRPr="00BD232C">
        <w:t>от годишния разчет</w:t>
      </w:r>
      <w:r w:rsidRPr="00BD232C">
        <w:rPr>
          <w:lang w:val="en-US"/>
        </w:rPr>
        <w:t>)</w:t>
      </w:r>
      <w:r w:rsidRPr="00BD232C">
        <w:t xml:space="preserve">. 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w:t>
      </w:r>
      <w:r w:rsidRPr="00BD232C">
        <w:lastRenderedPageBreak/>
        <w:t xml:space="preserve">предоставят по решение на общинския съвет. </w:t>
      </w:r>
      <w:r w:rsidRPr="0012484F">
        <w:t>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w:t>
      </w:r>
      <w:r w:rsidRPr="0012484F">
        <w:rPr>
          <w:lang w:val="en-US"/>
        </w:rPr>
        <w:t xml:space="preserve"> (</w:t>
      </w:r>
      <w:r w:rsidRPr="0012484F">
        <w:t>отчитат се в местните дейности</w:t>
      </w:r>
      <w:r w:rsidRPr="0012484F">
        <w:rPr>
          <w:lang w:val="en-US"/>
        </w:rPr>
        <w:t>)</w:t>
      </w:r>
      <w:r w:rsidRPr="0012484F">
        <w:t xml:space="preserve">. </w:t>
      </w:r>
      <w:r w:rsidRPr="0012484F">
        <w:rPr>
          <w:bCs/>
        </w:rPr>
        <w:t>Социалните разходи (</w:t>
      </w:r>
      <w:r w:rsidRPr="0012484F">
        <w:t xml:space="preserve">текущи трансфери, обезщетения и помощи за домакинствата, </w:t>
      </w:r>
      <w:r w:rsidRPr="0012484F">
        <w:rPr>
          <w:bCs/>
        </w:rPr>
        <w:t>вкл. разходите за стипендии)</w:t>
      </w:r>
      <w:r w:rsidRPr="0012484F">
        <w:t xml:space="preserve"> са в размер на 132,6 млн. лв., което е 107,0 % от разчетите към ЗДБРБ за 2019 година.  </w:t>
      </w:r>
    </w:p>
    <w:p w:rsidR="00AA4582" w:rsidRPr="0012484F" w:rsidRDefault="00AA4582" w:rsidP="00AA4582">
      <w:pPr>
        <w:ind w:firstLine="567"/>
      </w:pPr>
      <w:r w:rsidRPr="0012484F">
        <w:t>Капиталовите разходи са в размер на 656,8 млн. лв. или 74,9 % от разчетите към ЗДБРБ за 2019 година.</w:t>
      </w:r>
    </w:p>
    <w:p w:rsidR="00AA4582" w:rsidRPr="0012484F" w:rsidRDefault="00AA4582" w:rsidP="00AA4582">
      <w:pPr>
        <w:ind w:firstLine="567"/>
        <w:jc w:val="both"/>
      </w:pPr>
      <w:r w:rsidRPr="0012484F">
        <w:rPr>
          <w:i/>
        </w:rPr>
        <w:t>Разходите за лихви</w:t>
      </w:r>
      <w:r w:rsidRPr="0012484F">
        <w:t xml:space="preserve"> възлизат на 28,0 млн. лв. и са 78,1 % от разчета за 2019 г. Лихвените плащания по заеми от чужбина са в размер на 13,5 млн. лв., по облигационни заеми - 2,0 млн. лв., по други вътрешни заеми (банкови, заеми към „ФЛАГ“ ЕАД и др.) са 7,9 млн.лв. и други лихвени плащания (по изпълнителни листове, за забавено изпълнение по сключени договори и др.) са в размер на 4,6 млн. лева.</w:t>
      </w:r>
    </w:p>
    <w:p w:rsidR="00AA4582" w:rsidRPr="0012484F" w:rsidRDefault="00AA4582" w:rsidP="00AA4582">
      <w:pPr>
        <w:tabs>
          <w:tab w:val="center" w:pos="4153"/>
          <w:tab w:val="right" w:pos="8306"/>
        </w:tabs>
        <w:ind w:firstLine="567"/>
        <w:jc w:val="both"/>
      </w:pPr>
      <w:r w:rsidRPr="0012484F">
        <w:t>Общият размер на отчетените разходи за дофинансиране на делегираните от държавата дейности с местни приходи е 139,0 млн. лева.</w:t>
      </w:r>
    </w:p>
    <w:p w:rsidR="00AA4582" w:rsidRPr="00574712" w:rsidRDefault="00AA4582" w:rsidP="00AA4582">
      <w:pPr>
        <w:tabs>
          <w:tab w:val="center" w:pos="4153"/>
          <w:tab w:val="right" w:pos="8306"/>
        </w:tabs>
        <w:jc w:val="both"/>
        <w:rPr>
          <w:rFonts w:eastAsia="Calibri"/>
          <w:sz w:val="8"/>
        </w:rPr>
      </w:pPr>
    </w:p>
    <w:p w:rsidR="00AA4582" w:rsidRPr="00574712" w:rsidRDefault="00AA4582" w:rsidP="00AA4582">
      <w:pPr>
        <w:numPr>
          <w:ilvl w:val="0"/>
          <w:numId w:val="8"/>
        </w:numPr>
        <w:tabs>
          <w:tab w:val="num" w:pos="540"/>
        </w:tabs>
        <w:spacing w:before="120" w:line="276" w:lineRule="auto"/>
        <w:ind w:left="714" w:hanging="147"/>
        <w:jc w:val="both"/>
        <w:rPr>
          <w:b/>
        </w:rPr>
      </w:pPr>
      <w:r w:rsidRPr="00574712">
        <w:rPr>
          <w:b/>
        </w:rPr>
        <w:t>Финансиране</w:t>
      </w:r>
    </w:p>
    <w:p w:rsidR="00AA4582" w:rsidRPr="00574712" w:rsidRDefault="00AA4582" w:rsidP="00AA4582">
      <w:pPr>
        <w:ind w:firstLine="567"/>
        <w:jc w:val="both"/>
      </w:pPr>
      <w:r w:rsidRPr="00574712">
        <w:t>Към 3</w:t>
      </w:r>
      <w:r w:rsidRPr="00574712">
        <w:rPr>
          <w:lang w:val="en-US"/>
        </w:rPr>
        <w:t>0</w:t>
      </w:r>
      <w:r w:rsidRPr="00574712">
        <w:t xml:space="preserve">.09.2019 г. по общинските бюджети са изплатени </w:t>
      </w:r>
      <w:r w:rsidRPr="00574712">
        <w:rPr>
          <w:i/>
        </w:rPr>
        <w:t>погашения по заеми</w:t>
      </w:r>
      <w:r w:rsidRPr="00574712">
        <w:t xml:space="preserve"> от чужбина в размер на 29,9 млн. лева, а получените средства от началото на годината по тези заеми са в размер на 28,2 млн. лв. От банки  в страната и други местни лица </w:t>
      </w:r>
      <w:r w:rsidRPr="00574712">
        <w:rPr>
          <w:lang w:val="en-US"/>
        </w:rPr>
        <w:t>(</w:t>
      </w:r>
      <w:r w:rsidRPr="00574712">
        <w:t>ФЛАГ ЕАД, Фонд „Енергийна ефективност и възобновяеми източници“ и др.</w:t>
      </w:r>
      <w:r w:rsidRPr="00574712">
        <w:rPr>
          <w:lang w:val="en-US"/>
        </w:rPr>
        <w:t>)</w:t>
      </w:r>
      <w:r w:rsidRPr="00574712">
        <w:t xml:space="preserve"> общините са получили заеми в размер на 125,3 млн. лв., а са изплатили погашения в размер на 105,8 млн. лева.</w:t>
      </w:r>
    </w:p>
    <w:p w:rsidR="00AA4582" w:rsidRPr="00574712" w:rsidRDefault="00AA4582" w:rsidP="00AA4582">
      <w:pPr>
        <w:ind w:firstLine="567"/>
        <w:jc w:val="both"/>
      </w:pPr>
      <w:r w:rsidRPr="00574712">
        <w:t>Погашенията по емитирани през предходни периоди общински ценни книжа са в размер на 10,6 млн. лв., а емитираните общински ценни книжа за отчетния период са в размер на 6,0 млн. лева.</w:t>
      </w:r>
    </w:p>
    <w:p w:rsidR="00AA4582" w:rsidRPr="00B93FD2" w:rsidRDefault="00AA4582" w:rsidP="00AA4582">
      <w:pPr>
        <w:ind w:firstLine="567"/>
        <w:jc w:val="both"/>
        <w:rPr>
          <w:color w:val="4F81BD" w:themeColor="accent1"/>
        </w:rPr>
      </w:pPr>
      <w:r w:rsidRPr="00574712">
        <w:t>Другото финансиране /нето/ по общинските бюджети към 3</w:t>
      </w:r>
      <w:r w:rsidRPr="00574712">
        <w:rPr>
          <w:lang w:val="en-US"/>
        </w:rPr>
        <w:t>0</w:t>
      </w:r>
      <w:r w:rsidRPr="00574712">
        <w:t xml:space="preserve">.09.2019 г. е  отрицателно - 30,8 млн. лв., като съществена част от него представлява отчетеното превеждане /резервиране/ на суми по реда на чл. 60 и чл. 64 от Закона за управление на отпадъците по сметката за чужди средства на съответната РИОСВ. За периода нетният размер на задълженията и погашенията по финансов лизинг и търговски кредити като форми на дълг е в размер на (-1,1) млн. лева. </w:t>
      </w:r>
    </w:p>
    <w:p w:rsidR="00AA4582" w:rsidRPr="00574712" w:rsidRDefault="00AA4582" w:rsidP="00AA4582">
      <w:pPr>
        <w:ind w:firstLine="708"/>
        <w:jc w:val="both"/>
      </w:pPr>
      <w:r w:rsidRPr="00574712">
        <w:lastRenderedPageBreak/>
        <w:t>Нетният размер на събраните средства и извършени плащания от общините за сметка на други бюджети, сметки и фондове е в размер на 17,6 млн. лв.</w:t>
      </w:r>
    </w:p>
    <w:p w:rsidR="00AA4582" w:rsidRPr="00574712" w:rsidRDefault="00AA4582" w:rsidP="00AA4582">
      <w:pPr>
        <w:ind w:firstLine="708"/>
        <w:jc w:val="both"/>
      </w:pPr>
      <w:r w:rsidRPr="00574712">
        <w:t>Постъпленията от приватизация на дялове, акции и участия в общинските бюджети през периода са 1,2 млн. лева.</w:t>
      </w:r>
    </w:p>
    <w:p w:rsidR="00AA4582" w:rsidRPr="00574712" w:rsidRDefault="00AA4582" w:rsidP="00AA4582">
      <w:pPr>
        <w:ind w:firstLine="720"/>
        <w:jc w:val="both"/>
        <w:rPr>
          <w:lang w:eastAsia="bg-BG"/>
        </w:rPr>
      </w:pPr>
      <w:r w:rsidRPr="00574712">
        <w:rPr>
          <w:lang w:eastAsia="bg-BG"/>
        </w:rPr>
        <w:t>Към 3</w:t>
      </w:r>
      <w:r w:rsidRPr="00574712">
        <w:rPr>
          <w:lang w:val="en-US" w:eastAsia="bg-BG"/>
        </w:rPr>
        <w:t>0</w:t>
      </w:r>
      <w:r w:rsidRPr="00574712">
        <w:rPr>
          <w:lang w:eastAsia="bg-BG"/>
        </w:rPr>
        <w:t xml:space="preserve">.09.2019 г. отчетеният от общините нетен размер на операциите по придобиване на дялове, акции и съучастия е в размер на (-0,4) млн. лв., а на предоставената възмездна финансова помощ от общините е (-3,2) млн. лв. </w:t>
      </w:r>
    </w:p>
    <w:p w:rsidR="00AA4582" w:rsidRPr="00574712" w:rsidRDefault="00AA4582" w:rsidP="00AA4582">
      <w:pPr>
        <w:ind w:firstLine="720"/>
        <w:jc w:val="both"/>
        <w:rPr>
          <w:lang w:eastAsia="bg-BG"/>
        </w:rPr>
      </w:pPr>
      <w:r w:rsidRPr="00574712">
        <w:rPr>
          <w:lang w:eastAsia="bg-BG"/>
        </w:rPr>
        <w:t>Общините приключиха края на третото тримесечие на 2019 г. с бюджетни наличности (по банкови сметки и в каса) в размер на 1 081,6 млн. лв., като 430,6 млн. лв. (39,8 %) са отчетени като остатък в делегираните от държавата дейности.</w:t>
      </w:r>
    </w:p>
    <w:p w:rsidR="002C4D33" w:rsidRPr="00B93FD2" w:rsidRDefault="002C4D33" w:rsidP="00FD362E">
      <w:pPr>
        <w:pStyle w:val="BodyText"/>
        <w:spacing w:after="120"/>
        <w:ind w:firstLine="567"/>
        <w:rPr>
          <w:color w:val="4F81BD" w:themeColor="accent1"/>
          <w:sz w:val="18"/>
          <w:szCs w:val="12"/>
        </w:rPr>
      </w:pPr>
    </w:p>
    <w:p w:rsidR="00D96A20" w:rsidRPr="00BC02C9" w:rsidRDefault="00D96A20" w:rsidP="00337CA7">
      <w:pPr>
        <w:pStyle w:val="Heading1"/>
        <w:numPr>
          <w:ilvl w:val="1"/>
          <w:numId w:val="10"/>
        </w:numPr>
        <w:spacing w:after="120"/>
        <w:ind w:left="788" w:right="-108" w:hanging="431"/>
        <w:jc w:val="both"/>
        <w:rPr>
          <w:sz w:val="24"/>
        </w:rPr>
      </w:pPr>
      <w:r w:rsidRPr="00BC02C9">
        <w:rPr>
          <w:sz w:val="24"/>
        </w:rPr>
        <w:t>Бюджети на Българската национална телевизия (БНТ), Българското национално радио (БНР) и Българската телеграфна агенция (БТА)</w:t>
      </w:r>
    </w:p>
    <w:p w:rsidR="0066642F" w:rsidRPr="00A83AD7" w:rsidRDefault="0066642F" w:rsidP="0066642F">
      <w:pPr>
        <w:spacing w:before="240"/>
        <w:ind w:firstLine="567"/>
        <w:jc w:val="both"/>
        <w:rPr>
          <w:szCs w:val="20"/>
        </w:rPr>
      </w:pPr>
      <w:r w:rsidRPr="00A83AD7">
        <w:rPr>
          <w:b/>
        </w:rPr>
        <w:t>Приходите на БНТ</w:t>
      </w:r>
      <w:r w:rsidRPr="00A83AD7">
        <w:t xml:space="preserve"> към 3</w:t>
      </w:r>
      <w:r w:rsidRPr="00A83AD7">
        <w:rPr>
          <w:lang w:val="en-US"/>
        </w:rPr>
        <w:t>0</w:t>
      </w:r>
      <w:r w:rsidRPr="00A83AD7">
        <w:t xml:space="preserve">.09.2019 г. са в размер на 3,8 млн. лв. при планирани за годината 7,5 млн. лв. или за отчетния период са постъпили 50,4 % от планираните за годината. </w:t>
      </w:r>
      <w:r w:rsidRPr="00A83AD7">
        <w:rPr>
          <w:szCs w:val="20"/>
        </w:rPr>
        <w:t>Отчетените приходи са постъпления от продажби на услуги, стоки и продукция (реклама, спонсорство, технически услуги, почивно дело, продажба на програми) и</w:t>
      </w:r>
      <w:r w:rsidRPr="00A83AD7">
        <w:rPr>
          <w:b/>
          <w:szCs w:val="20"/>
        </w:rPr>
        <w:t xml:space="preserve"> </w:t>
      </w:r>
      <w:r w:rsidRPr="00A83AD7">
        <w:rPr>
          <w:szCs w:val="20"/>
        </w:rPr>
        <w:t xml:space="preserve">наеми на имущество. </w:t>
      </w:r>
    </w:p>
    <w:p w:rsidR="0066642F" w:rsidRPr="006118B7" w:rsidRDefault="0066642F" w:rsidP="0066642F">
      <w:pPr>
        <w:ind w:firstLine="567"/>
        <w:jc w:val="both"/>
      </w:pPr>
      <w:r w:rsidRPr="00A83AD7">
        <w:t xml:space="preserve">Отчетените </w:t>
      </w:r>
      <w:r w:rsidRPr="00A83AD7">
        <w:rPr>
          <w:b/>
        </w:rPr>
        <w:t>разходи</w:t>
      </w:r>
      <w:r w:rsidRPr="00A83AD7">
        <w:t xml:space="preserve"> </w:t>
      </w:r>
      <w:r w:rsidRPr="00A83AD7">
        <w:rPr>
          <w:b/>
        </w:rPr>
        <w:t>на БНТ</w:t>
      </w:r>
      <w:r w:rsidRPr="00A83AD7">
        <w:t xml:space="preserve"> към 3</w:t>
      </w:r>
      <w:r w:rsidRPr="00A83AD7">
        <w:rPr>
          <w:lang w:val="en-US"/>
        </w:rPr>
        <w:t>0</w:t>
      </w:r>
      <w:r w:rsidRPr="00A83AD7">
        <w:t xml:space="preserve">.09.2019 г. са в размер на 51,9 млн. лв. или 68,5 % от годишния разчет по ЗДБРБ за 2019 г. </w:t>
      </w:r>
      <w:r w:rsidRPr="00A83AD7">
        <w:rPr>
          <w:szCs w:val="20"/>
        </w:rPr>
        <w:t xml:space="preserve">За периода са отчетени 39,4 млн. лв. текущи разходи и 12,5 млн. лв. капиталови разходи. По бюджета на БНТ в частта на финансирането са отчетени погашения по търговски кредит  в размер на 2,1 млн. лв., които представляват погашения на задължения по договори от предходната година за такси за разпространение на програмите на БНТ </w:t>
      </w:r>
      <w:r w:rsidRPr="00A83AD7">
        <w:t xml:space="preserve">и за придобиване на транспортни </w:t>
      </w:r>
      <w:r w:rsidRPr="006118B7">
        <w:t>средства</w:t>
      </w:r>
      <w:r w:rsidRPr="006118B7">
        <w:rPr>
          <w:szCs w:val="20"/>
        </w:rPr>
        <w:t xml:space="preserve">. В разпределението на разходите по бюджета на обществената медия е включен преходния остатък за 2018 г. (съгл. чл. 70, ал. 6 от Закона за радиото и телевизията) в размер на 0,8 млн. лв. 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p>
    <w:p w:rsidR="0066642F" w:rsidRPr="00B93FD2" w:rsidRDefault="0066642F" w:rsidP="0066642F">
      <w:pPr>
        <w:ind w:firstLine="567"/>
        <w:jc w:val="both"/>
        <w:rPr>
          <w:color w:val="4F81BD" w:themeColor="accent1"/>
          <w:szCs w:val="20"/>
        </w:rPr>
      </w:pPr>
      <w:r w:rsidRPr="006118B7">
        <w:lastRenderedPageBreak/>
        <w:t xml:space="preserve">Общо утвърдените </w:t>
      </w:r>
      <w:r w:rsidRPr="006118B7">
        <w:rPr>
          <w:b/>
          <w:i/>
        </w:rPr>
        <w:t>бюджетни взаимоотношения на БНТ с централния бюджет</w:t>
      </w:r>
      <w:r w:rsidRPr="006118B7">
        <w:t xml:space="preserve"> за 2019 г. са в размер на </w:t>
      </w:r>
      <w:r w:rsidRPr="006118B7">
        <w:rPr>
          <w:szCs w:val="20"/>
        </w:rPr>
        <w:t xml:space="preserve">68,9 млн. лв., </w:t>
      </w:r>
      <w:r w:rsidRPr="006118B7">
        <w:t xml:space="preserve">в т.ч.: 67,7 млн. лв. съгласно чл. 48, т. 2 от ЗДБРБ за 2019 г. и 1,2 млн. лв. одобрен допълнителни трансфери по </w:t>
      </w:r>
      <w:r>
        <w:t xml:space="preserve">реда на чл. 109, ал. 3 от Закона за публичните финанси (0,5 млн. лв. съгласно </w:t>
      </w:r>
      <w:r w:rsidRPr="006D1129">
        <w:t>Постановление № 52 на Министерския съвет от 2019 г. за приемане на план-сметка за разходите по подготовката и произвеждането на изборите за членове на Европейския парламент от Република България през 2019 г.</w:t>
      </w:r>
      <w:r>
        <w:t xml:space="preserve">; 0,7 млн. лв. съгласно Постановление № 210 на Министерския съвет от 2019 г. за приемане на план-сметка за разходите по подготовката и произвеждането на първи и втори тур на изборите за общински съветници и за кметове през 2019 г.). </w:t>
      </w:r>
    </w:p>
    <w:p w:rsidR="0066642F" w:rsidRPr="006118B7" w:rsidRDefault="0066642F" w:rsidP="0066642F">
      <w:pPr>
        <w:ind w:firstLine="567"/>
        <w:jc w:val="both"/>
        <w:rPr>
          <w:szCs w:val="20"/>
        </w:rPr>
      </w:pPr>
      <w:r w:rsidRPr="006118B7">
        <w:rPr>
          <w:szCs w:val="20"/>
        </w:rPr>
        <w:t>За отчетния период е усвоена сума в размер на 51,2 млн. лв. или 74,2 % от размера на утвърдените бюджетни взаимоотношения на БНТ с централния бюджет.</w:t>
      </w:r>
    </w:p>
    <w:p w:rsidR="0066642F" w:rsidRPr="00EF4864" w:rsidRDefault="0066642F" w:rsidP="0066642F">
      <w:pPr>
        <w:spacing w:before="240"/>
        <w:ind w:firstLine="567"/>
        <w:jc w:val="both"/>
      </w:pPr>
      <w:r w:rsidRPr="00EF4864">
        <w:rPr>
          <w:b/>
        </w:rPr>
        <w:t>Приходите по бюджета на БНР</w:t>
      </w:r>
      <w:r w:rsidRPr="00EF4864">
        <w:t xml:space="preserve"> към 30.09. 2019 г. са в размер на 1,2 млн. лв., което представлява 58,9 % от планираните за годината 2,1 млн. лв.</w:t>
      </w:r>
      <w:r w:rsidRPr="00EF4864">
        <w:rPr>
          <w:szCs w:val="20"/>
        </w:rPr>
        <w:t xml:space="preserve"> Отчетените приходи са постъпления от продажби на услуги, стоки и продукция </w:t>
      </w:r>
      <w:r w:rsidRPr="00EF4864">
        <w:rPr>
          <w:szCs w:val="20"/>
          <w:lang w:val="en-US"/>
        </w:rPr>
        <w:t>(</w:t>
      </w:r>
      <w:r w:rsidRPr="00EF4864">
        <w:rPr>
          <w:szCs w:val="20"/>
        </w:rPr>
        <w:t>реклама, спонсорски съобщения, технически услуги, съвместни проекти, приходи от концертна дейност и др.</w:t>
      </w:r>
      <w:r w:rsidRPr="00EF4864">
        <w:rPr>
          <w:szCs w:val="20"/>
          <w:lang w:val="en-US"/>
        </w:rPr>
        <w:t>)</w:t>
      </w:r>
      <w:r w:rsidRPr="00EF4864">
        <w:rPr>
          <w:szCs w:val="20"/>
        </w:rPr>
        <w:t>, наеми на имущество и др.</w:t>
      </w:r>
    </w:p>
    <w:p w:rsidR="0066642F" w:rsidRPr="00EF4864" w:rsidRDefault="0066642F" w:rsidP="0066642F">
      <w:pPr>
        <w:ind w:firstLine="567"/>
        <w:jc w:val="both"/>
        <w:rPr>
          <w:szCs w:val="20"/>
        </w:rPr>
      </w:pPr>
      <w:r w:rsidRPr="00EF4864">
        <w:rPr>
          <w:szCs w:val="20"/>
        </w:rPr>
        <w:t xml:space="preserve">Изпълнението на </w:t>
      </w:r>
      <w:r w:rsidRPr="00EF4864">
        <w:rPr>
          <w:b/>
          <w:szCs w:val="20"/>
        </w:rPr>
        <w:t>разходите</w:t>
      </w:r>
      <w:r w:rsidRPr="00EF4864">
        <w:rPr>
          <w:szCs w:val="20"/>
        </w:rPr>
        <w:t xml:space="preserve"> </w:t>
      </w:r>
      <w:r w:rsidRPr="00EF4864">
        <w:rPr>
          <w:b/>
          <w:szCs w:val="20"/>
        </w:rPr>
        <w:t>по бюджета на</w:t>
      </w:r>
      <w:r w:rsidRPr="00EF4864">
        <w:rPr>
          <w:szCs w:val="20"/>
        </w:rPr>
        <w:t xml:space="preserve"> </w:t>
      </w:r>
      <w:r w:rsidRPr="00EF4864">
        <w:rPr>
          <w:b/>
          <w:szCs w:val="20"/>
        </w:rPr>
        <w:t xml:space="preserve">БНР </w:t>
      </w:r>
      <w:r w:rsidRPr="00EF4864">
        <w:rPr>
          <w:szCs w:val="20"/>
        </w:rPr>
        <w:t xml:space="preserve">възлиза на 35,3 млн. лв. или 75,0 % </w:t>
      </w:r>
      <w:r w:rsidRPr="00EF4864">
        <w:t>от годишния разчет по ЗДБРБ за 2019 г</w:t>
      </w:r>
      <w:r w:rsidRPr="00B93FD2">
        <w:rPr>
          <w:color w:val="4F81BD" w:themeColor="accent1"/>
        </w:rPr>
        <w:t xml:space="preserve">. </w:t>
      </w:r>
      <w:r w:rsidRPr="00EF4864">
        <w:rPr>
          <w:szCs w:val="20"/>
        </w:rPr>
        <w:t xml:space="preserve">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 В разпределението на разходите по бюджета на БНР е включен преходния остатък за 2018 г. (съгл. чл. 70, ал. 6 от Закона за радиото и телевизията) в размер на 0,2 млн. лева. </w:t>
      </w:r>
    </w:p>
    <w:p w:rsidR="0066642F" w:rsidRPr="00B93FD2" w:rsidRDefault="0066642F" w:rsidP="0066642F">
      <w:pPr>
        <w:spacing w:after="240"/>
        <w:ind w:firstLine="567"/>
        <w:jc w:val="both"/>
        <w:rPr>
          <w:color w:val="4F81BD" w:themeColor="accent1"/>
        </w:rPr>
      </w:pPr>
      <w:r w:rsidRPr="00EF4864">
        <w:t xml:space="preserve">Общо утвърдените </w:t>
      </w:r>
      <w:r w:rsidRPr="00EF4864">
        <w:rPr>
          <w:b/>
          <w:i/>
        </w:rPr>
        <w:t>бюджетни взаимоотношения на БНР с централния бюджет</w:t>
      </w:r>
      <w:r w:rsidRPr="00EF4864">
        <w:t xml:space="preserve"> за 2019 г. са в размер на </w:t>
      </w:r>
      <w:r w:rsidRPr="00EF4864">
        <w:rPr>
          <w:szCs w:val="20"/>
        </w:rPr>
        <w:t>44,6 млн. лв., в т.ч.: 44,3 млн. лв. съгласно чл. 48, т. 1 от ЗДБРБ за 2019</w:t>
      </w:r>
      <w:r w:rsidRPr="00EF4864">
        <w:t> </w:t>
      </w:r>
      <w:r w:rsidRPr="00EF4864">
        <w:rPr>
          <w:szCs w:val="20"/>
        </w:rPr>
        <w:t xml:space="preserve">г. и 0,3 млн. лв. одобрен допълнителен трансфер съгласно ПМС № 52 от 2019 г. за приемане на план-сметка за разходите по подготовката и произвеждането на изборите за членове на Европейския парламент от Република България през 2019 г. </w:t>
      </w:r>
      <w:r w:rsidRPr="00EF4864">
        <w:t>За отчетния период е усвоена сума в размер на 35,5 млн. лв. или 79,6 % от размера на утвърдените бюджетни взаимоотношения на БНР с централния бюджет.</w:t>
      </w:r>
    </w:p>
    <w:p w:rsidR="0066642F" w:rsidRPr="00EF4864" w:rsidRDefault="0066642F" w:rsidP="0066642F">
      <w:pPr>
        <w:spacing w:before="240"/>
        <w:ind w:firstLine="567"/>
        <w:jc w:val="both"/>
        <w:rPr>
          <w:b/>
          <w:szCs w:val="20"/>
        </w:rPr>
      </w:pPr>
      <w:r w:rsidRPr="00EF4864">
        <w:rPr>
          <w:b/>
          <w:szCs w:val="20"/>
        </w:rPr>
        <w:lastRenderedPageBreak/>
        <w:t xml:space="preserve">Приходите на БТА </w:t>
      </w:r>
      <w:r w:rsidRPr="00EF4864">
        <w:rPr>
          <w:szCs w:val="20"/>
        </w:rPr>
        <w:t>към 30.09.2019 г. са 1,2 млн. лв. или 70,6 % от предвидените за годината, като това са основно постъпления от продажба на информационни продукти и услуги.</w:t>
      </w:r>
    </w:p>
    <w:p w:rsidR="0066642F" w:rsidRDefault="0066642F" w:rsidP="0066642F">
      <w:pPr>
        <w:ind w:firstLine="567"/>
        <w:jc w:val="both"/>
        <w:rPr>
          <w:szCs w:val="20"/>
        </w:rPr>
      </w:pPr>
      <w:r w:rsidRPr="00EF4864">
        <w:rPr>
          <w:b/>
          <w:szCs w:val="20"/>
        </w:rPr>
        <w:t xml:space="preserve">Отчетените разходи на </w:t>
      </w:r>
      <w:r w:rsidRPr="00EF4864">
        <w:rPr>
          <w:szCs w:val="20"/>
        </w:rPr>
        <w:t>БТА за периода са 5,8 млн. лв., което е 80,7 % от годишния разчет по ЗДБРБ за 2019 г.</w:t>
      </w:r>
    </w:p>
    <w:p w:rsidR="00615DFD" w:rsidRPr="003A53AF" w:rsidRDefault="00615DFD" w:rsidP="00615DFD">
      <w:pPr>
        <w:ind w:firstLine="567"/>
        <w:jc w:val="both"/>
        <w:rPr>
          <w:color w:val="0070C0"/>
          <w:szCs w:val="20"/>
        </w:rPr>
      </w:pPr>
      <w:r w:rsidRPr="00163E30">
        <w:rPr>
          <w:szCs w:val="20"/>
        </w:rPr>
        <w:t>Общо утвърдените</w:t>
      </w:r>
      <w:r w:rsidRPr="00163E30">
        <w:rPr>
          <w:b/>
          <w:i/>
        </w:rPr>
        <w:t xml:space="preserve"> бюджетни взаимоотношения на БТА с централния бюджет</w:t>
      </w:r>
      <w:r w:rsidRPr="00163E30">
        <w:rPr>
          <w:szCs w:val="20"/>
        </w:rPr>
        <w:t xml:space="preserve"> за 2019 г. са в размер на 5,</w:t>
      </w:r>
      <w:r>
        <w:rPr>
          <w:szCs w:val="20"/>
          <w:lang w:val="en-US"/>
        </w:rPr>
        <w:t>7</w:t>
      </w:r>
      <w:r w:rsidRPr="00163E30">
        <w:rPr>
          <w:szCs w:val="20"/>
        </w:rPr>
        <w:t xml:space="preserve"> млн. лв.</w:t>
      </w:r>
      <w:r>
        <w:rPr>
          <w:szCs w:val="20"/>
        </w:rPr>
        <w:t>, в т. ч. 5,</w:t>
      </w:r>
      <w:r>
        <w:rPr>
          <w:szCs w:val="20"/>
          <w:lang w:val="en-US"/>
        </w:rPr>
        <w:t>175</w:t>
      </w:r>
      <w:r w:rsidRPr="00CD2A1F">
        <w:rPr>
          <w:szCs w:val="20"/>
        </w:rPr>
        <w:t xml:space="preserve"> млн. лв. съгласно чл. 48, т. </w:t>
      </w:r>
      <w:r>
        <w:rPr>
          <w:szCs w:val="20"/>
        </w:rPr>
        <w:t>3</w:t>
      </w:r>
      <w:r w:rsidRPr="00CD2A1F">
        <w:rPr>
          <w:szCs w:val="20"/>
        </w:rPr>
        <w:t xml:space="preserve"> от ЗДБРБ за </w:t>
      </w:r>
      <w:r w:rsidRPr="00F26D38">
        <w:rPr>
          <w:szCs w:val="20"/>
        </w:rPr>
        <w:t>2019</w:t>
      </w:r>
      <w:r w:rsidRPr="00F26D38">
        <w:t> </w:t>
      </w:r>
      <w:r w:rsidRPr="00F26D38">
        <w:rPr>
          <w:szCs w:val="20"/>
        </w:rPr>
        <w:t>г.</w:t>
      </w:r>
      <w:r w:rsidR="00951C14" w:rsidRPr="00F26D38">
        <w:rPr>
          <w:szCs w:val="20"/>
        </w:rPr>
        <w:t>,</w:t>
      </w:r>
      <w:r w:rsidRPr="00F26D38">
        <w:rPr>
          <w:szCs w:val="20"/>
        </w:rPr>
        <w:t xml:space="preserve"> 0,2 млн. лв. одобрен допълнителен трансфер с </w:t>
      </w:r>
      <w:r w:rsidRPr="00F26D38">
        <w:t>ПМС № 109 от 2019 г.</w:t>
      </w:r>
      <w:r w:rsidR="009B09EA" w:rsidRPr="00F26D38">
        <w:t xml:space="preserve"> </w:t>
      </w:r>
      <w:r w:rsidR="00951C14" w:rsidRPr="00F26D38">
        <w:t xml:space="preserve">и </w:t>
      </w:r>
      <w:r w:rsidR="00D60236" w:rsidRPr="00F26D38">
        <w:t>0,2</w:t>
      </w:r>
      <w:r w:rsidR="00F22404" w:rsidRPr="00F26D38">
        <w:t xml:space="preserve"> </w:t>
      </w:r>
      <w:r w:rsidR="006F0766" w:rsidRPr="00CD2A1F">
        <w:rPr>
          <w:szCs w:val="20"/>
        </w:rPr>
        <w:t xml:space="preserve">млн. лв. </w:t>
      </w:r>
      <w:r w:rsidR="00F22404" w:rsidRPr="00F26D38">
        <w:t xml:space="preserve">съгласно Постановление № 210 на Министерския съвет от 2019 г. за приемане на план-сметка за разходите по подготовката и произвеждането на първи и втори тур на изборите за общински съветници и за кметове през 2019 г. </w:t>
      </w:r>
      <w:r w:rsidRPr="00F26D38">
        <w:rPr>
          <w:szCs w:val="20"/>
        </w:rPr>
        <w:t>Отчетените трансфери са в размер</w:t>
      </w:r>
      <w:r w:rsidRPr="00F26D38">
        <w:rPr>
          <w:b/>
          <w:szCs w:val="20"/>
        </w:rPr>
        <w:t xml:space="preserve"> </w:t>
      </w:r>
      <w:r w:rsidRPr="00F26D38">
        <w:rPr>
          <w:szCs w:val="20"/>
        </w:rPr>
        <w:t xml:space="preserve">на </w:t>
      </w:r>
      <w:r w:rsidRPr="00F26D38">
        <w:rPr>
          <w:szCs w:val="20"/>
          <w:lang w:val="en-US"/>
        </w:rPr>
        <w:t>4</w:t>
      </w:r>
      <w:r w:rsidRPr="00F26D38">
        <w:rPr>
          <w:szCs w:val="20"/>
        </w:rPr>
        <w:t>,5 млн. лв. или 79,0</w:t>
      </w:r>
      <w:r w:rsidR="007B64AA">
        <w:rPr>
          <w:szCs w:val="20"/>
        </w:rPr>
        <w:t> </w:t>
      </w:r>
      <w:r w:rsidRPr="005F2E0F">
        <w:rPr>
          <w:szCs w:val="20"/>
        </w:rPr>
        <w:t xml:space="preserve">% </w:t>
      </w:r>
      <w:r w:rsidRPr="005B7B29">
        <w:rPr>
          <w:szCs w:val="20"/>
        </w:rPr>
        <w:t xml:space="preserve">от размера на утвърдените бюджетни взаимоотношения на </w:t>
      </w:r>
      <w:r>
        <w:rPr>
          <w:szCs w:val="20"/>
        </w:rPr>
        <w:t>БТА</w:t>
      </w:r>
      <w:r w:rsidRPr="005B7B29">
        <w:rPr>
          <w:szCs w:val="20"/>
        </w:rPr>
        <w:t xml:space="preserve"> с централния бюджет</w:t>
      </w:r>
      <w:r w:rsidRPr="005F2E0F">
        <w:rPr>
          <w:szCs w:val="20"/>
        </w:rPr>
        <w:t>.</w:t>
      </w:r>
    </w:p>
    <w:p w:rsidR="0066642F" w:rsidRPr="00EF4864" w:rsidRDefault="0066642F" w:rsidP="0066642F">
      <w:pPr>
        <w:ind w:firstLine="567"/>
        <w:jc w:val="both"/>
        <w:rPr>
          <w:szCs w:val="20"/>
        </w:rPr>
      </w:pPr>
    </w:p>
    <w:p w:rsidR="00053B0F" w:rsidRPr="00B93FD2" w:rsidRDefault="00053B0F" w:rsidP="00053B0F">
      <w:pPr>
        <w:pStyle w:val="Title"/>
        <w:jc w:val="both"/>
        <w:rPr>
          <w:color w:val="4F81BD" w:themeColor="accent1"/>
          <w:sz w:val="18"/>
        </w:rPr>
      </w:pPr>
    </w:p>
    <w:p w:rsidR="00053B0F" w:rsidRPr="001B4165" w:rsidRDefault="00053B0F" w:rsidP="00053B0F">
      <w:pPr>
        <w:pStyle w:val="Title"/>
        <w:jc w:val="both"/>
        <w:rPr>
          <w:lang w:val="en-US"/>
        </w:rPr>
      </w:pPr>
      <w:r w:rsidRPr="001B4165">
        <w:t xml:space="preserve">Министерство на финансите, </w:t>
      </w:r>
      <w:r w:rsidR="001B4165" w:rsidRPr="001B4165">
        <w:t xml:space="preserve">ноември </w:t>
      </w:r>
      <w:r w:rsidRPr="001B4165">
        <w:t>2019 г.</w:t>
      </w:r>
    </w:p>
    <w:p w:rsidR="00594E6B" w:rsidRPr="00B93FD2" w:rsidRDefault="00594E6B" w:rsidP="00053B0F">
      <w:pPr>
        <w:pStyle w:val="Title"/>
        <w:jc w:val="both"/>
        <w:rPr>
          <w:color w:val="4F81BD" w:themeColor="accent1"/>
          <w:lang w:val="en-US"/>
        </w:rPr>
      </w:pPr>
    </w:p>
    <w:p w:rsidR="00A42AAE" w:rsidRPr="00B93FD2" w:rsidRDefault="00A42AAE" w:rsidP="00BE52A7">
      <w:pPr>
        <w:pStyle w:val="Title"/>
        <w:jc w:val="both"/>
        <w:rPr>
          <w:color w:val="4F81BD" w:themeColor="accent1"/>
          <w:lang w:val="en-US"/>
        </w:rPr>
      </w:pPr>
    </w:p>
    <w:p w:rsidR="00CE537D" w:rsidRDefault="00CE537D" w:rsidP="00CE537D">
      <w:pPr>
        <w:tabs>
          <w:tab w:val="left" w:pos="2520"/>
        </w:tabs>
        <w:spacing w:line="480" w:lineRule="auto"/>
        <w:ind w:left="-1134" w:right="-386" w:firstLine="1134"/>
        <w:rPr>
          <w:sz w:val="20"/>
          <w:szCs w:val="20"/>
          <w:lang w:val="en-US" w:eastAsia="bg-BG"/>
        </w:rPr>
      </w:pPr>
    </w:p>
    <w:sectPr w:rsidR="00CE537D" w:rsidSect="002C24D7">
      <w:footerReference w:type="even" r:id="rId9"/>
      <w:footerReference w:type="default" r:id="rId10"/>
      <w:endnotePr>
        <w:numFmt w:val="decimal"/>
      </w:endnotePr>
      <w:type w:val="continuous"/>
      <w:pgSz w:w="11906" w:h="16838"/>
      <w:pgMar w:top="851" w:right="1106" w:bottom="567"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760" w:rsidRDefault="003F3760">
      <w:r>
        <w:separator/>
      </w:r>
    </w:p>
  </w:endnote>
  <w:endnote w:type="continuationSeparator" w:id="0">
    <w:p w:rsidR="003F3760" w:rsidRDefault="003F3760">
      <w:r>
        <w:continuationSeparator/>
      </w:r>
    </w:p>
  </w:endnote>
  <w:endnote w:type="continuationNotice" w:id="1">
    <w:p w:rsidR="003F3760" w:rsidRDefault="003F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utura Bk">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60" w:rsidRDefault="003F3760"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3760" w:rsidRDefault="003F3760" w:rsidP="00A741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760" w:rsidRDefault="003F3760"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2A23">
      <w:rPr>
        <w:rStyle w:val="PageNumber"/>
        <w:noProof/>
      </w:rPr>
      <w:t>2</w:t>
    </w:r>
    <w:r>
      <w:rPr>
        <w:rStyle w:val="PageNumber"/>
      </w:rPr>
      <w:fldChar w:fldCharType="end"/>
    </w:r>
  </w:p>
  <w:p w:rsidR="003F3760" w:rsidRDefault="003F3760" w:rsidP="00A741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760" w:rsidRDefault="003F3760">
      <w:r>
        <w:separator/>
      </w:r>
    </w:p>
  </w:footnote>
  <w:footnote w:type="continuationSeparator" w:id="0">
    <w:p w:rsidR="003F3760" w:rsidRDefault="003F3760">
      <w:r>
        <w:continuationSeparator/>
      </w:r>
    </w:p>
  </w:footnote>
  <w:footnote w:type="continuationNotice" w:id="1">
    <w:p w:rsidR="003F3760" w:rsidRDefault="003F3760"/>
  </w:footnote>
  <w:footnote w:id="2">
    <w:p w:rsidR="003F3760" w:rsidRPr="00313799" w:rsidRDefault="003F3760">
      <w:pPr>
        <w:pStyle w:val="FootnoteText"/>
        <w:rPr>
          <w:sz w:val="18"/>
          <w:szCs w:val="18"/>
          <w:lang w:val="bg-BG"/>
        </w:rPr>
      </w:pPr>
      <w:r w:rsidRPr="00313799">
        <w:rPr>
          <w:rStyle w:val="FootnoteReference"/>
          <w:sz w:val="18"/>
          <w:szCs w:val="18"/>
          <w:lang w:val="bg-BG"/>
        </w:rPr>
        <w:footnoteRef/>
      </w:r>
      <w:r w:rsidRPr="00313799">
        <w:rPr>
          <w:sz w:val="18"/>
          <w:szCs w:val="18"/>
          <w:lang w:val="bg-BG"/>
        </w:rPr>
        <w:t xml:space="preserve"> Разчети към ЗИД на ЗДБРБ за 2019 г. (Обн., ДВ, бр. 60 от 2019 г., в сила от 30.07.2019  г.)</w:t>
      </w:r>
    </w:p>
  </w:footnote>
  <w:footnote w:id="3">
    <w:p w:rsidR="003F3760" w:rsidRDefault="003F3760" w:rsidP="00E74802">
      <w:pPr>
        <w:pStyle w:val="FootnoteText"/>
        <w:jc w:val="both"/>
      </w:pPr>
      <w:r>
        <w:rPr>
          <w:rStyle w:val="FootnoteReference"/>
        </w:rPr>
        <w:footnoteRef/>
      </w:r>
      <w:r>
        <w:t xml:space="preserve"> </w:t>
      </w:r>
      <w:r w:rsidRPr="00335B65">
        <w:rPr>
          <w:sz w:val="18"/>
          <w:szCs w:val="16"/>
          <w:lang w:val="bg-BG"/>
        </w:rPr>
        <w:t>Обхваща държавния бюджет и бюджетите на общините, социалноосигурителните фондове, ДВУ, БАН, БНР, БНТ, БТА, бюджетите по чл.14, ал.4 от ЗПФ, както и сметките за средствата от ЕС и сметките за чужди средства на бюджетните организации. Данните за 201</w:t>
      </w:r>
      <w:r>
        <w:rPr>
          <w:sz w:val="18"/>
          <w:szCs w:val="16"/>
          <w:lang w:val="bg-BG"/>
        </w:rPr>
        <w:t>8</w:t>
      </w:r>
      <w:r w:rsidRPr="00335B65">
        <w:rPr>
          <w:sz w:val="18"/>
          <w:szCs w:val="16"/>
          <w:lang w:val="bg-BG"/>
        </w:rPr>
        <w:t xml:space="preserve"> г. са на база месечни отчети, а тези за 201</w:t>
      </w:r>
      <w:r>
        <w:rPr>
          <w:sz w:val="18"/>
          <w:szCs w:val="16"/>
          <w:lang w:val="bg-BG"/>
        </w:rPr>
        <w:t>7</w:t>
      </w:r>
      <w:r w:rsidRPr="00335B65">
        <w:rPr>
          <w:sz w:val="18"/>
          <w:szCs w:val="16"/>
          <w:lang w:val="bg-BG"/>
        </w:rPr>
        <w:t xml:space="preserve"> г. - на база тримесечни отчети на ПРБ.</w:t>
      </w:r>
    </w:p>
  </w:footnote>
  <w:footnote w:id="4">
    <w:p w:rsidR="003F3760" w:rsidRPr="00B70BD3" w:rsidRDefault="003F3760" w:rsidP="0062059F">
      <w:pPr>
        <w:pStyle w:val="FootnoteText"/>
        <w:jc w:val="both"/>
        <w:rPr>
          <w:sz w:val="18"/>
          <w:szCs w:val="18"/>
        </w:rPr>
      </w:pPr>
      <w:r w:rsidRPr="00B70BD3">
        <w:rPr>
          <w:rStyle w:val="FootnoteReference"/>
          <w:sz w:val="18"/>
          <w:szCs w:val="18"/>
        </w:rPr>
        <w:footnoteRef/>
      </w:r>
      <w:r w:rsidRPr="00B70BD3">
        <w:rPr>
          <w:sz w:val="18"/>
          <w:szCs w:val="18"/>
        </w:rPr>
        <w:t xml:space="preserve"> </w:t>
      </w:r>
      <w:r w:rsidRPr="00B70BD3">
        <w:rPr>
          <w:sz w:val="18"/>
          <w:szCs w:val="18"/>
          <w:lang w:val="bg-BG"/>
        </w:rPr>
        <w:t>Поради извършено закръгление в млн. лв., някои сумарни позиции в Таблица №1</w:t>
      </w:r>
      <w:r>
        <w:rPr>
          <w:sz w:val="18"/>
          <w:szCs w:val="18"/>
          <w:lang w:val="bg-BG"/>
        </w:rPr>
        <w:t>,</w:t>
      </w:r>
      <w:r w:rsidRPr="00B70BD3">
        <w:rPr>
          <w:sz w:val="18"/>
          <w:szCs w:val="18"/>
          <w:lang w:val="bg-BG"/>
        </w:rPr>
        <w:t xml:space="preserve"> Таблица  №2</w:t>
      </w:r>
      <w:r>
        <w:rPr>
          <w:sz w:val="18"/>
          <w:szCs w:val="18"/>
          <w:lang w:val="bg-BG"/>
        </w:rPr>
        <w:t xml:space="preserve"> и в текста </w:t>
      </w:r>
      <w:r w:rsidRPr="00B70BD3">
        <w:rPr>
          <w:sz w:val="18"/>
          <w:szCs w:val="18"/>
          <w:lang w:val="bg-BG"/>
        </w:rPr>
        <w:t>не се изчерпват от съставните им числа.</w:t>
      </w:r>
    </w:p>
  </w:footnote>
  <w:footnote w:id="5">
    <w:p w:rsidR="003F3760" w:rsidRPr="003F3760" w:rsidRDefault="003F3760">
      <w:pPr>
        <w:pStyle w:val="FootnoteText"/>
        <w:rPr>
          <w:lang w:val="bg-BG"/>
        </w:rPr>
      </w:pPr>
      <w:r w:rsidRPr="003F3760">
        <w:rPr>
          <w:rStyle w:val="FootnoteReference"/>
          <w:lang w:val="bg-BG"/>
        </w:rPr>
        <w:footnoteRef/>
      </w:r>
      <w:r w:rsidRPr="003F3760">
        <w:rPr>
          <w:lang w:val="bg-BG"/>
        </w:rPr>
        <w:t xml:space="preserve"> </w:t>
      </w:r>
      <w:r w:rsidRPr="003F3760">
        <w:rPr>
          <w:sz w:val="18"/>
          <w:lang w:val="bg-BG"/>
        </w:rPr>
        <w:t>Разчети към ЗИД на ЗДБРБ за 2019 г. (Обн., ДВ, бр. 60 от 2019 г., в сила от 30.07.2019  г.)</w:t>
      </w:r>
    </w:p>
  </w:footnote>
  <w:footnote w:id="6">
    <w:p w:rsidR="003F3760" w:rsidRPr="00E74802" w:rsidRDefault="003F3760" w:rsidP="00B13128">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7">
    <w:p w:rsidR="003F3760" w:rsidRPr="00DF79A3" w:rsidRDefault="003F3760" w:rsidP="00B13128">
      <w:pPr>
        <w:pStyle w:val="FootnoteText"/>
        <w:rPr>
          <w:lang w:val="bg-BG"/>
        </w:rPr>
      </w:pPr>
      <w:r w:rsidRPr="00F97BCC">
        <w:rPr>
          <w:rStyle w:val="FootnoteReference"/>
          <w:lang w:val="bg-BG"/>
        </w:rPr>
        <w:footnoteRef/>
      </w:r>
      <w:r w:rsidRPr="00F97BCC">
        <w:rPr>
          <w:lang w:val="bg-BG"/>
        </w:rPr>
        <w:t xml:space="preserve"> </w:t>
      </w:r>
      <w:r w:rsidRPr="00185D08">
        <w:rPr>
          <w:sz w:val="18"/>
          <w:szCs w:val="16"/>
          <w:lang w:val="bg-BG"/>
        </w:rPr>
        <w:t>Държавният бюджет включва централен бюджет, бюджетите на НС, съдебната власт, министерствата и ведомствата.</w:t>
      </w:r>
    </w:p>
  </w:footnote>
  <w:footnote w:id="8">
    <w:p w:rsidR="003F3760" w:rsidRPr="00BA6AD2" w:rsidRDefault="003F3760" w:rsidP="00B13128">
      <w:pPr>
        <w:pStyle w:val="FootnoteText"/>
        <w:jc w:val="both"/>
        <w:rPr>
          <w:sz w:val="18"/>
          <w:szCs w:val="18"/>
          <w:lang w:val="bg-BG"/>
        </w:rPr>
      </w:pPr>
      <w:r w:rsidRPr="00182A94">
        <w:rPr>
          <w:rStyle w:val="FootnoteReference"/>
          <w:sz w:val="18"/>
          <w:szCs w:val="18"/>
          <w:lang w:val="bg-BG"/>
        </w:rPr>
        <w:footnoteRef/>
      </w:r>
      <w:r w:rsidRPr="00182A94">
        <w:rPr>
          <w:sz w:val="18"/>
          <w:szCs w:val="18"/>
          <w:lang w:val="bg-BG"/>
        </w:rPr>
        <w:t xml:space="preserve"> Поради извършено закръгление в млн. лв., някои сумарни позиции в Таблица №1</w:t>
      </w:r>
      <w:r>
        <w:rPr>
          <w:sz w:val="18"/>
          <w:szCs w:val="18"/>
          <w:lang w:val="bg-BG"/>
        </w:rPr>
        <w:t xml:space="preserve">, </w:t>
      </w:r>
      <w:r w:rsidRPr="00182A94">
        <w:rPr>
          <w:sz w:val="18"/>
          <w:szCs w:val="18"/>
          <w:lang w:val="bg-BG"/>
        </w:rPr>
        <w:t>Таблица №</w:t>
      </w:r>
      <w:r>
        <w:rPr>
          <w:sz w:val="18"/>
          <w:szCs w:val="18"/>
          <w:lang w:val="bg-BG"/>
        </w:rPr>
        <w:t>2</w:t>
      </w:r>
      <w:r w:rsidRPr="00182A94">
        <w:rPr>
          <w:sz w:val="18"/>
          <w:szCs w:val="18"/>
          <w:lang w:val="bg-BG"/>
        </w:rPr>
        <w:t xml:space="preserve"> и в текста не се изчерпват от </w:t>
      </w:r>
      <w:r w:rsidRPr="00BA6AD2">
        <w:rPr>
          <w:sz w:val="18"/>
          <w:szCs w:val="18"/>
          <w:lang w:val="bg-BG"/>
        </w:rPr>
        <w:t>съставните им числа.</w:t>
      </w:r>
    </w:p>
  </w:footnote>
  <w:footnote w:id="9">
    <w:p w:rsidR="003F3760" w:rsidRPr="003F3760" w:rsidRDefault="003F3760" w:rsidP="00B13128">
      <w:pPr>
        <w:pStyle w:val="FootnoteText"/>
        <w:rPr>
          <w:lang w:val="bg-BG"/>
        </w:rPr>
      </w:pPr>
      <w:r w:rsidRPr="003F3760">
        <w:rPr>
          <w:rStyle w:val="FootnoteReference"/>
          <w:lang w:val="bg-BG"/>
        </w:rPr>
        <w:footnoteRef/>
      </w:r>
      <w:r w:rsidRPr="003F3760">
        <w:rPr>
          <w:lang w:val="bg-BG"/>
        </w:rPr>
        <w:t xml:space="preserve"> </w:t>
      </w:r>
      <w:r w:rsidRPr="003F3760">
        <w:rPr>
          <w:sz w:val="18"/>
          <w:lang w:val="bg-BG"/>
        </w:rPr>
        <w:t>Разчети към ЗИД на ЗДБРБ за 2019 г. (Обн., ДВ, бр. 60 от 2019 г., в сила от 30.07.2019  г.)</w:t>
      </w:r>
    </w:p>
  </w:footnote>
  <w:footnote w:id="10">
    <w:p w:rsidR="003F3760" w:rsidRPr="002C3578" w:rsidRDefault="003F3760" w:rsidP="00B13128">
      <w:pPr>
        <w:pStyle w:val="FootnoteText"/>
        <w:jc w:val="both"/>
        <w:rPr>
          <w:sz w:val="18"/>
          <w:szCs w:val="18"/>
          <w:lang w:val="bg-BG"/>
        </w:rPr>
      </w:pPr>
      <w:r w:rsidRPr="00B94753">
        <w:rPr>
          <w:rStyle w:val="FootnoteReference"/>
          <w:sz w:val="18"/>
          <w:szCs w:val="18"/>
        </w:rPr>
        <w:footnoteRef/>
      </w:r>
      <w:r w:rsidRPr="00B94753">
        <w:rPr>
          <w:sz w:val="18"/>
          <w:szCs w:val="18"/>
        </w:rPr>
        <w:t xml:space="preserve"> </w:t>
      </w:r>
      <w:r w:rsidRPr="002C3578">
        <w:rPr>
          <w:sz w:val="18"/>
          <w:szCs w:val="18"/>
          <w:lang w:val="bg-BG"/>
        </w:rPr>
        <w:t>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090"/>
    <w:multiLevelType w:val="hybridMultilevel"/>
    <w:tmpl w:val="92F660C8"/>
    <w:lvl w:ilvl="0" w:tplc="0402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0892FFA"/>
    <w:multiLevelType w:val="hybridMultilevel"/>
    <w:tmpl w:val="94A88EA6"/>
    <w:lvl w:ilvl="0" w:tplc="257A31AA">
      <w:start w:val="1"/>
      <w:numFmt w:val="bullet"/>
      <w:lvlText w:val=""/>
      <w:lvlJc w:val="left"/>
      <w:pPr>
        <w:ind w:left="1069" w:hanging="360"/>
      </w:pPr>
      <w:rPr>
        <w:rFonts w:ascii="Symbol" w:hAnsi="Symbol" w:hint="default"/>
        <w:b/>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0F3230CB"/>
    <w:multiLevelType w:val="hybridMultilevel"/>
    <w:tmpl w:val="48F0886C"/>
    <w:lvl w:ilvl="0" w:tplc="0012154E">
      <w:start w:val="1"/>
      <w:numFmt w:val="bullet"/>
      <w:lvlText w:val=""/>
      <w:lvlJc w:val="left"/>
      <w:pPr>
        <w:tabs>
          <w:tab w:val="num" w:pos="2157"/>
        </w:tabs>
        <w:ind w:left="2157" w:hanging="357"/>
      </w:pPr>
      <w:rPr>
        <w:rFonts w:ascii="Wingdings" w:hAnsi="Wingdings" w:hint="default"/>
        <w:color w:val="auto"/>
        <w:sz w:val="24"/>
        <w:szCs w:val="24"/>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581A89"/>
    <w:multiLevelType w:val="hybridMultilevel"/>
    <w:tmpl w:val="08D66548"/>
    <w:lvl w:ilvl="0" w:tplc="4446C67E">
      <w:start w:val="1"/>
      <w:numFmt w:val="bullet"/>
      <w:lvlText w:val=""/>
      <w:lvlJc w:val="left"/>
      <w:pPr>
        <w:ind w:left="1440" w:hanging="360"/>
      </w:pPr>
      <w:rPr>
        <w:rFonts w:ascii="Symbol" w:hAnsi="Symbol"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15:restartNumberingAfterBreak="0">
    <w:nsid w:val="1194083D"/>
    <w:multiLevelType w:val="hybridMultilevel"/>
    <w:tmpl w:val="B434DC02"/>
    <w:lvl w:ilvl="0" w:tplc="54C466F6">
      <w:numFmt w:val="bullet"/>
      <w:lvlText w:val="-"/>
      <w:lvlJc w:val="left"/>
      <w:pPr>
        <w:tabs>
          <w:tab w:val="num" w:pos="1500"/>
        </w:tabs>
        <w:ind w:left="15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CEE0108"/>
    <w:multiLevelType w:val="hybridMultilevel"/>
    <w:tmpl w:val="8222E77A"/>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F11F5"/>
    <w:multiLevelType w:val="hybridMultilevel"/>
    <w:tmpl w:val="1EE24D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5A20358"/>
    <w:multiLevelType w:val="hybridMultilevel"/>
    <w:tmpl w:val="E1D8CE2E"/>
    <w:lvl w:ilvl="0" w:tplc="B8369D36">
      <w:start w:val="1"/>
      <w:numFmt w:val="bullet"/>
      <w:lvlText w:val=""/>
      <w:lvlJc w:val="left"/>
      <w:pPr>
        <w:tabs>
          <w:tab w:val="num" w:pos="898"/>
        </w:tabs>
        <w:ind w:left="0" w:firstLine="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752873"/>
    <w:multiLevelType w:val="multilevel"/>
    <w:tmpl w:val="0ECE36AC"/>
    <w:lvl w:ilvl="0">
      <w:start w:val="4"/>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2" w15:restartNumberingAfterBreak="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06099"/>
    <w:multiLevelType w:val="hybridMultilevel"/>
    <w:tmpl w:val="517EAAC6"/>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15:restartNumberingAfterBreak="0">
    <w:nsid w:val="3AF86BBB"/>
    <w:multiLevelType w:val="hybridMultilevel"/>
    <w:tmpl w:val="C65EBD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7" w15:restartNumberingAfterBreak="0">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1" w15:restartNumberingAfterBreak="0">
    <w:nsid w:val="53A41434"/>
    <w:multiLevelType w:val="hybridMultilevel"/>
    <w:tmpl w:val="D4069CA2"/>
    <w:lvl w:ilvl="0" w:tplc="AB6E2D68">
      <w:start w:val="1"/>
      <w:numFmt w:val="bullet"/>
      <w:lvlText w:val=""/>
      <w:lvlJc w:val="left"/>
      <w:pPr>
        <w:tabs>
          <w:tab w:val="num" w:pos="700"/>
        </w:tabs>
        <w:ind w:left="70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D92F24"/>
    <w:multiLevelType w:val="hybridMultilevel"/>
    <w:tmpl w:val="C3E23384"/>
    <w:lvl w:ilvl="0" w:tplc="0402000D">
      <w:start w:val="1"/>
      <w:numFmt w:val="bullet"/>
      <w:lvlText w:val=""/>
      <w:lvlJc w:val="left"/>
      <w:pPr>
        <w:ind w:left="132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3"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15:restartNumberingAfterBreak="0">
    <w:nsid w:val="643A5E75"/>
    <w:multiLevelType w:val="hybridMultilevel"/>
    <w:tmpl w:val="F88C976A"/>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5" w15:restartNumberingAfterBreak="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0" w15:restartNumberingAfterBreak="0">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676522"/>
    <w:multiLevelType w:val="hybridMultilevel"/>
    <w:tmpl w:val="4E68849A"/>
    <w:lvl w:ilvl="0" w:tplc="0402000D">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32" w15:restartNumberingAfterBreak="0">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3" w15:restartNumberingAfterBreak="0">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896D38"/>
    <w:multiLevelType w:val="hybridMultilevel"/>
    <w:tmpl w:val="ADA8828A"/>
    <w:lvl w:ilvl="0" w:tplc="0402000D">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35" w15:restartNumberingAfterBreak="0">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6"/>
  </w:num>
  <w:num w:numId="3">
    <w:abstractNumId w:val="27"/>
  </w:num>
  <w:num w:numId="4">
    <w:abstractNumId w:val="12"/>
  </w:num>
  <w:num w:numId="5">
    <w:abstractNumId w:val="30"/>
  </w:num>
  <w:num w:numId="6">
    <w:abstractNumId w:val="21"/>
  </w:num>
  <w:num w:numId="7">
    <w:abstractNumId w:val="25"/>
  </w:num>
  <w:num w:numId="8">
    <w:abstractNumId w:val="15"/>
  </w:num>
  <w:num w:numId="9">
    <w:abstractNumId w:val="19"/>
  </w:num>
  <w:num w:numId="10">
    <w:abstractNumId w:val="32"/>
  </w:num>
  <w:num w:numId="11">
    <w:abstractNumId w:val="26"/>
  </w:num>
  <w:num w:numId="12">
    <w:abstractNumId w:val="24"/>
  </w:num>
  <w:num w:numId="13">
    <w:abstractNumId w:val="4"/>
  </w:num>
  <w:num w:numId="14">
    <w:abstractNumId w:val="35"/>
  </w:num>
  <w:num w:numId="15">
    <w:abstractNumId w:val="33"/>
  </w:num>
  <w:num w:numId="16">
    <w:abstractNumId w:val="2"/>
  </w:num>
  <w:num w:numId="17">
    <w:abstractNumId w:val="28"/>
  </w:num>
  <w:num w:numId="18">
    <w:abstractNumId w:val="17"/>
  </w:num>
  <w:num w:numId="19">
    <w:abstractNumId w:val="7"/>
  </w:num>
  <w:num w:numId="20">
    <w:abstractNumId w:val="20"/>
  </w:num>
  <w:num w:numId="21">
    <w:abstractNumId w:val="9"/>
  </w:num>
  <w:num w:numId="22">
    <w:abstractNumId w:val="10"/>
  </w:num>
  <w:num w:numId="23">
    <w:abstractNumId w:val="34"/>
  </w:num>
  <w:num w:numId="24">
    <w:abstractNumId w:val="18"/>
  </w:num>
  <w:num w:numId="25">
    <w:abstractNumId w:val="22"/>
  </w:num>
  <w:num w:numId="26">
    <w:abstractNumId w:val="6"/>
  </w:num>
  <w:num w:numId="27">
    <w:abstractNumId w:val="13"/>
  </w:num>
  <w:num w:numId="28">
    <w:abstractNumId w:val="29"/>
  </w:num>
  <w:num w:numId="29">
    <w:abstractNumId w:val="0"/>
  </w:num>
  <w:num w:numId="30">
    <w:abstractNumId w:val="23"/>
  </w:num>
  <w:num w:numId="31">
    <w:abstractNumId w:val="31"/>
  </w:num>
  <w:num w:numId="32">
    <w:abstractNumId w:val="1"/>
  </w:num>
  <w:num w:numId="33">
    <w:abstractNumId w:val="11"/>
  </w:num>
  <w:num w:numId="34">
    <w:abstractNumId w:val="14"/>
  </w:num>
  <w:num w:numId="35">
    <w:abstractNumId w:val="3"/>
  </w:num>
  <w:num w:numId="36">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15"/>
    <w:rsid w:val="00000EF0"/>
    <w:rsid w:val="000016BE"/>
    <w:rsid w:val="00002BD7"/>
    <w:rsid w:val="00002D9C"/>
    <w:rsid w:val="00003489"/>
    <w:rsid w:val="00003B52"/>
    <w:rsid w:val="00004264"/>
    <w:rsid w:val="000063FC"/>
    <w:rsid w:val="000065C6"/>
    <w:rsid w:val="0000691E"/>
    <w:rsid w:val="00006EBC"/>
    <w:rsid w:val="00007F94"/>
    <w:rsid w:val="000111D3"/>
    <w:rsid w:val="00011383"/>
    <w:rsid w:val="000119C6"/>
    <w:rsid w:val="00012533"/>
    <w:rsid w:val="00012AE6"/>
    <w:rsid w:val="00013B93"/>
    <w:rsid w:val="00013C59"/>
    <w:rsid w:val="000146EA"/>
    <w:rsid w:val="000158A2"/>
    <w:rsid w:val="00015C0F"/>
    <w:rsid w:val="00015D5B"/>
    <w:rsid w:val="000175C7"/>
    <w:rsid w:val="000178CA"/>
    <w:rsid w:val="00017EA1"/>
    <w:rsid w:val="0002050E"/>
    <w:rsid w:val="000215BD"/>
    <w:rsid w:val="00021A5F"/>
    <w:rsid w:val="000221B7"/>
    <w:rsid w:val="000229E1"/>
    <w:rsid w:val="00022CAC"/>
    <w:rsid w:val="00022D9E"/>
    <w:rsid w:val="0002351F"/>
    <w:rsid w:val="00023D31"/>
    <w:rsid w:val="0002444B"/>
    <w:rsid w:val="0002477E"/>
    <w:rsid w:val="000249B9"/>
    <w:rsid w:val="000256B4"/>
    <w:rsid w:val="00025953"/>
    <w:rsid w:val="00025F45"/>
    <w:rsid w:val="00026903"/>
    <w:rsid w:val="0002693A"/>
    <w:rsid w:val="00026AD5"/>
    <w:rsid w:val="00027951"/>
    <w:rsid w:val="00027B74"/>
    <w:rsid w:val="00030353"/>
    <w:rsid w:val="000307D3"/>
    <w:rsid w:val="000311EA"/>
    <w:rsid w:val="00031377"/>
    <w:rsid w:val="00031593"/>
    <w:rsid w:val="000319CB"/>
    <w:rsid w:val="000320C8"/>
    <w:rsid w:val="00032966"/>
    <w:rsid w:val="00033ACB"/>
    <w:rsid w:val="00034135"/>
    <w:rsid w:val="00034FE3"/>
    <w:rsid w:val="000359FA"/>
    <w:rsid w:val="0003621F"/>
    <w:rsid w:val="00036A1B"/>
    <w:rsid w:val="00037141"/>
    <w:rsid w:val="000377BC"/>
    <w:rsid w:val="000378DC"/>
    <w:rsid w:val="0004080C"/>
    <w:rsid w:val="0004098D"/>
    <w:rsid w:val="00040C20"/>
    <w:rsid w:val="000411D9"/>
    <w:rsid w:val="00041338"/>
    <w:rsid w:val="00042634"/>
    <w:rsid w:val="0004338F"/>
    <w:rsid w:val="000436DD"/>
    <w:rsid w:val="000439F5"/>
    <w:rsid w:val="00043AA0"/>
    <w:rsid w:val="00043AB2"/>
    <w:rsid w:val="00043E35"/>
    <w:rsid w:val="0004426E"/>
    <w:rsid w:val="00044273"/>
    <w:rsid w:val="0004753C"/>
    <w:rsid w:val="00050A1B"/>
    <w:rsid w:val="00051E5E"/>
    <w:rsid w:val="00052C5C"/>
    <w:rsid w:val="00053B0F"/>
    <w:rsid w:val="00053D51"/>
    <w:rsid w:val="000546BF"/>
    <w:rsid w:val="00054E02"/>
    <w:rsid w:val="00055007"/>
    <w:rsid w:val="000551E4"/>
    <w:rsid w:val="00055A61"/>
    <w:rsid w:val="00055DD1"/>
    <w:rsid w:val="00056221"/>
    <w:rsid w:val="00056B58"/>
    <w:rsid w:val="00056D9D"/>
    <w:rsid w:val="0005737D"/>
    <w:rsid w:val="00057886"/>
    <w:rsid w:val="00060A02"/>
    <w:rsid w:val="00060B42"/>
    <w:rsid w:val="000613BA"/>
    <w:rsid w:val="0006166E"/>
    <w:rsid w:val="00061758"/>
    <w:rsid w:val="000621DE"/>
    <w:rsid w:val="00062A78"/>
    <w:rsid w:val="00063235"/>
    <w:rsid w:val="00063CF1"/>
    <w:rsid w:val="00063E15"/>
    <w:rsid w:val="000642B9"/>
    <w:rsid w:val="0006477A"/>
    <w:rsid w:val="00064AF3"/>
    <w:rsid w:val="00064C44"/>
    <w:rsid w:val="00064E39"/>
    <w:rsid w:val="00065A46"/>
    <w:rsid w:val="00065DF8"/>
    <w:rsid w:val="000663D1"/>
    <w:rsid w:val="00066EED"/>
    <w:rsid w:val="00067283"/>
    <w:rsid w:val="0007047E"/>
    <w:rsid w:val="00070A97"/>
    <w:rsid w:val="00071F12"/>
    <w:rsid w:val="00072D22"/>
    <w:rsid w:val="00073108"/>
    <w:rsid w:val="00073DF5"/>
    <w:rsid w:val="000751C1"/>
    <w:rsid w:val="00075256"/>
    <w:rsid w:val="0007526B"/>
    <w:rsid w:val="000768B3"/>
    <w:rsid w:val="00080AB2"/>
    <w:rsid w:val="00080EF5"/>
    <w:rsid w:val="0008155D"/>
    <w:rsid w:val="000819F9"/>
    <w:rsid w:val="00081AFD"/>
    <w:rsid w:val="00082679"/>
    <w:rsid w:val="000827A4"/>
    <w:rsid w:val="000829EB"/>
    <w:rsid w:val="00082BD9"/>
    <w:rsid w:val="0008327E"/>
    <w:rsid w:val="000832E5"/>
    <w:rsid w:val="0008357F"/>
    <w:rsid w:val="000853B1"/>
    <w:rsid w:val="00085704"/>
    <w:rsid w:val="00085734"/>
    <w:rsid w:val="00085B96"/>
    <w:rsid w:val="00085E01"/>
    <w:rsid w:val="00085E1A"/>
    <w:rsid w:val="00086FA7"/>
    <w:rsid w:val="00087295"/>
    <w:rsid w:val="0008745A"/>
    <w:rsid w:val="000878C4"/>
    <w:rsid w:val="0009002F"/>
    <w:rsid w:val="000900E3"/>
    <w:rsid w:val="000902B5"/>
    <w:rsid w:val="00090D1D"/>
    <w:rsid w:val="00091196"/>
    <w:rsid w:val="00091BCE"/>
    <w:rsid w:val="000931C8"/>
    <w:rsid w:val="000937AB"/>
    <w:rsid w:val="000937E0"/>
    <w:rsid w:val="00093F6F"/>
    <w:rsid w:val="000943E4"/>
    <w:rsid w:val="00094A6C"/>
    <w:rsid w:val="00094A78"/>
    <w:rsid w:val="0009743A"/>
    <w:rsid w:val="000A052A"/>
    <w:rsid w:val="000A09BA"/>
    <w:rsid w:val="000A301B"/>
    <w:rsid w:val="000A3F57"/>
    <w:rsid w:val="000A5B32"/>
    <w:rsid w:val="000A6E4D"/>
    <w:rsid w:val="000A7841"/>
    <w:rsid w:val="000B0616"/>
    <w:rsid w:val="000B0815"/>
    <w:rsid w:val="000B09E5"/>
    <w:rsid w:val="000B0CE6"/>
    <w:rsid w:val="000B11FB"/>
    <w:rsid w:val="000B175F"/>
    <w:rsid w:val="000B1A24"/>
    <w:rsid w:val="000B1E59"/>
    <w:rsid w:val="000B25CC"/>
    <w:rsid w:val="000B2CBE"/>
    <w:rsid w:val="000B460F"/>
    <w:rsid w:val="000B52FA"/>
    <w:rsid w:val="000B5F1E"/>
    <w:rsid w:val="000B62C7"/>
    <w:rsid w:val="000B7234"/>
    <w:rsid w:val="000B7447"/>
    <w:rsid w:val="000B75C1"/>
    <w:rsid w:val="000B7C4F"/>
    <w:rsid w:val="000B7E66"/>
    <w:rsid w:val="000C06FE"/>
    <w:rsid w:val="000C0FA1"/>
    <w:rsid w:val="000C13A5"/>
    <w:rsid w:val="000C2FAC"/>
    <w:rsid w:val="000C5ACF"/>
    <w:rsid w:val="000C5C6D"/>
    <w:rsid w:val="000C69AE"/>
    <w:rsid w:val="000C6CB5"/>
    <w:rsid w:val="000C6CF3"/>
    <w:rsid w:val="000C7303"/>
    <w:rsid w:val="000C736E"/>
    <w:rsid w:val="000C75A5"/>
    <w:rsid w:val="000C7BB6"/>
    <w:rsid w:val="000D0538"/>
    <w:rsid w:val="000D0AB1"/>
    <w:rsid w:val="000D23F8"/>
    <w:rsid w:val="000D2516"/>
    <w:rsid w:val="000D26D5"/>
    <w:rsid w:val="000D2B33"/>
    <w:rsid w:val="000D2BE7"/>
    <w:rsid w:val="000D3407"/>
    <w:rsid w:val="000D3942"/>
    <w:rsid w:val="000D3FA7"/>
    <w:rsid w:val="000D49F5"/>
    <w:rsid w:val="000D4BEB"/>
    <w:rsid w:val="000D5449"/>
    <w:rsid w:val="000D6D92"/>
    <w:rsid w:val="000D725A"/>
    <w:rsid w:val="000D740D"/>
    <w:rsid w:val="000D78E4"/>
    <w:rsid w:val="000E0B42"/>
    <w:rsid w:val="000E0EBA"/>
    <w:rsid w:val="000E1529"/>
    <w:rsid w:val="000E1EAF"/>
    <w:rsid w:val="000E1FB5"/>
    <w:rsid w:val="000E234B"/>
    <w:rsid w:val="000E2894"/>
    <w:rsid w:val="000E2B21"/>
    <w:rsid w:val="000E39DF"/>
    <w:rsid w:val="000E3CDC"/>
    <w:rsid w:val="000E4599"/>
    <w:rsid w:val="000E4CFE"/>
    <w:rsid w:val="000E5205"/>
    <w:rsid w:val="000E5295"/>
    <w:rsid w:val="000E5483"/>
    <w:rsid w:val="000E5EE9"/>
    <w:rsid w:val="000E632B"/>
    <w:rsid w:val="000E6968"/>
    <w:rsid w:val="000E76B3"/>
    <w:rsid w:val="000F04F4"/>
    <w:rsid w:val="000F26DE"/>
    <w:rsid w:val="000F3534"/>
    <w:rsid w:val="000F3EA1"/>
    <w:rsid w:val="000F47A8"/>
    <w:rsid w:val="000F5080"/>
    <w:rsid w:val="000F5EF4"/>
    <w:rsid w:val="000F5F76"/>
    <w:rsid w:val="000F68AF"/>
    <w:rsid w:val="000F6975"/>
    <w:rsid w:val="000F6B35"/>
    <w:rsid w:val="0010026D"/>
    <w:rsid w:val="0010055E"/>
    <w:rsid w:val="001006E1"/>
    <w:rsid w:val="00100CE5"/>
    <w:rsid w:val="00100D97"/>
    <w:rsid w:val="001011A4"/>
    <w:rsid w:val="001017B7"/>
    <w:rsid w:val="0010212B"/>
    <w:rsid w:val="00102523"/>
    <w:rsid w:val="0010261A"/>
    <w:rsid w:val="00102869"/>
    <w:rsid w:val="001028F7"/>
    <w:rsid w:val="00102BA6"/>
    <w:rsid w:val="0010358B"/>
    <w:rsid w:val="001046B0"/>
    <w:rsid w:val="00104BB5"/>
    <w:rsid w:val="001053A6"/>
    <w:rsid w:val="00106081"/>
    <w:rsid w:val="0010649F"/>
    <w:rsid w:val="0010683E"/>
    <w:rsid w:val="00107258"/>
    <w:rsid w:val="00107498"/>
    <w:rsid w:val="001077FA"/>
    <w:rsid w:val="00107C9F"/>
    <w:rsid w:val="00107F93"/>
    <w:rsid w:val="00110E74"/>
    <w:rsid w:val="0011244D"/>
    <w:rsid w:val="00114DE5"/>
    <w:rsid w:val="00116D77"/>
    <w:rsid w:val="001179C1"/>
    <w:rsid w:val="00117C68"/>
    <w:rsid w:val="00117CA6"/>
    <w:rsid w:val="001202E6"/>
    <w:rsid w:val="00120CC7"/>
    <w:rsid w:val="00122FCA"/>
    <w:rsid w:val="00123862"/>
    <w:rsid w:val="00123B59"/>
    <w:rsid w:val="00123E2A"/>
    <w:rsid w:val="00124FB9"/>
    <w:rsid w:val="00125B7A"/>
    <w:rsid w:val="001260AA"/>
    <w:rsid w:val="001264C3"/>
    <w:rsid w:val="001269AE"/>
    <w:rsid w:val="00127D25"/>
    <w:rsid w:val="001301B6"/>
    <w:rsid w:val="001305A6"/>
    <w:rsid w:val="00131B05"/>
    <w:rsid w:val="00132AD1"/>
    <w:rsid w:val="00133033"/>
    <w:rsid w:val="0013308F"/>
    <w:rsid w:val="00133644"/>
    <w:rsid w:val="001342F2"/>
    <w:rsid w:val="0013522E"/>
    <w:rsid w:val="00135A23"/>
    <w:rsid w:val="00135E92"/>
    <w:rsid w:val="00136DA4"/>
    <w:rsid w:val="001371FA"/>
    <w:rsid w:val="00140F18"/>
    <w:rsid w:val="00140F61"/>
    <w:rsid w:val="00141B03"/>
    <w:rsid w:val="00142979"/>
    <w:rsid w:val="00142ABD"/>
    <w:rsid w:val="00142EDB"/>
    <w:rsid w:val="00143814"/>
    <w:rsid w:val="001445AC"/>
    <w:rsid w:val="00144B67"/>
    <w:rsid w:val="00144BF2"/>
    <w:rsid w:val="0014585D"/>
    <w:rsid w:val="00145944"/>
    <w:rsid w:val="00145AD1"/>
    <w:rsid w:val="001462A0"/>
    <w:rsid w:val="00146314"/>
    <w:rsid w:val="001466F3"/>
    <w:rsid w:val="00146C11"/>
    <w:rsid w:val="00150706"/>
    <w:rsid w:val="00150D38"/>
    <w:rsid w:val="00151260"/>
    <w:rsid w:val="001514CB"/>
    <w:rsid w:val="001528EE"/>
    <w:rsid w:val="00152B9C"/>
    <w:rsid w:val="00153077"/>
    <w:rsid w:val="001535F3"/>
    <w:rsid w:val="00153DF3"/>
    <w:rsid w:val="00154247"/>
    <w:rsid w:val="00154DE5"/>
    <w:rsid w:val="00154FA1"/>
    <w:rsid w:val="00155948"/>
    <w:rsid w:val="00156356"/>
    <w:rsid w:val="00156A3B"/>
    <w:rsid w:val="00156B18"/>
    <w:rsid w:val="00156F40"/>
    <w:rsid w:val="00157673"/>
    <w:rsid w:val="00157B70"/>
    <w:rsid w:val="00157EC4"/>
    <w:rsid w:val="00157EF5"/>
    <w:rsid w:val="001606A4"/>
    <w:rsid w:val="00160A10"/>
    <w:rsid w:val="00160C5B"/>
    <w:rsid w:val="0016116C"/>
    <w:rsid w:val="0016122A"/>
    <w:rsid w:val="00161F90"/>
    <w:rsid w:val="001623A2"/>
    <w:rsid w:val="00162F68"/>
    <w:rsid w:val="00163645"/>
    <w:rsid w:val="001643F8"/>
    <w:rsid w:val="00165FF0"/>
    <w:rsid w:val="00166023"/>
    <w:rsid w:val="001668BD"/>
    <w:rsid w:val="00170EFE"/>
    <w:rsid w:val="00171F8E"/>
    <w:rsid w:val="0017216E"/>
    <w:rsid w:val="0017293F"/>
    <w:rsid w:val="00172AEE"/>
    <w:rsid w:val="0017483F"/>
    <w:rsid w:val="00174C24"/>
    <w:rsid w:val="00175539"/>
    <w:rsid w:val="00175890"/>
    <w:rsid w:val="00176340"/>
    <w:rsid w:val="00176AE7"/>
    <w:rsid w:val="00176CB6"/>
    <w:rsid w:val="00176E98"/>
    <w:rsid w:val="00177307"/>
    <w:rsid w:val="00180811"/>
    <w:rsid w:val="001808E6"/>
    <w:rsid w:val="00180AEF"/>
    <w:rsid w:val="0018154E"/>
    <w:rsid w:val="00181FCA"/>
    <w:rsid w:val="001820C4"/>
    <w:rsid w:val="001824F0"/>
    <w:rsid w:val="00182A94"/>
    <w:rsid w:val="00182D63"/>
    <w:rsid w:val="00182F27"/>
    <w:rsid w:val="00183392"/>
    <w:rsid w:val="0018398A"/>
    <w:rsid w:val="00183D5F"/>
    <w:rsid w:val="00183EA5"/>
    <w:rsid w:val="00183FAF"/>
    <w:rsid w:val="00184502"/>
    <w:rsid w:val="001845D5"/>
    <w:rsid w:val="001850C5"/>
    <w:rsid w:val="0018526D"/>
    <w:rsid w:val="00185A12"/>
    <w:rsid w:val="00185BF6"/>
    <w:rsid w:val="00185D08"/>
    <w:rsid w:val="00186C81"/>
    <w:rsid w:val="00186DF9"/>
    <w:rsid w:val="00190983"/>
    <w:rsid w:val="0019151C"/>
    <w:rsid w:val="00191AA6"/>
    <w:rsid w:val="00191F79"/>
    <w:rsid w:val="0019213B"/>
    <w:rsid w:val="0019232E"/>
    <w:rsid w:val="0019239F"/>
    <w:rsid w:val="001924F6"/>
    <w:rsid w:val="00192CDB"/>
    <w:rsid w:val="00193D9B"/>
    <w:rsid w:val="00193F20"/>
    <w:rsid w:val="0019413C"/>
    <w:rsid w:val="001941E4"/>
    <w:rsid w:val="00195CF2"/>
    <w:rsid w:val="00195FB3"/>
    <w:rsid w:val="001965AA"/>
    <w:rsid w:val="001968E4"/>
    <w:rsid w:val="001971AE"/>
    <w:rsid w:val="00197278"/>
    <w:rsid w:val="00197392"/>
    <w:rsid w:val="00197EC3"/>
    <w:rsid w:val="00197FB1"/>
    <w:rsid w:val="001A0601"/>
    <w:rsid w:val="001A0BB0"/>
    <w:rsid w:val="001A1837"/>
    <w:rsid w:val="001A1C51"/>
    <w:rsid w:val="001A236F"/>
    <w:rsid w:val="001A28BA"/>
    <w:rsid w:val="001A3051"/>
    <w:rsid w:val="001A3387"/>
    <w:rsid w:val="001A4589"/>
    <w:rsid w:val="001A5350"/>
    <w:rsid w:val="001A59AF"/>
    <w:rsid w:val="001A6777"/>
    <w:rsid w:val="001A718F"/>
    <w:rsid w:val="001A75B9"/>
    <w:rsid w:val="001B18C3"/>
    <w:rsid w:val="001B20E4"/>
    <w:rsid w:val="001B2FCD"/>
    <w:rsid w:val="001B3285"/>
    <w:rsid w:val="001B370A"/>
    <w:rsid w:val="001B3E1C"/>
    <w:rsid w:val="001B4165"/>
    <w:rsid w:val="001B44DB"/>
    <w:rsid w:val="001B5EA6"/>
    <w:rsid w:val="001C0F05"/>
    <w:rsid w:val="001C110F"/>
    <w:rsid w:val="001C15B0"/>
    <w:rsid w:val="001C239A"/>
    <w:rsid w:val="001C2EE5"/>
    <w:rsid w:val="001C4B35"/>
    <w:rsid w:val="001C4CCF"/>
    <w:rsid w:val="001C501A"/>
    <w:rsid w:val="001C5CC2"/>
    <w:rsid w:val="001C6573"/>
    <w:rsid w:val="001C6BA6"/>
    <w:rsid w:val="001C726D"/>
    <w:rsid w:val="001C78CA"/>
    <w:rsid w:val="001D01FB"/>
    <w:rsid w:val="001D0221"/>
    <w:rsid w:val="001D15E5"/>
    <w:rsid w:val="001D2381"/>
    <w:rsid w:val="001D2CE9"/>
    <w:rsid w:val="001D34AF"/>
    <w:rsid w:val="001D3E63"/>
    <w:rsid w:val="001D40DA"/>
    <w:rsid w:val="001D6081"/>
    <w:rsid w:val="001D6F2E"/>
    <w:rsid w:val="001D71BC"/>
    <w:rsid w:val="001D755A"/>
    <w:rsid w:val="001E0367"/>
    <w:rsid w:val="001E11E2"/>
    <w:rsid w:val="001E2B1A"/>
    <w:rsid w:val="001E373E"/>
    <w:rsid w:val="001E3753"/>
    <w:rsid w:val="001E383E"/>
    <w:rsid w:val="001E4011"/>
    <w:rsid w:val="001E4456"/>
    <w:rsid w:val="001E44C8"/>
    <w:rsid w:val="001E4E88"/>
    <w:rsid w:val="001E4FFF"/>
    <w:rsid w:val="001E5BEE"/>
    <w:rsid w:val="001E619D"/>
    <w:rsid w:val="001E68EE"/>
    <w:rsid w:val="001E751C"/>
    <w:rsid w:val="001E77C4"/>
    <w:rsid w:val="001E7EA4"/>
    <w:rsid w:val="001F00B7"/>
    <w:rsid w:val="001F1092"/>
    <w:rsid w:val="001F1E88"/>
    <w:rsid w:val="001F2337"/>
    <w:rsid w:val="001F367C"/>
    <w:rsid w:val="001F4EB9"/>
    <w:rsid w:val="001F4FDB"/>
    <w:rsid w:val="001F540A"/>
    <w:rsid w:val="001F5D2F"/>
    <w:rsid w:val="001F5E20"/>
    <w:rsid w:val="001F5FA3"/>
    <w:rsid w:val="001F60AC"/>
    <w:rsid w:val="001F6E1E"/>
    <w:rsid w:val="001F6F0C"/>
    <w:rsid w:val="001F74B9"/>
    <w:rsid w:val="002002AA"/>
    <w:rsid w:val="002003C3"/>
    <w:rsid w:val="002019D1"/>
    <w:rsid w:val="00201E8F"/>
    <w:rsid w:val="002023B3"/>
    <w:rsid w:val="00202CDB"/>
    <w:rsid w:val="00203052"/>
    <w:rsid w:val="00204381"/>
    <w:rsid w:val="00204779"/>
    <w:rsid w:val="00204799"/>
    <w:rsid w:val="00204EBE"/>
    <w:rsid w:val="002051EA"/>
    <w:rsid w:val="002060C2"/>
    <w:rsid w:val="00207674"/>
    <w:rsid w:val="002076D5"/>
    <w:rsid w:val="002111F3"/>
    <w:rsid w:val="002117F4"/>
    <w:rsid w:val="002118E8"/>
    <w:rsid w:val="00212116"/>
    <w:rsid w:val="00212798"/>
    <w:rsid w:val="00213180"/>
    <w:rsid w:val="002136EF"/>
    <w:rsid w:val="00213D58"/>
    <w:rsid w:val="00213EB4"/>
    <w:rsid w:val="002142CA"/>
    <w:rsid w:val="0021481A"/>
    <w:rsid w:val="00214D1A"/>
    <w:rsid w:val="00214EEA"/>
    <w:rsid w:val="00215254"/>
    <w:rsid w:val="00215ADA"/>
    <w:rsid w:val="00216326"/>
    <w:rsid w:val="00216648"/>
    <w:rsid w:val="00216651"/>
    <w:rsid w:val="00216AAD"/>
    <w:rsid w:val="00216C9A"/>
    <w:rsid w:val="00216D51"/>
    <w:rsid w:val="00217096"/>
    <w:rsid w:val="00217C7A"/>
    <w:rsid w:val="00217E93"/>
    <w:rsid w:val="0022027B"/>
    <w:rsid w:val="00220699"/>
    <w:rsid w:val="00220CF8"/>
    <w:rsid w:val="00220D8D"/>
    <w:rsid w:val="0022151A"/>
    <w:rsid w:val="002215FD"/>
    <w:rsid w:val="002216C7"/>
    <w:rsid w:val="00221E48"/>
    <w:rsid w:val="00222228"/>
    <w:rsid w:val="00222370"/>
    <w:rsid w:val="00223892"/>
    <w:rsid w:val="00223F09"/>
    <w:rsid w:val="002245C8"/>
    <w:rsid w:val="0022465E"/>
    <w:rsid w:val="00225164"/>
    <w:rsid w:val="00225168"/>
    <w:rsid w:val="0023041D"/>
    <w:rsid w:val="00231385"/>
    <w:rsid w:val="002316E9"/>
    <w:rsid w:val="002326C1"/>
    <w:rsid w:val="00232A8A"/>
    <w:rsid w:val="00233032"/>
    <w:rsid w:val="002332F7"/>
    <w:rsid w:val="00233986"/>
    <w:rsid w:val="00233D50"/>
    <w:rsid w:val="00234798"/>
    <w:rsid w:val="00240C3D"/>
    <w:rsid w:val="00240D9B"/>
    <w:rsid w:val="002413A5"/>
    <w:rsid w:val="002421FC"/>
    <w:rsid w:val="00242676"/>
    <w:rsid w:val="00243641"/>
    <w:rsid w:val="0024415B"/>
    <w:rsid w:val="00244642"/>
    <w:rsid w:val="00244D15"/>
    <w:rsid w:val="00244E1B"/>
    <w:rsid w:val="00245474"/>
    <w:rsid w:val="002462FC"/>
    <w:rsid w:val="00246417"/>
    <w:rsid w:val="0024752F"/>
    <w:rsid w:val="00247C3E"/>
    <w:rsid w:val="002500E6"/>
    <w:rsid w:val="00250302"/>
    <w:rsid w:val="002503BA"/>
    <w:rsid w:val="00251005"/>
    <w:rsid w:val="0025173F"/>
    <w:rsid w:val="00251F57"/>
    <w:rsid w:val="0025220D"/>
    <w:rsid w:val="002529E3"/>
    <w:rsid w:val="00252E78"/>
    <w:rsid w:val="00253D47"/>
    <w:rsid w:val="002545AB"/>
    <w:rsid w:val="00254667"/>
    <w:rsid w:val="0025469B"/>
    <w:rsid w:val="00255101"/>
    <w:rsid w:val="002553EF"/>
    <w:rsid w:val="0025556C"/>
    <w:rsid w:val="002555A1"/>
    <w:rsid w:val="002557F9"/>
    <w:rsid w:val="002559EF"/>
    <w:rsid w:val="0025637F"/>
    <w:rsid w:val="002567D3"/>
    <w:rsid w:val="00256C8E"/>
    <w:rsid w:val="002572C6"/>
    <w:rsid w:val="00257669"/>
    <w:rsid w:val="00257837"/>
    <w:rsid w:val="002605A7"/>
    <w:rsid w:val="00260847"/>
    <w:rsid w:val="00261653"/>
    <w:rsid w:val="0026189C"/>
    <w:rsid w:val="00262391"/>
    <w:rsid w:val="0026368D"/>
    <w:rsid w:val="00263A27"/>
    <w:rsid w:val="0026424C"/>
    <w:rsid w:val="002642FC"/>
    <w:rsid w:val="00266AF5"/>
    <w:rsid w:val="00266D04"/>
    <w:rsid w:val="002674FC"/>
    <w:rsid w:val="00267867"/>
    <w:rsid w:val="002701ED"/>
    <w:rsid w:val="0027076E"/>
    <w:rsid w:val="002715E5"/>
    <w:rsid w:val="00271642"/>
    <w:rsid w:val="00271AF4"/>
    <w:rsid w:val="00272747"/>
    <w:rsid w:val="00272812"/>
    <w:rsid w:val="00273AF1"/>
    <w:rsid w:val="00273EB1"/>
    <w:rsid w:val="002742C4"/>
    <w:rsid w:val="0027478C"/>
    <w:rsid w:val="002747FE"/>
    <w:rsid w:val="002749F4"/>
    <w:rsid w:val="00274CEA"/>
    <w:rsid w:val="00276E87"/>
    <w:rsid w:val="00280569"/>
    <w:rsid w:val="0028159B"/>
    <w:rsid w:val="00283343"/>
    <w:rsid w:val="00283475"/>
    <w:rsid w:val="002841B8"/>
    <w:rsid w:val="002843A3"/>
    <w:rsid w:val="00284488"/>
    <w:rsid w:val="00284D15"/>
    <w:rsid w:val="00285044"/>
    <w:rsid w:val="0028534D"/>
    <w:rsid w:val="00285594"/>
    <w:rsid w:val="00285654"/>
    <w:rsid w:val="00285BC7"/>
    <w:rsid w:val="0028636E"/>
    <w:rsid w:val="00286740"/>
    <w:rsid w:val="00286AC4"/>
    <w:rsid w:val="00287F6C"/>
    <w:rsid w:val="00290163"/>
    <w:rsid w:val="002907AE"/>
    <w:rsid w:val="00290876"/>
    <w:rsid w:val="00290C55"/>
    <w:rsid w:val="00290EE6"/>
    <w:rsid w:val="00292884"/>
    <w:rsid w:val="00292971"/>
    <w:rsid w:val="00292EC1"/>
    <w:rsid w:val="00293051"/>
    <w:rsid w:val="0029338A"/>
    <w:rsid w:val="00293D1E"/>
    <w:rsid w:val="00294726"/>
    <w:rsid w:val="0029481A"/>
    <w:rsid w:val="00294B02"/>
    <w:rsid w:val="00294D83"/>
    <w:rsid w:val="0029593D"/>
    <w:rsid w:val="00295C97"/>
    <w:rsid w:val="002961BB"/>
    <w:rsid w:val="002968B1"/>
    <w:rsid w:val="002968FE"/>
    <w:rsid w:val="00296F46"/>
    <w:rsid w:val="0029717D"/>
    <w:rsid w:val="00297C07"/>
    <w:rsid w:val="002A1277"/>
    <w:rsid w:val="002A1772"/>
    <w:rsid w:val="002A29F2"/>
    <w:rsid w:val="002A3C2E"/>
    <w:rsid w:val="002A4845"/>
    <w:rsid w:val="002A50A9"/>
    <w:rsid w:val="002A5F57"/>
    <w:rsid w:val="002A6CBF"/>
    <w:rsid w:val="002A6D63"/>
    <w:rsid w:val="002A748F"/>
    <w:rsid w:val="002B02E8"/>
    <w:rsid w:val="002B1377"/>
    <w:rsid w:val="002B14CD"/>
    <w:rsid w:val="002B2304"/>
    <w:rsid w:val="002B25DE"/>
    <w:rsid w:val="002B2668"/>
    <w:rsid w:val="002B2B8E"/>
    <w:rsid w:val="002B2EF8"/>
    <w:rsid w:val="002B3E0D"/>
    <w:rsid w:val="002B3E89"/>
    <w:rsid w:val="002B484C"/>
    <w:rsid w:val="002B4D3E"/>
    <w:rsid w:val="002B5D34"/>
    <w:rsid w:val="002B695A"/>
    <w:rsid w:val="002B6BB4"/>
    <w:rsid w:val="002B73E2"/>
    <w:rsid w:val="002B7904"/>
    <w:rsid w:val="002B79DA"/>
    <w:rsid w:val="002B7F97"/>
    <w:rsid w:val="002C0110"/>
    <w:rsid w:val="002C096A"/>
    <w:rsid w:val="002C12D6"/>
    <w:rsid w:val="002C18B7"/>
    <w:rsid w:val="002C1B26"/>
    <w:rsid w:val="002C23BF"/>
    <w:rsid w:val="002C24D7"/>
    <w:rsid w:val="002C286D"/>
    <w:rsid w:val="002C2CAC"/>
    <w:rsid w:val="002C2F4E"/>
    <w:rsid w:val="002C33B7"/>
    <w:rsid w:val="002C3578"/>
    <w:rsid w:val="002C3ED6"/>
    <w:rsid w:val="002C418B"/>
    <w:rsid w:val="002C4201"/>
    <w:rsid w:val="002C468E"/>
    <w:rsid w:val="002C4D33"/>
    <w:rsid w:val="002C522A"/>
    <w:rsid w:val="002C64F3"/>
    <w:rsid w:val="002C6996"/>
    <w:rsid w:val="002C69F6"/>
    <w:rsid w:val="002C6C5B"/>
    <w:rsid w:val="002C7537"/>
    <w:rsid w:val="002D00C7"/>
    <w:rsid w:val="002D0399"/>
    <w:rsid w:val="002D0882"/>
    <w:rsid w:val="002D1067"/>
    <w:rsid w:val="002D11C6"/>
    <w:rsid w:val="002D1252"/>
    <w:rsid w:val="002D17E3"/>
    <w:rsid w:val="002D2739"/>
    <w:rsid w:val="002D2B07"/>
    <w:rsid w:val="002D2DC4"/>
    <w:rsid w:val="002D2FA5"/>
    <w:rsid w:val="002D3AE3"/>
    <w:rsid w:val="002D3F6E"/>
    <w:rsid w:val="002D516B"/>
    <w:rsid w:val="002D51C1"/>
    <w:rsid w:val="002D527A"/>
    <w:rsid w:val="002D5811"/>
    <w:rsid w:val="002D6978"/>
    <w:rsid w:val="002D6A0C"/>
    <w:rsid w:val="002D6A9D"/>
    <w:rsid w:val="002D72DE"/>
    <w:rsid w:val="002D7651"/>
    <w:rsid w:val="002D7BAD"/>
    <w:rsid w:val="002E029F"/>
    <w:rsid w:val="002E130D"/>
    <w:rsid w:val="002E1ADD"/>
    <w:rsid w:val="002E1EDB"/>
    <w:rsid w:val="002E20E4"/>
    <w:rsid w:val="002E2255"/>
    <w:rsid w:val="002E2470"/>
    <w:rsid w:val="002E2D64"/>
    <w:rsid w:val="002E339C"/>
    <w:rsid w:val="002E4150"/>
    <w:rsid w:val="002E43D0"/>
    <w:rsid w:val="002E49A6"/>
    <w:rsid w:val="002E6EAB"/>
    <w:rsid w:val="002E7F57"/>
    <w:rsid w:val="002F013B"/>
    <w:rsid w:val="002F0511"/>
    <w:rsid w:val="002F094A"/>
    <w:rsid w:val="002F209C"/>
    <w:rsid w:val="002F2AA4"/>
    <w:rsid w:val="002F37A8"/>
    <w:rsid w:val="002F3E25"/>
    <w:rsid w:val="002F4E32"/>
    <w:rsid w:val="002F5021"/>
    <w:rsid w:val="002F50A5"/>
    <w:rsid w:val="002F5497"/>
    <w:rsid w:val="002F56B6"/>
    <w:rsid w:val="002F6391"/>
    <w:rsid w:val="002F68BA"/>
    <w:rsid w:val="002F6AC3"/>
    <w:rsid w:val="002F6D4A"/>
    <w:rsid w:val="002F748D"/>
    <w:rsid w:val="002F781A"/>
    <w:rsid w:val="002F7EAC"/>
    <w:rsid w:val="00300566"/>
    <w:rsid w:val="003006DA"/>
    <w:rsid w:val="0030071E"/>
    <w:rsid w:val="00300DE1"/>
    <w:rsid w:val="00300E8B"/>
    <w:rsid w:val="0030108C"/>
    <w:rsid w:val="003015BA"/>
    <w:rsid w:val="00301E6A"/>
    <w:rsid w:val="00302CD2"/>
    <w:rsid w:val="0030300D"/>
    <w:rsid w:val="00303208"/>
    <w:rsid w:val="00303427"/>
    <w:rsid w:val="0030350B"/>
    <w:rsid w:val="00303543"/>
    <w:rsid w:val="00303716"/>
    <w:rsid w:val="00303BB4"/>
    <w:rsid w:val="00304129"/>
    <w:rsid w:val="00304DDA"/>
    <w:rsid w:val="00305F56"/>
    <w:rsid w:val="00307BFD"/>
    <w:rsid w:val="00307E09"/>
    <w:rsid w:val="00307E4B"/>
    <w:rsid w:val="00307F21"/>
    <w:rsid w:val="00310430"/>
    <w:rsid w:val="003114FA"/>
    <w:rsid w:val="00311BEA"/>
    <w:rsid w:val="00311D79"/>
    <w:rsid w:val="00312B38"/>
    <w:rsid w:val="00313799"/>
    <w:rsid w:val="00313907"/>
    <w:rsid w:val="00313A44"/>
    <w:rsid w:val="00313E37"/>
    <w:rsid w:val="00314D1E"/>
    <w:rsid w:val="00315241"/>
    <w:rsid w:val="003153BB"/>
    <w:rsid w:val="0031729F"/>
    <w:rsid w:val="003174F8"/>
    <w:rsid w:val="00317FD8"/>
    <w:rsid w:val="00320B2A"/>
    <w:rsid w:val="00320F20"/>
    <w:rsid w:val="00321743"/>
    <w:rsid w:val="00322BE4"/>
    <w:rsid w:val="00322FA8"/>
    <w:rsid w:val="00324DD1"/>
    <w:rsid w:val="00325472"/>
    <w:rsid w:val="00325769"/>
    <w:rsid w:val="00325AC3"/>
    <w:rsid w:val="00326155"/>
    <w:rsid w:val="00326B55"/>
    <w:rsid w:val="00327425"/>
    <w:rsid w:val="00330509"/>
    <w:rsid w:val="003308A9"/>
    <w:rsid w:val="0033105F"/>
    <w:rsid w:val="003310A7"/>
    <w:rsid w:val="003311C5"/>
    <w:rsid w:val="00331492"/>
    <w:rsid w:val="00332972"/>
    <w:rsid w:val="0033309B"/>
    <w:rsid w:val="00333789"/>
    <w:rsid w:val="00333B5E"/>
    <w:rsid w:val="0033470F"/>
    <w:rsid w:val="00334766"/>
    <w:rsid w:val="00334E1E"/>
    <w:rsid w:val="00335348"/>
    <w:rsid w:val="00335F25"/>
    <w:rsid w:val="00336631"/>
    <w:rsid w:val="003368A9"/>
    <w:rsid w:val="00337244"/>
    <w:rsid w:val="00337793"/>
    <w:rsid w:val="00337863"/>
    <w:rsid w:val="00337CA7"/>
    <w:rsid w:val="00340786"/>
    <w:rsid w:val="003418A7"/>
    <w:rsid w:val="00342205"/>
    <w:rsid w:val="003423EB"/>
    <w:rsid w:val="003429F1"/>
    <w:rsid w:val="00342B71"/>
    <w:rsid w:val="00342EDD"/>
    <w:rsid w:val="0034309B"/>
    <w:rsid w:val="00343737"/>
    <w:rsid w:val="00344353"/>
    <w:rsid w:val="00344B38"/>
    <w:rsid w:val="003459AC"/>
    <w:rsid w:val="003464BD"/>
    <w:rsid w:val="00346E32"/>
    <w:rsid w:val="0034755B"/>
    <w:rsid w:val="00351513"/>
    <w:rsid w:val="00351BD9"/>
    <w:rsid w:val="00352C2B"/>
    <w:rsid w:val="00352F76"/>
    <w:rsid w:val="0035338B"/>
    <w:rsid w:val="003533A4"/>
    <w:rsid w:val="0035368F"/>
    <w:rsid w:val="00354E8D"/>
    <w:rsid w:val="0035525B"/>
    <w:rsid w:val="003554A7"/>
    <w:rsid w:val="00355C2D"/>
    <w:rsid w:val="00356CE8"/>
    <w:rsid w:val="00357974"/>
    <w:rsid w:val="003579F2"/>
    <w:rsid w:val="00360058"/>
    <w:rsid w:val="00360470"/>
    <w:rsid w:val="00360BE6"/>
    <w:rsid w:val="00361524"/>
    <w:rsid w:val="00361EAF"/>
    <w:rsid w:val="00361FC7"/>
    <w:rsid w:val="00362463"/>
    <w:rsid w:val="0036257D"/>
    <w:rsid w:val="00363014"/>
    <w:rsid w:val="0036316C"/>
    <w:rsid w:val="00363315"/>
    <w:rsid w:val="0036333F"/>
    <w:rsid w:val="003636BA"/>
    <w:rsid w:val="00363C1A"/>
    <w:rsid w:val="00363E99"/>
    <w:rsid w:val="00364563"/>
    <w:rsid w:val="00365690"/>
    <w:rsid w:val="0036577B"/>
    <w:rsid w:val="00365959"/>
    <w:rsid w:val="003674D9"/>
    <w:rsid w:val="00367850"/>
    <w:rsid w:val="0037017F"/>
    <w:rsid w:val="00370377"/>
    <w:rsid w:val="00371384"/>
    <w:rsid w:val="00371EEF"/>
    <w:rsid w:val="00372965"/>
    <w:rsid w:val="00372C6F"/>
    <w:rsid w:val="00373E32"/>
    <w:rsid w:val="003748CB"/>
    <w:rsid w:val="00374CB3"/>
    <w:rsid w:val="00375136"/>
    <w:rsid w:val="00375C31"/>
    <w:rsid w:val="00376467"/>
    <w:rsid w:val="00377E04"/>
    <w:rsid w:val="00377FA0"/>
    <w:rsid w:val="00380F3E"/>
    <w:rsid w:val="00380F49"/>
    <w:rsid w:val="003810AB"/>
    <w:rsid w:val="00381745"/>
    <w:rsid w:val="00381764"/>
    <w:rsid w:val="0038363F"/>
    <w:rsid w:val="00383E33"/>
    <w:rsid w:val="003849E0"/>
    <w:rsid w:val="003854E9"/>
    <w:rsid w:val="0038577D"/>
    <w:rsid w:val="00385C8A"/>
    <w:rsid w:val="0038746F"/>
    <w:rsid w:val="00390575"/>
    <w:rsid w:val="003906CD"/>
    <w:rsid w:val="00391125"/>
    <w:rsid w:val="00391F0E"/>
    <w:rsid w:val="003922B1"/>
    <w:rsid w:val="0039296F"/>
    <w:rsid w:val="003930B5"/>
    <w:rsid w:val="0039334A"/>
    <w:rsid w:val="00393468"/>
    <w:rsid w:val="00393585"/>
    <w:rsid w:val="003935B9"/>
    <w:rsid w:val="00395CCF"/>
    <w:rsid w:val="003967B0"/>
    <w:rsid w:val="00396958"/>
    <w:rsid w:val="00396B1E"/>
    <w:rsid w:val="00396E17"/>
    <w:rsid w:val="003A06C5"/>
    <w:rsid w:val="003A0890"/>
    <w:rsid w:val="003A0A29"/>
    <w:rsid w:val="003A1AF7"/>
    <w:rsid w:val="003A221F"/>
    <w:rsid w:val="003A295A"/>
    <w:rsid w:val="003A3159"/>
    <w:rsid w:val="003A39C7"/>
    <w:rsid w:val="003A3AC4"/>
    <w:rsid w:val="003A3D0E"/>
    <w:rsid w:val="003A3D9A"/>
    <w:rsid w:val="003A409D"/>
    <w:rsid w:val="003A4129"/>
    <w:rsid w:val="003A420E"/>
    <w:rsid w:val="003A4AAF"/>
    <w:rsid w:val="003A4B2E"/>
    <w:rsid w:val="003A54BC"/>
    <w:rsid w:val="003A5737"/>
    <w:rsid w:val="003A58AF"/>
    <w:rsid w:val="003B019B"/>
    <w:rsid w:val="003B01E4"/>
    <w:rsid w:val="003B088E"/>
    <w:rsid w:val="003B1F25"/>
    <w:rsid w:val="003B2E07"/>
    <w:rsid w:val="003B3951"/>
    <w:rsid w:val="003B3BDF"/>
    <w:rsid w:val="003B44AF"/>
    <w:rsid w:val="003B4787"/>
    <w:rsid w:val="003B4F0C"/>
    <w:rsid w:val="003B50BA"/>
    <w:rsid w:val="003B5452"/>
    <w:rsid w:val="003B5717"/>
    <w:rsid w:val="003B5B2E"/>
    <w:rsid w:val="003B5CAF"/>
    <w:rsid w:val="003B6534"/>
    <w:rsid w:val="003B6D41"/>
    <w:rsid w:val="003B7C7B"/>
    <w:rsid w:val="003C0E58"/>
    <w:rsid w:val="003C14B1"/>
    <w:rsid w:val="003C1591"/>
    <w:rsid w:val="003C199E"/>
    <w:rsid w:val="003C2280"/>
    <w:rsid w:val="003C2AA7"/>
    <w:rsid w:val="003C2F47"/>
    <w:rsid w:val="003C44D1"/>
    <w:rsid w:val="003C4733"/>
    <w:rsid w:val="003C4F06"/>
    <w:rsid w:val="003C5A14"/>
    <w:rsid w:val="003C5DE7"/>
    <w:rsid w:val="003C6080"/>
    <w:rsid w:val="003C6592"/>
    <w:rsid w:val="003C667C"/>
    <w:rsid w:val="003C7651"/>
    <w:rsid w:val="003C7879"/>
    <w:rsid w:val="003D067C"/>
    <w:rsid w:val="003D0906"/>
    <w:rsid w:val="003D13D8"/>
    <w:rsid w:val="003D15ED"/>
    <w:rsid w:val="003D2486"/>
    <w:rsid w:val="003D2A35"/>
    <w:rsid w:val="003D321B"/>
    <w:rsid w:val="003D35FA"/>
    <w:rsid w:val="003D39EF"/>
    <w:rsid w:val="003D41BA"/>
    <w:rsid w:val="003D41C7"/>
    <w:rsid w:val="003D420B"/>
    <w:rsid w:val="003D4CC1"/>
    <w:rsid w:val="003D529E"/>
    <w:rsid w:val="003D6474"/>
    <w:rsid w:val="003D664F"/>
    <w:rsid w:val="003D6670"/>
    <w:rsid w:val="003D707F"/>
    <w:rsid w:val="003D71D5"/>
    <w:rsid w:val="003D74EF"/>
    <w:rsid w:val="003D7671"/>
    <w:rsid w:val="003E1122"/>
    <w:rsid w:val="003E12C9"/>
    <w:rsid w:val="003E1604"/>
    <w:rsid w:val="003E1766"/>
    <w:rsid w:val="003E18F5"/>
    <w:rsid w:val="003E1A61"/>
    <w:rsid w:val="003E279B"/>
    <w:rsid w:val="003E2AB7"/>
    <w:rsid w:val="003E2F36"/>
    <w:rsid w:val="003E2FB3"/>
    <w:rsid w:val="003E37A0"/>
    <w:rsid w:val="003E393E"/>
    <w:rsid w:val="003E507E"/>
    <w:rsid w:val="003E5394"/>
    <w:rsid w:val="003E678B"/>
    <w:rsid w:val="003E6D93"/>
    <w:rsid w:val="003E76C6"/>
    <w:rsid w:val="003F0186"/>
    <w:rsid w:val="003F038A"/>
    <w:rsid w:val="003F0555"/>
    <w:rsid w:val="003F09E9"/>
    <w:rsid w:val="003F0D0F"/>
    <w:rsid w:val="003F11D8"/>
    <w:rsid w:val="003F1222"/>
    <w:rsid w:val="003F1AAC"/>
    <w:rsid w:val="003F1C6D"/>
    <w:rsid w:val="003F1D12"/>
    <w:rsid w:val="003F1E3F"/>
    <w:rsid w:val="003F1ECD"/>
    <w:rsid w:val="003F2C12"/>
    <w:rsid w:val="003F3195"/>
    <w:rsid w:val="003F32A8"/>
    <w:rsid w:val="003F3673"/>
    <w:rsid w:val="003F3760"/>
    <w:rsid w:val="003F465F"/>
    <w:rsid w:val="003F47AB"/>
    <w:rsid w:val="003F4B6C"/>
    <w:rsid w:val="003F4DAF"/>
    <w:rsid w:val="003F5A39"/>
    <w:rsid w:val="003F6039"/>
    <w:rsid w:val="003F67D7"/>
    <w:rsid w:val="003F7144"/>
    <w:rsid w:val="003F74EF"/>
    <w:rsid w:val="00400758"/>
    <w:rsid w:val="00400A77"/>
    <w:rsid w:val="00401B6E"/>
    <w:rsid w:val="00404123"/>
    <w:rsid w:val="00404B91"/>
    <w:rsid w:val="00404BB2"/>
    <w:rsid w:val="0040541F"/>
    <w:rsid w:val="00405424"/>
    <w:rsid w:val="00405C8A"/>
    <w:rsid w:val="00406889"/>
    <w:rsid w:val="00406DEE"/>
    <w:rsid w:val="004072DC"/>
    <w:rsid w:val="00410081"/>
    <w:rsid w:val="00410E96"/>
    <w:rsid w:val="00411C1D"/>
    <w:rsid w:val="0041242B"/>
    <w:rsid w:val="00412A04"/>
    <w:rsid w:val="00412C22"/>
    <w:rsid w:val="00412DB7"/>
    <w:rsid w:val="0041307A"/>
    <w:rsid w:val="00413397"/>
    <w:rsid w:val="00413D02"/>
    <w:rsid w:val="00413DF7"/>
    <w:rsid w:val="004141EF"/>
    <w:rsid w:val="004150A8"/>
    <w:rsid w:val="004158E1"/>
    <w:rsid w:val="00415B20"/>
    <w:rsid w:val="00417E9B"/>
    <w:rsid w:val="00417ECD"/>
    <w:rsid w:val="00420473"/>
    <w:rsid w:val="00420694"/>
    <w:rsid w:val="0042081E"/>
    <w:rsid w:val="00420E0C"/>
    <w:rsid w:val="00421989"/>
    <w:rsid w:val="00421C02"/>
    <w:rsid w:val="00422163"/>
    <w:rsid w:val="00422B00"/>
    <w:rsid w:val="0042331A"/>
    <w:rsid w:val="00423479"/>
    <w:rsid w:val="00424B49"/>
    <w:rsid w:val="00424BC0"/>
    <w:rsid w:val="00424CD9"/>
    <w:rsid w:val="00424EE9"/>
    <w:rsid w:val="00425C82"/>
    <w:rsid w:val="004267BD"/>
    <w:rsid w:val="00426D00"/>
    <w:rsid w:val="00427071"/>
    <w:rsid w:val="0043000A"/>
    <w:rsid w:val="0043033C"/>
    <w:rsid w:val="00430A35"/>
    <w:rsid w:val="004318F3"/>
    <w:rsid w:val="0043232C"/>
    <w:rsid w:val="00432C14"/>
    <w:rsid w:val="00432D80"/>
    <w:rsid w:val="00432EC8"/>
    <w:rsid w:val="00433ACC"/>
    <w:rsid w:val="004341E9"/>
    <w:rsid w:val="00434323"/>
    <w:rsid w:val="00434720"/>
    <w:rsid w:val="00434C76"/>
    <w:rsid w:val="00434CA4"/>
    <w:rsid w:val="00436D44"/>
    <w:rsid w:val="004379FE"/>
    <w:rsid w:val="00440C48"/>
    <w:rsid w:val="00440E3B"/>
    <w:rsid w:val="0044111B"/>
    <w:rsid w:val="00441F13"/>
    <w:rsid w:val="00441FF4"/>
    <w:rsid w:val="004437DC"/>
    <w:rsid w:val="004443AB"/>
    <w:rsid w:val="00444624"/>
    <w:rsid w:val="0044486A"/>
    <w:rsid w:val="004448DB"/>
    <w:rsid w:val="004450D0"/>
    <w:rsid w:val="00445D17"/>
    <w:rsid w:val="00445F93"/>
    <w:rsid w:val="0044645D"/>
    <w:rsid w:val="00446746"/>
    <w:rsid w:val="004473E1"/>
    <w:rsid w:val="00447435"/>
    <w:rsid w:val="00447467"/>
    <w:rsid w:val="00447BE4"/>
    <w:rsid w:val="00447CC7"/>
    <w:rsid w:val="0045342A"/>
    <w:rsid w:val="004539F3"/>
    <w:rsid w:val="00453E52"/>
    <w:rsid w:val="00454F37"/>
    <w:rsid w:val="004551C5"/>
    <w:rsid w:val="0045536D"/>
    <w:rsid w:val="0045563A"/>
    <w:rsid w:val="00455C0B"/>
    <w:rsid w:val="00460A2F"/>
    <w:rsid w:val="00460DFC"/>
    <w:rsid w:val="00462344"/>
    <w:rsid w:val="00462792"/>
    <w:rsid w:val="00462EC3"/>
    <w:rsid w:val="00463713"/>
    <w:rsid w:val="00464A54"/>
    <w:rsid w:val="00465E1C"/>
    <w:rsid w:val="00466917"/>
    <w:rsid w:val="00466A68"/>
    <w:rsid w:val="00466E1F"/>
    <w:rsid w:val="00467A07"/>
    <w:rsid w:val="00467DDF"/>
    <w:rsid w:val="00467E6F"/>
    <w:rsid w:val="0047087C"/>
    <w:rsid w:val="004709CF"/>
    <w:rsid w:val="00470D72"/>
    <w:rsid w:val="004712BA"/>
    <w:rsid w:val="004715DB"/>
    <w:rsid w:val="004717FC"/>
    <w:rsid w:val="00472D57"/>
    <w:rsid w:val="0047319E"/>
    <w:rsid w:val="0047343D"/>
    <w:rsid w:val="004737AB"/>
    <w:rsid w:val="004756A4"/>
    <w:rsid w:val="004757DD"/>
    <w:rsid w:val="00475A00"/>
    <w:rsid w:val="00475DE8"/>
    <w:rsid w:val="0047620B"/>
    <w:rsid w:val="004765C1"/>
    <w:rsid w:val="00476839"/>
    <w:rsid w:val="00477156"/>
    <w:rsid w:val="00480314"/>
    <w:rsid w:val="00480836"/>
    <w:rsid w:val="0048093C"/>
    <w:rsid w:val="00480C6C"/>
    <w:rsid w:val="00481755"/>
    <w:rsid w:val="00483EBC"/>
    <w:rsid w:val="004842F9"/>
    <w:rsid w:val="004847E2"/>
    <w:rsid w:val="0048633C"/>
    <w:rsid w:val="00487507"/>
    <w:rsid w:val="00487663"/>
    <w:rsid w:val="004877CE"/>
    <w:rsid w:val="00487AA1"/>
    <w:rsid w:val="00487D87"/>
    <w:rsid w:val="0049089F"/>
    <w:rsid w:val="0049099D"/>
    <w:rsid w:val="00490E4A"/>
    <w:rsid w:val="004913DD"/>
    <w:rsid w:val="00491AF2"/>
    <w:rsid w:val="00491FB0"/>
    <w:rsid w:val="00492077"/>
    <w:rsid w:val="004920BE"/>
    <w:rsid w:val="004923E3"/>
    <w:rsid w:val="00492A23"/>
    <w:rsid w:val="004930C9"/>
    <w:rsid w:val="00495607"/>
    <w:rsid w:val="00495774"/>
    <w:rsid w:val="00495F75"/>
    <w:rsid w:val="00496151"/>
    <w:rsid w:val="00496379"/>
    <w:rsid w:val="004969CB"/>
    <w:rsid w:val="00496CB2"/>
    <w:rsid w:val="00497689"/>
    <w:rsid w:val="00497B8B"/>
    <w:rsid w:val="004A0111"/>
    <w:rsid w:val="004A0A58"/>
    <w:rsid w:val="004A0FBA"/>
    <w:rsid w:val="004A1B28"/>
    <w:rsid w:val="004A1C37"/>
    <w:rsid w:val="004A2BF9"/>
    <w:rsid w:val="004A2C3A"/>
    <w:rsid w:val="004A39B3"/>
    <w:rsid w:val="004A3A16"/>
    <w:rsid w:val="004A443B"/>
    <w:rsid w:val="004A5BC6"/>
    <w:rsid w:val="004A6087"/>
    <w:rsid w:val="004A73AA"/>
    <w:rsid w:val="004B014F"/>
    <w:rsid w:val="004B0A99"/>
    <w:rsid w:val="004B14D9"/>
    <w:rsid w:val="004B2450"/>
    <w:rsid w:val="004B32FC"/>
    <w:rsid w:val="004B3CEC"/>
    <w:rsid w:val="004B4071"/>
    <w:rsid w:val="004B41CA"/>
    <w:rsid w:val="004B41D3"/>
    <w:rsid w:val="004B4228"/>
    <w:rsid w:val="004B4A3D"/>
    <w:rsid w:val="004B5ADF"/>
    <w:rsid w:val="004B5DC2"/>
    <w:rsid w:val="004B66C4"/>
    <w:rsid w:val="004B67FA"/>
    <w:rsid w:val="004B702C"/>
    <w:rsid w:val="004B7411"/>
    <w:rsid w:val="004B74DA"/>
    <w:rsid w:val="004C009E"/>
    <w:rsid w:val="004C1CED"/>
    <w:rsid w:val="004C2707"/>
    <w:rsid w:val="004C43B3"/>
    <w:rsid w:val="004C458A"/>
    <w:rsid w:val="004C4C7A"/>
    <w:rsid w:val="004C4E08"/>
    <w:rsid w:val="004C4F65"/>
    <w:rsid w:val="004C5F4E"/>
    <w:rsid w:val="004C60F8"/>
    <w:rsid w:val="004C665A"/>
    <w:rsid w:val="004C6BE5"/>
    <w:rsid w:val="004C6EDF"/>
    <w:rsid w:val="004C6F08"/>
    <w:rsid w:val="004C75F6"/>
    <w:rsid w:val="004D0314"/>
    <w:rsid w:val="004D0661"/>
    <w:rsid w:val="004D0892"/>
    <w:rsid w:val="004D1AD3"/>
    <w:rsid w:val="004D311F"/>
    <w:rsid w:val="004D4B5F"/>
    <w:rsid w:val="004D4EF0"/>
    <w:rsid w:val="004D54BD"/>
    <w:rsid w:val="004D6524"/>
    <w:rsid w:val="004D68BE"/>
    <w:rsid w:val="004D6BD9"/>
    <w:rsid w:val="004E0134"/>
    <w:rsid w:val="004E0695"/>
    <w:rsid w:val="004E09DC"/>
    <w:rsid w:val="004E1731"/>
    <w:rsid w:val="004E1D47"/>
    <w:rsid w:val="004E20A2"/>
    <w:rsid w:val="004E2A05"/>
    <w:rsid w:val="004E31BA"/>
    <w:rsid w:val="004E3966"/>
    <w:rsid w:val="004E3AFB"/>
    <w:rsid w:val="004E3D62"/>
    <w:rsid w:val="004E43D2"/>
    <w:rsid w:val="004E45A3"/>
    <w:rsid w:val="004E46DA"/>
    <w:rsid w:val="004E59B2"/>
    <w:rsid w:val="004E5E56"/>
    <w:rsid w:val="004E604F"/>
    <w:rsid w:val="004E73E8"/>
    <w:rsid w:val="004E74EC"/>
    <w:rsid w:val="004E7BF8"/>
    <w:rsid w:val="004E7DEA"/>
    <w:rsid w:val="004F141F"/>
    <w:rsid w:val="004F2000"/>
    <w:rsid w:val="004F24FB"/>
    <w:rsid w:val="004F2F68"/>
    <w:rsid w:val="004F4735"/>
    <w:rsid w:val="004F5B6B"/>
    <w:rsid w:val="004F5B94"/>
    <w:rsid w:val="004F63B9"/>
    <w:rsid w:val="004F709F"/>
    <w:rsid w:val="004F767C"/>
    <w:rsid w:val="005001BC"/>
    <w:rsid w:val="00500DD6"/>
    <w:rsid w:val="00501C83"/>
    <w:rsid w:val="0050271A"/>
    <w:rsid w:val="00502E71"/>
    <w:rsid w:val="00503A88"/>
    <w:rsid w:val="00504C80"/>
    <w:rsid w:val="005061E5"/>
    <w:rsid w:val="005062B4"/>
    <w:rsid w:val="00506F08"/>
    <w:rsid w:val="005104CF"/>
    <w:rsid w:val="00510E7E"/>
    <w:rsid w:val="00510F27"/>
    <w:rsid w:val="00511EE9"/>
    <w:rsid w:val="00513759"/>
    <w:rsid w:val="00514262"/>
    <w:rsid w:val="00514327"/>
    <w:rsid w:val="00514D54"/>
    <w:rsid w:val="005159CD"/>
    <w:rsid w:val="00515C6E"/>
    <w:rsid w:val="005160E2"/>
    <w:rsid w:val="005161AD"/>
    <w:rsid w:val="00516BBA"/>
    <w:rsid w:val="00516CBD"/>
    <w:rsid w:val="00516EB9"/>
    <w:rsid w:val="0051752A"/>
    <w:rsid w:val="00517F39"/>
    <w:rsid w:val="00517FBF"/>
    <w:rsid w:val="005211AC"/>
    <w:rsid w:val="00521371"/>
    <w:rsid w:val="00521617"/>
    <w:rsid w:val="00522945"/>
    <w:rsid w:val="00523BD2"/>
    <w:rsid w:val="00523FAF"/>
    <w:rsid w:val="00524146"/>
    <w:rsid w:val="00524EA5"/>
    <w:rsid w:val="00525257"/>
    <w:rsid w:val="00525B14"/>
    <w:rsid w:val="00525B7E"/>
    <w:rsid w:val="00525D95"/>
    <w:rsid w:val="005260E6"/>
    <w:rsid w:val="0052633F"/>
    <w:rsid w:val="00526B74"/>
    <w:rsid w:val="00526DB4"/>
    <w:rsid w:val="00527901"/>
    <w:rsid w:val="00527AC5"/>
    <w:rsid w:val="00527EDB"/>
    <w:rsid w:val="00530B61"/>
    <w:rsid w:val="00530FDE"/>
    <w:rsid w:val="0053152B"/>
    <w:rsid w:val="00531CF0"/>
    <w:rsid w:val="00531E6A"/>
    <w:rsid w:val="0053288C"/>
    <w:rsid w:val="00532B67"/>
    <w:rsid w:val="00532B8D"/>
    <w:rsid w:val="00532E70"/>
    <w:rsid w:val="005342A1"/>
    <w:rsid w:val="0053580A"/>
    <w:rsid w:val="0053590B"/>
    <w:rsid w:val="00535D0B"/>
    <w:rsid w:val="00536119"/>
    <w:rsid w:val="00536390"/>
    <w:rsid w:val="0053646A"/>
    <w:rsid w:val="0053674A"/>
    <w:rsid w:val="00536EB8"/>
    <w:rsid w:val="0053709A"/>
    <w:rsid w:val="00537407"/>
    <w:rsid w:val="00540B24"/>
    <w:rsid w:val="005415DB"/>
    <w:rsid w:val="005416BB"/>
    <w:rsid w:val="005418E2"/>
    <w:rsid w:val="00541A87"/>
    <w:rsid w:val="00541CC7"/>
    <w:rsid w:val="00541D3C"/>
    <w:rsid w:val="00542445"/>
    <w:rsid w:val="00542F7E"/>
    <w:rsid w:val="00543B10"/>
    <w:rsid w:val="00545235"/>
    <w:rsid w:val="005452F5"/>
    <w:rsid w:val="00546054"/>
    <w:rsid w:val="005466DD"/>
    <w:rsid w:val="00546765"/>
    <w:rsid w:val="00546871"/>
    <w:rsid w:val="00547879"/>
    <w:rsid w:val="005479F1"/>
    <w:rsid w:val="00547B59"/>
    <w:rsid w:val="00547E58"/>
    <w:rsid w:val="00550288"/>
    <w:rsid w:val="005509A3"/>
    <w:rsid w:val="005517D2"/>
    <w:rsid w:val="00551840"/>
    <w:rsid w:val="00551D2E"/>
    <w:rsid w:val="005523C9"/>
    <w:rsid w:val="00552767"/>
    <w:rsid w:val="005529F1"/>
    <w:rsid w:val="00552DD1"/>
    <w:rsid w:val="00553279"/>
    <w:rsid w:val="0055332C"/>
    <w:rsid w:val="005536CF"/>
    <w:rsid w:val="0055394B"/>
    <w:rsid w:val="00553C93"/>
    <w:rsid w:val="00553FA6"/>
    <w:rsid w:val="0055409C"/>
    <w:rsid w:val="00554124"/>
    <w:rsid w:val="0055413D"/>
    <w:rsid w:val="005544B3"/>
    <w:rsid w:val="00554E40"/>
    <w:rsid w:val="00554F97"/>
    <w:rsid w:val="005554C2"/>
    <w:rsid w:val="00555ED2"/>
    <w:rsid w:val="00556C0A"/>
    <w:rsid w:val="0055775F"/>
    <w:rsid w:val="00557E0E"/>
    <w:rsid w:val="00557E48"/>
    <w:rsid w:val="00562A60"/>
    <w:rsid w:val="00562AE4"/>
    <w:rsid w:val="00564B27"/>
    <w:rsid w:val="00564C9B"/>
    <w:rsid w:val="00564DE4"/>
    <w:rsid w:val="00564FA7"/>
    <w:rsid w:val="00565386"/>
    <w:rsid w:val="00565A20"/>
    <w:rsid w:val="005661AF"/>
    <w:rsid w:val="0056691D"/>
    <w:rsid w:val="005679D6"/>
    <w:rsid w:val="00567D22"/>
    <w:rsid w:val="00567FC1"/>
    <w:rsid w:val="0057038E"/>
    <w:rsid w:val="00570A13"/>
    <w:rsid w:val="00570B11"/>
    <w:rsid w:val="005710C0"/>
    <w:rsid w:val="005718EC"/>
    <w:rsid w:val="00572297"/>
    <w:rsid w:val="00572482"/>
    <w:rsid w:val="00572C96"/>
    <w:rsid w:val="005730AB"/>
    <w:rsid w:val="005730C8"/>
    <w:rsid w:val="00573521"/>
    <w:rsid w:val="00573774"/>
    <w:rsid w:val="00573EAB"/>
    <w:rsid w:val="005748E5"/>
    <w:rsid w:val="005750C2"/>
    <w:rsid w:val="0057515A"/>
    <w:rsid w:val="00575BC1"/>
    <w:rsid w:val="00576B32"/>
    <w:rsid w:val="00577129"/>
    <w:rsid w:val="0058007A"/>
    <w:rsid w:val="00580CD8"/>
    <w:rsid w:val="00582E34"/>
    <w:rsid w:val="005830F2"/>
    <w:rsid w:val="005843CD"/>
    <w:rsid w:val="00585ABE"/>
    <w:rsid w:val="00585DEE"/>
    <w:rsid w:val="00585F7D"/>
    <w:rsid w:val="00586239"/>
    <w:rsid w:val="0058649D"/>
    <w:rsid w:val="005868D0"/>
    <w:rsid w:val="005875DB"/>
    <w:rsid w:val="00587993"/>
    <w:rsid w:val="00587B01"/>
    <w:rsid w:val="0059095A"/>
    <w:rsid w:val="00590BA5"/>
    <w:rsid w:val="00590F0B"/>
    <w:rsid w:val="005914A0"/>
    <w:rsid w:val="00591C47"/>
    <w:rsid w:val="005923EC"/>
    <w:rsid w:val="005928C5"/>
    <w:rsid w:val="00593297"/>
    <w:rsid w:val="0059381A"/>
    <w:rsid w:val="00594879"/>
    <w:rsid w:val="00594E6B"/>
    <w:rsid w:val="00595AB2"/>
    <w:rsid w:val="00596854"/>
    <w:rsid w:val="005978A0"/>
    <w:rsid w:val="00597A30"/>
    <w:rsid w:val="00597A74"/>
    <w:rsid w:val="00597E5D"/>
    <w:rsid w:val="00597FA3"/>
    <w:rsid w:val="005A0129"/>
    <w:rsid w:val="005A0EFB"/>
    <w:rsid w:val="005A1885"/>
    <w:rsid w:val="005A21BC"/>
    <w:rsid w:val="005A2571"/>
    <w:rsid w:val="005A3963"/>
    <w:rsid w:val="005A3CA5"/>
    <w:rsid w:val="005A4CCA"/>
    <w:rsid w:val="005A5A32"/>
    <w:rsid w:val="005A5C9B"/>
    <w:rsid w:val="005A6AE8"/>
    <w:rsid w:val="005A7007"/>
    <w:rsid w:val="005A72D7"/>
    <w:rsid w:val="005A73B5"/>
    <w:rsid w:val="005A7911"/>
    <w:rsid w:val="005A7BE4"/>
    <w:rsid w:val="005B035A"/>
    <w:rsid w:val="005B0468"/>
    <w:rsid w:val="005B0BCF"/>
    <w:rsid w:val="005B197F"/>
    <w:rsid w:val="005B1C5D"/>
    <w:rsid w:val="005B2B3E"/>
    <w:rsid w:val="005B32E1"/>
    <w:rsid w:val="005B3401"/>
    <w:rsid w:val="005B3653"/>
    <w:rsid w:val="005B372F"/>
    <w:rsid w:val="005B4024"/>
    <w:rsid w:val="005B4374"/>
    <w:rsid w:val="005B4559"/>
    <w:rsid w:val="005B4689"/>
    <w:rsid w:val="005B5237"/>
    <w:rsid w:val="005B54E9"/>
    <w:rsid w:val="005B5773"/>
    <w:rsid w:val="005B6604"/>
    <w:rsid w:val="005B77C7"/>
    <w:rsid w:val="005B79D1"/>
    <w:rsid w:val="005B7B29"/>
    <w:rsid w:val="005B7BF4"/>
    <w:rsid w:val="005C0F0A"/>
    <w:rsid w:val="005C109C"/>
    <w:rsid w:val="005C1D42"/>
    <w:rsid w:val="005C2439"/>
    <w:rsid w:val="005C2746"/>
    <w:rsid w:val="005C2B9F"/>
    <w:rsid w:val="005C3FEE"/>
    <w:rsid w:val="005C4796"/>
    <w:rsid w:val="005C4E3B"/>
    <w:rsid w:val="005C5AE4"/>
    <w:rsid w:val="005C5C59"/>
    <w:rsid w:val="005C71AA"/>
    <w:rsid w:val="005C73FB"/>
    <w:rsid w:val="005C7C55"/>
    <w:rsid w:val="005C7FB2"/>
    <w:rsid w:val="005D0A1C"/>
    <w:rsid w:val="005D114B"/>
    <w:rsid w:val="005D2250"/>
    <w:rsid w:val="005D30DB"/>
    <w:rsid w:val="005D3640"/>
    <w:rsid w:val="005D3712"/>
    <w:rsid w:val="005D4088"/>
    <w:rsid w:val="005D43CB"/>
    <w:rsid w:val="005D4951"/>
    <w:rsid w:val="005D6209"/>
    <w:rsid w:val="005D6312"/>
    <w:rsid w:val="005D707E"/>
    <w:rsid w:val="005D7574"/>
    <w:rsid w:val="005D7867"/>
    <w:rsid w:val="005D7EEA"/>
    <w:rsid w:val="005D7F1C"/>
    <w:rsid w:val="005E0989"/>
    <w:rsid w:val="005E0A3F"/>
    <w:rsid w:val="005E0F68"/>
    <w:rsid w:val="005E0FB0"/>
    <w:rsid w:val="005E12E0"/>
    <w:rsid w:val="005E1717"/>
    <w:rsid w:val="005E1A9F"/>
    <w:rsid w:val="005E1E33"/>
    <w:rsid w:val="005E2907"/>
    <w:rsid w:val="005E3057"/>
    <w:rsid w:val="005E3375"/>
    <w:rsid w:val="005E3957"/>
    <w:rsid w:val="005E3EA2"/>
    <w:rsid w:val="005E50DF"/>
    <w:rsid w:val="005E53B2"/>
    <w:rsid w:val="005E5D7B"/>
    <w:rsid w:val="005E6143"/>
    <w:rsid w:val="005E618A"/>
    <w:rsid w:val="005E670D"/>
    <w:rsid w:val="005E6F26"/>
    <w:rsid w:val="005E7BE5"/>
    <w:rsid w:val="005E7E1E"/>
    <w:rsid w:val="005F0E48"/>
    <w:rsid w:val="005F1247"/>
    <w:rsid w:val="005F12B4"/>
    <w:rsid w:val="005F32FC"/>
    <w:rsid w:val="005F374A"/>
    <w:rsid w:val="005F3781"/>
    <w:rsid w:val="005F3C83"/>
    <w:rsid w:val="005F4066"/>
    <w:rsid w:val="005F5068"/>
    <w:rsid w:val="005F585D"/>
    <w:rsid w:val="005F5AD1"/>
    <w:rsid w:val="005F5F63"/>
    <w:rsid w:val="005F6133"/>
    <w:rsid w:val="005F65F9"/>
    <w:rsid w:val="005F661F"/>
    <w:rsid w:val="005F6E29"/>
    <w:rsid w:val="005F7245"/>
    <w:rsid w:val="005F770F"/>
    <w:rsid w:val="006004E2"/>
    <w:rsid w:val="006006E5"/>
    <w:rsid w:val="00600C91"/>
    <w:rsid w:val="00601B4A"/>
    <w:rsid w:val="00601C10"/>
    <w:rsid w:val="00601C6D"/>
    <w:rsid w:val="00601E59"/>
    <w:rsid w:val="00601F31"/>
    <w:rsid w:val="006029EF"/>
    <w:rsid w:val="006031AD"/>
    <w:rsid w:val="00603C32"/>
    <w:rsid w:val="006040AB"/>
    <w:rsid w:val="00604699"/>
    <w:rsid w:val="0060482E"/>
    <w:rsid w:val="00605D5C"/>
    <w:rsid w:val="00606840"/>
    <w:rsid w:val="006073CE"/>
    <w:rsid w:val="0060764B"/>
    <w:rsid w:val="00607658"/>
    <w:rsid w:val="00610BF6"/>
    <w:rsid w:val="00610E61"/>
    <w:rsid w:val="00611140"/>
    <w:rsid w:val="006114AE"/>
    <w:rsid w:val="006124DD"/>
    <w:rsid w:val="006127AB"/>
    <w:rsid w:val="0061290D"/>
    <w:rsid w:val="00612DE7"/>
    <w:rsid w:val="006130EE"/>
    <w:rsid w:val="006131CE"/>
    <w:rsid w:val="006138C0"/>
    <w:rsid w:val="0061441E"/>
    <w:rsid w:val="006147E5"/>
    <w:rsid w:val="006149DB"/>
    <w:rsid w:val="00615836"/>
    <w:rsid w:val="00615D2C"/>
    <w:rsid w:val="00615DFD"/>
    <w:rsid w:val="00616104"/>
    <w:rsid w:val="00616AAF"/>
    <w:rsid w:val="006173C1"/>
    <w:rsid w:val="00617584"/>
    <w:rsid w:val="006176D9"/>
    <w:rsid w:val="00617B03"/>
    <w:rsid w:val="00617E61"/>
    <w:rsid w:val="0062059F"/>
    <w:rsid w:val="00620605"/>
    <w:rsid w:val="00621247"/>
    <w:rsid w:val="006226A2"/>
    <w:rsid w:val="00622E44"/>
    <w:rsid w:val="00623453"/>
    <w:rsid w:val="00623C52"/>
    <w:rsid w:val="00624692"/>
    <w:rsid w:val="00624A65"/>
    <w:rsid w:val="00625445"/>
    <w:rsid w:val="0062612B"/>
    <w:rsid w:val="006267F7"/>
    <w:rsid w:val="0062731C"/>
    <w:rsid w:val="006311F1"/>
    <w:rsid w:val="006314C2"/>
    <w:rsid w:val="00631843"/>
    <w:rsid w:val="0063209E"/>
    <w:rsid w:val="006320EC"/>
    <w:rsid w:val="0063233E"/>
    <w:rsid w:val="006326C5"/>
    <w:rsid w:val="00632A6F"/>
    <w:rsid w:val="00632AF3"/>
    <w:rsid w:val="00633754"/>
    <w:rsid w:val="0063405A"/>
    <w:rsid w:val="00635AD4"/>
    <w:rsid w:val="00636CD7"/>
    <w:rsid w:val="00636CE4"/>
    <w:rsid w:val="0063794E"/>
    <w:rsid w:val="00637AF9"/>
    <w:rsid w:val="00640454"/>
    <w:rsid w:val="00641023"/>
    <w:rsid w:val="00641482"/>
    <w:rsid w:val="00641A26"/>
    <w:rsid w:val="0064274E"/>
    <w:rsid w:val="00642AF6"/>
    <w:rsid w:val="0064302D"/>
    <w:rsid w:val="006438FE"/>
    <w:rsid w:val="006459AD"/>
    <w:rsid w:val="006464AC"/>
    <w:rsid w:val="006469C2"/>
    <w:rsid w:val="00646A3A"/>
    <w:rsid w:val="00646F69"/>
    <w:rsid w:val="00647013"/>
    <w:rsid w:val="00647C7E"/>
    <w:rsid w:val="006502ED"/>
    <w:rsid w:val="006512F0"/>
    <w:rsid w:val="0065135E"/>
    <w:rsid w:val="00651ADF"/>
    <w:rsid w:val="00651FFE"/>
    <w:rsid w:val="00652861"/>
    <w:rsid w:val="00652B05"/>
    <w:rsid w:val="00652BF0"/>
    <w:rsid w:val="00652F60"/>
    <w:rsid w:val="00652FB4"/>
    <w:rsid w:val="00653F1C"/>
    <w:rsid w:val="0065423E"/>
    <w:rsid w:val="00654637"/>
    <w:rsid w:val="0065486D"/>
    <w:rsid w:val="00654CF7"/>
    <w:rsid w:val="00654D82"/>
    <w:rsid w:val="0065544D"/>
    <w:rsid w:val="006554E5"/>
    <w:rsid w:val="00656AE0"/>
    <w:rsid w:val="00656DBF"/>
    <w:rsid w:val="00657160"/>
    <w:rsid w:val="006573F5"/>
    <w:rsid w:val="006577FA"/>
    <w:rsid w:val="006600B7"/>
    <w:rsid w:val="00660629"/>
    <w:rsid w:val="006608F8"/>
    <w:rsid w:val="00660C93"/>
    <w:rsid w:val="00661B4C"/>
    <w:rsid w:val="00662282"/>
    <w:rsid w:val="006629AB"/>
    <w:rsid w:val="0066339D"/>
    <w:rsid w:val="006637F7"/>
    <w:rsid w:val="00664474"/>
    <w:rsid w:val="0066448E"/>
    <w:rsid w:val="00664D95"/>
    <w:rsid w:val="00664FC5"/>
    <w:rsid w:val="006658F0"/>
    <w:rsid w:val="00665F0E"/>
    <w:rsid w:val="006662BA"/>
    <w:rsid w:val="00666332"/>
    <w:rsid w:val="0066642F"/>
    <w:rsid w:val="006666FD"/>
    <w:rsid w:val="00666DDF"/>
    <w:rsid w:val="006673D9"/>
    <w:rsid w:val="00667D51"/>
    <w:rsid w:val="00670491"/>
    <w:rsid w:val="00670F08"/>
    <w:rsid w:val="00671112"/>
    <w:rsid w:val="006711CD"/>
    <w:rsid w:val="00671274"/>
    <w:rsid w:val="006714CE"/>
    <w:rsid w:val="00672021"/>
    <w:rsid w:val="00672626"/>
    <w:rsid w:val="00672876"/>
    <w:rsid w:val="00672DD5"/>
    <w:rsid w:val="00672F78"/>
    <w:rsid w:val="0067339C"/>
    <w:rsid w:val="006734BE"/>
    <w:rsid w:val="00673D32"/>
    <w:rsid w:val="00675D32"/>
    <w:rsid w:val="00675E99"/>
    <w:rsid w:val="006760DF"/>
    <w:rsid w:val="0067611A"/>
    <w:rsid w:val="0067642C"/>
    <w:rsid w:val="00676A74"/>
    <w:rsid w:val="00676B58"/>
    <w:rsid w:val="00676D5D"/>
    <w:rsid w:val="00680148"/>
    <w:rsid w:val="00680F5B"/>
    <w:rsid w:val="00682164"/>
    <w:rsid w:val="006821A3"/>
    <w:rsid w:val="00682BA5"/>
    <w:rsid w:val="00682FA5"/>
    <w:rsid w:val="0068316A"/>
    <w:rsid w:val="006834D8"/>
    <w:rsid w:val="00683CCE"/>
    <w:rsid w:val="00683DEA"/>
    <w:rsid w:val="00683F05"/>
    <w:rsid w:val="006843EE"/>
    <w:rsid w:val="00684B43"/>
    <w:rsid w:val="00684D70"/>
    <w:rsid w:val="006858F0"/>
    <w:rsid w:val="00685937"/>
    <w:rsid w:val="0068612F"/>
    <w:rsid w:val="00687B93"/>
    <w:rsid w:val="00687E4C"/>
    <w:rsid w:val="00690A36"/>
    <w:rsid w:val="00690C85"/>
    <w:rsid w:val="0069106C"/>
    <w:rsid w:val="006914E7"/>
    <w:rsid w:val="006916AA"/>
    <w:rsid w:val="00691D6E"/>
    <w:rsid w:val="00692436"/>
    <w:rsid w:val="00692D16"/>
    <w:rsid w:val="00692FF7"/>
    <w:rsid w:val="006930BD"/>
    <w:rsid w:val="0069324C"/>
    <w:rsid w:val="00694761"/>
    <w:rsid w:val="00694840"/>
    <w:rsid w:val="0069509B"/>
    <w:rsid w:val="006951E2"/>
    <w:rsid w:val="006960FC"/>
    <w:rsid w:val="006964C6"/>
    <w:rsid w:val="00696852"/>
    <w:rsid w:val="00697379"/>
    <w:rsid w:val="006976BB"/>
    <w:rsid w:val="006978ED"/>
    <w:rsid w:val="00697AF3"/>
    <w:rsid w:val="006A015F"/>
    <w:rsid w:val="006A114F"/>
    <w:rsid w:val="006A184C"/>
    <w:rsid w:val="006A2C78"/>
    <w:rsid w:val="006A3481"/>
    <w:rsid w:val="006A433E"/>
    <w:rsid w:val="006A4F97"/>
    <w:rsid w:val="006A6E5D"/>
    <w:rsid w:val="006B1158"/>
    <w:rsid w:val="006B15AD"/>
    <w:rsid w:val="006B3446"/>
    <w:rsid w:val="006B3921"/>
    <w:rsid w:val="006B4618"/>
    <w:rsid w:val="006B4F01"/>
    <w:rsid w:val="006B58A1"/>
    <w:rsid w:val="006B7845"/>
    <w:rsid w:val="006B7867"/>
    <w:rsid w:val="006C0638"/>
    <w:rsid w:val="006C09E4"/>
    <w:rsid w:val="006C0ED8"/>
    <w:rsid w:val="006C102B"/>
    <w:rsid w:val="006C1144"/>
    <w:rsid w:val="006C1185"/>
    <w:rsid w:val="006C16F4"/>
    <w:rsid w:val="006C1B63"/>
    <w:rsid w:val="006C1F97"/>
    <w:rsid w:val="006C2872"/>
    <w:rsid w:val="006C3DDE"/>
    <w:rsid w:val="006C7528"/>
    <w:rsid w:val="006C783F"/>
    <w:rsid w:val="006C7A48"/>
    <w:rsid w:val="006C7E40"/>
    <w:rsid w:val="006D05DB"/>
    <w:rsid w:val="006D179A"/>
    <w:rsid w:val="006D21E9"/>
    <w:rsid w:val="006D22F6"/>
    <w:rsid w:val="006D311A"/>
    <w:rsid w:val="006D341F"/>
    <w:rsid w:val="006D3A1F"/>
    <w:rsid w:val="006D4403"/>
    <w:rsid w:val="006D4720"/>
    <w:rsid w:val="006D4DF2"/>
    <w:rsid w:val="006D4FA9"/>
    <w:rsid w:val="006D5019"/>
    <w:rsid w:val="006D501E"/>
    <w:rsid w:val="006D5274"/>
    <w:rsid w:val="006D5B26"/>
    <w:rsid w:val="006D6D49"/>
    <w:rsid w:val="006D6DB7"/>
    <w:rsid w:val="006D70E0"/>
    <w:rsid w:val="006E0F71"/>
    <w:rsid w:val="006E13AE"/>
    <w:rsid w:val="006E3498"/>
    <w:rsid w:val="006E3D8A"/>
    <w:rsid w:val="006E4199"/>
    <w:rsid w:val="006E43F6"/>
    <w:rsid w:val="006E450A"/>
    <w:rsid w:val="006E4CA2"/>
    <w:rsid w:val="006E4D80"/>
    <w:rsid w:val="006E4E3E"/>
    <w:rsid w:val="006E532B"/>
    <w:rsid w:val="006E5464"/>
    <w:rsid w:val="006E5EE8"/>
    <w:rsid w:val="006E718A"/>
    <w:rsid w:val="006E71F1"/>
    <w:rsid w:val="006E78A2"/>
    <w:rsid w:val="006E7D1E"/>
    <w:rsid w:val="006F0766"/>
    <w:rsid w:val="006F0B1D"/>
    <w:rsid w:val="006F195F"/>
    <w:rsid w:val="006F1CEE"/>
    <w:rsid w:val="006F1F96"/>
    <w:rsid w:val="006F21DA"/>
    <w:rsid w:val="006F2870"/>
    <w:rsid w:val="006F28CA"/>
    <w:rsid w:val="006F2D05"/>
    <w:rsid w:val="006F2DD0"/>
    <w:rsid w:val="006F3AED"/>
    <w:rsid w:val="006F5A43"/>
    <w:rsid w:val="006F618D"/>
    <w:rsid w:val="006F61DF"/>
    <w:rsid w:val="006F650B"/>
    <w:rsid w:val="006F67AF"/>
    <w:rsid w:val="006F70EF"/>
    <w:rsid w:val="007014EC"/>
    <w:rsid w:val="007019F6"/>
    <w:rsid w:val="00701F04"/>
    <w:rsid w:val="0070267F"/>
    <w:rsid w:val="00702CAB"/>
    <w:rsid w:val="00703521"/>
    <w:rsid w:val="00704407"/>
    <w:rsid w:val="00704FF7"/>
    <w:rsid w:val="00705B86"/>
    <w:rsid w:val="00705E27"/>
    <w:rsid w:val="00705F5D"/>
    <w:rsid w:val="00706583"/>
    <w:rsid w:val="007103DD"/>
    <w:rsid w:val="007107DF"/>
    <w:rsid w:val="007108F1"/>
    <w:rsid w:val="00710FA6"/>
    <w:rsid w:val="00710FBC"/>
    <w:rsid w:val="00711275"/>
    <w:rsid w:val="007125DE"/>
    <w:rsid w:val="00712967"/>
    <w:rsid w:val="0071384D"/>
    <w:rsid w:val="00713A49"/>
    <w:rsid w:val="00713A52"/>
    <w:rsid w:val="00713B49"/>
    <w:rsid w:val="00713CCA"/>
    <w:rsid w:val="00713ED4"/>
    <w:rsid w:val="00713EF8"/>
    <w:rsid w:val="00714741"/>
    <w:rsid w:val="00714C37"/>
    <w:rsid w:val="00714C8E"/>
    <w:rsid w:val="007156A6"/>
    <w:rsid w:val="0071574D"/>
    <w:rsid w:val="00715DF7"/>
    <w:rsid w:val="00716567"/>
    <w:rsid w:val="00716847"/>
    <w:rsid w:val="00716F33"/>
    <w:rsid w:val="0071747F"/>
    <w:rsid w:val="00717754"/>
    <w:rsid w:val="00717B7A"/>
    <w:rsid w:val="00720BDD"/>
    <w:rsid w:val="0072101F"/>
    <w:rsid w:val="007212CB"/>
    <w:rsid w:val="0072166A"/>
    <w:rsid w:val="00721EE9"/>
    <w:rsid w:val="0072369E"/>
    <w:rsid w:val="007238A9"/>
    <w:rsid w:val="007240EE"/>
    <w:rsid w:val="007243FC"/>
    <w:rsid w:val="00724512"/>
    <w:rsid w:val="00724D36"/>
    <w:rsid w:val="00724E80"/>
    <w:rsid w:val="00724F48"/>
    <w:rsid w:val="00724FD0"/>
    <w:rsid w:val="00725400"/>
    <w:rsid w:val="0072604F"/>
    <w:rsid w:val="0072742F"/>
    <w:rsid w:val="0073154D"/>
    <w:rsid w:val="0073162B"/>
    <w:rsid w:val="00731913"/>
    <w:rsid w:val="00731DB2"/>
    <w:rsid w:val="007321D1"/>
    <w:rsid w:val="0073226A"/>
    <w:rsid w:val="007326BB"/>
    <w:rsid w:val="00732B3D"/>
    <w:rsid w:val="0073326B"/>
    <w:rsid w:val="007337E1"/>
    <w:rsid w:val="00733FA3"/>
    <w:rsid w:val="007342AC"/>
    <w:rsid w:val="00734F0F"/>
    <w:rsid w:val="00736743"/>
    <w:rsid w:val="007373FD"/>
    <w:rsid w:val="00737A7A"/>
    <w:rsid w:val="00737FE5"/>
    <w:rsid w:val="007401D9"/>
    <w:rsid w:val="00740460"/>
    <w:rsid w:val="0074051D"/>
    <w:rsid w:val="00741B45"/>
    <w:rsid w:val="00741E2F"/>
    <w:rsid w:val="00741EC9"/>
    <w:rsid w:val="0074246F"/>
    <w:rsid w:val="007429ED"/>
    <w:rsid w:val="00742A67"/>
    <w:rsid w:val="00743DC3"/>
    <w:rsid w:val="00743F94"/>
    <w:rsid w:val="00744E39"/>
    <w:rsid w:val="007450A7"/>
    <w:rsid w:val="00745692"/>
    <w:rsid w:val="007464FB"/>
    <w:rsid w:val="00747741"/>
    <w:rsid w:val="00747D86"/>
    <w:rsid w:val="00750C6B"/>
    <w:rsid w:val="00750DF9"/>
    <w:rsid w:val="00752066"/>
    <w:rsid w:val="007529C8"/>
    <w:rsid w:val="00753B48"/>
    <w:rsid w:val="00753EB2"/>
    <w:rsid w:val="0075428E"/>
    <w:rsid w:val="007542B0"/>
    <w:rsid w:val="00754D0A"/>
    <w:rsid w:val="007553B1"/>
    <w:rsid w:val="0075719C"/>
    <w:rsid w:val="007577CE"/>
    <w:rsid w:val="007579E1"/>
    <w:rsid w:val="00757B91"/>
    <w:rsid w:val="007607CE"/>
    <w:rsid w:val="00760AD3"/>
    <w:rsid w:val="00760DF0"/>
    <w:rsid w:val="00760F06"/>
    <w:rsid w:val="007615E4"/>
    <w:rsid w:val="0076186B"/>
    <w:rsid w:val="00761E0D"/>
    <w:rsid w:val="00762133"/>
    <w:rsid w:val="0076230C"/>
    <w:rsid w:val="00762DD6"/>
    <w:rsid w:val="00762FDB"/>
    <w:rsid w:val="00763648"/>
    <w:rsid w:val="00763A62"/>
    <w:rsid w:val="007640A5"/>
    <w:rsid w:val="007648E6"/>
    <w:rsid w:val="00765995"/>
    <w:rsid w:val="00765E01"/>
    <w:rsid w:val="00765E98"/>
    <w:rsid w:val="00766416"/>
    <w:rsid w:val="00766422"/>
    <w:rsid w:val="00766B23"/>
    <w:rsid w:val="00766B5F"/>
    <w:rsid w:val="00766CA5"/>
    <w:rsid w:val="00767D7B"/>
    <w:rsid w:val="00767F3E"/>
    <w:rsid w:val="00770427"/>
    <w:rsid w:val="0077045B"/>
    <w:rsid w:val="00770887"/>
    <w:rsid w:val="007708DC"/>
    <w:rsid w:val="007727F1"/>
    <w:rsid w:val="00772CAA"/>
    <w:rsid w:val="007730CC"/>
    <w:rsid w:val="00774716"/>
    <w:rsid w:val="0077484D"/>
    <w:rsid w:val="00774DE7"/>
    <w:rsid w:val="007752F8"/>
    <w:rsid w:val="00775AF6"/>
    <w:rsid w:val="00776409"/>
    <w:rsid w:val="007766A4"/>
    <w:rsid w:val="00776784"/>
    <w:rsid w:val="007767C5"/>
    <w:rsid w:val="0077785A"/>
    <w:rsid w:val="00777E17"/>
    <w:rsid w:val="00780319"/>
    <w:rsid w:val="007803D0"/>
    <w:rsid w:val="00780ABC"/>
    <w:rsid w:val="007815EB"/>
    <w:rsid w:val="00781659"/>
    <w:rsid w:val="0078251F"/>
    <w:rsid w:val="00783029"/>
    <w:rsid w:val="007830F5"/>
    <w:rsid w:val="0078359E"/>
    <w:rsid w:val="007837AB"/>
    <w:rsid w:val="007841D6"/>
    <w:rsid w:val="00784D35"/>
    <w:rsid w:val="00784E3D"/>
    <w:rsid w:val="00786515"/>
    <w:rsid w:val="007866E5"/>
    <w:rsid w:val="00786C75"/>
    <w:rsid w:val="0078727E"/>
    <w:rsid w:val="00790251"/>
    <w:rsid w:val="00790C39"/>
    <w:rsid w:val="0079130C"/>
    <w:rsid w:val="007919BA"/>
    <w:rsid w:val="00792348"/>
    <w:rsid w:val="00792F8D"/>
    <w:rsid w:val="00793281"/>
    <w:rsid w:val="007950CE"/>
    <w:rsid w:val="007957B6"/>
    <w:rsid w:val="0079645D"/>
    <w:rsid w:val="00796BDD"/>
    <w:rsid w:val="00796C8D"/>
    <w:rsid w:val="00797250"/>
    <w:rsid w:val="007977B0"/>
    <w:rsid w:val="00797848"/>
    <w:rsid w:val="00797A1F"/>
    <w:rsid w:val="007A10A3"/>
    <w:rsid w:val="007A126F"/>
    <w:rsid w:val="007A12F9"/>
    <w:rsid w:val="007A1642"/>
    <w:rsid w:val="007A2B3E"/>
    <w:rsid w:val="007A3376"/>
    <w:rsid w:val="007A34B2"/>
    <w:rsid w:val="007A4208"/>
    <w:rsid w:val="007A4EC2"/>
    <w:rsid w:val="007A50B2"/>
    <w:rsid w:val="007A62E3"/>
    <w:rsid w:val="007A6B37"/>
    <w:rsid w:val="007A7191"/>
    <w:rsid w:val="007A7314"/>
    <w:rsid w:val="007A78EA"/>
    <w:rsid w:val="007B008F"/>
    <w:rsid w:val="007B04F5"/>
    <w:rsid w:val="007B3315"/>
    <w:rsid w:val="007B3549"/>
    <w:rsid w:val="007B4A82"/>
    <w:rsid w:val="007B52A7"/>
    <w:rsid w:val="007B64AA"/>
    <w:rsid w:val="007B7198"/>
    <w:rsid w:val="007B7302"/>
    <w:rsid w:val="007B7497"/>
    <w:rsid w:val="007B7F69"/>
    <w:rsid w:val="007C1321"/>
    <w:rsid w:val="007C1790"/>
    <w:rsid w:val="007C18CB"/>
    <w:rsid w:val="007C2392"/>
    <w:rsid w:val="007C24EE"/>
    <w:rsid w:val="007C2A25"/>
    <w:rsid w:val="007C3B8A"/>
    <w:rsid w:val="007C4657"/>
    <w:rsid w:val="007C5910"/>
    <w:rsid w:val="007C5951"/>
    <w:rsid w:val="007C6DCF"/>
    <w:rsid w:val="007C6E65"/>
    <w:rsid w:val="007C7BB9"/>
    <w:rsid w:val="007C7C33"/>
    <w:rsid w:val="007C7F1F"/>
    <w:rsid w:val="007D0044"/>
    <w:rsid w:val="007D06F4"/>
    <w:rsid w:val="007D2455"/>
    <w:rsid w:val="007D32B4"/>
    <w:rsid w:val="007D3AF7"/>
    <w:rsid w:val="007D434E"/>
    <w:rsid w:val="007D4BA8"/>
    <w:rsid w:val="007D4C28"/>
    <w:rsid w:val="007D4DEE"/>
    <w:rsid w:val="007D569F"/>
    <w:rsid w:val="007D59BC"/>
    <w:rsid w:val="007D5B05"/>
    <w:rsid w:val="007D716C"/>
    <w:rsid w:val="007D79D5"/>
    <w:rsid w:val="007E00E9"/>
    <w:rsid w:val="007E04BF"/>
    <w:rsid w:val="007E0F97"/>
    <w:rsid w:val="007E100E"/>
    <w:rsid w:val="007E127A"/>
    <w:rsid w:val="007E1753"/>
    <w:rsid w:val="007E1904"/>
    <w:rsid w:val="007E1DD6"/>
    <w:rsid w:val="007E1F9F"/>
    <w:rsid w:val="007E2108"/>
    <w:rsid w:val="007E28C4"/>
    <w:rsid w:val="007E2B0A"/>
    <w:rsid w:val="007E2F61"/>
    <w:rsid w:val="007E301B"/>
    <w:rsid w:val="007E323F"/>
    <w:rsid w:val="007E35E4"/>
    <w:rsid w:val="007E376B"/>
    <w:rsid w:val="007E3A9E"/>
    <w:rsid w:val="007E3CBB"/>
    <w:rsid w:val="007E413C"/>
    <w:rsid w:val="007E41FB"/>
    <w:rsid w:val="007E4B68"/>
    <w:rsid w:val="007E4CC0"/>
    <w:rsid w:val="007E4DD3"/>
    <w:rsid w:val="007E59CA"/>
    <w:rsid w:val="007E75C0"/>
    <w:rsid w:val="007E786E"/>
    <w:rsid w:val="007F07F3"/>
    <w:rsid w:val="007F1203"/>
    <w:rsid w:val="007F178D"/>
    <w:rsid w:val="007F1A1F"/>
    <w:rsid w:val="007F1F03"/>
    <w:rsid w:val="007F2625"/>
    <w:rsid w:val="007F35DF"/>
    <w:rsid w:val="007F406A"/>
    <w:rsid w:val="007F45BC"/>
    <w:rsid w:val="007F5114"/>
    <w:rsid w:val="007F54DE"/>
    <w:rsid w:val="007F59DB"/>
    <w:rsid w:val="007F65F9"/>
    <w:rsid w:val="007F65FF"/>
    <w:rsid w:val="007F68B7"/>
    <w:rsid w:val="007F6C61"/>
    <w:rsid w:val="007F7902"/>
    <w:rsid w:val="0080016B"/>
    <w:rsid w:val="00801265"/>
    <w:rsid w:val="00801843"/>
    <w:rsid w:val="008024AE"/>
    <w:rsid w:val="0080396D"/>
    <w:rsid w:val="00803CEE"/>
    <w:rsid w:val="00803F6D"/>
    <w:rsid w:val="00803F9C"/>
    <w:rsid w:val="00805103"/>
    <w:rsid w:val="00805E97"/>
    <w:rsid w:val="00805FD3"/>
    <w:rsid w:val="00806131"/>
    <w:rsid w:val="008069A6"/>
    <w:rsid w:val="00807560"/>
    <w:rsid w:val="00810546"/>
    <w:rsid w:val="00810653"/>
    <w:rsid w:val="00810935"/>
    <w:rsid w:val="00810D7B"/>
    <w:rsid w:val="00810DC0"/>
    <w:rsid w:val="00810E3C"/>
    <w:rsid w:val="00812597"/>
    <w:rsid w:val="008138E4"/>
    <w:rsid w:val="00813BBB"/>
    <w:rsid w:val="00815198"/>
    <w:rsid w:val="00815CEC"/>
    <w:rsid w:val="008168A5"/>
    <w:rsid w:val="00816D7C"/>
    <w:rsid w:val="00817036"/>
    <w:rsid w:val="008170E9"/>
    <w:rsid w:val="00817C76"/>
    <w:rsid w:val="0082004A"/>
    <w:rsid w:val="008202F3"/>
    <w:rsid w:val="0082037E"/>
    <w:rsid w:val="0082079C"/>
    <w:rsid w:val="00820962"/>
    <w:rsid w:val="00820BE6"/>
    <w:rsid w:val="008210D3"/>
    <w:rsid w:val="008213AF"/>
    <w:rsid w:val="00821444"/>
    <w:rsid w:val="008215B9"/>
    <w:rsid w:val="00821747"/>
    <w:rsid w:val="00821B89"/>
    <w:rsid w:val="0082235A"/>
    <w:rsid w:val="00822EDB"/>
    <w:rsid w:val="008234DD"/>
    <w:rsid w:val="00823976"/>
    <w:rsid w:val="00823C82"/>
    <w:rsid w:val="00823F07"/>
    <w:rsid w:val="008241D8"/>
    <w:rsid w:val="008242AC"/>
    <w:rsid w:val="0082454A"/>
    <w:rsid w:val="00830423"/>
    <w:rsid w:val="008306CF"/>
    <w:rsid w:val="0083082F"/>
    <w:rsid w:val="00830D15"/>
    <w:rsid w:val="008314D1"/>
    <w:rsid w:val="0083168F"/>
    <w:rsid w:val="00831EED"/>
    <w:rsid w:val="00832056"/>
    <w:rsid w:val="008326E7"/>
    <w:rsid w:val="008328E3"/>
    <w:rsid w:val="00834BCD"/>
    <w:rsid w:val="00834FB3"/>
    <w:rsid w:val="008354B6"/>
    <w:rsid w:val="00835CC8"/>
    <w:rsid w:val="00835DBD"/>
    <w:rsid w:val="0083601A"/>
    <w:rsid w:val="008360FD"/>
    <w:rsid w:val="00836272"/>
    <w:rsid w:val="00836D0F"/>
    <w:rsid w:val="008374FC"/>
    <w:rsid w:val="00837BEB"/>
    <w:rsid w:val="00840198"/>
    <w:rsid w:val="00840441"/>
    <w:rsid w:val="008405E0"/>
    <w:rsid w:val="00840BC5"/>
    <w:rsid w:val="00840C3C"/>
    <w:rsid w:val="00840F7F"/>
    <w:rsid w:val="00841150"/>
    <w:rsid w:val="0084199D"/>
    <w:rsid w:val="00841D85"/>
    <w:rsid w:val="00842771"/>
    <w:rsid w:val="00842ECE"/>
    <w:rsid w:val="00843CBA"/>
    <w:rsid w:val="00843EAC"/>
    <w:rsid w:val="008442D2"/>
    <w:rsid w:val="00844697"/>
    <w:rsid w:val="00844985"/>
    <w:rsid w:val="00844A9F"/>
    <w:rsid w:val="00844E9A"/>
    <w:rsid w:val="00845606"/>
    <w:rsid w:val="0084568A"/>
    <w:rsid w:val="00845BDB"/>
    <w:rsid w:val="008461C8"/>
    <w:rsid w:val="00846F2F"/>
    <w:rsid w:val="00847E54"/>
    <w:rsid w:val="00850E23"/>
    <w:rsid w:val="008519BC"/>
    <w:rsid w:val="00852638"/>
    <w:rsid w:val="00852D5C"/>
    <w:rsid w:val="00852F05"/>
    <w:rsid w:val="00853090"/>
    <w:rsid w:val="00853329"/>
    <w:rsid w:val="00853509"/>
    <w:rsid w:val="00853AF2"/>
    <w:rsid w:val="0085437C"/>
    <w:rsid w:val="00854CCB"/>
    <w:rsid w:val="0085580B"/>
    <w:rsid w:val="00855C1C"/>
    <w:rsid w:val="00856595"/>
    <w:rsid w:val="00856D8A"/>
    <w:rsid w:val="008575D8"/>
    <w:rsid w:val="00860156"/>
    <w:rsid w:val="00860F01"/>
    <w:rsid w:val="00860F36"/>
    <w:rsid w:val="008625C0"/>
    <w:rsid w:val="00862B00"/>
    <w:rsid w:val="00863FA2"/>
    <w:rsid w:val="00864BAC"/>
    <w:rsid w:val="00865223"/>
    <w:rsid w:val="00865264"/>
    <w:rsid w:val="0086592B"/>
    <w:rsid w:val="00866142"/>
    <w:rsid w:val="00866972"/>
    <w:rsid w:val="00867198"/>
    <w:rsid w:val="0086751D"/>
    <w:rsid w:val="00867903"/>
    <w:rsid w:val="00867EE1"/>
    <w:rsid w:val="00870084"/>
    <w:rsid w:val="00870638"/>
    <w:rsid w:val="00870888"/>
    <w:rsid w:val="00870FA2"/>
    <w:rsid w:val="00871528"/>
    <w:rsid w:val="0087193A"/>
    <w:rsid w:val="00871B9F"/>
    <w:rsid w:val="008722DD"/>
    <w:rsid w:val="008734C1"/>
    <w:rsid w:val="0087488B"/>
    <w:rsid w:val="00874B1E"/>
    <w:rsid w:val="00874BAA"/>
    <w:rsid w:val="00875CB8"/>
    <w:rsid w:val="00876987"/>
    <w:rsid w:val="008777AC"/>
    <w:rsid w:val="00877A4E"/>
    <w:rsid w:val="00880721"/>
    <w:rsid w:val="00880CE6"/>
    <w:rsid w:val="00881DA0"/>
    <w:rsid w:val="00882DCD"/>
    <w:rsid w:val="00883399"/>
    <w:rsid w:val="00883A3D"/>
    <w:rsid w:val="00883A43"/>
    <w:rsid w:val="00884394"/>
    <w:rsid w:val="0088475C"/>
    <w:rsid w:val="00885C38"/>
    <w:rsid w:val="00886D08"/>
    <w:rsid w:val="00887157"/>
    <w:rsid w:val="00887FDF"/>
    <w:rsid w:val="00891B29"/>
    <w:rsid w:val="0089296D"/>
    <w:rsid w:val="008930F0"/>
    <w:rsid w:val="00893D2C"/>
    <w:rsid w:val="00893F6D"/>
    <w:rsid w:val="008947AD"/>
    <w:rsid w:val="00896D37"/>
    <w:rsid w:val="00897432"/>
    <w:rsid w:val="00897E53"/>
    <w:rsid w:val="008A0A31"/>
    <w:rsid w:val="008A0DA6"/>
    <w:rsid w:val="008A1FA2"/>
    <w:rsid w:val="008A3859"/>
    <w:rsid w:val="008A443A"/>
    <w:rsid w:val="008A4C9D"/>
    <w:rsid w:val="008A4FD2"/>
    <w:rsid w:val="008A50AB"/>
    <w:rsid w:val="008A5DC0"/>
    <w:rsid w:val="008A680B"/>
    <w:rsid w:val="008A7090"/>
    <w:rsid w:val="008B0629"/>
    <w:rsid w:val="008B07BC"/>
    <w:rsid w:val="008B1242"/>
    <w:rsid w:val="008B165E"/>
    <w:rsid w:val="008B19FD"/>
    <w:rsid w:val="008B21AD"/>
    <w:rsid w:val="008B2795"/>
    <w:rsid w:val="008B2B3C"/>
    <w:rsid w:val="008B327D"/>
    <w:rsid w:val="008B3C26"/>
    <w:rsid w:val="008B4705"/>
    <w:rsid w:val="008B5D4B"/>
    <w:rsid w:val="008B70EF"/>
    <w:rsid w:val="008B7125"/>
    <w:rsid w:val="008C01D1"/>
    <w:rsid w:val="008C022C"/>
    <w:rsid w:val="008C0A2D"/>
    <w:rsid w:val="008C298A"/>
    <w:rsid w:val="008C30EB"/>
    <w:rsid w:val="008C326F"/>
    <w:rsid w:val="008C34B2"/>
    <w:rsid w:val="008C3788"/>
    <w:rsid w:val="008C3C39"/>
    <w:rsid w:val="008C48B0"/>
    <w:rsid w:val="008C541E"/>
    <w:rsid w:val="008C635B"/>
    <w:rsid w:val="008C6976"/>
    <w:rsid w:val="008C6B7D"/>
    <w:rsid w:val="008C7074"/>
    <w:rsid w:val="008C73F7"/>
    <w:rsid w:val="008C750D"/>
    <w:rsid w:val="008C7604"/>
    <w:rsid w:val="008D006B"/>
    <w:rsid w:val="008D0DFE"/>
    <w:rsid w:val="008D1112"/>
    <w:rsid w:val="008D176B"/>
    <w:rsid w:val="008D196A"/>
    <w:rsid w:val="008D1A01"/>
    <w:rsid w:val="008D1F29"/>
    <w:rsid w:val="008D2835"/>
    <w:rsid w:val="008D3DDA"/>
    <w:rsid w:val="008D3FF4"/>
    <w:rsid w:val="008D4678"/>
    <w:rsid w:val="008D53C2"/>
    <w:rsid w:val="008D53D8"/>
    <w:rsid w:val="008D5C9C"/>
    <w:rsid w:val="008D60BA"/>
    <w:rsid w:val="008D653F"/>
    <w:rsid w:val="008D73C3"/>
    <w:rsid w:val="008D73D2"/>
    <w:rsid w:val="008D78AA"/>
    <w:rsid w:val="008E09C3"/>
    <w:rsid w:val="008E0ACA"/>
    <w:rsid w:val="008E1192"/>
    <w:rsid w:val="008E13BD"/>
    <w:rsid w:val="008E182C"/>
    <w:rsid w:val="008E20FF"/>
    <w:rsid w:val="008E272A"/>
    <w:rsid w:val="008E3521"/>
    <w:rsid w:val="008E3A2F"/>
    <w:rsid w:val="008E3AED"/>
    <w:rsid w:val="008E3DEE"/>
    <w:rsid w:val="008E4C75"/>
    <w:rsid w:val="008E513C"/>
    <w:rsid w:val="008E56F4"/>
    <w:rsid w:val="008E7038"/>
    <w:rsid w:val="008E72DC"/>
    <w:rsid w:val="008F0D04"/>
    <w:rsid w:val="008F0DD5"/>
    <w:rsid w:val="008F1581"/>
    <w:rsid w:val="008F1D9B"/>
    <w:rsid w:val="008F1EA8"/>
    <w:rsid w:val="008F1EB5"/>
    <w:rsid w:val="008F209F"/>
    <w:rsid w:val="008F21BA"/>
    <w:rsid w:val="008F2B13"/>
    <w:rsid w:val="008F2C55"/>
    <w:rsid w:val="008F3684"/>
    <w:rsid w:val="008F4D07"/>
    <w:rsid w:val="008F4F70"/>
    <w:rsid w:val="008F57F6"/>
    <w:rsid w:val="008F5D76"/>
    <w:rsid w:val="008F5E15"/>
    <w:rsid w:val="008F62EF"/>
    <w:rsid w:val="008F6D8B"/>
    <w:rsid w:val="009006AA"/>
    <w:rsid w:val="009012FB"/>
    <w:rsid w:val="009020AD"/>
    <w:rsid w:val="0090215C"/>
    <w:rsid w:val="0090310A"/>
    <w:rsid w:val="009039C4"/>
    <w:rsid w:val="0090512C"/>
    <w:rsid w:val="009051FB"/>
    <w:rsid w:val="0090557C"/>
    <w:rsid w:val="0090562D"/>
    <w:rsid w:val="0090641A"/>
    <w:rsid w:val="0090737E"/>
    <w:rsid w:val="00907E49"/>
    <w:rsid w:val="009108E1"/>
    <w:rsid w:val="00910E84"/>
    <w:rsid w:val="00911411"/>
    <w:rsid w:val="00911B8C"/>
    <w:rsid w:val="00911DA0"/>
    <w:rsid w:val="0091226D"/>
    <w:rsid w:val="0091353B"/>
    <w:rsid w:val="0091366D"/>
    <w:rsid w:val="00914399"/>
    <w:rsid w:val="009145A3"/>
    <w:rsid w:val="0091562C"/>
    <w:rsid w:val="009160C9"/>
    <w:rsid w:val="0091667E"/>
    <w:rsid w:val="009167E2"/>
    <w:rsid w:val="0091680A"/>
    <w:rsid w:val="00916F6B"/>
    <w:rsid w:val="00917990"/>
    <w:rsid w:val="00917A63"/>
    <w:rsid w:val="00917BC5"/>
    <w:rsid w:val="00921262"/>
    <w:rsid w:val="00921588"/>
    <w:rsid w:val="009223FB"/>
    <w:rsid w:val="00922FE6"/>
    <w:rsid w:val="009231A5"/>
    <w:rsid w:val="009240F6"/>
    <w:rsid w:val="0092429A"/>
    <w:rsid w:val="00924C97"/>
    <w:rsid w:val="00925C80"/>
    <w:rsid w:val="00925E60"/>
    <w:rsid w:val="00926944"/>
    <w:rsid w:val="009269F4"/>
    <w:rsid w:val="009272C0"/>
    <w:rsid w:val="00927717"/>
    <w:rsid w:val="00927E90"/>
    <w:rsid w:val="00927EF1"/>
    <w:rsid w:val="0093004F"/>
    <w:rsid w:val="0093040B"/>
    <w:rsid w:val="00930DB4"/>
    <w:rsid w:val="00930E6C"/>
    <w:rsid w:val="0093211F"/>
    <w:rsid w:val="00932186"/>
    <w:rsid w:val="009325A8"/>
    <w:rsid w:val="0093296D"/>
    <w:rsid w:val="00933BBE"/>
    <w:rsid w:val="009343A4"/>
    <w:rsid w:val="00934F91"/>
    <w:rsid w:val="00935767"/>
    <w:rsid w:val="00935852"/>
    <w:rsid w:val="009366D4"/>
    <w:rsid w:val="009367C4"/>
    <w:rsid w:val="00937178"/>
    <w:rsid w:val="00937331"/>
    <w:rsid w:val="00937702"/>
    <w:rsid w:val="00937A89"/>
    <w:rsid w:val="00937E06"/>
    <w:rsid w:val="00937F0C"/>
    <w:rsid w:val="00940328"/>
    <w:rsid w:val="009403AD"/>
    <w:rsid w:val="00940EA8"/>
    <w:rsid w:val="00940FE5"/>
    <w:rsid w:val="00941E99"/>
    <w:rsid w:val="009420B2"/>
    <w:rsid w:val="009426F7"/>
    <w:rsid w:val="009427EB"/>
    <w:rsid w:val="00942C9B"/>
    <w:rsid w:val="00944627"/>
    <w:rsid w:val="00944890"/>
    <w:rsid w:val="009448F8"/>
    <w:rsid w:val="00944B8F"/>
    <w:rsid w:val="009463C3"/>
    <w:rsid w:val="00946883"/>
    <w:rsid w:val="00947D06"/>
    <w:rsid w:val="009501B4"/>
    <w:rsid w:val="00951176"/>
    <w:rsid w:val="00951C14"/>
    <w:rsid w:val="00951D98"/>
    <w:rsid w:val="00951E83"/>
    <w:rsid w:val="0095270C"/>
    <w:rsid w:val="00952D62"/>
    <w:rsid w:val="00953E5F"/>
    <w:rsid w:val="009544DF"/>
    <w:rsid w:val="00954CE2"/>
    <w:rsid w:val="009556AA"/>
    <w:rsid w:val="009557EA"/>
    <w:rsid w:val="00955A05"/>
    <w:rsid w:val="00955DC8"/>
    <w:rsid w:val="009567AC"/>
    <w:rsid w:val="00956CC1"/>
    <w:rsid w:val="00956E59"/>
    <w:rsid w:val="0096006A"/>
    <w:rsid w:val="009606FD"/>
    <w:rsid w:val="00960E05"/>
    <w:rsid w:val="00961073"/>
    <w:rsid w:val="009619E6"/>
    <w:rsid w:val="00961D25"/>
    <w:rsid w:val="00962004"/>
    <w:rsid w:val="00962749"/>
    <w:rsid w:val="00962F63"/>
    <w:rsid w:val="00962FD6"/>
    <w:rsid w:val="00963799"/>
    <w:rsid w:val="00963E5A"/>
    <w:rsid w:val="0096612D"/>
    <w:rsid w:val="009661FC"/>
    <w:rsid w:val="0096631B"/>
    <w:rsid w:val="00966977"/>
    <w:rsid w:val="009672EC"/>
    <w:rsid w:val="00967BB9"/>
    <w:rsid w:val="00967E84"/>
    <w:rsid w:val="00970FB3"/>
    <w:rsid w:val="00971857"/>
    <w:rsid w:val="00971C40"/>
    <w:rsid w:val="0097264F"/>
    <w:rsid w:val="00973445"/>
    <w:rsid w:val="0097384D"/>
    <w:rsid w:val="009749AD"/>
    <w:rsid w:val="009750CE"/>
    <w:rsid w:val="00975816"/>
    <w:rsid w:val="00975E09"/>
    <w:rsid w:val="00976910"/>
    <w:rsid w:val="00976DCD"/>
    <w:rsid w:val="009772CA"/>
    <w:rsid w:val="009772D1"/>
    <w:rsid w:val="009810FB"/>
    <w:rsid w:val="00982E94"/>
    <w:rsid w:val="00983265"/>
    <w:rsid w:val="00983505"/>
    <w:rsid w:val="0098490F"/>
    <w:rsid w:val="0098552E"/>
    <w:rsid w:val="00985622"/>
    <w:rsid w:val="00986786"/>
    <w:rsid w:val="00986FE2"/>
    <w:rsid w:val="009875A2"/>
    <w:rsid w:val="00987A25"/>
    <w:rsid w:val="00987A4B"/>
    <w:rsid w:val="00987AE4"/>
    <w:rsid w:val="00987CE4"/>
    <w:rsid w:val="00987D06"/>
    <w:rsid w:val="00987F6E"/>
    <w:rsid w:val="00990212"/>
    <w:rsid w:val="00990A2E"/>
    <w:rsid w:val="00990D38"/>
    <w:rsid w:val="00991AB2"/>
    <w:rsid w:val="0099209A"/>
    <w:rsid w:val="009926DE"/>
    <w:rsid w:val="0099311B"/>
    <w:rsid w:val="0099382C"/>
    <w:rsid w:val="00994293"/>
    <w:rsid w:val="009947C7"/>
    <w:rsid w:val="00994F58"/>
    <w:rsid w:val="009955F2"/>
    <w:rsid w:val="00995EA7"/>
    <w:rsid w:val="00996230"/>
    <w:rsid w:val="00996BA8"/>
    <w:rsid w:val="00996FC9"/>
    <w:rsid w:val="00997295"/>
    <w:rsid w:val="009973BB"/>
    <w:rsid w:val="009975EC"/>
    <w:rsid w:val="00997A43"/>
    <w:rsid w:val="00997C45"/>
    <w:rsid w:val="009A044E"/>
    <w:rsid w:val="009A067C"/>
    <w:rsid w:val="009A158A"/>
    <w:rsid w:val="009A2AD3"/>
    <w:rsid w:val="009A2D3C"/>
    <w:rsid w:val="009A38EA"/>
    <w:rsid w:val="009A3E8B"/>
    <w:rsid w:val="009A3FA1"/>
    <w:rsid w:val="009A4971"/>
    <w:rsid w:val="009A4AC9"/>
    <w:rsid w:val="009A50B6"/>
    <w:rsid w:val="009A52F8"/>
    <w:rsid w:val="009A5BBF"/>
    <w:rsid w:val="009A5E4F"/>
    <w:rsid w:val="009A6453"/>
    <w:rsid w:val="009A7350"/>
    <w:rsid w:val="009A7BBC"/>
    <w:rsid w:val="009B0036"/>
    <w:rsid w:val="009B051D"/>
    <w:rsid w:val="009B0738"/>
    <w:rsid w:val="009B08E4"/>
    <w:rsid w:val="009B0977"/>
    <w:rsid w:val="009B09EA"/>
    <w:rsid w:val="009B1713"/>
    <w:rsid w:val="009B1721"/>
    <w:rsid w:val="009B1E96"/>
    <w:rsid w:val="009B2E77"/>
    <w:rsid w:val="009B3F96"/>
    <w:rsid w:val="009B45A3"/>
    <w:rsid w:val="009B46C0"/>
    <w:rsid w:val="009B4DFD"/>
    <w:rsid w:val="009B50FB"/>
    <w:rsid w:val="009B536C"/>
    <w:rsid w:val="009B62F2"/>
    <w:rsid w:val="009B6D9A"/>
    <w:rsid w:val="009B753E"/>
    <w:rsid w:val="009B78BC"/>
    <w:rsid w:val="009C0765"/>
    <w:rsid w:val="009C2054"/>
    <w:rsid w:val="009C24EB"/>
    <w:rsid w:val="009C2594"/>
    <w:rsid w:val="009C2A6B"/>
    <w:rsid w:val="009C30A3"/>
    <w:rsid w:val="009C341D"/>
    <w:rsid w:val="009C3FD0"/>
    <w:rsid w:val="009C547C"/>
    <w:rsid w:val="009C6341"/>
    <w:rsid w:val="009C653D"/>
    <w:rsid w:val="009C721E"/>
    <w:rsid w:val="009C7B7E"/>
    <w:rsid w:val="009D06E2"/>
    <w:rsid w:val="009D0ADA"/>
    <w:rsid w:val="009D0CF2"/>
    <w:rsid w:val="009D1F8D"/>
    <w:rsid w:val="009D1FAB"/>
    <w:rsid w:val="009D2C24"/>
    <w:rsid w:val="009D3E39"/>
    <w:rsid w:val="009D4399"/>
    <w:rsid w:val="009D4E74"/>
    <w:rsid w:val="009D4F20"/>
    <w:rsid w:val="009D4F9E"/>
    <w:rsid w:val="009D56E3"/>
    <w:rsid w:val="009D5B81"/>
    <w:rsid w:val="009D62F2"/>
    <w:rsid w:val="009E05D6"/>
    <w:rsid w:val="009E1E3D"/>
    <w:rsid w:val="009E202C"/>
    <w:rsid w:val="009E28B9"/>
    <w:rsid w:val="009E2E3B"/>
    <w:rsid w:val="009E3980"/>
    <w:rsid w:val="009E3B55"/>
    <w:rsid w:val="009E43F8"/>
    <w:rsid w:val="009E4599"/>
    <w:rsid w:val="009E469A"/>
    <w:rsid w:val="009E5682"/>
    <w:rsid w:val="009E6012"/>
    <w:rsid w:val="009E6B24"/>
    <w:rsid w:val="009E7C7C"/>
    <w:rsid w:val="009E7EDD"/>
    <w:rsid w:val="009F0AA2"/>
    <w:rsid w:val="009F1097"/>
    <w:rsid w:val="009F1983"/>
    <w:rsid w:val="009F23BD"/>
    <w:rsid w:val="009F28DA"/>
    <w:rsid w:val="009F2913"/>
    <w:rsid w:val="009F38CE"/>
    <w:rsid w:val="009F3C50"/>
    <w:rsid w:val="009F3FDB"/>
    <w:rsid w:val="009F425D"/>
    <w:rsid w:val="009F42B3"/>
    <w:rsid w:val="009F48AA"/>
    <w:rsid w:val="009F4E34"/>
    <w:rsid w:val="009F532D"/>
    <w:rsid w:val="009F5ABB"/>
    <w:rsid w:val="009F6253"/>
    <w:rsid w:val="009F6ACC"/>
    <w:rsid w:val="009F7087"/>
    <w:rsid w:val="009F7DA5"/>
    <w:rsid w:val="009F7F00"/>
    <w:rsid w:val="00A00672"/>
    <w:rsid w:val="00A00F9E"/>
    <w:rsid w:val="00A01594"/>
    <w:rsid w:val="00A01B11"/>
    <w:rsid w:val="00A0283A"/>
    <w:rsid w:val="00A02887"/>
    <w:rsid w:val="00A02FCC"/>
    <w:rsid w:val="00A04318"/>
    <w:rsid w:val="00A04927"/>
    <w:rsid w:val="00A0497C"/>
    <w:rsid w:val="00A04F4B"/>
    <w:rsid w:val="00A04FFB"/>
    <w:rsid w:val="00A0695D"/>
    <w:rsid w:val="00A10AC7"/>
    <w:rsid w:val="00A10DA5"/>
    <w:rsid w:val="00A11319"/>
    <w:rsid w:val="00A12A2D"/>
    <w:rsid w:val="00A13915"/>
    <w:rsid w:val="00A13C4E"/>
    <w:rsid w:val="00A14560"/>
    <w:rsid w:val="00A14628"/>
    <w:rsid w:val="00A14D7C"/>
    <w:rsid w:val="00A14E53"/>
    <w:rsid w:val="00A15418"/>
    <w:rsid w:val="00A16B7B"/>
    <w:rsid w:val="00A178E7"/>
    <w:rsid w:val="00A17F7B"/>
    <w:rsid w:val="00A20195"/>
    <w:rsid w:val="00A20303"/>
    <w:rsid w:val="00A2032E"/>
    <w:rsid w:val="00A23F13"/>
    <w:rsid w:val="00A240BF"/>
    <w:rsid w:val="00A24643"/>
    <w:rsid w:val="00A249A0"/>
    <w:rsid w:val="00A249F7"/>
    <w:rsid w:val="00A24B24"/>
    <w:rsid w:val="00A24B51"/>
    <w:rsid w:val="00A24C80"/>
    <w:rsid w:val="00A24E4F"/>
    <w:rsid w:val="00A252C3"/>
    <w:rsid w:val="00A2728D"/>
    <w:rsid w:val="00A3027C"/>
    <w:rsid w:val="00A30A76"/>
    <w:rsid w:val="00A30EB9"/>
    <w:rsid w:val="00A32CAE"/>
    <w:rsid w:val="00A3371D"/>
    <w:rsid w:val="00A33C2B"/>
    <w:rsid w:val="00A341C0"/>
    <w:rsid w:val="00A348D3"/>
    <w:rsid w:val="00A3523E"/>
    <w:rsid w:val="00A352BC"/>
    <w:rsid w:val="00A37822"/>
    <w:rsid w:val="00A37C8C"/>
    <w:rsid w:val="00A37DB5"/>
    <w:rsid w:val="00A37E59"/>
    <w:rsid w:val="00A4079A"/>
    <w:rsid w:val="00A40A62"/>
    <w:rsid w:val="00A40C5B"/>
    <w:rsid w:val="00A40D9E"/>
    <w:rsid w:val="00A40E17"/>
    <w:rsid w:val="00A412B4"/>
    <w:rsid w:val="00A415A9"/>
    <w:rsid w:val="00A41767"/>
    <w:rsid w:val="00A42538"/>
    <w:rsid w:val="00A42AAE"/>
    <w:rsid w:val="00A43680"/>
    <w:rsid w:val="00A44286"/>
    <w:rsid w:val="00A4460E"/>
    <w:rsid w:val="00A446ED"/>
    <w:rsid w:val="00A44794"/>
    <w:rsid w:val="00A44E0A"/>
    <w:rsid w:val="00A44F16"/>
    <w:rsid w:val="00A4514A"/>
    <w:rsid w:val="00A4544B"/>
    <w:rsid w:val="00A45793"/>
    <w:rsid w:val="00A4612A"/>
    <w:rsid w:val="00A461A9"/>
    <w:rsid w:val="00A463B8"/>
    <w:rsid w:val="00A46541"/>
    <w:rsid w:val="00A473A0"/>
    <w:rsid w:val="00A47613"/>
    <w:rsid w:val="00A50017"/>
    <w:rsid w:val="00A5097F"/>
    <w:rsid w:val="00A50A2F"/>
    <w:rsid w:val="00A51A64"/>
    <w:rsid w:val="00A51A85"/>
    <w:rsid w:val="00A53E27"/>
    <w:rsid w:val="00A54707"/>
    <w:rsid w:val="00A555A6"/>
    <w:rsid w:val="00A555DC"/>
    <w:rsid w:val="00A556DE"/>
    <w:rsid w:val="00A55B03"/>
    <w:rsid w:val="00A55DC7"/>
    <w:rsid w:val="00A56DCA"/>
    <w:rsid w:val="00A57514"/>
    <w:rsid w:val="00A608D2"/>
    <w:rsid w:val="00A60A7C"/>
    <w:rsid w:val="00A63118"/>
    <w:rsid w:val="00A63947"/>
    <w:rsid w:val="00A64063"/>
    <w:rsid w:val="00A64DD4"/>
    <w:rsid w:val="00A6526E"/>
    <w:rsid w:val="00A66962"/>
    <w:rsid w:val="00A70049"/>
    <w:rsid w:val="00A700D2"/>
    <w:rsid w:val="00A71831"/>
    <w:rsid w:val="00A72295"/>
    <w:rsid w:val="00A72310"/>
    <w:rsid w:val="00A72611"/>
    <w:rsid w:val="00A72FE5"/>
    <w:rsid w:val="00A73091"/>
    <w:rsid w:val="00A7328B"/>
    <w:rsid w:val="00A73DA1"/>
    <w:rsid w:val="00A73EF0"/>
    <w:rsid w:val="00A74112"/>
    <w:rsid w:val="00A74B3D"/>
    <w:rsid w:val="00A7504B"/>
    <w:rsid w:val="00A76160"/>
    <w:rsid w:val="00A76521"/>
    <w:rsid w:val="00A77154"/>
    <w:rsid w:val="00A77462"/>
    <w:rsid w:val="00A775F1"/>
    <w:rsid w:val="00A8034E"/>
    <w:rsid w:val="00A80774"/>
    <w:rsid w:val="00A81005"/>
    <w:rsid w:val="00A81543"/>
    <w:rsid w:val="00A825FF"/>
    <w:rsid w:val="00A8294F"/>
    <w:rsid w:val="00A8297B"/>
    <w:rsid w:val="00A841C9"/>
    <w:rsid w:val="00A84E08"/>
    <w:rsid w:val="00A851FA"/>
    <w:rsid w:val="00A85602"/>
    <w:rsid w:val="00A85A19"/>
    <w:rsid w:val="00A8631F"/>
    <w:rsid w:val="00A90046"/>
    <w:rsid w:val="00A90542"/>
    <w:rsid w:val="00A90A3E"/>
    <w:rsid w:val="00A9101B"/>
    <w:rsid w:val="00A91A56"/>
    <w:rsid w:val="00A91A5F"/>
    <w:rsid w:val="00A91FD2"/>
    <w:rsid w:val="00A93845"/>
    <w:rsid w:val="00A94ED5"/>
    <w:rsid w:val="00A953AC"/>
    <w:rsid w:val="00A95437"/>
    <w:rsid w:val="00A95523"/>
    <w:rsid w:val="00A96705"/>
    <w:rsid w:val="00A968C9"/>
    <w:rsid w:val="00A9696C"/>
    <w:rsid w:val="00A977B0"/>
    <w:rsid w:val="00AA07C3"/>
    <w:rsid w:val="00AA0987"/>
    <w:rsid w:val="00AA1E72"/>
    <w:rsid w:val="00AA274A"/>
    <w:rsid w:val="00AA3595"/>
    <w:rsid w:val="00AA4582"/>
    <w:rsid w:val="00AA5177"/>
    <w:rsid w:val="00AA54D3"/>
    <w:rsid w:val="00AA55C7"/>
    <w:rsid w:val="00AA6367"/>
    <w:rsid w:val="00AA7215"/>
    <w:rsid w:val="00AA7CAF"/>
    <w:rsid w:val="00AB0046"/>
    <w:rsid w:val="00AB0C38"/>
    <w:rsid w:val="00AB1750"/>
    <w:rsid w:val="00AB1878"/>
    <w:rsid w:val="00AB1C75"/>
    <w:rsid w:val="00AB24F1"/>
    <w:rsid w:val="00AB365E"/>
    <w:rsid w:val="00AB443B"/>
    <w:rsid w:val="00AB44CD"/>
    <w:rsid w:val="00AB4667"/>
    <w:rsid w:val="00AB4E1B"/>
    <w:rsid w:val="00AB4EA7"/>
    <w:rsid w:val="00AB5AF3"/>
    <w:rsid w:val="00AB6B43"/>
    <w:rsid w:val="00AB6E51"/>
    <w:rsid w:val="00AB7A71"/>
    <w:rsid w:val="00AB7C65"/>
    <w:rsid w:val="00AC0A98"/>
    <w:rsid w:val="00AC1729"/>
    <w:rsid w:val="00AC2954"/>
    <w:rsid w:val="00AC2E5B"/>
    <w:rsid w:val="00AC3200"/>
    <w:rsid w:val="00AC3300"/>
    <w:rsid w:val="00AC41AA"/>
    <w:rsid w:val="00AC420C"/>
    <w:rsid w:val="00AC50F2"/>
    <w:rsid w:val="00AC6147"/>
    <w:rsid w:val="00AC6261"/>
    <w:rsid w:val="00AC63A4"/>
    <w:rsid w:val="00AC645F"/>
    <w:rsid w:val="00AC6DDB"/>
    <w:rsid w:val="00AC779C"/>
    <w:rsid w:val="00AD12AC"/>
    <w:rsid w:val="00AD1536"/>
    <w:rsid w:val="00AD1C9E"/>
    <w:rsid w:val="00AD27B4"/>
    <w:rsid w:val="00AD32F7"/>
    <w:rsid w:val="00AD3A95"/>
    <w:rsid w:val="00AD3DB0"/>
    <w:rsid w:val="00AD4519"/>
    <w:rsid w:val="00AD584B"/>
    <w:rsid w:val="00AD5DC0"/>
    <w:rsid w:val="00AD5FD7"/>
    <w:rsid w:val="00AD63D3"/>
    <w:rsid w:val="00AD65BA"/>
    <w:rsid w:val="00AD6B5D"/>
    <w:rsid w:val="00AD7027"/>
    <w:rsid w:val="00AE120E"/>
    <w:rsid w:val="00AE17A1"/>
    <w:rsid w:val="00AE22BE"/>
    <w:rsid w:val="00AE244F"/>
    <w:rsid w:val="00AE5544"/>
    <w:rsid w:val="00AE6D16"/>
    <w:rsid w:val="00AE6E66"/>
    <w:rsid w:val="00AE70AA"/>
    <w:rsid w:val="00AE73F3"/>
    <w:rsid w:val="00AF0271"/>
    <w:rsid w:val="00AF099F"/>
    <w:rsid w:val="00AF1218"/>
    <w:rsid w:val="00AF12CD"/>
    <w:rsid w:val="00AF190A"/>
    <w:rsid w:val="00AF1BD5"/>
    <w:rsid w:val="00AF1CA0"/>
    <w:rsid w:val="00AF1E89"/>
    <w:rsid w:val="00AF1FFD"/>
    <w:rsid w:val="00AF205D"/>
    <w:rsid w:val="00AF242C"/>
    <w:rsid w:val="00AF3022"/>
    <w:rsid w:val="00AF3241"/>
    <w:rsid w:val="00AF4235"/>
    <w:rsid w:val="00AF489E"/>
    <w:rsid w:val="00AF5E98"/>
    <w:rsid w:val="00AF5ED0"/>
    <w:rsid w:val="00AF68D2"/>
    <w:rsid w:val="00AF74C8"/>
    <w:rsid w:val="00AF7B4A"/>
    <w:rsid w:val="00AF7DE7"/>
    <w:rsid w:val="00B00085"/>
    <w:rsid w:val="00B00966"/>
    <w:rsid w:val="00B00DE8"/>
    <w:rsid w:val="00B011F2"/>
    <w:rsid w:val="00B0247F"/>
    <w:rsid w:val="00B02A41"/>
    <w:rsid w:val="00B02B0D"/>
    <w:rsid w:val="00B0343C"/>
    <w:rsid w:val="00B036E0"/>
    <w:rsid w:val="00B03AF2"/>
    <w:rsid w:val="00B03D11"/>
    <w:rsid w:val="00B04268"/>
    <w:rsid w:val="00B049D7"/>
    <w:rsid w:val="00B04A6B"/>
    <w:rsid w:val="00B04F49"/>
    <w:rsid w:val="00B05191"/>
    <w:rsid w:val="00B0527D"/>
    <w:rsid w:val="00B0532B"/>
    <w:rsid w:val="00B05EF9"/>
    <w:rsid w:val="00B067C3"/>
    <w:rsid w:val="00B06E02"/>
    <w:rsid w:val="00B07348"/>
    <w:rsid w:val="00B100AC"/>
    <w:rsid w:val="00B103A6"/>
    <w:rsid w:val="00B1053E"/>
    <w:rsid w:val="00B10A61"/>
    <w:rsid w:val="00B110AB"/>
    <w:rsid w:val="00B110C1"/>
    <w:rsid w:val="00B12935"/>
    <w:rsid w:val="00B129B7"/>
    <w:rsid w:val="00B12B2D"/>
    <w:rsid w:val="00B13128"/>
    <w:rsid w:val="00B13721"/>
    <w:rsid w:val="00B13C4B"/>
    <w:rsid w:val="00B16262"/>
    <w:rsid w:val="00B16A1D"/>
    <w:rsid w:val="00B16BE0"/>
    <w:rsid w:val="00B16C80"/>
    <w:rsid w:val="00B170A3"/>
    <w:rsid w:val="00B1783A"/>
    <w:rsid w:val="00B17ADD"/>
    <w:rsid w:val="00B20173"/>
    <w:rsid w:val="00B201FA"/>
    <w:rsid w:val="00B20366"/>
    <w:rsid w:val="00B209F4"/>
    <w:rsid w:val="00B20BB9"/>
    <w:rsid w:val="00B20F01"/>
    <w:rsid w:val="00B2122C"/>
    <w:rsid w:val="00B21242"/>
    <w:rsid w:val="00B22D04"/>
    <w:rsid w:val="00B23068"/>
    <w:rsid w:val="00B237FA"/>
    <w:rsid w:val="00B2387C"/>
    <w:rsid w:val="00B23FEF"/>
    <w:rsid w:val="00B24250"/>
    <w:rsid w:val="00B2429A"/>
    <w:rsid w:val="00B24950"/>
    <w:rsid w:val="00B24D9B"/>
    <w:rsid w:val="00B24E45"/>
    <w:rsid w:val="00B24EA2"/>
    <w:rsid w:val="00B2623A"/>
    <w:rsid w:val="00B26519"/>
    <w:rsid w:val="00B26E23"/>
    <w:rsid w:val="00B27B66"/>
    <w:rsid w:val="00B3002A"/>
    <w:rsid w:val="00B30A94"/>
    <w:rsid w:val="00B30B56"/>
    <w:rsid w:val="00B30D6F"/>
    <w:rsid w:val="00B31322"/>
    <w:rsid w:val="00B31D49"/>
    <w:rsid w:val="00B32126"/>
    <w:rsid w:val="00B329C7"/>
    <w:rsid w:val="00B33729"/>
    <w:rsid w:val="00B34F16"/>
    <w:rsid w:val="00B35DC3"/>
    <w:rsid w:val="00B36A14"/>
    <w:rsid w:val="00B3738D"/>
    <w:rsid w:val="00B378BA"/>
    <w:rsid w:val="00B37E10"/>
    <w:rsid w:val="00B37F65"/>
    <w:rsid w:val="00B37F8A"/>
    <w:rsid w:val="00B40C9B"/>
    <w:rsid w:val="00B40E83"/>
    <w:rsid w:val="00B414B6"/>
    <w:rsid w:val="00B4152F"/>
    <w:rsid w:val="00B417F7"/>
    <w:rsid w:val="00B418FB"/>
    <w:rsid w:val="00B41A74"/>
    <w:rsid w:val="00B41DDD"/>
    <w:rsid w:val="00B41FED"/>
    <w:rsid w:val="00B42914"/>
    <w:rsid w:val="00B42F86"/>
    <w:rsid w:val="00B432B9"/>
    <w:rsid w:val="00B43A5C"/>
    <w:rsid w:val="00B44C1C"/>
    <w:rsid w:val="00B45BCB"/>
    <w:rsid w:val="00B45C7E"/>
    <w:rsid w:val="00B4647C"/>
    <w:rsid w:val="00B466BC"/>
    <w:rsid w:val="00B47730"/>
    <w:rsid w:val="00B51846"/>
    <w:rsid w:val="00B5196B"/>
    <w:rsid w:val="00B5197A"/>
    <w:rsid w:val="00B52123"/>
    <w:rsid w:val="00B52192"/>
    <w:rsid w:val="00B529DF"/>
    <w:rsid w:val="00B53232"/>
    <w:rsid w:val="00B538A7"/>
    <w:rsid w:val="00B542CF"/>
    <w:rsid w:val="00B5559A"/>
    <w:rsid w:val="00B55E9E"/>
    <w:rsid w:val="00B566E2"/>
    <w:rsid w:val="00B573FE"/>
    <w:rsid w:val="00B57DC1"/>
    <w:rsid w:val="00B602EC"/>
    <w:rsid w:val="00B6079A"/>
    <w:rsid w:val="00B608A3"/>
    <w:rsid w:val="00B60FE8"/>
    <w:rsid w:val="00B6108F"/>
    <w:rsid w:val="00B61869"/>
    <w:rsid w:val="00B61C85"/>
    <w:rsid w:val="00B625C3"/>
    <w:rsid w:val="00B62756"/>
    <w:rsid w:val="00B63FEA"/>
    <w:rsid w:val="00B64205"/>
    <w:rsid w:val="00B64364"/>
    <w:rsid w:val="00B646BF"/>
    <w:rsid w:val="00B654DB"/>
    <w:rsid w:val="00B657E8"/>
    <w:rsid w:val="00B65833"/>
    <w:rsid w:val="00B65A2D"/>
    <w:rsid w:val="00B65BBE"/>
    <w:rsid w:val="00B66261"/>
    <w:rsid w:val="00B66672"/>
    <w:rsid w:val="00B669A6"/>
    <w:rsid w:val="00B67B77"/>
    <w:rsid w:val="00B703AF"/>
    <w:rsid w:val="00B708FB"/>
    <w:rsid w:val="00B711C3"/>
    <w:rsid w:val="00B716C8"/>
    <w:rsid w:val="00B721C7"/>
    <w:rsid w:val="00B72BCF"/>
    <w:rsid w:val="00B72E9D"/>
    <w:rsid w:val="00B73395"/>
    <w:rsid w:val="00B738DC"/>
    <w:rsid w:val="00B7424D"/>
    <w:rsid w:val="00B74475"/>
    <w:rsid w:val="00B74858"/>
    <w:rsid w:val="00B74D9E"/>
    <w:rsid w:val="00B75DEF"/>
    <w:rsid w:val="00B76064"/>
    <w:rsid w:val="00B77876"/>
    <w:rsid w:val="00B80307"/>
    <w:rsid w:val="00B809F2"/>
    <w:rsid w:val="00B81142"/>
    <w:rsid w:val="00B816B8"/>
    <w:rsid w:val="00B82272"/>
    <w:rsid w:val="00B82360"/>
    <w:rsid w:val="00B832B4"/>
    <w:rsid w:val="00B834AF"/>
    <w:rsid w:val="00B83D67"/>
    <w:rsid w:val="00B843FE"/>
    <w:rsid w:val="00B84D8D"/>
    <w:rsid w:val="00B84E02"/>
    <w:rsid w:val="00B85F9A"/>
    <w:rsid w:val="00B8608B"/>
    <w:rsid w:val="00B86B13"/>
    <w:rsid w:val="00B87435"/>
    <w:rsid w:val="00B87481"/>
    <w:rsid w:val="00B87995"/>
    <w:rsid w:val="00B906CA"/>
    <w:rsid w:val="00B907BB"/>
    <w:rsid w:val="00B90A20"/>
    <w:rsid w:val="00B90E95"/>
    <w:rsid w:val="00B9144F"/>
    <w:rsid w:val="00B924EC"/>
    <w:rsid w:val="00B93219"/>
    <w:rsid w:val="00B93271"/>
    <w:rsid w:val="00B9341C"/>
    <w:rsid w:val="00B9351A"/>
    <w:rsid w:val="00B93839"/>
    <w:rsid w:val="00B93FD2"/>
    <w:rsid w:val="00B95110"/>
    <w:rsid w:val="00B95876"/>
    <w:rsid w:val="00B96172"/>
    <w:rsid w:val="00B9621C"/>
    <w:rsid w:val="00B9632D"/>
    <w:rsid w:val="00B976B5"/>
    <w:rsid w:val="00BA0C6C"/>
    <w:rsid w:val="00BA1B27"/>
    <w:rsid w:val="00BA1E27"/>
    <w:rsid w:val="00BA2285"/>
    <w:rsid w:val="00BA288F"/>
    <w:rsid w:val="00BA28CC"/>
    <w:rsid w:val="00BA2FDE"/>
    <w:rsid w:val="00BA376D"/>
    <w:rsid w:val="00BA39C4"/>
    <w:rsid w:val="00BA5399"/>
    <w:rsid w:val="00BA5F4E"/>
    <w:rsid w:val="00BA5FDD"/>
    <w:rsid w:val="00BA6673"/>
    <w:rsid w:val="00BA6AD2"/>
    <w:rsid w:val="00BA6B11"/>
    <w:rsid w:val="00BA6D69"/>
    <w:rsid w:val="00BA6F24"/>
    <w:rsid w:val="00BA707E"/>
    <w:rsid w:val="00BA7B75"/>
    <w:rsid w:val="00BA7B94"/>
    <w:rsid w:val="00BA7E6D"/>
    <w:rsid w:val="00BB059C"/>
    <w:rsid w:val="00BB0DAE"/>
    <w:rsid w:val="00BB0DBD"/>
    <w:rsid w:val="00BB0FA6"/>
    <w:rsid w:val="00BB1069"/>
    <w:rsid w:val="00BB106E"/>
    <w:rsid w:val="00BB11E9"/>
    <w:rsid w:val="00BB14D2"/>
    <w:rsid w:val="00BB1BC3"/>
    <w:rsid w:val="00BB27DB"/>
    <w:rsid w:val="00BB2AD2"/>
    <w:rsid w:val="00BB3D3C"/>
    <w:rsid w:val="00BB45A9"/>
    <w:rsid w:val="00BB4F85"/>
    <w:rsid w:val="00BB5024"/>
    <w:rsid w:val="00BB55DF"/>
    <w:rsid w:val="00BB5FA3"/>
    <w:rsid w:val="00BB76BF"/>
    <w:rsid w:val="00BC02C9"/>
    <w:rsid w:val="00BC2554"/>
    <w:rsid w:val="00BC2583"/>
    <w:rsid w:val="00BC280E"/>
    <w:rsid w:val="00BC2D54"/>
    <w:rsid w:val="00BC3134"/>
    <w:rsid w:val="00BC376A"/>
    <w:rsid w:val="00BC392D"/>
    <w:rsid w:val="00BC4CB2"/>
    <w:rsid w:val="00BC6426"/>
    <w:rsid w:val="00BC6B51"/>
    <w:rsid w:val="00BC7265"/>
    <w:rsid w:val="00BC7C00"/>
    <w:rsid w:val="00BD01E6"/>
    <w:rsid w:val="00BD0223"/>
    <w:rsid w:val="00BD0265"/>
    <w:rsid w:val="00BD0C34"/>
    <w:rsid w:val="00BD0DFE"/>
    <w:rsid w:val="00BD174A"/>
    <w:rsid w:val="00BD1F2A"/>
    <w:rsid w:val="00BD209D"/>
    <w:rsid w:val="00BD25FB"/>
    <w:rsid w:val="00BD2711"/>
    <w:rsid w:val="00BD369D"/>
    <w:rsid w:val="00BD3834"/>
    <w:rsid w:val="00BD3B54"/>
    <w:rsid w:val="00BD3B97"/>
    <w:rsid w:val="00BD3E27"/>
    <w:rsid w:val="00BD462D"/>
    <w:rsid w:val="00BD4784"/>
    <w:rsid w:val="00BD4A93"/>
    <w:rsid w:val="00BD4E44"/>
    <w:rsid w:val="00BD6A65"/>
    <w:rsid w:val="00BD756E"/>
    <w:rsid w:val="00BD76D4"/>
    <w:rsid w:val="00BE16B2"/>
    <w:rsid w:val="00BE1C49"/>
    <w:rsid w:val="00BE1D66"/>
    <w:rsid w:val="00BE1F9B"/>
    <w:rsid w:val="00BE2100"/>
    <w:rsid w:val="00BE2721"/>
    <w:rsid w:val="00BE3398"/>
    <w:rsid w:val="00BE3676"/>
    <w:rsid w:val="00BE44BE"/>
    <w:rsid w:val="00BE52A7"/>
    <w:rsid w:val="00BE5A27"/>
    <w:rsid w:val="00BE5C73"/>
    <w:rsid w:val="00BE6677"/>
    <w:rsid w:val="00BE7049"/>
    <w:rsid w:val="00BE708F"/>
    <w:rsid w:val="00BE7723"/>
    <w:rsid w:val="00BF10F5"/>
    <w:rsid w:val="00BF1593"/>
    <w:rsid w:val="00BF196E"/>
    <w:rsid w:val="00BF3625"/>
    <w:rsid w:val="00BF3781"/>
    <w:rsid w:val="00BF3966"/>
    <w:rsid w:val="00BF3A53"/>
    <w:rsid w:val="00BF3B6B"/>
    <w:rsid w:val="00BF41E2"/>
    <w:rsid w:val="00BF466D"/>
    <w:rsid w:val="00BF5936"/>
    <w:rsid w:val="00BF62D3"/>
    <w:rsid w:val="00BF662F"/>
    <w:rsid w:val="00BF7316"/>
    <w:rsid w:val="00BF7DD9"/>
    <w:rsid w:val="00C0025C"/>
    <w:rsid w:val="00C0099A"/>
    <w:rsid w:val="00C00B59"/>
    <w:rsid w:val="00C012E6"/>
    <w:rsid w:val="00C02276"/>
    <w:rsid w:val="00C024A9"/>
    <w:rsid w:val="00C02536"/>
    <w:rsid w:val="00C032BF"/>
    <w:rsid w:val="00C0398A"/>
    <w:rsid w:val="00C03A0A"/>
    <w:rsid w:val="00C04181"/>
    <w:rsid w:val="00C04331"/>
    <w:rsid w:val="00C04B0A"/>
    <w:rsid w:val="00C05184"/>
    <w:rsid w:val="00C06F91"/>
    <w:rsid w:val="00C07085"/>
    <w:rsid w:val="00C07293"/>
    <w:rsid w:val="00C07C2B"/>
    <w:rsid w:val="00C1022A"/>
    <w:rsid w:val="00C10F9E"/>
    <w:rsid w:val="00C12A73"/>
    <w:rsid w:val="00C14078"/>
    <w:rsid w:val="00C14CAF"/>
    <w:rsid w:val="00C1518C"/>
    <w:rsid w:val="00C156DF"/>
    <w:rsid w:val="00C157CD"/>
    <w:rsid w:val="00C15AEF"/>
    <w:rsid w:val="00C16110"/>
    <w:rsid w:val="00C1636B"/>
    <w:rsid w:val="00C17244"/>
    <w:rsid w:val="00C173DC"/>
    <w:rsid w:val="00C17491"/>
    <w:rsid w:val="00C20200"/>
    <w:rsid w:val="00C2042B"/>
    <w:rsid w:val="00C205BF"/>
    <w:rsid w:val="00C20631"/>
    <w:rsid w:val="00C20868"/>
    <w:rsid w:val="00C22592"/>
    <w:rsid w:val="00C22672"/>
    <w:rsid w:val="00C22C28"/>
    <w:rsid w:val="00C23B2D"/>
    <w:rsid w:val="00C2406A"/>
    <w:rsid w:val="00C2409D"/>
    <w:rsid w:val="00C248F3"/>
    <w:rsid w:val="00C24A17"/>
    <w:rsid w:val="00C24DBE"/>
    <w:rsid w:val="00C25FA5"/>
    <w:rsid w:val="00C26351"/>
    <w:rsid w:val="00C26FED"/>
    <w:rsid w:val="00C27662"/>
    <w:rsid w:val="00C27DB0"/>
    <w:rsid w:val="00C304B9"/>
    <w:rsid w:val="00C30D70"/>
    <w:rsid w:val="00C30F29"/>
    <w:rsid w:val="00C311D2"/>
    <w:rsid w:val="00C31729"/>
    <w:rsid w:val="00C31A7B"/>
    <w:rsid w:val="00C31DA6"/>
    <w:rsid w:val="00C320D1"/>
    <w:rsid w:val="00C32154"/>
    <w:rsid w:val="00C331F6"/>
    <w:rsid w:val="00C3320C"/>
    <w:rsid w:val="00C33489"/>
    <w:rsid w:val="00C346C5"/>
    <w:rsid w:val="00C34BD6"/>
    <w:rsid w:val="00C34BF2"/>
    <w:rsid w:val="00C34E44"/>
    <w:rsid w:val="00C35849"/>
    <w:rsid w:val="00C35C17"/>
    <w:rsid w:val="00C36431"/>
    <w:rsid w:val="00C3669A"/>
    <w:rsid w:val="00C36718"/>
    <w:rsid w:val="00C3675D"/>
    <w:rsid w:val="00C370BE"/>
    <w:rsid w:val="00C370E6"/>
    <w:rsid w:val="00C3726E"/>
    <w:rsid w:val="00C373E3"/>
    <w:rsid w:val="00C3755D"/>
    <w:rsid w:val="00C3796D"/>
    <w:rsid w:val="00C4018A"/>
    <w:rsid w:val="00C40557"/>
    <w:rsid w:val="00C41F11"/>
    <w:rsid w:val="00C422BA"/>
    <w:rsid w:val="00C4277C"/>
    <w:rsid w:val="00C42992"/>
    <w:rsid w:val="00C42B66"/>
    <w:rsid w:val="00C431F9"/>
    <w:rsid w:val="00C4338C"/>
    <w:rsid w:val="00C4395A"/>
    <w:rsid w:val="00C43EE2"/>
    <w:rsid w:val="00C445D2"/>
    <w:rsid w:val="00C44EEA"/>
    <w:rsid w:val="00C454D3"/>
    <w:rsid w:val="00C4733D"/>
    <w:rsid w:val="00C47D8D"/>
    <w:rsid w:val="00C50227"/>
    <w:rsid w:val="00C50296"/>
    <w:rsid w:val="00C50631"/>
    <w:rsid w:val="00C50B51"/>
    <w:rsid w:val="00C50B99"/>
    <w:rsid w:val="00C514DD"/>
    <w:rsid w:val="00C522AE"/>
    <w:rsid w:val="00C52B8B"/>
    <w:rsid w:val="00C52C8E"/>
    <w:rsid w:val="00C536AD"/>
    <w:rsid w:val="00C53B42"/>
    <w:rsid w:val="00C53FE2"/>
    <w:rsid w:val="00C54440"/>
    <w:rsid w:val="00C544EB"/>
    <w:rsid w:val="00C54573"/>
    <w:rsid w:val="00C54FCA"/>
    <w:rsid w:val="00C55A10"/>
    <w:rsid w:val="00C5705A"/>
    <w:rsid w:val="00C570F8"/>
    <w:rsid w:val="00C5757B"/>
    <w:rsid w:val="00C60682"/>
    <w:rsid w:val="00C61620"/>
    <w:rsid w:val="00C6163A"/>
    <w:rsid w:val="00C61C61"/>
    <w:rsid w:val="00C61CDC"/>
    <w:rsid w:val="00C62849"/>
    <w:rsid w:val="00C62B54"/>
    <w:rsid w:val="00C63BFF"/>
    <w:rsid w:val="00C63E05"/>
    <w:rsid w:val="00C647A9"/>
    <w:rsid w:val="00C652D4"/>
    <w:rsid w:val="00C65416"/>
    <w:rsid w:val="00C65450"/>
    <w:rsid w:val="00C660F5"/>
    <w:rsid w:val="00C66B1D"/>
    <w:rsid w:val="00C66F48"/>
    <w:rsid w:val="00C66F7C"/>
    <w:rsid w:val="00C67DE6"/>
    <w:rsid w:val="00C70992"/>
    <w:rsid w:val="00C70DD2"/>
    <w:rsid w:val="00C70E7B"/>
    <w:rsid w:val="00C70FB7"/>
    <w:rsid w:val="00C71ECC"/>
    <w:rsid w:val="00C72624"/>
    <w:rsid w:val="00C72B02"/>
    <w:rsid w:val="00C73808"/>
    <w:rsid w:val="00C7384F"/>
    <w:rsid w:val="00C73984"/>
    <w:rsid w:val="00C747F6"/>
    <w:rsid w:val="00C74DAC"/>
    <w:rsid w:val="00C75F99"/>
    <w:rsid w:val="00C76712"/>
    <w:rsid w:val="00C76F0B"/>
    <w:rsid w:val="00C77324"/>
    <w:rsid w:val="00C77A13"/>
    <w:rsid w:val="00C80BC1"/>
    <w:rsid w:val="00C80C93"/>
    <w:rsid w:val="00C80F1A"/>
    <w:rsid w:val="00C818E7"/>
    <w:rsid w:val="00C823FA"/>
    <w:rsid w:val="00C828FC"/>
    <w:rsid w:val="00C82AD3"/>
    <w:rsid w:val="00C83494"/>
    <w:rsid w:val="00C846DA"/>
    <w:rsid w:val="00C853E8"/>
    <w:rsid w:val="00C85452"/>
    <w:rsid w:val="00C860D0"/>
    <w:rsid w:val="00C8701E"/>
    <w:rsid w:val="00C873BC"/>
    <w:rsid w:val="00C87E68"/>
    <w:rsid w:val="00C87F8A"/>
    <w:rsid w:val="00C9046A"/>
    <w:rsid w:val="00C9048F"/>
    <w:rsid w:val="00C90F2E"/>
    <w:rsid w:val="00C91166"/>
    <w:rsid w:val="00C9192D"/>
    <w:rsid w:val="00C91A45"/>
    <w:rsid w:val="00C93859"/>
    <w:rsid w:val="00C93B71"/>
    <w:rsid w:val="00C942FA"/>
    <w:rsid w:val="00C94BBF"/>
    <w:rsid w:val="00C956DB"/>
    <w:rsid w:val="00C95C27"/>
    <w:rsid w:val="00C95DF8"/>
    <w:rsid w:val="00C9617A"/>
    <w:rsid w:val="00C96244"/>
    <w:rsid w:val="00C9678B"/>
    <w:rsid w:val="00C9680B"/>
    <w:rsid w:val="00C96FF7"/>
    <w:rsid w:val="00C977E8"/>
    <w:rsid w:val="00CA0F20"/>
    <w:rsid w:val="00CA17BD"/>
    <w:rsid w:val="00CA1A2A"/>
    <w:rsid w:val="00CA1DC5"/>
    <w:rsid w:val="00CA22C4"/>
    <w:rsid w:val="00CA2753"/>
    <w:rsid w:val="00CA2BE7"/>
    <w:rsid w:val="00CA2F18"/>
    <w:rsid w:val="00CA34ED"/>
    <w:rsid w:val="00CA3F79"/>
    <w:rsid w:val="00CA4187"/>
    <w:rsid w:val="00CA41AB"/>
    <w:rsid w:val="00CA45AD"/>
    <w:rsid w:val="00CA46B8"/>
    <w:rsid w:val="00CA4B97"/>
    <w:rsid w:val="00CA4D46"/>
    <w:rsid w:val="00CA5E8D"/>
    <w:rsid w:val="00CA68C9"/>
    <w:rsid w:val="00CA69AE"/>
    <w:rsid w:val="00CA7C01"/>
    <w:rsid w:val="00CA7CA8"/>
    <w:rsid w:val="00CA7EB4"/>
    <w:rsid w:val="00CB019A"/>
    <w:rsid w:val="00CB0ED7"/>
    <w:rsid w:val="00CB15CA"/>
    <w:rsid w:val="00CB19A5"/>
    <w:rsid w:val="00CB1C7E"/>
    <w:rsid w:val="00CB2E15"/>
    <w:rsid w:val="00CB2E79"/>
    <w:rsid w:val="00CB2FA2"/>
    <w:rsid w:val="00CB39AF"/>
    <w:rsid w:val="00CB3AA1"/>
    <w:rsid w:val="00CB3CB9"/>
    <w:rsid w:val="00CB49E4"/>
    <w:rsid w:val="00CB54D4"/>
    <w:rsid w:val="00CB57A1"/>
    <w:rsid w:val="00CB57D8"/>
    <w:rsid w:val="00CB5A40"/>
    <w:rsid w:val="00CB5EAF"/>
    <w:rsid w:val="00CB5FC6"/>
    <w:rsid w:val="00CB6ED8"/>
    <w:rsid w:val="00CB7771"/>
    <w:rsid w:val="00CB7A7A"/>
    <w:rsid w:val="00CB7FEE"/>
    <w:rsid w:val="00CC0687"/>
    <w:rsid w:val="00CC0B06"/>
    <w:rsid w:val="00CC1AAA"/>
    <w:rsid w:val="00CC1E51"/>
    <w:rsid w:val="00CC3186"/>
    <w:rsid w:val="00CC4022"/>
    <w:rsid w:val="00CC4216"/>
    <w:rsid w:val="00CC449A"/>
    <w:rsid w:val="00CC4BE9"/>
    <w:rsid w:val="00CC4D42"/>
    <w:rsid w:val="00CC51BE"/>
    <w:rsid w:val="00CC52AC"/>
    <w:rsid w:val="00CC5B57"/>
    <w:rsid w:val="00CC5BFC"/>
    <w:rsid w:val="00CC5F6E"/>
    <w:rsid w:val="00CC75BE"/>
    <w:rsid w:val="00CC75D4"/>
    <w:rsid w:val="00CC79D5"/>
    <w:rsid w:val="00CC7D7B"/>
    <w:rsid w:val="00CC7D8F"/>
    <w:rsid w:val="00CD031C"/>
    <w:rsid w:val="00CD03D6"/>
    <w:rsid w:val="00CD070B"/>
    <w:rsid w:val="00CD2A1F"/>
    <w:rsid w:val="00CD2F95"/>
    <w:rsid w:val="00CD3064"/>
    <w:rsid w:val="00CD3441"/>
    <w:rsid w:val="00CD390B"/>
    <w:rsid w:val="00CD394B"/>
    <w:rsid w:val="00CD4152"/>
    <w:rsid w:val="00CD4483"/>
    <w:rsid w:val="00CD46ED"/>
    <w:rsid w:val="00CD477E"/>
    <w:rsid w:val="00CD4B7F"/>
    <w:rsid w:val="00CD4C41"/>
    <w:rsid w:val="00CD5CE1"/>
    <w:rsid w:val="00CD628F"/>
    <w:rsid w:val="00CD62FE"/>
    <w:rsid w:val="00CD766B"/>
    <w:rsid w:val="00CD7EB6"/>
    <w:rsid w:val="00CE04DE"/>
    <w:rsid w:val="00CE0E84"/>
    <w:rsid w:val="00CE10B1"/>
    <w:rsid w:val="00CE14D6"/>
    <w:rsid w:val="00CE153D"/>
    <w:rsid w:val="00CE1D7B"/>
    <w:rsid w:val="00CE2118"/>
    <w:rsid w:val="00CE243F"/>
    <w:rsid w:val="00CE3175"/>
    <w:rsid w:val="00CE3293"/>
    <w:rsid w:val="00CE3C6D"/>
    <w:rsid w:val="00CE3C82"/>
    <w:rsid w:val="00CE43B1"/>
    <w:rsid w:val="00CE45DB"/>
    <w:rsid w:val="00CE537D"/>
    <w:rsid w:val="00CE6D9E"/>
    <w:rsid w:val="00CE794B"/>
    <w:rsid w:val="00CE7C39"/>
    <w:rsid w:val="00CF05EA"/>
    <w:rsid w:val="00CF0FB9"/>
    <w:rsid w:val="00CF248F"/>
    <w:rsid w:val="00CF3522"/>
    <w:rsid w:val="00CF3F37"/>
    <w:rsid w:val="00CF4A46"/>
    <w:rsid w:val="00CF4BD8"/>
    <w:rsid w:val="00CF581A"/>
    <w:rsid w:val="00CF6248"/>
    <w:rsid w:val="00CF74C0"/>
    <w:rsid w:val="00CF7897"/>
    <w:rsid w:val="00D009E0"/>
    <w:rsid w:val="00D013D9"/>
    <w:rsid w:val="00D01E38"/>
    <w:rsid w:val="00D026AB"/>
    <w:rsid w:val="00D0283B"/>
    <w:rsid w:val="00D02ABB"/>
    <w:rsid w:val="00D03BB9"/>
    <w:rsid w:val="00D03D4D"/>
    <w:rsid w:val="00D03F6C"/>
    <w:rsid w:val="00D0415C"/>
    <w:rsid w:val="00D04983"/>
    <w:rsid w:val="00D05778"/>
    <w:rsid w:val="00D070FF"/>
    <w:rsid w:val="00D075A4"/>
    <w:rsid w:val="00D07D94"/>
    <w:rsid w:val="00D1058E"/>
    <w:rsid w:val="00D12059"/>
    <w:rsid w:val="00D1239D"/>
    <w:rsid w:val="00D125DE"/>
    <w:rsid w:val="00D13777"/>
    <w:rsid w:val="00D13BB6"/>
    <w:rsid w:val="00D13C2D"/>
    <w:rsid w:val="00D1459C"/>
    <w:rsid w:val="00D151F0"/>
    <w:rsid w:val="00D15F8E"/>
    <w:rsid w:val="00D1690E"/>
    <w:rsid w:val="00D173A5"/>
    <w:rsid w:val="00D178E9"/>
    <w:rsid w:val="00D17B3F"/>
    <w:rsid w:val="00D17F1D"/>
    <w:rsid w:val="00D219D5"/>
    <w:rsid w:val="00D2203E"/>
    <w:rsid w:val="00D23513"/>
    <w:rsid w:val="00D237C9"/>
    <w:rsid w:val="00D245E2"/>
    <w:rsid w:val="00D24A53"/>
    <w:rsid w:val="00D24C69"/>
    <w:rsid w:val="00D251CF"/>
    <w:rsid w:val="00D252B8"/>
    <w:rsid w:val="00D267D6"/>
    <w:rsid w:val="00D2729A"/>
    <w:rsid w:val="00D27506"/>
    <w:rsid w:val="00D27E6C"/>
    <w:rsid w:val="00D30F5A"/>
    <w:rsid w:val="00D3198D"/>
    <w:rsid w:val="00D32EAB"/>
    <w:rsid w:val="00D3357B"/>
    <w:rsid w:val="00D34338"/>
    <w:rsid w:val="00D34688"/>
    <w:rsid w:val="00D35601"/>
    <w:rsid w:val="00D35F3B"/>
    <w:rsid w:val="00D36027"/>
    <w:rsid w:val="00D36337"/>
    <w:rsid w:val="00D36522"/>
    <w:rsid w:val="00D366B7"/>
    <w:rsid w:val="00D367F5"/>
    <w:rsid w:val="00D36C23"/>
    <w:rsid w:val="00D36FB2"/>
    <w:rsid w:val="00D375C7"/>
    <w:rsid w:val="00D3769E"/>
    <w:rsid w:val="00D40EAF"/>
    <w:rsid w:val="00D411A8"/>
    <w:rsid w:val="00D41B99"/>
    <w:rsid w:val="00D42249"/>
    <w:rsid w:val="00D4244A"/>
    <w:rsid w:val="00D42487"/>
    <w:rsid w:val="00D44CC7"/>
    <w:rsid w:val="00D45867"/>
    <w:rsid w:val="00D4595F"/>
    <w:rsid w:val="00D45CE3"/>
    <w:rsid w:val="00D46157"/>
    <w:rsid w:val="00D4646A"/>
    <w:rsid w:val="00D466A8"/>
    <w:rsid w:val="00D46A18"/>
    <w:rsid w:val="00D46BEF"/>
    <w:rsid w:val="00D47187"/>
    <w:rsid w:val="00D4751A"/>
    <w:rsid w:val="00D50011"/>
    <w:rsid w:val="00D500F2"/>
    <w:rsid w:val="00D5017E"/>
    <w:rsid w:val="00D508E4"/>
    <w:rsid w:val="00D50B2C"/>
    <w:rsid w:val="00D52284"/>
    <w:rsid w:val="00D5322C"/>
    <w:rsid w:val="00D533BF"/>
    <w:rsid w:val="00D53841"/>
    <w:rsid w:val="00D53C05"/>
    <w:rsid w:val="00D546B8"/>
    <w:rsid w:val="00D55294"/>
    <w:rsid w:val="00D56ACF"/>
    <w:rsid w:val="00D57152"/>
    <w:rsid w:val="00D57692"/>
    <w:rsid w:val="00D57AF1"/>
    <w:rsid w:val="00D60236"/>
    <w:rsid w:val="00D60B43"/>
    <w:rsid w:val="00D60C45"/>
    <w:rsid w:val="00D614C7"/>
    <w:rsid w:val="00D61E9C"/>
    <w:rsid w:val="00D61F93"/>
    <w:rsid w:val="00D623A8"/>
    <w:rsid w:val="00D62545"/>
    <w:rsid w:val="00D62EEF"/>
    <w:rsid w:val="00D6312F"/>
    <w:rsid w:val="00D63A3E"/>
    <w:rsid w:val="00D63D69"/>
    <w:rsid w:val="00D640F2"/>
    <w:rsid w:val="00D64236"/>
    <w:rsid w:val="00D642AD"/>
    <w:rsid w:val="00D64A40"/>
    <w:rsid w:val="00D64BD4"/>
    <w:rsid w:val="00D64E02"/>
    <w:rsid w:val="00D654E8"/>
    <w:rsid w:val="00D654FB"/>
    <w:rsid w:val="00D65619"/>
    <w:rsid w:val="00D66C42"/>
    <w:rsid w:val="00D67780"/>
    <w:rsid w:val="00D701C2"/>
    <w:rsid w:val="00D7055C"/>
    <w:rsid w:val="00D71468"/>
    <w:rsid w:val="00D7160C"/>
    <w:rsid w:val="00D71741"/>
    <w:rsid w:val="00D71C1F"/>
    <w:rsid w:val="00D71CE6"/>
    <w:rsid w:val="00D727B3"/>
    <w:rsid w:val="00D73210"/>
    <w:rsid w:val="00D73AD4"/>
    <w:rsid w:val="00D74862"/>
    <w:rsid w:val="00D756D2"/>
    <w:rsid w:val="00D75879"/>
    <w:rsid w:val="00D75908"/>
    <w:rsid w:val="00D75ECA"/>
    <w:rsid w:val="00D766A9"/>
    <w:rsid w:val="00D775CD"/>
    <w:rsid w:val="00D8005C"/>
    <w:rsid w:val="00D80A72"/>
    <w:rsid w:val="00D81003"/>
    <w:rsid w:val="00D81129"/>
    <w:rsid w:val="00D81A7D"/>
    <w:rsid w:val="00D8202C"/>
    <w:rsid w:val="00D82F39"/>
    <w:rsid w:val="00D8378B"/>
    <w:rsid w:val="00D846D9"/>
    <w:rsid w:val="00D84CF1"/>
    <w:rsid w:val="00D84F1E"/>
    <w:rsid w:val="00D859E0"/>
    <w:rsid w:val="00D85CF7"/>
    <w:rsid w:val="00D863F7"/>
    <w:rsid w:val="00D87322"/>
    <w:rsid w:val="00D8792C"/>
    <w:rsid w:val="00D87974"/>
    <w:rsid w:val="00D87B4D"/>
    <w:rsid w:val="00D87C8F"/>
    <w:rsid w:val="00D87F7F"/>
    <w:rsid w:val="00D9076C"/>
    <w:rsid w:val="00D90F3C"/>
    <w:rsid w:val="00D91686"/>
    <w:rsid w:val="00D9181C"/>
    <w:rsid w:val="00D91841"/>
    <w:rsid w:val="00D918BC"/>
    <w:rsid w:val="00D9191D"/>
    <w:rsid w:val="00D91D95"/>
    <w:rsid w:val="00D91E5A"/>
    <w:rsid w:val="00D92454"/>
    <w:rsid w:val="00D9270B"/>
    <w:rsid w:val="00D927AB"/>
    <w:rsid w:val="00D93CB6"/>
    <w:rsid w:val="00D94506"/>
    <w:rsid w:val="00D94C19"/>
    <w:rsid w:val="00D94FA6"/>
    <w:rsid w:val="00D95DD1"/>
    <w:rsid w:val="00D96A20"/>
    <w:rsid w:val="00D97020"/>
    <w:rsid w:val="00DA2813"/>
    <w:rsid w:val="00DA2C32"/>
    <w:rsid w:val="00DA2DF2"/>
    <w:rsid w:val="00DA31ED"/>
    <w:rsid w:val="00DA36B3"/>
    <w:rsid w:val="00DA467B"/>
    <w:rsid w:val="00DA4DDB"/>
    <w:rsid w:val="00DA53B9"/>
    <w:rsid w:val="00DA64C9"/>
    <w:rsid w:val="00DA6B67"/>
    <w:rsid w:val="00DA7371"/>
    <w:rsid w:val="00DA74CE"/>
    <w:rsid w:val="00DA7705"/>
    <w:rsid w:val="00DA7878"/>
    <w:rsid w:val="00DA7F35"/>
    <w:rsid w:val="00DB005E"/>
    <w:rsid w:val="00DB0592"/>
    <w:rsid w:val="00DB0B44"/>
    <w:rsid w:val="00DB3023"/>
    <w:rsid w:val="00DB3613"/>
    <w:rsid w:val="00DB3DB1"/>
    <w:rsid w:val="00DB3E6A"/>
    <w:rsid w:val="00DB3FDB"/>
    <w:rsid w:val="00DB4D86"/>
    <w:rsid w:val="00DB514B"/>
    <w:rsid w:val="00DB5712"/>
    <w:rsid w:val="00DB5C0E"/>
    <w:rsid w:val="00DB6379"/>
    <w:rsid w:val="00DB64AA"/>
    <w:rsid w:val="00DB70EE"/>
    <w:rsid w:val="00DB75A4"/>
    <w:rsid w:val="00DB7827"/>
    <w:rsid w:val="00DB7BF9"/>
    <w:rsid w:val="00DC00C7"/>
    <w:rsid w:val="00DC0554"/>
    <w:rsid w:val="00DC07F1"/>
    <w:rsid w:val="00DC1828"/>
    <w:rsid w:val="00DC1A6F"/>
    <w:rsid w:val="00DC2DC5"/>
    <w:rsid w:val="00DC30EA"/>
    <w:rsid w:val="00DC33EC"/>
    <w:rsid w:val="00DC3F9B"/>
    <w:rsid w:val="00DC5B2D"/>
    <w:rsid w:val="00DC70CD"/>
    <w:rsid w:val="00DC7E6F"/>
    <w:rsid w:val="00DD00EA"/>
    <w:rsid w:val="00DD1BD3"/>
    <w:rsid w:val="00DD1EFE"/>
    <w:rsid w:val="00DD20DE"/>
    <w:rsid w:val="00DD3B6A"/>
    <w:rsid w:val="00DD405B"/>
    <w:rsid w:val="00DD4974"/>
    <w:rsid w:val="00DD553E"/>
    <w:rsid w:val="00DD64CB"/>
    <w:rsid w:val="00DD6531"/>
    <w:rsid w:val="00DD6E0E"/>
    <w:rsid w:val="00DD6F13"/>
    <w:rsid w:val="00DD7BF9"/>
    <w:rsid w:val="00DD7C13"/>
    <w:rsid w:val="00DD7C7A"/>
    <w:rsid w:val="00DE037E"/>
    <w:rsid w:val="00DE0759"/>
    <w:rsid w:val="00DE0DFB"/>
    <w:rsid w:val="00DE1550"/>
    <w:rsid w:val="00DE176E"/>
    <w:rsid w:val="00DE1EC9"/>
    <w:rsid w:val="00DE23F2"/>
    <w:rsid w:val="00DE28B1"/>
    <w:rsid w:val="00DE38AA"/>
    <w:rsid w:val="00DE4CB8"/>
    <w:rsid w:val="00DE5A1E"/>
    <w:rsid w:val="00DE5EEE"/>
    <w:rsid w:val="00DE6721"/>
    <w:rsid w:val="00DE6912"/>
    <w:rsid w:val="00DE6F95"/>
    <w:rsid w:val="00DE77E7"/>
    <w:rsid w:val="00DE7E8B"/>
    <w:rsid w:val="00DF0745"/>
    <w:rsid w:val="00DF15B6"/>
    <w:rsid w:val="00DF15EC"/>
    <w:rsid w:val="00DF1806"/>
    <w:rsid w:val="00DF1C2D"/>
    <w:rsid w:val="00DF1F85"/>
    <w:rsid w:val="00DF20CE"/>
    <w:rsid w:val="00DF20EA"/>
    <w:rsid w:val="00DF2974"/>
    <w:rsid w:val="00DF3422"/>
    <w:rsid w:val="00DF3E3B"/>
    <w:rsid w:val="00DF45FF"/>
    <w:rsid w:val="00DF4CEB"/>
    <w:rsid w:val="00DF79A3"/>
    <w:rsid w:val="00E00282"/>
    <w:rsid w:val="00E0043E"/>
    <w:rsid w:val="00E00A75"/>
    <w:rsid w:val="00E0156F"/>
    <w:rsid w:val="00E01C97"/>
    <w:rsid w:val="00E027C2"/>
    <w:rsid w:val="00E02F4E"/>
    <w:rsid w:val="00E045EF"/>
    <w:rsid w:val="00E052C4"/>
    <w:rsid w:val="00E05CBA"/>
    <w:rsid w:val="00E0621A"/>
    <w:rsid w:val="00E06561"/>
    <w:rsid w:val="00E06583"/>
    <w:rsid w:val="00E0766D"/>
    <w:rsid w:val="00E10090"/>
    <w:rsid w:val="00E102DD"/>
    <w:rsid w:val="00E10935"/>
    <w:rsid w:val="00E10C1D"/>
    <w:rsid w:val="00E10D76"/>
    <w:rsid w:val="00E11A6C"/>
    <w:rsid w:val="00E11AE0"/>
    <w:rsid w:val="00E12585"/>
    <w:rsid w:val="00E126E5"/>
    <w:rsid w:val="00E14A2C"/>
    <w:rsid w:val="00E15680"/>
    <w:rsid w:val="00E1644C"/>
    <w:rsid w:val="00E16730"/>
    <w:rsid w:val="00E16852"/>
    <w:rsid w:val="00E16DB7"/>
    <w:rsid w:val="00E177F1"/>
    <w:rsid w:val="00E17D33"/>
    <w:rsid w:val="00E203ED"/>
    <w:rsid w:val="00E20CD7"/>
    <w:rsid w:val="00E2106E"/>
    <w:rsid w:val="00E21495"/>
    <w:rsid w:val="00E21AD7"/>
    <w:rsid w:val="00E22D0F"/>
    <w:rsid w:val="00E23557"/>
    <w:rsid w:val="00E24B81"/>
    <w:rsid w:val="00E24C2A"/>
    <w:rsid w:val="00E251C3"/>
    <w:rsid w:val="00E25EB1"/>
    <w:rsid w:val="00E26382"/>
    <w:rsid w:val="00E264C0"/>
    <w:rsid w:val="00E267AA"/>
    <w:rsid w:val="00E26870"/>
    <w:rsid w:val="00E273E5"/>
    <w:rsid w:val="00E27FB8"/>
    <w:rsid w:val="00E30064"/>
    <w:rsid w:val="00E301E4"/>
    <w:rsid w:val="00E319E0"/>
    <w:rsid w:val="00E32209"/>
    <w:rsid w:val="00E3275C"/>
    <w:rsid w:val="00E327B1"/>
    <w:rsid w:val="00E327B9"/>
    <w:rsid w:val="00E32A5E"/>
    <w:rsid w:val="00E32E66"/>
    <w:rsid w:val="00E331E4"/>
    <w:rsid w:val="00E3328F"/>
    <w:rsid w:val="00E3413D"/>
    <w:rsid w:val="00E34633"/>
    <w:rsid w:val="00E3470A"/>
    <w:rsid w:val="00E34CED"/>
    <w:rsid w:val="00E35CBE"/>
    <w:rsid w:val="00E35DC5"/>
    <w:rsid w:val="00E36239"/>
    <w:rsid w:val="00E374E2"/>
    <w:rsid w:val="00E37695"/>
    <w:rsid w:val="00E37830"/>
    <w:rsid w:val="00E37F55"/>
    <w:rsid w:val="00E40453"/>
    <w:rsid w:val="00E4059C"/>
    <w:rsid w:val="00E405F0"/>
    <w:rsid w:val="00E40680"/>
    <w:rsid w:val="00E40C1A"/>
    <w:rsid w:val="00E41014"/>
    <w:rsid w:val="00E421F2"/>
    <w:rsid w:val="00E428CB"/>
    <w:rsid w:val="00E4423D"/>
    <w:rsid w:val="00E449C3"/>
    <w:rsid w:val="00E45020"/>
    <w:rsid w:val="00E4528A"/>
    <w:rsid w:val="00E45C08"/>
    <w:rsid w:val="00E46502"/>
    <w:rsid w:val="00E46F6A"/>
    <w:rsid w:val="00E471E6"/>
    <w:rsid w:val="00E476E0"/>
    <w:rsid w:val="00E47DDE"/>
    <w:rsid w:val="00E50124"/>
    <w:rsid w:val="00E51DD3"/>
    <w:rsid w:val="00E5209E"/>
    <w:rsid w:val="00E5271E"/>
    <w:rsid w:val="00E52BC4"/>
    <w:rsid w:val="00E5334A"/>
    <w:rsid w:val="00E536C6"/>
    <w:rsid w:val="00E53B8E"/>
    <w:rsid w:val="00E543EE"/>
    <w:rsid w:val="00E54D9C"/>
    <w:rsid w:val="00E55EA3"/>
    <w:rsid w:val="00E55FAC"/>
    <w:rsid w:val="00E56130"/>
    <w:rsid w:val="00E56574"/>
    <w:rsid w:val="00E56D19"/>
    <w:rsid w:val="00E5737A"/>
    <w:rsid w:val="00E57704"/>
    <w:rsid w:val="00E5776E"/>
    <w:rsid w:val="00E57954"/>
    <w:rsid w:val="00E57C07"/>
    <w:rsid w:val="00E57D82"/>
    <w:rsid w:val="00E57EE7"/>
    <w:rsid w:val="00E60D04"/>
    <w:rsid w:val="00E612CC"/>
    <w:rsid w:val="00E62268"/>
    <w:rsid w:val="00E6294C"/>
    <w:rsid w:val="00E63504"/>
    <w:rsid w:val="00E638BA"/>
    <w:rsid w:val="00E64509"/>
    <w:rsid w:val="00E649FC"/>
    <w:rsid w:val="00E64AAF"/>
    <w:rsid w:val="00E65DDD"/>
    <w:rsid w:val="00E65EFB"/>
    <w:rsid w:val="00E6668F"/>
    <w:rsid w:val="00E666DD"/>
    <w:rsid w:val="00E66B4A"/>
    <w:rsid w:val="00E671F0"/>
    <w:rsid w:val="00E707EA"/>
    <w:rsid w:val="00E7123B"/>
    <w:rsid w:val="00E712EA"/>
    <w:rsid w:val="00E722A5"/>
    <w:rsid w:val="00E7292C"/>
    <w:rsid w:val="00E73482"/>
    <w:rsid w:val="00E73537"/>
    <w:rsid w:val="00E740DA"/>
    <w:rsid w:val="00E7455D"/>
    <w:rsid w:val="00E74802"/>
    <w:rsid w:val="00E74B06"/>
    <w:rsid w:val="00E74D9F"/>
    <w:rsid w:val="00E75AAC"/>
    <w:rsid w:val="00E75D1F"/>
    <w:rsid w:val="00E76625"/>
    <w:rsid w:val="00E76F7A"/>
    <w:rsid w:val="00E775FB"/>
    <w:rsid w:val="00E77687"/>
    <w:rsid w:val="00E77DAA"/>
    <w:rsid w:val="00E804A3"/>
    <w:rsid w:val="00E80681"/>
    <w:rsid w:val="00E8086C"/>
    <w:rsid w:val="00E813F4"/>
    <w:rsid w:val="00E819A8"/>
    <w:rsid w:val="00E826D1"/>
    <w:rsid w:val="00E828CB"/>
    <w:rsid w:val="00E83AFD"/>
    <w:rsid w:val="00E844C3"/>
    <w:rsid w:val="00E845F8"/>
    <w:rsid w:val="00E85157"/>
    <w:rsid w:val="00E86555"/>
    <w:rsid w:val="00E8695C"/>
    <w:rsid w:val="00E86FEA"/>
    <w:rsid w:val="00E87559"/>
    <w:rsid w:val="00E9006C"/>
    <w:rsid w:val="00E9023B"/>
    <w:rsid w:val="00E9047A"/>
    <w:rsid w:val="00E90609"/>
    <w:rsid w:val="00E913B3"/>
    <w:rsid w:val="00E918B7"/>
    <w:rsid w:val="00E92565"/>
    <w:rsid w:val="00E9260C"/>
    <w:rsid w:val="00E9266C"/>
    <w:rsid w:val="00E932D1"/>
    <w:rsid w:val="00E93EB9"/>
    <w:rsid w:val="00E94DAA"/>
    <w:rsid w:val="00E9526E"/>
    <w:rsid w:val="00E96468"/>
    <w:rsid w:val="00E96F68"/>
    <w:rsid w:val="00E972EE"/>
    <w:rsid w:val="00E978CC"/>
    <w:rsid w:val="00E97B84"/>
    <w:rsid w:val="00E97F38"/>
    <w:rsid w:val="00EA0289"/>
    <w:rsid w:val="00EA0FCE"/>
    <w:rsid w:val="00EA18A8"/>
    <w:rsid w:val="00EA2142"/>
    <w:rsid w:val="00EA2D29"/>
    <w:rsid w:val="00EA3749"/>
    <w:rsid w:val="00EA3CF5"/>
    <w:rsid w:val="00EA4BB6"/>
    <w:rsid w:val="00EA59B0"/>
    <w:rsid w:val="00EA6094"/>
    <w:rsid w:val="00EA6224"/>
    <w:rsid w:val="00EA6D93"/>
    <w:rsid w:val="00EA70F7"/>
    <w:rsid w:val="00EA7446"/>
    <w:rsid w:val="00EB004D"/>
    <w:rsid w:val="00EB0146"/>
    <w:rsid w:val="00EB02C1"/>
    <w:rsid w:val="00EB0322"/>
    <w:rsid w:val="00EB05F5"/>
    <w:rsid w:val="00EB0ACA"/>
    <w:rsid w:val="00EB153B"/>
    <w:rsid w:val="00EB159C"/>
    <w:rsid w:val="00EB1BE8"/>
    <w:rsid w:val="00EB2D5C"/>
    <w:rsid w:val="00EB3802"/>
    <w:rsid w:val="00EB46FA"/>
    <w:rsid w:val="00EB48F6"/>
    <w:rsid w:val="00EB4BEB"/>
    <w:rsid w:val="00EB5287"/>
    <w:rsid w:val="00EB6405"/>
    <w:rsid w:val="00EB6587"/>
    <w:rsid w:val="00EB66AC"/>
    <w:rsid w:val="00EB69B4"/>
    <w:rsid w:val="00EB7059"/>
    <w:rsid w:val="00EB7E38"/>
    <w:rsid w:val="00EC05BA"/>
    <w:rsid w:val="00EC178C"/>
    <w:rsid w:val="00EC1D75"/>
    <w:rsid w:val="00EC20DA"/>
    <w:rsid w:val="00EC238B"/>
    <w:rsid w:val="00EC3117"/>
    <w:rsid w:val="00EC3329"/>
    <w:rsid w:val="00EC3C44"/>
    <w:rsid w:val="00EC478C"/>
    <w:rsid w:val="00EC517B"/>
    <w:rsid w:val="00EC5B0D"/>
    <w:rsid w:val="00EC6364"/>
    <w:rsid w:val="00EC7114"/>
    <w:rsid w:val="00EC7DAA"/>
    <w:rsid w:val="00EC7DB0"/>
    <w:rsid w:val="00EC7EDB"/>
    <w:rsid w:val="00ED024A"/>
    <w:rsid w:val="00ED12B0"/>
    <w:rsid w:val="00ED1F83"/>
    <w:rsid w:val="00ED213F"/>
    <w:rsid w:val="00ED2540"/>
    <w:rsid w:val="00ED379B"/>
    <w:rsid w:val="00ED45E3"/>
    <w:rsid w:val="00ED4783"/>
    <w:rsid w:val="00ED49B3"/>
    <w:rsid w:val="00ED51DE"/>
    <w:rsid w:val="00ED53CB"/>
    <w:rsid w:val="00ED54B4"/>
    <w:rsid w:val="00ED5993"/>
    <w:rsid w:val="00ED5A24"/>
    <w:rsid w:val="00ED6222"/>
    <w:rsid w:val="00ED6F3C"/>
    <w:rsid w:val="00ED74B3"/>
    <w:rsid w:val="00ED74C3"/>
    <w:rsid w:val="00ED79B4"/>
    <w:rsid w:val="00ED7E44"/>
    <w:rsid w:val="00EE0A57"/>
    <w:rsid w:val="00EE1B4A"/>
    <w:rsid w:val="00EE1C17"/>
    <w:rsid w:val="00EE1D56"/>
    <w:rsid w:val="00EE235A"/>
    <w:rsid w:val="00EE294E"/>
    <w:rsid w:val="00EE35B8"/>
    <w:rsid w:val="00EE3EC0"/>
    <w:rsid w:val="00EE427C"/>
    <w:rsid w:val="00EE4392"/>
    <w:rsid w:val="00EE4B3F"/>
    <w:rsid w:val="00EE4DCC"/>
    <w:rsid w:val="00EE5425"/>
    <w:rsid w:val="00EE5BB3"/>
    <w:rsid w:val="00EE7273"/>
    <w:rsid w:val="00EE74FC"/>
    <w:rsid w:val="00EE7916"/>
    <w:rsid w:val="00EE793A"/>
    <w:rsid w:val="00EE7A69"/>
    <w:rsid w:val="00EE7C99"/>
    <w:rsid w:val="00EF0A64"/>
    <w:rsid w:val="00EF132F"/>
    <w:rsid w:val="00EF1392"/>
    <w:rsid w:val="00EF19D9"/>
    <w:rsid w:val="00EF2467"/>
    <w:rsid w:val="00EF4844"/>
    <w:rsid w:val="00EF4853"/>
    <w:rsid w:val="00EF4A5A"/>
    <w:rsid w:val="00EF4E5E"/>
    <w:rsid w:val="00EF5667"/>
    <w:rsid w:val="00EF5D5A"/>
    <w:rsid w:val="00EF5D5C"/>
    <w:rsid w:val="00EF6786"/>
    <w:rsid w:val="00EF6D04"/>
    <w:rsid w:val="00EF6EEB"/>
    <w:rsid w:val="00EF760F"/>
    <w:rsid w:val="00F00002"/>
    <w:rsid w:val="00F003C1"/>
    <w:rsid w:val="00F00918"/>
    <w:rsid w:val="00F009C1"/>
    <w:rsid w:val="00F00EA8"/>
    <w:rsid w:val="00F011DB"/>
    <w:rsid w:val="00F01A4D"/>
    <w:rsid w:val="00F01EB1"/>
    <w:rsid w:val="00F021AC"/>
    <w:rsid w:val="00F0223F"/>
    <w:rsid w:val="00F029BC"/>
    <w:rsid w:val="00F02BBD"/>
    <w:rsid w:val="00F02C66"/>
    <w:rsid w:val="00F036A3"/>
    <w:rsid w:val="00F0373C"/>
    <w:rsid w:val="00F03B42"/>
    <w:rsid w:val="00F05D9F"/>
    <w:rsid w:val="00F06854"/>
    <w:rsid w:val="00F07604"/>
    <w:rsid w:val="00F07613"/>
    <w:rsid w:val="00F0767F"/>
    <w:rsid w:val="00F0785A"/>
    <w:rsid w:val="00F078EC"/>
    <w:rsid w:val="00F07B9B"/>
    <w:rsid w:val="00F07C18"/>
    <w:rsid w:val="00F11356"/>
    <w:rsid w:val="00F11778"/>
    <w:rsid w:val="00F12629"/>
    <w:rsid w:val="00F1308B"/>
    <w:rsid w:val="00F143DE"/>
    <w:rsid w:val="00F1440B"/>
    <w:rsid w:val="00F147E6"/>
    <w:rsid w:val="00F14FD5"/>
    <w:rsid w:val="00F15EFD"/>
    <w:rsid w:val="00F164DE"/>
    <w:rsid w:val="00F16634"/>
    <w:rsid w:val="00F1730F"/>
    <w:rsid w:val="00F178D2"/>
    <w:rsid w:val="00F17A79"/>
    <w:rsid w:val="00F17C66"/>
    <w:rsid w:val="00F202DD"/>
    <w:rsid w:val="00F20C34"/>
    <w:rsid w:val="00F21609"/>
    <w:rsid w:val="00F21B53"/>
    <w:rsid w:val="00F22343"/>
    <w:rsid w:val="00F22404"/>
    <w:rsid w:val="00F226B6"/>
    <w:rsid w:val="00F236D5"/>
    <w:rsid w:val="00F238EF"/>
    <w:rsid w:val="00F24B8E"/>
    <w:rsid w:val="00F24D6A"/>
    <w:rsid w:val="00F25763"/>
    <w:rsid w:val="00F2594A"/>
    <w:rsid w:val="00F25CA3"/>
    <w:rsid w:val="00F25FC7"/>
    <w:rsid w:val="00F2630A"/>
    <w:rsid w:val="00F263AD"/>
    <w:rsid w:val="00F264B8"/>
    <w:rsid w:val="00F26A5A"/>
    <w:rsid w:val="00F26D06"/>
    <w:rsid w:val="00F26D38"/>
    <w:rsid w:val="00F3040E"/>
    <w:rsid w:val="00F304A8"/>
    <w:rsid w:val="00F309CA"/>
    <w:rsid w:val="00F30B91"/>
    <w:rsid w:val="00F30F5D"/>
    <w:rsid w:val="00F31206"/>
    <w:rsid w:val="00F3173A"/>
    <w:rsid w:val="00F31861"/>
    <w:rsid w:val="00F32913"/>
    <w:rsid w:val="00F32A66"/>
    <w:rsid w:val="00F350C6"/>
    <w:rsid w:val="00F366FB"/>
    <w:rsid w:val="00F36C9F"/>
    <w:rsid w:val="00F375F4"/>
    <w:rsid w:val="00F378A6"/>
    <w:rsid w:val="00F3796D"/>
    <w:rsid w:val="00F40BE9"/>
    <w:rsid w:val="00F411C1"/>
    <w:rsid w:val="00F4123C"/>
    <w:rsid w:val="00F4131E"/>
    <w:rsid w:val="00F42164"/>
    <w:rsid w:val="00F42AC0"/>
    <w:rsid w:val="00F445FF"/>
    <w:rsid w:val="00F4463B"/>
    <w:rsid w:val="00F451D4"/>
    <w:rsid w:val="00F4541A"/>
    <w:rsid w:val="00F45BD4"/>
    <w:rsid w:val="00F45EDF"/>
    <w:rsid w:val="00F4625D"/>
    <w:rsid w:val="00F4638F"/>
    <w:rsid w:val="00F468E9"/>
    <w:rsid w:val="00F473D8"/>
    <w:rsid w:val="00F47849"/>
    <w:rsid w:val="00F51106"/>
    <w:rsid w:val="00F514E3"/>
    <w:rsid w:val="00F51A14"/>
    <w:rsid w:val="00F521AA"/>
    <w:rsid w:val="00F52501"/>
    <w:rsid w:val="00F52838"/>
    <w:rsid w:val="00F53B78"/>
    <w:rsid w:val="00F54251"/>
    <w:rsid w:val="00F547A4"/>
    <w:rsid w:val="00F54D38"/>
    <w:rsid w:val="00F55082"/>
    <w:rsid w:val="00F553BF"/>
    <w:rsid w:val="00F55EAA"/>
    <w:rsid w:val="00F5629A"/>
    <w:rsid w:val="00F562A2"/>
    <w:rsid w:val="00F571DB"/>
    <w:rsid w:val="00F572FE"/>
    <w:rsid w:val="00F5774F"/>
    <w:rsid w:val="00F579D5"/>
    <w:rsid w:val="00F57E50"/>
    <w:rsid w:val="00F57F20"/>
    <w:rsid w:val="00F60617"/>
    <w:rsid w:val="00F60639"/>
    <w:rsid w:val="00F60F0A"/>
    <w:rsid w:val="00F62348"/>
    <w:rsid w:val="00F625E6"/>
    <w:rsid w:val="00F62FEE"/>
    <w:rsid w:val="00F630ED"/>
    <w:rsid w:val="00F6367D"/>
    <w:rsid w:val="00F6436A"/>
    <w:rsid w:val="00F6480B"/>
    <w:rsid w:val="00F64B26"/>
    <w:rsid w:val="00F64BC9"/>
    <w:rsid w:val="00F651FB"/>
    <w:rsid w:val="00F65A67"/>
    <w:rsid w:val="00F66042"/>
    <w:rsid w:val="00F663E4"/>
    <w:rsid w:val="00F66A6E"/>
    <w:rsid w:val="00F66D44"/>
    <w:rsid w:val="00F674DA"/>
    <w:rsid w:val="00F67D3F"/>
    <w:rsid w:val="00F700D8"/>
    <w:rsid w:val="00F708F1"/>
    <w:rsid w:val="00F70FDD"/>
    <w:rsid w:val="00F715E5"/>
    <w:rsid w:val="00F729F1"/>
    <w:rsid w:val="00F72B73"/>
    <w:rsid w:val="00F752A2"/>
    <w:rsid w:val="00F75AC3"/>
    <w:rsid w:val="00F75ADB"/>
    <w:rsid w:val="00F75EF5"/>
    <w:rsid w:val="00F76363"/>
    <w:rsid w:val="00F7685D"/>
    <w:rsid w:val="00F76D4A"/>
    <w:rsid w:val="00F77119"/>
    <w:rsid w:val="00F77E63"/>
    <w:rsid w:val="00F8037E"/>
    <w:rsid w:val="00F803B7"/>
    <w:rsid w:val="00F806C9"/>
    <w:rsid w:val="00F807F7"/>
    <w:rsid w:val="00F816F6"/>
    <w:rsid w:val="00F838A8"/>
    <w:rsid w:val="00F83A8A"/>
    <w:rsid w:val="00F84A5A"/>
    <w:rsid w:val="00F85A9D"/>
    <w:rsid w:val="00F85B83"/>
    <w:rsid w:val="00F860D8"/>
    <w:rsid w:val="00F86B73"/>
    <w:rsid w:val="00F870BF"/>
    <w:rsid w:val="00F8754B"/>
    <w:rsid w:val="00F90377"/>
    <w:rsid w:val="00F9176D"/>
    <w:rsid w:val="00F91D3B"/>
    <w:rsid w:val="00F91D8E"/>
    <w:rsid w:val="00F923B9"/>
    <w:rsid w:val="00F927E3"/>
    <w:rsid w:val="00F92F2C"/>
    <w:rsid w:val="00F934BB"/>
    <w:rsid w:val="00F939B6"/>
    <w:rsid w:val="00F9440D"/>
    <w:rsid w:val="00F94A68"/>
    <w:rsid w:val="00F94BC8"/>
    <w:rsid w:val="00F9640C"/>
    <w:rsid w:val="00F97BCC"/>
    <w:rsid w:val="00FA057A"/>
    <w:rsid w:val="00FA1A50"/>
    <w:rsid w:val="00FA1D9A"/>
    <w:rsid w:val="00FA1F76"/>
    <w:rsid w:val="00FA26F8"/>
    <w:rsid w:val="00FA276F"/>
    <w:rsid w:val="00FA3509"/>
    <w:rsid w:val="00FA357D"/>
    <w:rsid w:val="00FA3AE6"/>
    <w:rsid w:val="00FA3E60"/>
    <w:rsid w:val="00FA3EC1"/>
    <w:rsid w:val="00FA40E6"/>
    <w:rsid w:val="00FA49E0"/>
    <w:rsid w:val="00FA5819"/>
    <w:rsid w:val="00FA5C9E"/>
    <w:rsid w:val="00FA6F3D"/>
    <w:rsid w:val="00FA77FB"/>
    <w:rsid w:val="00FB016A"/>
    <w:rsid w:val="00FB055C"/>
    <w:rsid w:val="00FB0D77"/>
    <w:rsid w:val="00FB0E86"/>
    <w:rsid w:val="00FB0F89"/>
    <w:rsid w:val="00FB274B"/>
    <w:rsid w:val="00FB39F2"/>
    <w:rsid w:val="00FB5B5B"/>
    <w:rsid w:val="00FB6CE2"/>
    <w:rsid w:val="00FB7A8F"/>
    <w:rsid w:val="00FC01EC"/>
    <w:rsid w:val="00FC051A"/>
    <w:rsid w:val="00FC1402"/>
    <w:rsid w:val="00FC1B18"/>
    <w:rsid w:val="00FC2295"/>
    <w:rsid w:val="00FC35FA"/>
    <w:rsid w:val="00FC3D4C"/>
    <w:rsid w:val="00FC4846"/>
    <w:rsid w:val="00FC7770"/>
    <w:rsid w:val="00FC7F65"/>
    <w:rsid w:val="00FD0D3F"/>
    <w:rsid w:val="00FD1298"/>
    <w:rsid w:val="00FD277B"/>
    <w:rsid w:val="00FD362E"/>
    <w:rsid w:val="00FD3816"/>
    <w:rsid w:val="00FD3AEE"/>
    <w:rsid w:val="00FD4281"/>
    <w:rsid w:val="00FD5DF2"/>
    <w:rsid w:val="00FD675A"/>
    <w:rsid w:val="00FD6EA3"/>
    <w:rsid w:val="00FD7514"/>
    <w:rsid w:val="00FE0940"/>
    <w:rsid w:val="00FE0E36"/>
    <w:rsid w:val="00FE28C4"/>
    <w:rsid w:val="00FE34DC"/>
    <w:rsid w:val="00FE354B"/>
    <w:rsid w:val="00FE37E9"/>
    <w:rsid w:val="00FE3D93"/>
    <w:rsid w:val="00FE44CB"/>
    <w:rsid w:val="00FE45BD"/>
    <w:rsid w:val="00FE4D06"/>
    <w:rsid w:val="00FE6632"/>
    <w:rsid w:val="00FE66ED"/>
    <w:rsid w:val="00FE6C64"/>
    <w:rsid w:val="00FE76FA"/>
    <w:rsid w:val="00FE77D3"/>
    <w:rsid w:val="00FF02F7"/>
    <w:rsid w:val="00FF1329"/>
    <w:rsid w:val="00FF1B15"/>
    <w:rsid w:val="00FF1CE1"/>
    <w:rsid w:val="00FF1E0B"/>
    <w:rsid w:val="00FF2021"/>
    <w:rsid w:val="00FF24A7"/>
    <w:rsid w:val="00FF2F44"/>
    <w:rsid w:val="00FF352D"/>
    <w:rsid w:val="00FF360F"/>
    <w:rsid w:val="00FF396F"/>
    <w:rsid w:val="00FF3AA1"/>
    <w:rsid w:val="00FF537D"/>
    <w:rsid w:val="00FF64E9"/>
    <w:rsid w:val="00FF7965"/>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E2ABBA-B4F9-47E1-BA4D-7DC5DCB9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15"/>
    <w:rPr>
      <w:sz w:val="24"/>
      <w:szCs w:val="24"/>
      <w:lang w:val="bg-BG"/>
    </w:rPr>
  </w:style>
  <w:style w:type="paragraph" w:styleId="Heading1">
    <w:name w:val="heading 1"/>
    <w:basedOn w:val="Normal"/>
    <w:next w:val="Normal"/>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uiPriority w:val="99"/>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uiPriority w:val="99"/>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uiPriority w:val="99"/>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05E-2"/>
          <c:w val="0.90305106959238579"/>
          <c:h val="0.74626404458063433"/>
        </c:manualLayout>
      </c:layout>
      <c:barChart>
        <c:barDir val="col"/>
        <c:grouping val="clustered"/>
        <c:varyColors val="0"/>
        <c:ser>
          <c:idx val="0"/>
          <c:order val="0"/>
          <c:tx>
            <c:strRef>
              <c:f>Sheet1!$B$36</c:f>
              <c:strCache>
                <c:ptCount val="1"/>
                <c:pt idx="0">
                  <c:v>към септември 2018 г.</c:v>
                </c:pt>
              </c:strCache>
            </c:strRef>
          </c:tx>
          <c:spPr>
            <a:pattFill prst="pct5">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683">
              <a:solidFill>
                <a:srgbClr val="000000"/>
              </a:solidFill>
              <a:prstDash val="solid"/>
            </a:ln>
          </c:spPr>
          <c:invertIfNegative val="0"/>
          <c:dLbls>
            <c:dLbl>
              <c:idx val="0"/>
              <c:layout>
                <c:manualLayout>
                  <c:x val="-1.1911120203121079E-3"/>
                  <c:y val="0.2823426664277771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E6F-4114-A707-1A6DE9781D4C}"/>
                </c:ext>
              </c:extLst>
            </c:dLbl>
            <c:dLbl>
              <c:idx val="1"/>
              <c:layout>
                <c:manualLayout>
                  <c:x val="-8.5984781316822308E-3"/>
                  <c:y val="8.590772112310785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E6F-4114-A707-1A6DE9781D4C}"/>
                </c:ext>
              </c:extLst>
            </c:dLbl>
            <c:dLbl>
              <c:idx val="2"/>
              <c:layout>
                <c:manualLayout>
                  <c:x val="-4.0234036459434776E-3"/>
                  <c:y val="3.7105729237608418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E6F-4114-A707-1A6DE9781D4C}"/>
                </c:ext>
              </c:extLst>
            </c:dLbl>
            <c:dLbl>
              <c:idx val="3"/>
              <c:layout>
                <c:manualLayout>
                  <c:x val="1.6412105113367671E-3"/>
                  <c:y val="-1.4967557207841688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E6F-4114-A707-1A6DE9781D4C}"/>
                </c:ext>
              </c:extLst>
            </c:dLbl>
            <c:dLbl>
              <c:idx val="4"/>
              <c:layout>
                <c:manualLayout>
                  <c:x val="-1.6232910645205495E-4"/>
                  <c:y val="0.1655440613911530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E6F-4114-A707-1A6DE9781D4C}"/>
                </c:ext>
              </c:extLst>
            </c:dLbl>
            <c:dLbl>
              <c:idx val="5"/>
              <c:layout>
                <c:manualLayout>
                  <c:x val="2.2153355328575895E-4"/>
                  <c:y val="4.5165908513635205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E6F-4114-A707-1A6DE9781D4C}"/>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Предоставени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5908.3</c:v>
                </c:pt>
                <c:pt idx="1">
                  <c:v>11.9</c:v>
                </c:pt>
                <c:pt idx="2">
                  <c:v>421.2</c:v>
                </c:pt>
                <c:pt idx="3">
                  <c:v>575</c:v>
                </c:pt>
                <c:pt idx="4">
                  <c:v>7808.1</c:v>
                </c:pt>
                <c:pt idx="5">
                  <c:v>822.9</c:v>
                </c:pt>
              </c:numCache>
            </c:numRef>
          </c:val>
          <c:extLst>
            <c:ext xmlns:c16="http://schemas.microsoft.com/office/drawing/2014/chart" uri="{C3380CC4-5D6E-409C-BE32-E72D297353CC}">
              <c16:uniqueId val="{00000006-2E6F-4114-A707-1A6DE9781D4C}"/>
            </c:ext>
          </c:extLst>
        </c:ser>
        <c:ser>
          <c:idx val="1"/>
          <c:order val="1"/>
          <c:tx>
            <c:strRef>
              <c:f>Sheet1!$C$36</c:f>
              <c:strCache>
                <c:ptCount val="1"/>
                <c:pt idx="0">
                  <c:v>към септември  2019 г.</c:v>
                </c:pt>
              </c:strCache>
            </c:strRef>
          </c:tx>
          <c:spPr>
            <a:pattFill prst="smConfetti">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83">
              <a:solidFill>
                <a:srgbClr val="000000"/>
              </a:solidFill>
              <a:prstDash val="solid"/>
            </a:ln>
          </c:spPr>
          <c:invertIfNegative val="0"/>
          <c:dLbls>
            <c:dLbl>
              <c:idx val="0"/>
              <c:layout>
                <c:manualLayout>
                  <c:x val="-1.5957659542556258E-3"/>
                  <c:y val="0.295091513608431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E6F-4114-A707-1A6DE9781D4C}"/>
                </c:ext>
              </c:extLst>
            </c:dLbl>
            <c:dLbl>
              <c:idx val="1"/>
              <c:layout>
                <c:manualLayout>
                  <c:x val="-1.3778516227466984E-3"/>
                  <c:y val="1.006945895278097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E6F-4114-A707-1A6DE9781D4C}"/>
                </c:ext>
              </c:extLst>
            </c:dLbl>
            <c:dLbl>
              <c:idx val="2"/>
              <c:layout>
                <c:manualLayout>
                  <c:x val="-3.8987169044187778E-5"/>
                  <c:y val="-1.2437777174404923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2E6F-4114-A707-1A6DE9781D4C}"/>
                </c:ext>
              </c:extLst>
            </c:dLbl>
            <c:dLbl>
              <c:idx val="3"/>
              <c:layout>
                <c:manualLayout>
                  <c:x val="4.7143956403039979E-3"/>
                  <c:y val="-1.6552366438066211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2E6F-4114-A707-1A6DE9781D4C}"/>
                </c:ext>
              </c:extLst>
            </c:dLbl>
            <c:dLbl>
              <c:idx val="4"/>
              <c:layout>
                <c:manualLayout>
                  <c:x val="2.5961277386745757E-3"/>
                  <c:y val="0.1626427084545466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2E6F-4114-A707-1A6DE9781D4C}"/>
                </c:ext>
              </c:extLst>
            </c:dLbl>
            <c:dLbl>
              <c:idx val="5"/>
              <c:layout>
                <c:manualLayout>
                  <c:x val="1.9210701072004553E-3"/>
                  <c:y val="-6.963462411773308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2E6F-4114-A707-1A6DE9781D4C}"/>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Предоставени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6609.4439999999995</c:v>
                </c:pt>
                <c:pt idx="1">
                  <c:v>10.1</c:v>
                </c:pt>
                <c:pt idx="2">
                  <c:v>2502.5</c:v>
                </c:pt>
                <c:pt idx="3">
                  <c:v>553.29999999999995</c:v>
                </c:pt>
                <c:pt idx="4">
                  <c:v>8083.2439999999997</c:v>
                </c:pt>
                <c:pt idx="5">
                  <c:v>997.5</c:v>
                </c:pt>
              </c:numCache>
            </c:numRef>
          </c:val>
          <c:extLst>
            <c:ext xmlns:c16="http://schemas.microsoft.com/office/drawing/2014/chart" uri="{C3380CC4-5D6E-409C-BE32-E72D297353CC}">
              <c16:uniqueId val="{0000000D-2E6F-4114-A707-1A6DE9781D4C}"/>
            </c:ext>
          </c:extLst>
        </c:ser>
        <c:dLbls>
          <c:showLegendKey val="0"/>
          <c:showVal val="0"/>
          <c:showCatName val="0"/>
          <c:showSerName val="0"/>
          <c:showPercent val="0"/>
          <c:showBubbleSize val="0"/>
        </c:dLbls>
        <c:gapWidth val="150"/>
        <c:axId val="25335680"/>
        <c:axId val="25337216"/>
      </c:barChart>
      <c:catAx>
        <c:axId val="25335680"/>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en-US"/>
          </a:p>
        </c:txPr>
        <c:crossAx val="25337216"/>
        <c:crosses val="autoZero"/>
        <c:auto val="1"/>
        <c:lblAlgn val="ctr"/>
        <c:lblOffset val="100"/>
        <c:tickLblSkip val="1"/>
        <c:tickMarkSkip val="1"/>
        <c:noMultiLvlLbl val="0"/>
      </c:catAx>
      <c:valAx>
        <c:axId val="25337216"/>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0722E-4"/>
              <c:y val="0.93341453652604278"/>
            </c:manualLayout>
          </c:layout>
          <c:overlay val="0"/>
          <c:spPr>
            <a:noFill/>
            <a:ln w="25367">
              <a:noFill/>
            </a:ln>
          </c:spPr>
        </c:title>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en-US"/>
          </a:p>
        </c:txPr>
        <c:crossAx val="25335680"/>
        <c:crosses val="autoZero"/>
        <c:crossBetween val="between"/>
      </c:valAx>
      <c:spPr>
        <a:solidFill>
          <a:srgbClr val="FFFFFF"/>
        </a:solidFill>
        <a:ln w="25367">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en-US"/>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en-US"/>
          </a:p>
        </c:txPr>
      </c:legendEntry>
      <c:layout>
        <c:manualLayout>
          <c:xMode val="edge"/>
          <c:yMode val="edge"/>
          <c:x val="0.122363318643525"/>
          <c:y val="0.91477519855472611"/>
          <c:w val="0.40878464462499214"/>
          <c:h val="8.4652486620990564E-2"/>
        </c:manualLayout>
      </c:layout>
      <c:overlay val="0"/>
      <c:spPr>
        <a:solidFill>
          <a:srgbClr val="FFFFFF"/>
        </a:solidFill>
        <a:ln w="3171">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4503-7B2C-4E4C-A3BE-0CC66E5D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11771</Words>
  <Characters>67100</Characters>
  <Application>Microsoft Office Word</Application>
  <DocSecurity>4</DocSecurity>
  <Lines>559</Lines>
  <Paragraphs>157</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78714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Ваня Ганева</cp:lastModifiedBy>
  <cp:revision>2</cp:revision>
  <cp:lastPrinted>2019-11-07T08:41:00Z</cp:lastPrinted>
  <dcterms:created xsi:type="dcterms:W3CDTF">2019-11-15T08:19:00Z</dcterms:created>
  <dcterms:modified xsi:type="dcterms:W3CDTF">2019-11-15T08:19:00Z</dcterms:modified>
</cp:coreProperties>
</file>