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15" w:rsidRPr="00B067C3" w:rsidRDefault="00063E15" w:rsidP="008314D1">
      <w:pPr>
        <w:pStyle w:val="Title"/>
        <w:pBdr>
          <w:bottom w:val="double" w:sz="6" w:space="0" w:color="auto"/>
        </w:pBdr>
      </w:pPr>
      <w:r w:rsidRPr="00B067C3">
        <w:t>М И Н И С Т Е Р С Т В О   Н А   Ф И Н А Н С И Т Е</w:t>
      </w:r>
    </w:p>
    <w:p w:rsidR="005F7245" w:rsidRPr="00B067C3" w:rsidRDefault="005F7245" w:rsidP="00063E15">
      <w:pPr>
        <w:rPr>
          <w:sz w:val="16"/>
          <w:szCs w:val="16"/>
        </w:rPr>
      </w:pPr>
    </w:p>
    <w:p w:rsidR="0019151C" w:rsidRPr="00B067C3" w:rsidRDefault="0019151C" w:rsidP="0019151C"/>
    <w:p w:rsidR="0019151C" w:rsidRPr="00B067C3" w:rsidRDefault="0019151C" w:rsidP="0019151C"/>
    <w:p w:rsidR="00E9260C" w:rsidRPr="00B067C3" w:rsidRDefault="00E9260C" w:rsidP="009B536C">
      <w:pPr>
        <w:pStyle w:val="Heading1"/>
        <w:rPr>
          <w:sz w:val="24"/>
        </w:rPr>
      </w:pPr>
      <w:r w:rsidRPr="00B067C3">
        <w:rPr>
          <w:sz w:val="24"/>
        </w:rPr>
        <w:t>ИНФОРМАЦИЯ</w:t>
      </w:r>
    </w:p>
    <w:p w:rsidR="00E9260C" w:rsidRPr="00B067C3" w:rsidRDefault="00E9260C" w:rsidP="009B536C">
      <w:pPr>
        <w:jc w:val="center"/>
        <w:rPr>
          <w:b/>
          <w:bCs/>
        </w:rPr>
      </w:pPr>
      <w:r w:rsidRPr="00B067C3">
        <w:rPr>
          <w:b/>
          <w:bCs/>
        </w:rPr>
        <w:t xml:space="preserve">ЗА </w:t>
      </w:r>
      <w:r w:rsidR="004E7BF8" w:rsidRPr="00B067C3">
        <w:rPr>
          <w:b/>
          <w:bCs/>
        </w:rPr>
        <w:t xml:space="preserve">КАСОВОТО </w:t>
      </w:r>
      <w:r w:rsidRPr="00B067C3">
        <w:rPr>
          <w:b/>
          <w:bCs/>
        </w:rPr>
        <w:t xml:space="preserve">ИЗПЪЛНЕНИЕ НА </w:t>
      </w:r>
      <w:r w:rsidR="004E7BF8" w:rsidRPr="00B067C3">
        <w:rPr>
          <w:b/>
          <w:bCs/>
        </w:rPr>
        <w:t>ДЪРЖАВНИЯ</w:t>
      </w:r>
      <w:r w:rsidRPr="00B067C3">
        <w:rPr>
          <w:b/>
          <w:bCs/>
        </w:rPr>
        <w:t xml:space="preserve"> БЮДЖЕТ</w:t>
      </w:r>
      <w:r w:rsidR="004E7BF8" w:rsidRPr="00B067C3">
        <w:rPr>
          <w:b/>
          <w:bCs/>
        </w:rPr>
        <w:t xml:space="preserve"> И НА ОСНОВНИТЕ ПОКАЗАТЕЛИ НА КОНСОЛИДИРАНАТА ФИСКАЛНА ПРОГРАМА </w:t>
      </w:r>
    </w:p>
    <w:p w:rsidR="003F47AB" w:rsidRPr="00B067C3" w:rsidRDefault="003F47AB" w:rsidP="003F47AB">
      <w:pPr>
        <w:jc w:val="center"/>
        <w:rPr>
          <w:b/>
          <w:bCs/>
        </w:rPr>
      </w:pPr>
      <w:r w:rsidRPr="00B067C3">
        <w:rPr>
          <w:b/>
          <w:bCs/>
        </w:rPr>
        <w:t xml:space="preserve">ЗА </w:t>
      </w:r>
      <w:r w:rsidR="00B067C3" w:rsidRPr="00B067C3">
        <w:rPr>
          <w:b/>
          <w:bCs/>
        </w:rPr>
        <w:t xml:space="preserve">ПЪРВОТО ТРИМЕСЕЧИЕ </w:t>
      </w:r>
      <w:r w:rsidRPr="00B067C3">
        <w:rPr>
          <w:b/>
          <w:bCs/>
        </w:rPr>
        <w:t>НА 201</w:t>
      </w:r>
      <w:r w:rsidR="00B067C3" w:rsidRPr="00B067C3">
        <w:rPr>
          <w:b/>
          <w:bCs/>
          <w:lang w:val="en-US"/>
        </w:rPr>
        <w:t>9</w:t>
      </w:r>
      <w:r w:rsidRPr="00B067C3">
        <w:rPr>
          <w:b/>
          <w:bCs/>
        </w:rPr>
        <w:t xml:space="preserve"> ГОДИНА</w:t>
      </w:r>
    </w:p>
    <w:p w:rsidR="00430A35" w:rsidRPr="000613BA" w:rsidRDefault="00430A35" w:rsidP="003A06C5">
      <w:pPr>
        <w:rPr>
          <w:b/>
          <w:bCs/>
          <w:color w:val="0070C0"/>
        </w:rPr>
      </w:pPr>
    </w:p>
    <w:p w:rsidR="0019151C" w:rsidRPr="000613BA" w:rsidRDefault="0019151C" w:rsidP="003A06C5">
      <w:pPr>
        <w:rPr>
          <w:b/>
          <w:bCs/>
          <w:color w:val="0070C0"/>
        </w:rPr>
      </w:pPr>
    </w:p>
    <w:p w:rsidR="0019151C" w:rsidRPr="000613BA" w:rsidRDefault="0019151C" w:rsidP="003A06C5">
      <w:pPr>
        <w:rPr>
          <w:b/>
          <w:bCs/>
          <w:color w:val="0070C0"/>
        </w:rPr>
      </w:pPr>
    </w:p>
    <w:p w:rsidR="005750C2" w:rsidRPr="000853B1" w:rsidRDefault="005750C2" w:rsidP="005750C2">
      <w:pPr>
        <w:spacing w:after="120"/>
        <w:ind w:firstLine="709"/>
        <w:jc w:val="both"/>
        <w:rPr>
          <w:lang w:val="en-US" w:eastAsia="bg-BG"/>
        </w:rPr>
      </w:pPr>
      <w:r w:rsidRPr="000853B1">
        <w:rPr>
          <w:b/>
          <w:bCs/>
          <w:u w:val="single"/>
          <w:lang w:eastAsia="bg-BG"/>
        </w:rPr>
        <w:t>Развитие на икономическата среда</w:t>
      </w:r>
    </w:p>
    <w:p w:rsidR="00AF74C8" w:rsidRPr="008353D9" w:rsidRDefault="00AF74C8" w:rsidP="00AF74C8">
      <w:pPr>
        <w:spacing w:after="120"/>
        <w:jc w:val="both"/>
      </w:pPr>
      <w:r w:rsidRPr="008353D9">
        <w:t>Краткосрочната бизнес статистика отчете разнопосочно развитие в началото на 2019 г. Общият индикатор за бизнес климата в страната се повиши през първото тримесечие на 2019</w:t>
      </w:r>
      <w:r w:rsidR="00023D31" w:rsidRPr="00C24A17">
        <w:rPr>
          <w:color w:val="0070C0"/>
        </w:rPr>
        <w:t> </w:t>
      </w:r>
      <w:r w:rsidRPr="008353D9">
        <w:t>г., воден от по-добри очаквания в търговията на дребно, строителството и услугите. Доверието на потребителите се влоши през първото тримесечие, но това се дължеше на динамиката през януари, докато през март индикаторът се подобри. Оценката на домакинс</w:t>
      </w:r>
      <w:r>
        <w:t>твата за текущото им финансово</w:t>
      </w:r>
      <w:r w:rsidRPr="008353D9">
        <w:t xml:space="preserve"> състояние се повиши, а също така и очакванията им за бъдещата икономическа ситуация. За периода януари – февруари 201</w:t>
      </w:r>
      <w:r>
        <w:t>9 г. промишленото производство</w:t>
      </w:r>
      <w:r w:rsidRPr="008353D9">
        <w:t xml:space="preserve"> и продажби нараснаха средно с 4,</w:t>
      </w:r>
      <w:r>
        <w:t>6</w:t>
      </w:r>
      <w:r w:rsidRPr="008353D9">
        <w:t xml:space="preserve"> и 6</w:t>
      </w:r>
      <w:r w:rsidR="00294726">
        <w:rPr>
          <w:lang w:val="en-US"/>
        </w:rPr>
        <w:t xml:space="preserve"> </w:t>
      </w:r>
      <w:r w:rsidRPr="008353D9">
        <w:t>% спрямо същия период на предходната година в сравнение с растежи от 2,</w:t>
      </w:r>
      <w:r>
        <w:t>5</w:t>
      </w:r>
      <w:r w:rsidRPr="008353D9">
        <w:t xml:space="preserve"> и 5</w:t>
      </w:r>
      <w:r w:rsidR="00294726">
        <w:rPr>
          <w:lang w:val="en-US"/>
        </w:rPr>
        <w:t xml:space="preserve"> </w:t>
      </w:r>
      <w:r w:rsidRPr="008353D9">
        <w:t>% през първите два месеца на 2018 г. Благоприятното развитие при промишленото производство и оборот се дължеше основно на динамиката при продажбите за външния пазар. В същото време растежът при търговията на дребно се забави до 1,6</w:t>
      </w:r>
      <w:r w:rsidR="00796BDD">
        <w:rPr>
          <w:lang w:val="en-US"/>
        </w:rPr>
        <w:t xml:space="preserve"> </w:t>
      </w:r>
      <w:r w:rsidRPr="008353D9">
        <w:t>%, при ръст от 3,6</w:t>
      </w:r>
      <w:r w:rsidR="00796BDD">
        <w:rPr>
          <w:lang w:val="en-US"/>
        </w:rPr>
        <w:t xml:space="preserve"> </w:t>
      </w:r>
      <w:r w:rsidRPr="008353D9">
        <w:t>% през първите два месеца на 2018 г.</w:t>
      </w:r>
      <w:r w:rsidRPr="008353D9">
        <w:rPr>
          <w:lang w:val="en-US"/>
        </w:rPr>
        <w:t xml:space="preserve"> </w:t>
      </w:r>
      <w:r w:rsidRPr="008353D9">
        <w:t>Забавяне бе отчетено и при индекса на строителната продукция, който се повиши с 5,1</w:t>
      </w:r>
      <w:r w:rsidR="00796BDD">
        <w:rPr>
          <w:lang w:val="en-US"/>
        </w:rPr>
        <w:t xml:space="preserve"> </w:t>
      </w:r>
      <w:r>
        <w:t>%</w:t>
      </w:r>
      <w:r w:rsidRPr="008353D9">
        <w:t>, при ръст от 15,5</w:t>
      </w:r>
      <w:r w:rsidR="00796BDD">
        <w:rPr>
          <w:lang w:val="en-US"/>
        </w:rPr>
        <w:t xml:space="preserve"> </w:t>
      </w:r>
      <w:r w:rsidRPr="008353D9">
        <w:t>% през първите два месеца на 2018 г. Както и през предходната година, растежът при строителната продукция бе движен от сградното строителство.</w:t>
      </w:r>
    </w:p>
    <w:p w:rsidR="00AF74C8" w:rsidRPr="008353D9" w:rsidRDefault="00AF74C8" w:rsidP="00AF74C8">
      <w:pPr>
        <w:spacing w:after="120"/>
        <w:jc w:val="both"/>
        <w:rPr>
          <w:noProof/>
        </w:rPr>
      </w:pPr>
      <w:r w:rsidRPr="008353D9">
        <w:rPr>
          <w:noProof/>
        </w:rPr>
        <w:t>През първите три месеца на 2019</w:t>
      </w:r>
      <w:r w:rsidRPr="008353D9">
        <w:rPr>
          <w:noProof/>
          <w:lang w:val="en-US"/>
        </w:rPr>
        <w:t xml:space="preserve"> </w:t>
      </w:r>
      <w:r w:rsidRPr="008353D9">
        <w:rPr>
          <w:noProof/>
        </w:rPr>
        <w:t>г. коефициентът на регистрираната безработица продължи да се понижава на годишна база и достигна 5</w:t>
      </w:r>
      <w:r w:rsidRPr="008353D9">
        <w:rPr>
          <w:noProof/>
          <w:lang w:val="en-US"/>
        </w:rPr>
        <w:t>,</w:t>
      </w:r>
      <w:r w:rsidRPr="008353D9">
        <w:rPr>
          <w:noProof/>
        </w:rPr>
        <w:t>9</w:t>
      </w:r>
      <w:r w:rsidR="005C7FB2">
        <w:rPr>
          <w:noProof/>
          <w:lang w:val="en-US"/>
        </w:rPr>
        <w:t xml:space="preserve"> </w:t>
      </w:r>
      <w:r w:rsidRPr="008353D9">
        <w:rPr>
          <w:noProof/>
        </w:rPr>
        <w:t xml:space="preserve">% към края на март. Положителното развитие през годината бе подкрепено от търсенето на труд в сезонно-зависимите сектори на икономиката, както и от прилаганите активни програми и мерки. </w:t>
      </w:r>
    </w:p>
    <w:p w:rsidR="00AF74C8" w:rsidRPr="008353D9" w:rsidRDefault="00AF74C8" w:rsidP="00AF74C8">
      <w:pPr>
        <w:spacing w:after="120"/>
        <w:jc w:val="both"/>
        <w:rPr>
          <w:noProof/>
        </w:rPr>
      </w:pPr>
      <w:r w:rsidRPr="008353D9">
        <w:rPr>
          <w:noProof/>
        </w:rPr>
        <w:t>През март инфлацията се ускори спрямо съответния месец на предходната година до 2</w:t>
      </w:r>
      <w:r w:rsidRPr="008353D9">
        <w:rPr>
          <w:noProof/>
          <w:lang w:val="en-US"/>
        </w:rPr>
        <w:t>,</w:t>
      </w:r>
      <w:r w:rsidRPr="008353D9">
        <w:rPr>
          <w:noProof/>
        </w:rPr>
        <w:t>8</w:t>
      </w:r>
      <w:r w:rsidR="005C7FB2">
        <w:rPr>
          <w:noProof/>
          <w:lang w:val="en-US"/>
        </w:rPr>
        <w:t xml:space="preserve"> </w:t>
      </w:r>
      <w:r w:rsidRPr="008353D9">
        <w:rPr>
          <w:noProof/>
        </w:rPr>
        <w:t>%, при 2</w:t>
      </w:r>
      <w:r w:rsidRPr="008353D9">
        <w:rPr>
          <w:noProof/>
          <w:lang w:val="en-US"/>
        </w:rPr>
        <w:t>,</w:t>
      </w:r>
      <w:r>
        <w:rPr>
          <w:noProof/>
        </w:rPr>
        <w:t>3</w:t>
      </w:r>
      <w:r w:rsidR="005C7FB2">
        <w:rPr>
          <w:noProof/>
          <w:lang w:val="en-US"/>
        </w:rPr>
        <w:t xml:space="preserve"> </w:t>
      </w:r>
      <w:r>
        <w:rPr>
          <w:noProof/>
        </w:rPr>
        <w:t xml:space="preserve">% в края на 2018 г. </w:t>
      </w:r>
      <w:r w:rsidRPr="008353D9">
        <w:rPr>
          <w:noProof/>
        </w:rPr>
        <w:t>Общото повишение на потребителските цени за първото тримесечие от 2</w:t>
      </w:r>
      <w:r w:rsidRPr="008353D9">
        <w:rPr>
          <w:noProof/>
          <w:lang w:val="en-US"/>
        </w:rPr>
        <w:t>,</w:t>
      </w:r>
      <w:r w:rsidRPr="008353D9">
        <w:rPr>
          <w:noProof/>
        </w:rPr>
        <w:t>5</w:t>
      </w:r>
      <w:r w:rsidR="005C7FB2">
        <w:rPr>
          <w:noProof/>
          <w:lang w:val="en-US"/>
        </w:rPr>
        <w:t xml:space="preserve"> </w:t>
      </w:r>
      <w:r w:rsidRPr="008353D9">
        <w:rPr>
          <w:noProof/>
        </w:rPr>
        <w:t>% спрямо същия период на 2018 г. бе малко по-високо от прогнозата на МФ, заложена в ЗДБРБ за 2019 г. от 2</w:t>
      </w:r>
      <w:r w:rsidRPr="008353D9">
        <w:rPr>
          <w:noProof/>
          <w:lang w:val="en-US"/>
        </w:rPr>
        <w:t>,</w:t>
      </w:r>
      <w:r w:rsidRPr="008353D9">
        <w:rPr>
          <w:noProof/>
        </w:rPr>
        <w:t>3</w:t>
      </w:r>
      <w:r w:rsidR="005C7FB2">
        <w:rPr>
          <w:noProof/>
          <w:lang w:val="en-US"/>
        </w:rPr>
        <w:t xml:space="preserve"> </w:t>
      </w:r>
      <w:r w:rsidRPr="008353D9">
        <w:rPr>
          <w:noProof/>
        </w:rPr>
        <w:t>%. Най-голямо влияние за ускорението на инфлацията оказа нарастването на цените на храните и на енергийните стоки поради спада в произведените количества пшеница и други зърнени култури и зеленчуци през 2018 г., както и повишението на международните цени на пшеницата и на петрола през изминалата година. Цените на петрола, котирани в щатски долари, започнаха да нарастват от началото на 2019 г., но за първите три месеца тяхната динамика не показа повишение по месеци на годишна база. В същото време обезценката на еврото, която се ускори от началото на годината, бе проинфлационен фактор и цените на петрола тип Брент, преизчислени в евро (лева), се увелич</w:t>
      </w:r>
      <w:r>
        <w:rPr>
          <w:noProof/>
        </w:rPr>
        <w:t>и</w:t>
      </w:r>
      <w:r w:rsidRPr="008353D9">
        <w:rPr>
          <w:noProof/>
        </w:rPr>
        <w:t xml:space="preserve">ха през февруари и </w:t>
      </w:r>
      <w:r w:rsidR="00AF489E">
        <w:rPr>
          <w:noProof/>
        </w:rPr>
        <w:t>март</w:t>
      </w:r>
      <w:r w:rsidRPr="008353D9">
        <w:rPr>
          <w:noProof/>
        </w:rPr>
        <w:t xml:space="preserve"> съответно с 6</w:t>
      </w:r>
      <w:r w:rsidRPr="008353D9">
        <w:rPr>
          <w:noProof/>
          <w:lang w:val="en-US"/>
        </w:rPr>
        <w:t>,</w:t>
      </w:r>
      <w:r w:rsidRPr="008353D9">
        <w:rPr>
          <w:noProof/>
        </w:rPr>
        <w:t>6 и 9</w:t>
      </w:r>
      <w:r w:rsidRPr="008353D9">
        <w:rPr>
          <w:noProof/>
          <w:lang w:val="en-US"/>
        </w:rPr>
        <w:t>,</w:t>
      </w:r>
      <w:r w:rsidRPr="008353D9">
        <w:rPr>
          <w:noProof/>
        </w:rPr>
        <w:t>1</w:t>
      </w:r>
      <w:r w:rsidR="003D529E">
        <w:rPr>
          <w:noProof/>
          <w:lang w:val="en-US"/>
        </w:rPr>
        <w:t xml:space="preserve"> </w:t>
      </w:r>
      <w:r w:rsidRPr="008353D9">
        <w:rPr>
          <w:noProof/>
        </w:rPr>
        <w:t>% спрямо съответните месеци на 2018</w:t>
      </w:r>
      <w:r w:rsidR="003D529E" w:rsidRPr="00C24A17">
        <w:rPr>
          <w:color w:val="0070C0"/>
        </w:rPr>
        <w:t> </w:t>
      </w:r>
      <w:r w:rsidRPr="008353D9">
        <w:rPr>
          <w:noProof/>
        </w:rPr>
        <w:t>г. При базисната</w:t>
      </w:r>
      <w:r w:rsidRPr="008353D9">
        <w:rPr>
          <w:noProof/>
          <w:vertAlign w:val="superscript"/>
        </w:rPr>
        <w:footnoteReference w:customMarkFollows="1" w:id="2"/>
        <w:t>[1]</w:t>
      </w:r>
      <w:r w:rsidRPr="008353D9">
        <w:rPr>
          <w:noProof/>
        </w:rPr>
        <w:t xml:space="preserve"> инфлация не се наблюдаваше ускорение пре</w:t>
      </w:r>
      <w:r>
        <w:rPr>
          <w:noProof/>
        </w:rPr>
        <w:t>з първото тримесечие на 2019</w:t>
      </w:r>
      <w:r w:rsidR="00CD4483">
        <w:rPr>
          <w:noProof/>
          <w:lang w:val="en-US"/>
        </w:rPr>
        <w:t xml:space="preserve"> </w:t>
      </w:r>
      <w:r w:rsidRPr="008353D9">
        <w:rPr>
          <w:noProof/>
        </w:rPr>
        <w:t>г</w:t>
      </w:r>
      <w:r w:rsidR="00446746">
        <w:rPr>
          <w:noProof/>
        </w:rPr>
        <w:t>одина</w:t>
      </w:r>
      <w:r w:rsidRPr="008353D9">
        <w:rPr>
          <w:noProof/>
        </w:rPr>
        <w:t>.</w:t>
      </w:r>
    </w:p>
    <w:p w:rsidR="00AF74C8" w:rsidRPr="008353D9" w:rsidRDefault="00AF74C8" w:rsidP="00AF74C8">
      <w:pPr>
        <w:spacing w:after="120"/>
        <w:jc w:val="both"/>
        <w:rPr>
          <w:lang w:val="en-US"/>
        </w:rPr>
      </w:pPr>
      <w:r w:rsidRPr="008353D9">
        <w:t>За първите два месеца на годината износът на стоки нарасна с 13</w:t>
      </w:r>
      <w:r w:rsidRPr="008353D9">
        <w:rPr>
          <w:lang w:val="en-US"/>
        </w:rPr>
        <w:t>,</w:t>
      </w:r>
      <w:r w:rsidRPr="008353D9">
        <w:t>7</w:t>
      </w:r>
      <w:r w:rsidR="00CD4483">
        <w:rPr>
          <w:lang w:val="en-US"/>
        </w:rPr>
        <w:t xml:space="preserve"> </w:t>
      </w:r>
      <w:r w:rsidRPr="008353D9">
        <w:t>% (по текущи цени) спрямо съответния период на предходната година, а вносът се повиши с 6</w:t>
      </w:r>
      <w:r w:rsidRPr="008353D9">
        <w:rPr>
          <w:lang w:val="en-US"/>
        </w:rPr>
        <w:t>,</w:t>
      </w:r>
      <w:r w:rsidRPr="008353D9">
        <w:t>7</w:t>
      </w:r>
      <w:r w:rsidR="00CD4483">
        <w:rPr>
          <w:lang w:val="en-US"/>
        </w:rPr>
        <w:t xml:space="preserve"> </w:t>
      </w:r>
      <w:r w:rsidRPr="008353D9">
        <w:t xml:space="preserve">%. По данни на НСИ, както при износа, така и при вноса бе отчетено номинално увеличение на търговията </w:t>
      </w:r>
      <w:r>
        <w:t>към държави</w:t>
      </w:r>
      <w:r w:rsidR="00006EBC">
        <w:rPr>
          <w:lang w:val="en-US"/>
        </w:rPr>
        <w:t>-</w:t>
      </w:r>
      <w:r w:rsidRPr="008353D9">
        <w:t>членки на ЕС и към трети страни. По отношение на услугите износът се увеличи с 2</w:t>
      </w:r>
      <w:r w:rsidRPr="008353D9">
        <w:rPr>
          <w:lang w:val="en-US"/>
        </w:rPr>
        <w:t>,</w:t>
      </w:r>
      <w:r w:rsidRPr="008353D9">
        <w:t>5</w:t>
      </w:r>
      <w:r w:rsidR="00CD4483">
        <w:rPr>
          <w:lang w:val="en-US"/>
        </w:rPr>
        <w:t xml:space="preserve"> </w:t>
      </w:r>
      <w:r w:rsidRPr="008353D9">
        <w:t>%, подкрепен от всички основни групи услуги, с изключение на производствените услуги с материали за влагане, притежавани от други (т.</w:t>
      </w:r>
      <w:r w:rsidR="00317FD8">
        <w:rPr>
          <w:lang w:val="en-US"/>
        </w:rPr>
        <w:t xml:space="preserve"> </w:t>
      </w:r>
      <w:r w:rsidRPr="008353D9">
        <w:t xml:space="preserve">нар. ишлеме). Вносът на услуги </w:t>
      </w:r>
      <w:r w:rsidRPr="008353D9">
        <w:lastRenderedPageBreak/>
        <w:t>запази нивото си от предходната година. Общият баланс по търговията със стоки и услуги премина в излишък от 0</w:t>
      </w:r>
      <w:r w:rsidRPr="008353D9">
        <w:rPr>
          <w:lang w:val="en-US"/>
        </w:rPr>
        <w:t>,</w:t>
      </w:r>
      <w:r w:rsidRPr="008353D9">
        <w:t>1</w:t>
      </w:r>
      <w:r w:rsidR="00DF20EA">
        <w:rPr>
          <w:lang w:val="en-US"/>
        </w:rPr>
        <w:t xml:space="preserve"> </w:t>
      </w:r>
      <w:r w:rsidRPr="008353D9">
        <w:t>% от прогнозния БВП при отрицателна стойност от 0</w:t>
      </w:r>
      <w:r w:rsidRPr="008353D9">
        <w:rPr>
          <w:lang w:val="en-US"/>
        </w:rPr>
        <w:t>,</w:t>
      </w:r>
      <w:r w:rsidRPr="008353D9">
        <w:t>4</w:t>
      </w:r>
      <w:r w:rsidR="00DF20EA">
        <w:rPr>
          <w:lang w:val="en-US"/>
        </w:rPr>
        <w:t xml:space="preserve"> </w:t>
      </w:r>
      <w:r w:rsidRPr="008353D9">
        <w:t xml:space="preserve">% през същия период </w:t>
      </w:r>
      <w:r>
        <w:t>на 2018 г. По-високите входящи</w:t>
      </w:r>
      <w:r w:rsidRPr="008353D9">
        <w:t xml:space="preserve"> трансфери по линия на фондове от ЕС също допринесоха за нарастване на баланса по текущата сметка. Излишъкът по нея достигна 0</w:t>
      </w:r>
      <w:r w:rsidRPr="008353D9">
        <w:rPr>
          <w:lang w:val="en-US"/>
        </w:rPr>
        <w:t>,</w:t>
      </w:r>
      <w:r w:rsidRPr="008353D9">
        <w:t>9</w:t>
      </w:r>
      <w:r w:rsidR="00DF20EA">
        <w:rPr>
          <w:lang w:val="en-US"/>
        </w:rPr>
        <w:t xml:space="preserve"> </w:t>
      </w:r>
      <w:r w:rsidRPr="008353D9">
        <w:t>% от прогнозния БВП при 0</w:t>
      </w:r>
      <w:r w:rsidRPr="008353D9">
        <w:rPr>
          <w:lang w:val="en-US"/>
        </w:rPr>
        <w:t>,</w:t>
      </w:r>
      <w:r w:rsidRPr="008353D9">
        <w:t>1</w:t>
      </w:r>
      <w:r w:rsidR="00DF20EA">
        <w:rPr>
          <w:lang w:val="en-US"/>
        </w:rPr>
        <w:t xml:space="preserve"> </w:t>
      </w:r>
      <w:r w:rsidRPr="008353D9">
        <w:t>% през предходната година.</w:t>
      </w:r>
    </w:p>
    <w:p w:rsidR="00AF74C8" w:rsidRPr="008353D9" w:rsidRDefault="00AF74C8" w:rsidP="00AF74C8">
      <w:pPr>
        <w:spacing w:after="120"/>
        <w:jc w:val="both"/>
        <w:rPr>
          <w:lang w:val="en-US"/>
        </w:rPr>
      </w:pPr>
      <w:r w:rsidRPr="008353D9">
        <w:t>Кредитът за частния сектор продължи да нараства през първото тримесечие на 201</w:t>
      </w:r>
      <w:r w:rsidRPr="008353D9">
        <w:rPr>
          <w:lang w:val="en-US"/>
        </w:rPr>
        <w:t>9</w:t>
      </w:r>
      <w:r w:rsidRPr="008353D9">
        <w:t xml:space="preserve"> г., като през февруари и март ускори растежа си до 8</w:t>
      </w:r>
      <w:r w:rsidRPr="008353D9">
        <w:rPr>
          <w:lang w:val="en-US"/>
        </w:rPr>
        <w:t>,</w:t>
      </w:r>
      <w:r w:rsidRPr="008353D9">
        <w:t>7 и 7</w:t>
      </w:r>
      <w:r w:rsidRPr="008353D9">
        <w:rPr>
          <w:lang w:val="en-US"/>
        </w:rPr>
        <w:t>,</w:t>
      </w:r>
      <w:r w:rsidRPr="008353D9">
        <w:t>8</w:t>
      </w:r>
      <w:r w:rsidR="00EA6094">
        <w:rPr>
          <w:lang w:val="en-US"/>
        </w:rPr>
        <w:t xml:space="preserve"> </w:t>
      </w:r>
      <w:r w:rsidRPr="008353D9">
        <w:t>% на годишна база, при 5</w:t>
      </w:r>
      <w:r w:rsidRPr="008353D9">
        <w:rPr>
          <w:lang w:val="en-US"/>
        </w:rPr>
        <w:t>,</w:t>
      </w:r>
      <w:r w:rsidRPr="008353D9">
        <w:t>6</w:t>
      </w:r>
      <w:r w:rsidR="00EA6094">
        <w:rPr>
          <w:lang w:val="en-US"/>
        </w:rPr>
        <w:t xml:space="preserve"> </w:t>
      </w:r>
      <w:r w:rsidRPr="008353D9">
        <w:t>% през март 2018 г. Принос за ускорението имаше и включването на нова отчетна единица в обхвата на паричната статистика от април 2018 г. поради процеси на преобразуване чрез вливане в сектора. Тенденцията на намаление при лошите и преструктурирани кредити се запази и през първите три месеца на 2019 г. Кредитите за домакинства се ускориха повече и отбелязаха растеж от 10</w:t>
      </w:r>
      <w:r w:rsidRPr="008353D9">
        <w:rPr>
          <w:lang w:val="en-US"/>
        </w:rPr>
        <w:t>,</w:t>
      </w:r>
      <w:r>
        <w:t>7</w:t>
      </w:r>
      <w:r w:rsidRPr="008353D9">
        <w:t xml:space="preserve"> и 11</w:t>
      </w:r>
      <w:r w:rsidR="00EA6094">
        <w:rPr>
          <w:lang w:val="en-US"/>
        </w:rPr>
        <w:t xml:space="preserve"> </w:t>
      </w:r>
      <w:r w:rsidRPr="008353D9">
        <w:t>% през февруари и март, докато тези за нефин</w:t>
      </w:r>
      <w:r w:rsidR="00AF489E">
        <w:t>ансови предприятия се увеличиха</w:t>
      </w:r>
      <w:r w:rsidRPr="008353D9">
        <w:t xml:space="preserve"> съответно с 6</w:t>
      </w:r>
      <w:r w:rsidRPr="008353D9">
        <w:rPr>
          <w:lang w:val="en-US"/>
        </w:rPr>
        <w:t>,</w:t>
      </w:r>
      <w:r w:rsidRPr="008353D9">
        <w:t>2</w:t>
      </w:r>
      <w:r w:rsidR="00EA6094">
        <w:rPr>
          <w:lang w:val="en-US"/>
        </w:rPr>
        <w:t xml:space="preserve"> </w:t>
      </w:r>
      <w:r w:rsidRPr="008353D9">
        <w:t>% и 5</w:t>
      </w:r>
      <w:r w:rsidRPr="008353D9">
        <w:rPr>
          <w:lang w:val="en-US"/>
        </w:rPr>
        <w:t>,</w:t>
      </w:r>
      <w:r w:rsidRPr="008353D9">
        <w:t>3</w:t>
      </w:r>
      <w:r w:rsidR="00EA6094">
        <w:rPr>
          <w:lang w:val="en-US"/>
        </w:rPr>
        <w:t xml:space="preserve"> </w:t>
      </w:r>
      <w:r w:rsidRPr="008353D9">
        <w:t>%.</w:t>
      </w:r>
    </w:p>
    <w:p w:rsidR="00AF74C8" w:rsidRDefault="00AF74C8" w:rsidP="000B460F">
      <w:pPr>
        <w:spacing w:after="240"/>
        <w:jc w:val="both"/>
      </w:pPr>
      <w:r w:rsidRPr="008353D9">
        <w:t>Депозитите в банковата система продължиха да нарастват въпреки средата на ниски лихвени проценти в ЕС. Жилищните кредити продължиха възходящата си динамика, нараствайки с годишен темп от 11</w:t>
      </w:r>
      <w:r w:rsidRPr="008353D9">
        <w:rPr>
          <w:lang w:val="en-US"/>
        </w:rPr>
        <w:t>,</w:t>
      </w:r>
      <w:r w:rsidRPr="008353D9">
        <w:t>3</w:t>
      </w:r>
      <w:r w:rsidR="000065C6">
        <w:rPr>
          <w:lang w:val="en-US"/>
        </w:rPr>
        <w:t xml:space="preserve"> </w:t>
      </w:r>
      <w:r w:rsidRPr="008353D9">
        <w:t>% през февруари и 11</w:t>
      </w:r>
      <w:r w:rsidRPr="008353D9">
        <w:rPr>
          <w:lang w:val="en-US"/>
        </w:rPr>
        <w:t>,</w:t>
      </w:r>
      <w:r w:rsidRPr="008353D9">
        <w:t>5</w:t>
      </w:r>
      <w:r w:rsidR="000065C6">
        <w:rPr>
          <w:lang w:val="en-US"/>
        </w:rPr>
        <w:t xml:space="preserve"> </w:t>
      </w:r>
      <w:r w:rsidRPr="008353D9">
        <w:t>% през март.</w:t>
      </w:r>
    </w:p>
    <w:p w:rsidR="00446746" w:rsidRPr="00446746" w:rsidRDefault="00446746" w:rsidP="00712967">
      <w:pPr>
        <w:spacing w:after="120"/>
        <w:ind w:firstLine="709"/>
        <w:jc w:val="both"/>
        <w:rPr>
          <w:b/>
          <w:bCs/>
          <w:u w:val="single"/>
          <w:lang w:eastAsia="bg-BG"/>
        </w:rPr>
      </w:pPr>
      <w:r w:rsidRPr="00446746">
        <w:rPr>
          <w:b/>
          <w:bCs/>
          <w:u w:val="single"/>
          <w:lang w:eastAsia="bg-BG"/>
        </w:rPr>
        <w:t>Пролетна прогноза на ЕК</w:t>
      </w:r>
    </w:p>
    <w:p w:rsidR="008168A5" w:rsidRPr="00F31378" w:rsidRDefault="008168A5" w:rsidP="008168A5">
      <w:pPr>
        <w:spacing w:after="120"/>
        <w:jc w:val="both"/>
        <w:rPr>
          <w:b/>
          <w:color w:val="000000" w:themeColor="text1"/>
        </w:rPr>
      </w:pPr>
      <w:r w:rsidRPr="00F31378">
        <w:rPr>
          <w:color w:val="000000" w:themeColor="text1"/>
        </w:rPr>
        <w:t>В своята пролетна макроикономическа прогноза, Европейската комисия очаква растежът на българската икономика да се повиши от 3,1 % през 2018 г. до 3,</w:t>
      </w:r>
      <w:proofErr w:type="spellStart"/>
      <w:r w:rsidRPr="00F31378">
        <w:rPr>
          <w:color w:val="000000" w:themeColor="text1"/>
        </w:rPr>
        <w:t>3</w:t>
      </w:r>
      <w:proofErr w:type="spellEnd"/>
      <w:r w:rsidRPr="00F31378">
        <w:rPr>
          <w:color w:val="000000" w:themeColor="text1"/>
        </w:rPr>
        <w:t xml:space="preserve"> % през 2019 г. и 3,4 % през 2020 година, което е близко до заложеното в прогнозата на Министерството на финансите в </w:t>
      </w:r>
      <w:proofErr w:type="spellStart"/>
      <w:r w:rsidRPr="00F31378">
        <w:rPr>
          <w:color w:val="000000" w:themeColor="text1"/>
        </w:rPr>
        <w:t>Конвергентната</w:t>
      </w:r>
      <w:proofErr w:type="spellEnd"/>
      <w:r w:rsidRPr="00F31378">
        <w:rPr>
          <w:color w:val="000000" w:themeColor="text1"/>
        </w:rPr>
        <w:t xml:space="preserve"> програма на Република България 2019-2022 за ръст от 3,4 % през 2019 г. и 3,</w:t>
      </w:r>
      <w:proofErr w:type="spellStart"/>
      <w:r w:rsidRPr="00F31378">
        <w:rPr>
          <w:color w:val="000000" w:themeColor="text1"/>
        </w:rPr>
        <w:t>3</w:t>
      </w:r>
      <w:proofErr w:type="spellEnd"/>
      <w:r w:rsidR="000621DE" w:rsidRPr="00F31378">
        <w:rPr>
          <w:color w:val="000000" w:themeColor="text1"/>
        </w:rPr>
        <w:t> </w:t>
      </w:r>
      <w:r w:rsidRPr="00F31378">
        <w:rPr>
          <w:color w:val="000000" w:themeColor="text1"/>
        </w:rPr>
        <w:t>% през 2020 г. Според ЕК рисковете пред прогнозата за растежа са балансирани. По-висок растеж може да се очаква при по-голям от очакванията растеж на частното потребление, в условия на допълнително затягане на пазара на труда и подобрение на доверието на потребителите. Основният риск за прогнозата е свързан с възможността от значително свиване на търсенето от основни търговски партньори.</w:t>
      </w:r>
    </w:p>
    <w:p w:rsidR="008168A5" w:rsidRPr="00F31378" w:rsidRDefault="008168A5" w:rsidP="008168A5">
      <w:pPr>
        <w:spacing w:after="120"/>
        <w:jc w:val="both"/>
        <w:rPr>
          <w:b/>
          <w:color w:val="000000" w:themeColor="text1"/>
          <w:lang w:val="en-US"/>
        </w:rPr>
      </w:pPr>
      <w:r w:rsidRPr="00F31378">
        <w:rPr>
          <w:color w:val="000000" w:themeColor="text1"/>
        </w:rPr>
        <w:t>Прогнозата отчита силната фискална позиция през изминалата година, когато излишъкът на сектор „Държавно управление“ достигна 2 % от БВП. През следващите години ЕК очаква бюджетният резултат да остане положителен, но да намалее до 0,8 % през 2019 г., след което да достигне 1 % от БВП през 2020 година. Водещо влияние за развитието на бюджета ще оказват публичните инвестиции, финансирани с национални или европейски средства. В прогнозата на ЕК също така се очаква тенденцията за намаление на дълга на сектор „Държавно управление“ да продължи</w:t>
      </w:r>
      <w:r>
        <w:rPr>
          <w:color w:val="000000" w:themeColor="text1"/>
        </w:rPr>
        <w:t>, като към</w:t>
      </w:r>
      <w:r w:rsidRPr="00F31378">
        <w:rPr>
          <w:color w:val="000000" w:themeColor="text1"/>
        </w:rPr>
        <w:t xml:space="preserve"> 2020 г. </w:t>
      </w:r>
      <w:r>
        <w:rPr>
          <w:color w:val="000000" w:themeColor="text1"/>
        </w:rPr>
        <w:t>се прогнозира той</w:t>
      </w:r>
      <w:r w:rsidRPr="00F31378">
        <w:rPr>
          <w:color w:val="000000" w:themeColor="text1"/>
        </w:rPr>
        <w:t xml:space="preserve"> да </w:t>
      </w:r>
      <w:r>
        <w:rPr>
          <w:color w:val="000000" w:themeColor="text1"/>
        </w:rPr>
        <w:t>се свие до</w:t>
      </w:r>
      <w:r w:rsidRPr="00F31378">
        <w:rPr>
          <w:color w:val="000000" w:themeColor="text1"/>
        </w:rPr>
        <w:t xml:space="preserve"> 18,4 % от БВП.</w:t>
      </w:r>
    </w:p>
    <w:p w:rsidR="007837AB" w:rsidRPr="005F65F9" w:rsidRDefault="007837AB" w:rsidP="00B1783A">
      <w:pPr>
        <w:spacing w:before="240" w:after="120"/>
        <w:ind w:firstLine="567"/>
        <w:jc w:val="both"/>
        <w:rPr>
          <w:u w:val="single"/>
        </w:rPr>
      </w:pPr>
      <w:r w:rsidRPr="005F65F9">
        <w:rPr>
          <w:b/>
          <w:u w:val="single"/>
        </w:rPr>
        <w:t xml:space="preserve">Априлски </w:t>
      </w:r>
      <w:proofErr w:type="spellStart"/>
      <w:r w:rsidRPr="005F65F9">
        <w:rPr>
          <w:b/>
          <w:u w:val="single"/>
        </w:rPr>
        <w:t>Нотификационни</w:t>
      </w:r>
      <w:proofErr w:type="spellEnd"/>
      <w:r w:rsidRPr="005F65F9">
        <w:rPr>
          <w:b/>
          <w:u w:val="single"/>
        </w:rPr>
        <w:t xml:space="preserve"> таблици за дефицита и дълга на България</w:t>
      </w:r>
    </w:p>
    <w:p w:rsidR="00B0343C" w:rsidRPr="0019151C" w:rsidRDefault="00B0343C" w:rsidP="002421FC">
      <w:pPr>
        <w:spacing w:before="120" w:after="120"/>
        <w:jc w:val="both"/>
      </w:pPr>
      <w:r w:rsidRPr="0019151C">
        <w:t xml:space="preserve">Съгласно априлските </w:t>
      </w:r>
      <w:proofErr w:type="spellStart"/>
      <w:r w:rsidRPr="0019151C">
        <w:t>Нотификационни</w:t>
      </w:r>
      <w:proofErr w:type="spellEnd"/>
      <w:r w:rsidRPr="0019151C">
        <w:t xml:space="preserve"> таблици за дефицита и дълга на България салдото на сект</w:t>
      </w:r>
      <w:r>
        <w:t>ор „Държавно управление“ за 2018</w:t>
      </w:r>
      <w:r w:rsidRPr="0019151C">
        <w:t xml:space="preserve"> г. е </w:t>
      </w:r>
      <w:r>
        <w:t>положително в размер на 2,0 % от БВП</w:t>
      </w:r>
      <w:r w:rsidRPr="0019151C">
        <w:t>, а оценката по програмата за 201</w:t>
      </w:r>
      <w:r>
        <w:t>9</w:t>
      </w:r>
      <w:r w:rsidRPr="0019151C">
        <w:t> г. е бюджетна</w:t>
      </w:r>
      <w:r>
        <w:t>та позиция да остане близка до балансирана</w:t>
      </w:r>
      <w:r w:rsidRPr="0019151C">
        <w:t xml:space="preserve">. </w:t>
      </w:r>
    </w:p>
    <w:p w:rsidR="00B0343C" w:rsidRPr="009020AD" w:rsidRDefault="00B0343C" w:rsidP="00B0343C">
      <w:pPr>
        <w:spacing w:after="120"/>
        <w:jc w:val="both"/>
      </w:pPr>
      <w:r w:rsidRPr="009020AD">
        <w:t xml:space="preserve">На база на публикуваните в края на април данни на </w:t>
      </w:r>
      <w:proofErr w:type="spellStart"/>
      <w:r w:rsidRPr="009020AD">
        <w:t>Евростат</w:t>
      </w:r>
      <w:proofErr w:type="spellEnd"/>
      <w:r w:rsidRPr="009020AD">
        <w:t xml:space="preserve"> за дефицита и дълга на държавите</w:t>
      </w:r>
      <w:r w:rsidR="00006EBC">
        <w:rPr>
          <w:lang w:val="en-US"/>
        </w:rPr>
        <w:t xml:space="preserve"> </w:t>
      </w:r>
      <w:r w:rsidRPr="009020AD">
        <w:t>членки през 201</w:t>
      </w:r>
      <w:r>
        <w:t>8</w:t>
      </w:r>
      <w:r w:rsidRPr="009020AD">
        <w:t> г. се отчита подобрение и на двата показателя средно за ЕС. Осреднената стойност на дефицита за държавите-членки на ЕС за 201</w:t>
      </w:r>
      <w:r>
        <w:t>8 г. се равнява на 0,6</w:t>
      </w:r>
      <w:r w:rsidRPr="009020AD">
        <w:t> % от БВП (подобрение от дефицит в раз</w:t>
      </w:r>
      <w:r>
        <w:t>мер на 1,0</w:t>
      </w:r>
      <w:r w:rsidRPr="009020AD">
        <w:t xml:space="preserve"> % от БВП за 201</w:t>
      </w:r>
      <w:r>
        <w:t>7</w:t>
      </w:r>
      <w:r w:rsidRPr="009020AD">
        <w:t xml:space="preserve"> г.), а за страните от еврозоната – 0,</w:t>
      </w:r>
      <w:r>
        <w:t>5 % от БВП (подобрение от 1,0 % от БВП за 2017 г.). Тринадесет</w:t>
      </w:r>
      <w:r w:rsidRPr="009020AD">
        <w:t xml:space="preserve"> държави</w:t>
      </w:r>
      <w:r w:rsidR="00006EBC">
        <w:rPr>
          <w:lang w:val="en-US"/>
        </w:rPr>
        <w:t xml:space="preserve"> </w:t>
      </w:r>
      <w:r w:rsidRPr="009020AD">
        <w:t>членки отчитат излишък за 201</w:t>
      </w:r>
      <w:r>
        <w:t>8</w:t>
      </w:r>
      <w:r w:rsidRPr="009020AD">
        <w:t xml:space="preserve"> г.,</w:t>
      </w:r>
      <w:r>
        <w:t xml:space="preserve"> една - балансирано бюджетно салдо, а</w:t>
      </w:r>
      <w:r w:rsidRPr="009020AD">
        <w:t xml:space="preserve"> други </w:t>
      </w:r>
      <w:r>
        <w:t>дванадесет</w:t>
      </w:r>
      <w:r w:rsidRPr="009020AD">
        <w:t xml:space="preserve"> отчитат дефицит в рамките на референтната стойност на Пакта за стабилност и растеж (до 3</w:t>
      </w:r>
      <w:r w:rsidR="00446746">
        <w:t> </w:t>
      </w:r>
      <w:r w:rsidRPr="009020AD">
        <w:t>% от БВП). Само две държ</w:t>
      </w:r>
      <w:r>
        <w:t>ави-членки (Румъния и Кипър</w:t>
      </w:r>
      <w:r w:rsidRPr="009020AD">
        <w:t xml:space="preserve">) отчитат дефицит по-висок или равен на референтната стойност. </w:t>
      </w:r>
    </w:p>
    <w:p w:rsidR="00B0343C" w:rsidRPr="009020AD" w:rsidRDefault="00B0343C" w:rsidP="00B0343C">
      <w:pPr>
        <w:spacing w:after="120"/>
        <w:jc w:val="both"/>
      </w:pPr>
      <w:r w:rsidRPr="009020AD">
        <w:t xml:space="preserve">По отношение на дълга, България е трета </w:t>
      </w:r>
      <w:r w:rsidRPr="009020AD">
        <w:rPr>
          <w:lang w:val="en-US"/>
        </w:rPr>
        <w:t>(</w:t>
      </w:r>
      <w:r w:rsidRPr="009020AD">
        <w:t>след Естония и Люксембург</w:t>
      </w:r>
      <w:r w:rsidRPr="009020AD">
        <w:rPr>
          <w:lang w:val="en-US"/>
        </w:rPr>
        <w:t>)</w:t>
      </w:r>
      <w:r w:rsidRPr="009020AD">
        <w:t>, с най-нисък дълг на сектор „Д</w:t>
      </w:r>
      <w:r>
        <w:t>ържавно управление“ в ЕС за 2018</w:t>
      </w:r>
      <w:r w:rsidRPr="009020AD">
        <w:t xml:space="preserve"> г. </w:t>
      </w:r>
      <w:r w:rsidRPr="009020AD">
        <w:rPr>
          <w:lang w:val="en-US"/>
        </w:rPr>
        <w:t xml:space="preserve">– </w:t>
      </w:r>
      <w:r>
        <w:t>22</w:t>
      </w:r>
      <w:proofErr w:type="gramStart"/>
      <w:r>
        <w:t>,6</w:t>
      </w:r>
      <w:proofErr w:type="gramEnd"/>
      <w:r w:rsidRPr="009020AD">
        <w:t xml:space="preserve"> % от БВП, като спрямо предходната </w:t>
      </w:r>
      <w:r w:rsidRPr="009020AD">
        <w:lastRenderedPageBreak/>
        <w:t>година се отчита понижение с 3,</w:t>
      </w:r>
      <w:r>
        <w:t>0</w:t>
      </w:r>
      <w:r w:rsidRPr="009020AD">
        <w:t xml:space="preserve"> пр. п. </w:t>
      </w:r>
      <w:r>
        <w:t>Четиринадесет</w:t>
      </w:r>
      <w:r w:rsidRPr="009020AD">
        <w:t xml:space="preserve"> държави</w:t>
      </w:r>
      <w:r w:rsidR="00006EBC">
        <w:rPr>
          <w:lang w:val="en-US"/>
        </w:rPr>
        <w:t xml:space="preserve"> </w:t>
      </w:r>
      <w:r w:rsidRPr="009020AD">
        <w:t>членки надвишават референтната стойност от 60 % от БВП в Пакта за стабилност и растеж, като средно за ЕС дългът се свива с 1,</w:t>
      </w:r>
      <w:r>
        <w:t>7 пр. п. на годишна база до 80,0</w:t>
      </w:r>
      <w:r w:rsidRPr="009020AD">
        <w:t> % от БВП за 201</w:t>
      </w:r>
      <w:r>
        <w:t>8</w:t>
      </w:r>
      <w:r w:rsidRPr="009020AD">
        <w:t xml:space="preserve"> година. </w:t>
      </w:r>
    </w:p>
    <w:p w:rsidR="00B0343C" w:rsidRPr="002A75FC" w:rsidRDefault="00B0343C" w:rsidP="00B0343C">
      <w:pPr>
        <w:spacing w:after="120"/>
        <w:jc w:val="both"/>
        <w:rPr>
          <w:rFonts w:cs="Arial"/>
          <w:lang w:eastAsia="bg-BG"/>
        </w:rPr>
      </w:pPr>
      <w:r w:rsidRPr="009020AD">
        <w:t xml:space="preserve">Постигнатото подобрение на бюджетната позиция на България и отчетеното </w:t>
      </w:r>
      <w:proofErr w:type="spellStart"/>
      <w:r w:rsidRPr="009020AD">
        <w:t>превишение</w:t>
      </w:r>
      <w:proofErr w:type="spellEnd"/>
      <w:r w:rsidRPr="009020AD">
        <w:t xml:space="preserve"> на приходите</w:t>
      </w:r>
      <w:r>
        <w:t xml:space="preserve"> над разходите за последните две</w:t>
      </w:r>
      <w:r w:rsidRPr="009020AD">
        <w:t xml:space="preserve"> години </w:t>
      </w:r>
      <w:r>
        <w:t>(</w:t>
      </w:r>
      <w:r w:rsidRPr="009020AD">
        <w:t>2017</w:t>
      </w:r>
      <w:r>
        <w:t xml:space="preserve"> и 2018 г) позволиха </w:t>
      </w:r>
      <w:r w:rsidRPr="009020AD">
        <w:t xml:space="preserve">дългът на сектор „Държавно управление“ </w:t>
      </w:r>
      <w:r>
        <w:t xml:space="preserve">през този период </w:t>
      </w:r>
      <w:r w:rsidRPr="009020AD">
        <w:t>да бъ</w:t>
      </w:r>
      <w:r>
        <w:t>де намален номинално с около 3,4</w:t>
      </w:r>
      <w:r w:rsidR="008E3DEE" w:rsidRPr="009020AD">
        <w:t> </w:t>
      </w:r>
      <w:r w:rsidRPr="009020AD">
        <w:t>млрд. лв.</w:t>
      </w:r>
      <w:r>
        <w:t>, което като относителен дял в БВП представлява намаление с</w:t>
      </w:r>
      <w:r w:rsidR="00446746">
        <w:t>ъс</w:t>
      </w:r>
      <w:r>
        <w:t xml:space="preserve"> 7,0 пр. п.</w:t>
      </w:r>
      <w:r w:rsidRPr="009020AD">
        <w:t xml:space="preserve"> Въз основа на допусканията в </w:t>
      </w:r>
      <w:proofErr w:type="spellStart"/>
      <w:r w:rsidRPr="009020AD">
        <w:t>Конвергентната</w:t>
      </w:r>
      <w:proofErr w:type="spellEnd"/>
      <w:r w:rsidRPr="009020AD">
        <w:t xml:space="preserve"> про</w:t>
      </w:r>
      <w:r>
        <w:t>грама на Република България 2019</w:t>
      </w:r>
      <w:r w:rsidRPr="009020AD">
        <w:t>-202</w:t>
      </w:r>
      <w:r>
        <w:t>2</w:t>
      </w:r>
      <w:r w:rsidRPr="009020AD">
        <w:t xml:space="preserve"> г. се очаква той да продължи да се свива през целия хоризонт на прогнозата и към кр</w:t>
      </w:r>
      <w:r>
        <w:t>ая на 2022 г. да намалее до 16,7</w:t>
      </w:r>
      <w:r w:rsidRPr="009020AD">
        <w:t xml:space="preserve"> % от прогнозния БВП.</w:t>
      </w:r>
      <w:r>
        <w:rPr>
          <w:rFonts w:cs="Arial"/>
          <w:lang w:eastAsia="bg-BG"/>
        </w:rPr>
        <w:t xml:space="preserve"> </w:t>
      </w:r>
    </w:p>
    <w:p w:rsidR="00007F94" w:rsidRPr="000613BA" w:rsidRDefault="00007F94" w:rsidP="00216C9A">
      <w:pPr>
        <w:ind w:firstLine="709"/>
        <w:jc w:val="both"/>
        <w:rPr>
          <w:b/>
          <w:color w:val="0070C0"/>
          <w:u w:val="single"/>
          <w:lang w:val="en-US"/>
        </w:rPr>
      </w:pPr>
    </w:p>
    <w:p w:rsidR="00774DE7" w:rsidRPr="000613BA" w:rsidRDefault="00774DE7">
      <w:pPr>
        <w:rPr>
          <w:color w:val="0070C0"/>
          <w:highlight w:val="yellow"/>
        </w:rPr>
      </w:pPr>
      <w:r w:rsidRPr="000613BA">
        <w:rPr>
          <w:color w:val="0070C0"/>
          <w:highlight w:val="yellow"/>
        </w:rPr>
        <w:br w:type="page"/>
      </w:r>
    </w:p>
    <w:p w:rsidR="00E74802" w:rsidRPr="00580CD8" w:rsidRDefault="00E74802" w:rsidP="009F532D">
      <w:pPr>
        <w:pStyle w:val="Heading1"/>
        <w:numPr>
          <w:ilvl w:val="0"/>
          <w:numId w:val="10"/>
        </w:numPr>
        <w:ind w:right="-108"/>
        <w:jc w:val="both"/>
        <w:rPr>
          <w:sz w:val="24"/>
        </w:rPr>
      </w:pPr>
      <w:r w:rsidRPr="00580CD8">
        <w:rPr>
          <w:sz w:val="24"/>
        </w:rPr>
        <w:lastRenderedPageBreak/>
        <w:t>Основни показатели по консолидираната фискална програма</w:t>
      </w:r>
      <w:r w:rsidRPr="00580CD8">
        <w:rPr>
          <w:rStyle w:val="FootnoteReference"/>
          <w:sz w:val="24"/>
        </w:rPr>
        <w:footnoteReference w:id="3"/>
      </w:r>
      <w:r w:rsidRPr="00580CD8">
        <w:rPr>
          <w:sz w:val="24"/>
        </w:rPr>
        <w:t xml:space="preserve"> за </w:t>
      </w:r>
      <w:r w:rsidR="009F532D" w:rsidRPr="00580CD8">
        <w:rPr>
          <w:sz w:val="24"/>
        </w:rPr>
        <w:t xml:space="preserve">първото тримесечие </w:t>
      </w:r>
      <w:r w:rsidRPr="00580CD8">
        <w:rPr>
          <w:sz w:val="24"/>
        </w:rPr>
        <w:t>на 201</w:t>
      </w:r>
      <w:r w:rsidR="009F532D" w:rsidRPr="00580CD8">
        <w:rPr>
          <w:sz w:val="24"/>
          <w:lang w:val="en-US"/>
        </w:rPr>
        <w:t>9</w:t>
      </w:r>
      <w:r w:rsidRPr="00580CD8">
        <w:rPr>
          <w:sz w:val="24"/>
        </w:rPr>
        <w:t> г.</w:t>
      </w:r>
    </w:p>
    <w:p w:rsidR="00430A35" w:rsidRPr="000613BA" w:rsidRDefault="00430A35" w:rsidP="00430A35">
      <w:pPr>
        <w:rPr>
          <w:color w:val="0070C0"/>
          <w:sz w:val="12"/>
          <w:szCs w:val="12"/>
        </w:rPr>
      </w:pPr>
    </w:p>
    <w:p w:rsidR="00987CE4" w:rsidRPr="00580CD8" w:rsidRDefault="00987CE4" w:rsidP="00AF205D">
      <w:pPr>
        <w:ind w:firstLine="360"/>
        <w:jc w:val="both"/>
      </w:pPr>
      <w:r w:rsidRPr="00580CD8">
        <w:t xml:space="preserve">Изпълнението на основните показатели по консолидираната фискална програма за </w:t>
      </w:r>
      <w:r w:rsidR="00580CD8" w:rsidRPr="00580CD8">
        <w:t xml:space="preserve">първото тримесечие </w:t>
      </w:r>
      <w:r w:rsidRPr="00580CD8">
        <w:t>на 201</w:t>
      </w:r>
      <w:r w:rsidR="00580CD8" w:rsidRPr="00580CD8">
        <w:rPr>
          <w:lang w:val="en-US"/>
        </w:rPr>
        <w:t>9</w:t>
      </w:r>
      <w:r w:rsidRPr="00580CD8">
        <w:t xml:space="preserve"> г. е представено на следната таблица:</w:t>
      </w:r>
    </w:p>
    <w:p w:rsidR="00E74802" w:rsidRPr="000613BA" w:rsidRDefault="00E74802" w:rsidP="00AF205D">
      <w:pPr>
        <w:ind w:firstLine="360"/>
        <w:jc w:val="both"/>
        <w:rPr>
          <w:color w:val="0070C0"/>
          <w:sz w:val="4"/>
        </w:rPr>
      </w:pPr>
    </w:p>
    <w:p w:rsidR="00987CE4" w:rsidRPr="000613BA" w:rsidRDefault="00987CE4" w:rsidP="00987CE4">
      <w:pPr>
        <w:jc w:val="both"/>
        <w:rPr>
          <w:color w:val="0070C0"/>
          <w:sz w:val="4"/>
          <w:szCs w:val="4"/>
        </w:rPr>
      </w:pPr>
    </w:p>
    <w:p w:rsidR="00987CE4" w:rsidRPr="000613BA" w:rsidRDefault="00987CE4" w:rsidP="00987CE4">
      <w:pPr>
        <w:jc w:val="both"/>
        <w:rPr>
          <w:color w:val="0070C0"/>
          <w:sz w:val="4"/>
          <w:szCs w:val="4"/>
        </w:rPr>
      </w:pPr>
    </w:p>
    <w:p w:rsidR="00987CE4" w:rsidRPr="00F45BD4" w:rsidRDefault="00987CE4" w:rsidP="00987CE4">
      <w:pPr>
        <w:rPr>
          <w:b/>
          <w:i/>
          <w:sz w:val="18"/>
          <w:szCs w:val="18"/>
        </w:rPr>
      </w:pPr>
      <w:r w:rsidRPr="00F45BD4">
        <w:rPr>
          <w:b/>
          <w:i/>
          <w:sz w:val="22"/>
          <w:szCs w:val="22"/>
        </w:rPr>
        <w:t>Таблица</w:t>
      </w:r>
      <w:r w:rsidR="00E74802" w:rsidRPr="00F45BD4">
        <w:rPr>
          <w:b/>
          <w:i/>
          <w:sz w:val="22"/>
          <w:szCs w:val="22"/>
          <w:vertAlign w:val="superscript"/>
        </w:rPr>
        <w:footnoteReference w:id="4"/>
      </w:r>
      <w:r w:rsidRPr="00F45BD4">
        <w:rPr>
          <w:b/>
          <w:i/>
          <w:sz w:val="22"/>
          <w:szCs w:val="22"/>
        </w:rPr>
        <w:t xml:space="preserve"> №1</w:t>
      </w:r>
      <w:r w:rsidRPr="00F45BD4">
        <w:rPr>
          <w:b/>
          <w:i/>
          <w:sz w:val="22"/>
          <w:szCs w:val="22"/>
        </w:rPr>
        <w:tab/>
      </w:r>
      <w:r w:rsidRPr="00F45BD4">
        <w:rPr>
          <w:b/>
          <w:i/>
          <w:sz w:val="22"/>
          <w:szCs w:val="22"/>
        </w:rPr>
        <w:tab/>
      </w:r>
      <w:r w:rsidRPr="00F45BD4">
        <w:rPr>
          <w:b/>
          <w:i/>
          <w:sz w:val="22"/>
          <w:szCs w:val="22"/>
        </w:rPr>
        <w:tab/>
      </w:r>
      <w:r w:rsidRPr="00F45BD4">
        <w:rPr>
          <w:b/>
          <w:i/>
          <w:sz w:val="22"/>
          <w:szCs w:val="22"/>
        </w:rPr>
        <w:tab/>
      </w:r>
      <w:r w:rsidRPr="00F45BD4">
        <w:rPr>
          <w:b/>
          <w:i/>
          <w:sz w:val="22"/>
          <w:szCs w:val="22"/>
        </w:rPr>
        <w:tab/>
      </w:r>
      <w:r w:rsidRPr="00F45BD4">
        <w:rPr>
          <w:b/>
          <w:i/>
          <w:sz w:val="22"/>
          <w:szCs w:val="22"/>
        </w:rPr>
        <w:tab/>
      </w:r>
      <w:r w:rsidRPr="00F45BD4">
        <w:rPr>
          <w:b/>
          <w:i/>
          <w:sz w:val="22"/>
          <w:szCs w:val="22"/>
        </w:rPr>
        <w:tab/>
      </w:r>
      <w:r w:rsidRPr="00F45BD4">
        <w:rPr>
          <w:b/>
          <w:i/>
          <w:sz w:val="22"/>
          <w:szCs w:val="22"/>
        </w:rPr>
        <w:tab/>
      </w:r>
      <w:r w:rsidRPr="00F45BD4">
        <w:rPr>
          <w:b/>
          <w:i/>
          <w:sz w:val="22"/>
          <w:szCs w:val="22"/>
        </w:rPr>
        <w:tab/>
      </w:r>
      <w:r w:rsidRPr="00F45BD4">
        <w:rPr>
          <w:b/>
          <w:i/>
          <w:sz w:val="22"/>
          <w:szCs w:val="22"/>
        </w:rPr>
        <w:tab/>
      </w:r>
      <w:r w:rsidRPr="00F45BD4">
        <w:rPr>
          <w:b/>
          <w:i/>
          <w:sz w:val="22"/>
          <w:szCs w:val="22"/>
        </w:rPr>
        <w:tab/>
      </w:r>
      <w:r w:rsidRPr="00F45BD4">
        <w:rPr>
          <w:b/>
          <w:i/>
          <w:sz w:val="18"/>
          <w:szCs w:val="18"/>
        </w:rPr>
        <w:t>(млн. лв.)</w:t>
      </w:r>
    </w:p>
    <w:tbl>
      <w:tblPr>
        <w:tblW w:w="10093" w:type="dxa"/>
        <w:tblInd w:w="98" w:type="dxa"/>
        <w:tblLook w:val="04A0" w:firstRow="1" w:lastRow="0" w:firstColumn="1" w:lastColumn="0" w:noHBand="0" w:noVBand="1"/>
      </w:tblPr>
      <w:tblGrid>
        <w:gridCol w:w="4263"/>
        <w:gridCol w:w="992"/>
        <w:gridCol w:w="1087"/>
        <w:gridCol w:w="1252"/>
        <w:gridCol w:w="1199"/>
        <w:gridCol w:w="1300"/>
      </w:tblGrid>
      <w:tr w:rsidR="00F45BD4" w:rsidRPr="00F45BD4" w:rsidTr="00F52838">
        <w:trPr>
          <w:trHeight w:val="270"/>
        </w:trPr>
        <w:tc>
          <w:tcPr>
            <w:tcW w:w="4263"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500DD6" w:rsidRPr="00F45BD4" w:rsidRDefault="00500DD6">
            <w:pPr>
              <w:jc w:val="center"/>
              <w:rPr>
                <w:b/>
                <w:bCs/>
                <w:sz w:val="18"/>
                <w:szCs w:val="18"/>
              </w:rPr>
            </w:pPr>
            <w:r w:rsidRPr="00F45BD4">
              <w:rPr>
                <w:b/>
                <w:bCs/>
                <w:sz w:val="18"/>
                <w:szCs w:val="18"/>
              </w:rPr>
              <w:t>ПОКАЗАТЕЛ</w:t>
            </w:r>
          </w:p>
        </w:tc>
        <w:tc>
          <w:tcPr>
            <w:tcW w:w="992" w:type="dxa"/>
            <w:tcBorders>
              <w:top w:val="single" w:sz="8" w:space="0" w:color="auto"/>
              <w:left w:val="single" w:sz="4" w:space="0" w:color="auto"/>
              <w:bottom w:val="nil"/>
              <w:right w:val="single" w:sz="4" w:space="0" w:color="auto"/>
            </w:tcBorders>
            <w:shd w:val="clear" w:color="000000" w:fill="D9D9D9"/>
            <w:noWrap/>
            <w:vAlign w:val="bottom"/>
            <w:hideMark/>
          </w:tcPr>
          <w:p w:rsidR="00500DD6" w:rsidRPr="00F45BD4" w:rsidRDefault="00500DD6" w:rsidP="00F45BD4">
            <w:pPr>
              <w:jc w:val="center"/>
              <w:rPr>
                <w:b/>
                <w:bCs/>
                <w:sz w:val="18"/>
                <w:szCs w:val="18"/>
              </w:rPr>
            </w:pPr>
            <w:r w:rsidRPr="00F45BD4">
              <w:rPr>
                <w:b/>
                <w:bCs/>
                <w:sz w:val="18"/>
                <w:szCs w:val="18"/>
              </w:rPr>
              <w:t>Разчет 201</w:t>
            </w:r>
            <w:r w:rsidR="00F45BD4" w:rsidRPr="00F45BD4">
              <w:rPr>
                <w:b/>
                <w:bCs/>
                <w:sz w:val="18"/>
                <w:szCs w:val="18"/>
              </w:rPr>
              <w:t>9</w:t>
            </w:r>
            <w:r w:rsidRPr="00F45BD4">
              <w:rPr>
                <w:b/>
                <w:bCs/>
                <w:sz w:val="18"/>
                <w:szCs w:val="18"/>
              </w:rPr>
              <w:t xml:space="preserve"> г.</w:t>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500DD6" w:rsidRPr="00F45BD4" w:rsidRDefault="00500DD6" w:rsidP="00F45BD4">
            <w:pPr>
              <w:jc w:val="center"/>
              <w:rPr>
                <w:b/>
                <w:bCs/>
                <w:sz w:val="18"/>
                <w:szCs w:val="18"/>
              </w:rPr>
            </w:pPr>
            <w:r w:rsidRPr="00F45BD4">
              <w:rPr>
                <w:b/>
                <w:bCs/>
                <w:sz w:val="18"/>
                <w:szCs w:val="18"/>
              </w:rPr>
              <w:t xml:space="preserve">Отчет към </w:t>
            </w:r>
            <w:r w:rsidR="00F45BD4" w:rsidRPr="00F45BD4">
              <w:rPr>
                <w:b/>
                <w:bCs/>
                <w:sz w:val="18"/>
                <w:szCs w:val="18"/>
              </w:rPr>
              <w:t>31</w:t>
            </w:r>
            <w:r w:rsidRPr="00F45BD4">
              <w:rPr>
                <w:b/>
                <w:bCs/>
                <w:sz w:val="18"/>
                <w:szCs w:val="18"/>
              </w:rPr>
              <w:t>.</w:t>
            </w:r>
            <w:r w:rsidR="00F45BD4" w:rsidRPr="00F45BD4">
              <w:rPr>
                <w:b/>
                <w:bCs/>
                <w:sz w:val="18"/>
                <w:szCs w:val="18"/>
              </w:rPr>
              <w:t>03</w:t>
            </w:r>
            <w:r w:rsidRPr="00F45BD4">
              <w:rPr>
                <w:b/>
                <w:bCs/>
                <w:sz w:val="18"/>
                <w:szCs w:val="18"/>
              </w:rPr>
              <w:t>.201</w:t>
            </w:r>
            <w:r w:rsidR="00F45BD4" w:rsidRPr="00F45BD4">
              <w:rPr>
                <w:b/>
                <w:bCs/>
                <w:sz w:val="18"/>
                <w:szCs w:val="18"/>
              </w:rPr>
              <w:t>9</w:t>
            </w:r>
            <w:r w:rsidRPr="00F45BD4">
              <w:rPr>
                <w:b/>
                <w:bCs/>
                <w:sz w:val="18"/>
                <w:szCs w:val="18"/>
              </w:rPr>
              <w:t xml:space="preserve"> г.</w:t>
            </w:r>
          </w:p>
        </w:tc>
        <w:tc>
          <w:tcPr>
            <w:tcW w:w="1300" w:type="dxa"/>
            <w:tcBorders>
              <w:top w:val="single" w:sz="8" w:space="0" w:color="auto"/>
              <w:left w:val="nil"/>
              <w:bottom w:val="nil"/>
              <w:right w:val="single" w:sz="8" w:space="0" w:color="auto"/>
            </w:tcBorders>
            <w:shd w:val="clear" w:color="000000" w:fill="D9D9D9"/>
            <w:noWrap/>
            <w:vAlign w:val="bottom"/>
            <w:hideMark/>
          </w:tcPr>
          <w:p w:rsidR="00500DD6" w:rsidRPr="00F45BD4" w:rsidRDefault="00500DD6">
            <w:pPr>
              <w:jc w:val="center"/>
              <w:rPr>
                <w:b/>
                <w:bCs/>
                <w:sz w:val="18"/>
                <w:szCs w:val="18"/>
              </w:rPr>
            </w:pPr>
            <w:r w:rsidRPr="00F45BD4">
              <w:rPr>
                <w:b/>
                <w:bCs/>
                <w:sz w:val="18"/>
                <w:szCs w:val="18"/>
              </w:rPr>
              <w:t>Изпълнение</w:t>
            </w:r>
          </w:p>
        </w:tc>
      </w:tr>
      <w:tr w:rsidR="00F45BD4" w:rsidRPr="00F45BD4" w:rsidTr="00F52838">
        <w:trPr>
          <w:trHeight w:val="255"/>
        </w:trPr>
        <w:tc>
          <w:tcPr>
            <w:tcW w:w="4263" w:type="dxa"/>
            <w:vMerge/>
            <w:tcBorders>
              <w:top w:val="single" w:sz="8" w:space="0" w:color="auto"/>
              <w:left w:val="single" w:sz="8" w:space="0" w:color="auto"/>
              <w:bottom w:val="single" w:sz="4" w:space="0" w:color="000000"/>
              <w:right w:val="nil"/>
            </w:tcBorders>
            <w:vAlign w:val="center"/>
            <w:hideMark/>
          </w:tcPr>
          <w:p w:rsidR="00500DD6" w:rsidRPr="00F45BD4" w:rsidRDefault="00500DD6">
            <w:pPr>
              <w:rPr>
                <w:b/>
                <w:bCs/>
                <w:sz w:val="18"/>
                <w:szCs w:val="18"/>
              </w:rPr>
            </w:pP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500DD6" w:rsidRPr="00F45BD4" w:rsidRDefault="00500DD6">
            <w:pPr>
              <w:jc w:val="center"/>
              <w:rPr>
                <w:b/>
                <w:bCs/>
                <w:sz w:val="18"/>
                <w:szCs w:val="18"/>
              </w:rPr>
            </w:pPr>
            <w:r w:rsidRPr="00F45BD4">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rsidR="00500DD6" w:rsidRPr="00F45BD4" w:rsidRDefault="00500DD6">
            <w:pPr>
              <w:jc w:val="center"/>
              <w:rPr>
                <w:b/>
                <w:bCs/>
                <w:sz w:val="18"/>
                <w:szCs w:val="18"/>
              </w:rPr>
            </w:pPr>
            <w:r w:rsidRPr="00F45BD4">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rsidR="00500DD6" w:rsidRPr="00F45BD4" w:rsidRDefault="00500DD6">
            <w:pPr>
              <w:jc w:val="center"/>
              <w:rPr>
                <w:b/>
                <w:bCs/>
                <w:sz w:val="18"/>
                <w:szCs w:val="18"/>
              </w:rPr>
            </w:pPr>
            <w:r w:rsidRPr="00F45BD4">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500DD6" w:rsidRPr="00F45BD4" w:rsidRDefault="00500DD6">
            <w:pPr>
              <w:jc w:val="center"/>
              <w:rPr>
                <w:b/>
                <w:bCs/>
                <w:sz w:val="18"/>
                <w:szCs w:val="18"/>
              </w:rPr>
            </w:pPr>
            <w:r w:rsidRPr="00F45BD4">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rsidR="00500DD6" w:rsidRPr="00F45BD4" w:rsidRDefault="00500DD6">
            <w:pPr>
              <w:jc w:val="center"/>
              <w:rPr>
                <w:b/>
                <w:bCs/>
                <w:sz w:val="18"/>
                <w:szCs w:val="18"/>
              </w:rPr>
            </w:pPr>
            <w:r w:rsidRPr="00F45BD4">
              <w:rPr>
                <w:b/>
                <w:bCs/>
                <w:sz w:val="18"/>
                <w:szCs w:val="18"/>
              </w:rPr>
              <w:t>спрямо разчет</w:t>
            </w:r>
          </w:p>
        </w:tc>
      </w:tr>
      <w:tr w:rsidR="00F45BD4" w:rsidRPr="00F45BD4" w:rsidTr="00F52838">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500DD6" w:rsidRPr="00F45BD4" w:rsidRDefault="00500DD6">
            <w:pPr>
              <w:jc w:val="center"/>
              <w:rPr>
                <w:sz w:val="18"/>
                <w:szCs w:val="18"/>
              </w:rPr>
            </w:pPr>
            <w:r w:rsidRPr="00F45BD4">
              <w:rPr>
                <w:sz w:val="18"/>
                <w:szCs w:val="18"/>
              </w:rPr>
              <w:t>к.1</w:t>
            </w:r>
          </w:p>
        </w:tc>
        <w:tc>
          <w:tcPr>
            <w:tcW w:w="992" w:type="dxa"/>
            <w:tcBorders>
              <w:top w:val="nil"/>
              <w:left w:val="single" w:sz="4" w:space="0" w:color="auto"/>
              <w:bottom w:val="single" w:sz="8" w:space="0" w:color="auto"/>
              <w:right w:val="single" w:sz="4" w:space="0" w:color="auto"/>
            </w:tcBorders>
            <w:shd w:val="clear" w:color="000000" w:fill="D9D9D9"/>
            <w:noWrap/>
            <w:vAlign w:val="bottom"/>
            <w:hideMark/>
          </w:tcPr>
          <w:p w:rsidR="00500DD6" w:rsidRPr="00F45BD4" w:rsidRDefault="00500DD6">
            <w:pPr>
              <w:jc w:val="center"/>
              <w:rPr>
                <w:sz w:val="18"/>
                <w:szCs w:val="18"/>
              </w:rPr>
            </w:pPr>
            <w:r w:rsidRPr="00F45BD4">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rsidR="00500DD6" w:rsidRPr="00F45BD4" w:rsidRDefault="00500DD6">
            <w:pPr>
              <w:jc w:val="center"/>
              <w:rPr>
                <w:sz w:val="18"/>
                <w:szCs w:val="18"/>
              </w:rPr>
            </w:pPr>
            <w:r w:rsidRPr="00F45BD4">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rsidR="00500DD6" w:rsidRPr="00F45BD4" w:rsidRDefault="00500DD6">
            <w:pPr>
              <w:jc w:val="center"/>
              <w:rPr>
                <w:sz w:val="18"/>
                <w:szCs w:val="18"/>
              </w:rPr>
            </w:pPr>
            <w:r w:rsidRPr="00F45BD4">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500DD6" w:rsidRPr="00F45BD4" w:rsidRDefault="00500DD6">
            <w:pPr>
              <w:jc w:val="center"/>
              <w:rPr>
                <w:sz w:val="18"/>
                <w:szCs w:val="18"/>
              </w:rPr>
            </w:pPr>
            <w:r w:rsidRPr="00F45BD4">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rsidR="00500DD6" w:rsidRPr="00F45BD4" w:rsidRDefault="00500DD6">
            <w:pPr>
              <w:jc w:val="center"/>
              <w:rPr>
                <w:sz w:val="18"/>
                <w:szCs w:val="18"/>
              </w:rPr>
            </w:pPr>
            <w:r w:rsidRPr="00F45BD4">
              <w:rPr>
                <w:sz w:val="18"/>
                <w:szCs w:val="18"/>
              </w:rPr>
              <w:t>к.6=к.3:к.2</w:t>
            </w:r>
          </w:p>
        </w:tc>
      </w:tr>
      <w:tr w:rsidR="00F45BD4" w:rsidRPr="00F45BD4" w:rsidTr="00F52838">
        <w:trPr>
          <w:trHeight w:val="255"/>
        </w:trPr>
        <w:tc>
          <w:tcPr>
            <w:tcW w:w="4263" w:type="dxa"/>
            <w:tcBorders>
              <w:top w:val="nil"/>
              <w:left w:val="single" w:sz="8" w:space="0" w:color="auto"/>
              <w:bottom w:val="nil"/>
              <w:right w:val="nil"/>
            </w:tcBorders>
            <w:shd w:val="clear" w:color="auto" w:fill="auto"/>
            <w:noWrap/>
            <w:vAlign w:val="bottom"/>
            <w:hideMark/>
          </w:tcPr>
          <w:p w:rsidR="009F5ABB" w:rsidRPr="00F45BD4" w:rsidRDefault="009F5ABB">
            <w:pPr>
              <w:rPr>
                <w:b/>
                <w:bCs/>
                <w:sz w:val="18"/>
                <w:szCs w:val="18"/>
              </w:rPr>
            </w:pPr>
            <w:r w:rsidRPr="00F45BD4">
              <w:rPr>
                <w:b/>
                <w:bCs/>
                <w:sz w:val="18"/>
                <w:szCs w:val="18"/>
              </w:rPr>
              <w:t>ПРИХОДИ И ПОМОЩИ</w:t>
            </w:r>
          </w:p>
        </w:tc>
        <w:tc>
          <w:tcPr>
            <w:tcW w:w="992" w:type="dxa"/>
            <w:tcBorders>
              <w:top w:val="nil"/>
              <w:left w:val="nil"/>
              <w:bottom w:val="nil"/>
              <w:right w:val="nil"/>
            </w:tcBorders>
            <w:shd w:val="clear" w:color="auto" w:fill="auto"/>
            <w:noWrap/>
            <w:vAlign w:val="bottom"/>
            <w:hideMark/>
          </w:tcPr>
          <w:p w:rsidR="009F5ABB" w:rsidRPr="00F45BD4" w:rsidRDefault="009F5ABB">
            <w:pPr>
              <w:jc w:val="right"/>
              <w:rPr>
                <w:b/>
                <w:bCs/>
                <w:sz w:val="18"/>
                <w:szCs w:val="18"/>
              </w:rPr>
            </w:pPr>
            <w:r w:rsidRPr="00F45BD4">
              <w:rPr>
                <w:b/>
                <w:bCs/>
                <w:sz w:val="18"/>
                <w:szCs w:val="18"/>
              </w:rPr>
              <w:t>43 857,0</w:t>
            </w:r>
          </w:p>
        </w:tc>
        <w:tc>
          <w:tcPr>
            <w:tcW w:w="1087" w:type="dxa"/>
            <w:tcBorders>
              <w:top w:val="nil"/>
              <w:left w:val="nil"/>
              <w:bottom w:val="nil"/>
              <w:right w:val="nil"/>
            </w:tcBorders>
            <w:shd w:val="clear" w:color="auto" w:fill="auto"/>
            <w:noWrap/>
            <w:vAlign w:val="bottom"/>
            <w:hideMark/>
          </w:tcPr>
          <w:p w:rsidR="009F5ABB" w:rsidRPr="00F45BD4" w:rsidRDefault="009F5ABB">
            <w:pPr>
              <w:jc w:val="right"/>
              <w:rPr>
                <w:b/>
                <w:bCs/>
                <w:sz w:val="18"/>
                <w:szCs w:val="18"/>
              </w:rPr>
            </w:pPr>
            <w:r w:rsidRPr="00F45BD4">
              <w:rPr>
                <w:b/>
                <w:bCs/>
                <w:sz w:val="18"/>
                <w:szCs w:val="18"/>
              </w:rPr>
              <w:t>10 857,8</w:t>
            </w:r>
          </w:p>
        </w:tc>
        <w:tc>
          <w:tcPr>
            <w:tcW w:w="1252" w:type="dxa"/>
            <w:tcBorders>
              <w:top w:val="nil"/>
              <w:left w:val="nil"/>
              <w:bottom w:val="nil"/>
              <w:right w:val="nil"/>
            </w:tcBorders>
            <w:shd w:val="clear" w:color="auto" w:fill="auto"/>
            <w:noWrap/>
            <w:vAlign w:val="bottom"/>
            <w:hideMark/>
          </w:tcPr>
          <w:p w:rsidR="009F5ABB" w:rsidRPr="00F45BD4" w:rsidRDefault="009F5ABB">
            <w:pPr>
              <w:jc w:val="right"/>
              <w:rPr>
                <w:b/>
                <w:bCs/>
                <w:sz w:val="18"/>
                <w:szCs w:val="18"/>
              </w:rPr>
            </w:pPr>
            <w:r w:rsidRPr="00F45BD4">
              <w:rPr>
                <w:b/>
                <w:bCs/>
                <w:sz w:val="18"/>
                <w:szCs w:val="18"/>
              </w:rPr>
              <w:t>10 303,2</w:t>
            </w:r>
          </w:p>
        </w:tc>
        <w:tc>
          <w:tcPr>
            <w:tcW w:w="1199" w:type="dxa"/>
            <w:tcBorders>
              <w:top w:val="nil"/>
              <w:left w:val="nil"/>
              <w:bottom w:val="nil"/>
              <w:right w:val="nil"/>
            </w:tcBorders>
            <w:shd w:val="clear" w:color="auto" w:fill="auto"/>
            <w:noWrap/>
            <w:vAlign w:val="bottom"/>
            <w:hideMark/>
          </w:tcPr>
          <w:p w:rsidR="009F5ABB" w:rsidRPr="00F45BD4" w:rsidRDefault="009F5ABB">
            <w:pPr>
              <w:jc w:val="right"/>
              <w:rPr>
                <w:b/>
                <w:bCs/>
                <w:sz w:val="18"/>
                <w:szCs w:val="18"/>
              </w:rPr>
            </w:pPr>
            <w:r w:rsidRPr="00F45BD4">
              <w:rPr>
                <w:b/>
                <w:bCs/>
                <w:sz w:val="18"/>
                <w:szCs w:val="18"/>
              </w:rPr>
              <w:t>554,6</w:t>
            </w:r>
          </w:p>
        </w:tc>
        <w:tc>
          <w:tcPr>
            <w:tcW w:w="1300" w:type="dxa"/>
            <w:tcBorders>
              <w:top w:val="nil"/>
              <w:left w:val="nil"/>
              <w:bottom w:val="nil"/>
              <w:right w:val="single" w:sz="8" w:space="0" w:color="auto"/>
            </w:tcBorders>
            <w:shd w:val="clear" w:color="auto" w:fill="auto"/>
            <w:noWrap/>
            <w:vAlign w:val="bottom"/>
            <w:hideMark/>
          </w:tcPr>
          <w:p w:rsidR="009F5ABB" w:rsidRPr="00F45BD4" w:rsidRDefault="009F5ABB">
            <w:pPr>
              <w:jc w:val="right"/>
              <w:rPr>
                <w:b/>
                <w:bCs/>
                <w:sz w:val="18"/>
                <w:szCs w:val="18"/>
              </w:rPr>
            </w:pPr>
            <w:r w:rsidRPr="00F45BD4">
              <w:rPr>
                <w:b/>
                <w:bCs/>
                <w:sz w:val="18"/>
                <w:szCs w:val="18"/>
              </w:rPr>
              <w:t>24,8%</w:t>
            </w:r>
          </w:p>
        </w:tc>
      </w:tr>
      <w:tr w:rsidR="00F45BD4" w:rsidRPr="00F45BD4" w:rsidTr="00F52838">
        <w:trPr>
          <w:trHeight w:val="255"/>
        </w:trPr>
        <w:tc>
          <w:tcPr>
            <w:tcW w:w="4263" w:type="dxa"/>
            <w:tcBorders>
              <w:top w:val="nil"/>
              <w:left w:val="single" w:sz="8" w:space="0" w:color="auto"/>
              <w:bottom w:val="nil"/>
              <w:right w:val="nil"/>
            </w:tcBorders>
            <w:shd w:val="clear" w:color="auto" w:fill="auto"/>
            <w:noWrap/>
            <w:vAlign w:val="bottom"/>
            <w:hideMark/>
          </w:tcPr>
          <w:p w:rsidR="009F5ABB" w:rsidRPr="00F45BD4" w:rsidRDefault="009F5ABB">
            <w:pPr>
              <w:rPr>
                <w:sz w:val="18"/>
                <w:szCs w:val="18"/>
              </w:rPr>
            </w:pPr>
            <w:r w:rsidRPr="00F45BD4">
              <w:rPr>
                <w:sz w:val="18"/>
                <w:szCs w:val="18"/>
              </w:rPr>
              <w:t xml:space="preserve">  Данъчни приходи</w:t>
            </w:r>
          </w:p>
        </w:tc>
        <w:tc>
          <w:tcPr>
            <w:tcW w:w="992" w:type="dxa"/>
            <w:tcBorders>
              <w:top w:val="nil"/>
              <w:left w:val="nil"/>
              <w:bottom w:val="nil"/>
              <w:right w:val="nil"/>
            </w:tcBorders>
            <w:shd w:val="clear" w:color="auto" w:fill="auto"/>
            <w:noWrap/>
            <w:vAlign w:val="bottom"/>
            <w:hideMark/>
          </w:tcPr>
          <w:p w:rsidR="009F5ABB" w:rsidRPr="00F45BD4" w:rsidRDefault="009F5ABB">
            <w:pPr>
              <w:jc w:val="right"/>
              <w:rPr>
                <w:sz w:val="18"/>
                <w:szCs w:val="18"/>
              </w:rPr>
            </w:pPr>
            <w:r w:rsidRPr="00F45BD4">
              <w:rPr>
                <w:sz w:val="18"/>
                <w:szCs w:val="18"/>
              </w:rPr>
              <w:t>34 546,1</w:t>
            </w:r>
          </w:p>
        </w:tc>
        <w:tc>
          <w:tcPr>
            <w:tcW w:w="1087" w:type="dxa"/>
            <w:tcBorders>
              <w:top w:val="nil"/>
              <w:left w:val="nil"/>
              <w:bottom w:val="nil"/>
              <w:right w:val="nil"/>
            </w:tcBorders>
            <w:shd w:val="clear" w:color="auto" w:fill="auto"/>
            <w:noWrap/>
            <w:vAlign w:val="bottom"/>
            <w:hideMark/>
          </w:tcPr>
          <w:p w:rsidR="009F5ABB" w:rsidRPr="00F45BD4" w:rsidRDefault="009F5ABB">
            <w:pPr>
              <w:jc w:val="right"/>
              <w:rPr>
                <w:sz w:val="18"/>
                <w:szCs w:val="18"/>
              </w:rPr>
            </w:pPr>
            <w:r w:rsidRPr="00F45BD4">
              <w:rPr>
                <w:sz w:val="18"/>
                <w:szCs w:val="18"/>
              </w:rPr>
              <w:t>8 520,3</w:t>
            </w:r>
          </w:p>
        </w:tc>
        <w:tc>
          <w:tcPr>
            <w:tcW w:w="1252" w:type="dxa"/>
            <w:tcBorders>
              <w:top w:val="nil"/>
              <w:left w:val="nil"/>
              <w:bottom w:val="nil"/>
              <w:right w:val="nil"/>
            </w:tcBorders>
            <w:shd w:val="clear" w:color="auto" w:fill="auto"/>
            <w:noWrap/>
            <w:vAlign w:val="bottom"/>
            <w:hideMark/>
          </w:tcPr>
          <w:p w:rsidR="009F5ABB" w:rsidRPr="00F45BD4" w:rsidRDefault="009F5ABB">
            <w:pPr>
              <w:jc w:val="right"/>
              <w:rPr>
                <w:sz w:val="18"/>
                <w:szCs w:val="18"/>
              </w:rPr>
            </w:pPr>
            <w:r w:rsidRPr="00F45BD4">
              <w:rPr>
                <w:sz w:val="18"/>
                <w:szCs w:val="18"/>
              </w:rPr>
              <w:t>8 520,3</w:t>
            </w:r>
          </w:p>
        </w:tc>
        <w:tc>
          <w:tcPr>
            <w:tcW w:w="1199" w:type="dxa"/>
            <w:tcBorders>
              <w:top w:val="nil"/>
              <w:left w:val="nil"/>
              <w:bottom w:val="nil"/>
              <w:right w:val="nil"/>
            </w:tcBorders>
            <w:shd w:val="clear" w:color="auto" w:fill="auto"/>
            <w:noWrap/>
            <w:vAlign w:val="bottom"/>
            <w:hideMark/>
          </w:tcPr>
          <w:p w:rsidR="009F5ABB" w:rsidRPr="00F45BD4" w:rsidRDefault="009F5ABB">
            <w:pPr>
              <w:jc w:val="right"/>
              <w:rPr>
                <w:sz w:val="18"/>
                <w:szCs w:val="18"/>
              </w:rPr>
            </w:pPr>
          </w:p>
        </w:tc>
        <w:tc>
          <w:tcPr>
            <w:tcW w:w="1300" w:type="dxa"/>
            <w:tcBorders>
              <w:top w:val="nil"/>
              <w:left w:val="nil"/>
              <w:bottom w:val="nil"/>
              <w:right w:val="single" w:sz="8" w:space="0" w:color="auto"/>
            </w:tcBorders>
            <w:shd w:val="clear" w:color="auto" w:fill="auto"/>
            <w:noWrap/>
            <w:vAlign w:val="bottom"/>
            <w:hideMark/>
          </w:tcPr>
          <w:p w:rsidR="009F5ABB" w:rsidRPr="00F45BD4" w:rsidRDefault="009F5ABB">
            <w:pPr>
              <w:jc w:val="right"/>
              <w:rPr>
                <w:sz w:val="18"/>
                <w:szCs w:val="18"/>
              </w:rPr>
            </w:pPr>
            <w:r w:rsidRPr="00F45BD4">
              <w:rPr>
                <w:sz w:val="18"/>
                <w:szCs w:val="18"/>
              </w:rPr>
              <w:t>24,7%</w:t>
            </w:r>
          </w:p>
        </w:tc>
      </w:tr>
      <w:tr w:rsidR="00F45BD4" w:rsidRPr="00F45BD4" w:rsidTr="00F52838">
        <w:trPr>
          <w:trHeight w:val="255"/>
        </w:trPr>
        <w:tc>
          <w:tcPr>
            <w:tcW w:w="4263" w:type="dxa"/>
            <w:tcBorders>
              <w:top w:val="nil"/>
              <w:left w:val="single" w:sz="8" w:space="0" w:color="auto"/>
              <w:bottom w:val="nil"/>
              <w:right w:val="nil"/>
            </w:tcBorders>
            <w:shd w:val="clear" w:color="auto" w:fill="auto"/>
            <w:noWrap/>
            <w:vAlign w:val="bottom"/>
            <w:hideMark/>
          </w:tcPr>
          <w:p w:rsidR="009F5ABB" w:rsidRPr="00F45BD4" w:rsidRDefault="009F5ABB">
            <w:pPr>
              <w:rPr>
                <w:sz w:val="18"/>
                <w:szCs w:val="18"/>
              </w:rPr>
            </w:pPr>
            <w:r w:rsidRPr="00F45BD4">
              <w:rPr>
                <w:sz w:val="18"/>
                <w:szCs w:val="18"/>
              </w:rPr>
              <w:t xml:space="preserve">  Неданъчни приходи</w:t>
            </w:r>
          </w:p>
        </w:tc>
        <w:tc>
          <w:tcPr>
            <w:tcW w:w="992" w:type="dxa"/>
            <w:tcBorders>
              <w:top w:val="nil"/>
              <w:left w:val="nil"/>
              <w:bottom w:val="nil"/>
              <w:right w:val="nil"/>
            </w:tcBorders>
            <w:shd w:val="clear" w:color="auto" w:fill="auto"/>
            <w:noWrap/>
            <w:vAlign w:val="bottom"/>
            <w:hideMark/>
          </w:tcPr>
          <w:p w:rsidR="009F5ABB" w:rsidRPr="00F45BD4" w:rsidRDefault="009F5ABB">
            <w:pPr>
              <w:jc w:val="right"/>
              <w:rPr>
                <w:sz w:val="18"/>
                <w:szCs w:val="18"/>
              </w:rPr>
            </w:pPr>
            <w:r w:rsidRPr="00F45BD4">
              <w:rPr>
                <w:sz w:val="18"/>
                <w:szCs w:val="18"/>
              </w:rPr>
              <w:t>6 627,6</w:t>
            </w:r>
          </w:p>
        </w:tc>
        <w:tc>
          <w:tcPr>
            <w:tcW w:w="1087" w:type="dxa"/>
            <w:tcBorders>
              <w:top w:val="nil"/>
              <w:left w:val="nil"/>
              <w:bottom w:val="nil"/>
              <w:right w:val="nil"/>
            </w:tcBorders>
            <w:shd w:val="clear" w:color="auto" w:fill="auto"/>
            <w:noWrap/>
            <w:vAlign w:val="bottom"/>
            <w:hideMark/>
          </w:tcPr>
          <w:p w:rsidR="009F5ABB" w:rsidRPr="00F45BD4" w:rsidRDefault="009F5ABB">
            <w:pPr>
              <w:jc w:val="right"/>
              <w:rPr>
                <w:sz w:val="18"/>
                <w:szCs w:val="18"/>
              </w:rPr>
            </w:pPr>
            <w:r w:rsidRPr="00F45BD4">
              <w:rPr>
                <w:sz w:val="18"/>
                <w:szCs w:val="18"/>
              </w:rPr>
              <w:t>1 775,7</w:t>
            </w:r>
          </w:p>
        </w:tc>
        <w:tc>
          <w:tcPr>
            <w:tcW w:w="1252" w:type="dxa"/>
            <w:tcBorders>
              <w:top w:val="nil"/>
              <w:left w:val="nil"/>
              <w:bottom w:val="nil"/>
              <w:right w:val="nil"/>
            </w:tcBorders>
            <w:shd w:val="clear" w:color="auto" w:fill="auto"/>
            <w:noWrap/>
            <w:vAlign w:val="bottom"/>
            <w:hideMark/>
          </w:tcPr>
          <w:p w:rsidR="009F5ABB" w:rsidRPr="00F45BD4" w:rsidRDefault="009F5ABB">
            <w:pPr>
              <w:jc w:val="right"/>
              <w:rPr>
                <w:sz w:val="18"/>
                <w:szCs w:val="18"/>
              </w:rPr>
            </w:pPr>
            <w:r w:rsidRPr="00F45BD4">
              <w:rPr>
                <w:sz w:val="18"/>
                <w:szCs w:val="18"/>
              </w:rPr>
              <w:t>1 775,4</w:t>
            </w:r>
          </w:p>
        </w:tc>
        <w:tc>
          <w:tcPr>
            <w:tcW w:w="1199" w:type="dxa"/>
            <w:tcBorders>
              <w:top w:val="nil"/>
              <w:left w:val="nil"/>
              <w:bottom w:val="nil"/>
              <w:right w:val="nil"/>
            </w:tcBorders>
            <w:shd w:val="clear" w:color="auto" w:fill="auto"/>
            <w:noWrap/>
            <w:vAlign w:val="bottom"/>
            <w:hideMark/>
          </w:tcPr>
          <w:p w:rsidR="009F5ABB" w:rsidRPr="00F45BD4" w:rsidRDefault="009F5ABB">
            <w:pPr>
              <w:jc w:val="right"/>
              <w:rPr>
                <w:sz w:val="18"/>
                <w:szCs w:val="18"/>
              </w:rPr>
            </w:pPr>
            <w:r w:rsidRPr="00F45BD4">
              <w:rPr>
                <w:sz w:val="18"/>
                <w:szCs w:val="18"/>
              </w:rPr>
              <w:t>0,3</w:t>
            </w:r>
          </w:p>
        </w:tc>
        <w:tc>
          <w:tcPr>
            <w:tcW w:w="1300" w:type="dxa"/>
            <w:tcBorders>
              <w:top w:val="nil"/>
              <w:left w:val="nil"/>
              <w:bottom w:val="nil"/>
              <w:right w:val="single" w:sz="8" w:space="0" w:color="auto"/>
            </w:tcBorders>
            <w:shd w:val="clear" w:color="auto" w:fill="auto"/>
            <w:noWrap/>
            <w:vAlign w:val="bottom"/>
            <w:hideMark/>
          </w:tcPr>
          <w:p w:rsidR="009F5ABB" w:rsidRPr="00F45BD4" w:rsidRDefault="009F5ABB">
            <w:pPr>
              <w:jc w:val="right"/>
              <w:rPr>
                <w:sz w:val="18"/>
                <w:szCs w:val="18"/>
              </w:rPr>
            </w:pPr>
            <w:r w:rsidRPr="00F45BD4">
              <w:rPr>
                <w:sz w:val="18"/>
                <w:szCs w:val="18"/>
              </w:rPr>
              <w:t>26,8%</w:t>
            </w:r>
          </w:p>
        </w:tc>
      </w:tr>
      <w:tr w:rsidR="00F45BD4" w:rsidRPr="00F45BD4" w:rsidTr="00F52838">
        <w:trPr>
          <w:trHeight w:val="255"/>
        </w:trPr>
        <w:tc>
          <w:tcPr>
            <w:tcW w:w="4263" w:type="dxa"/>
            <w:tcBorders>
              <w:top w:val="nil"/>
              <w:left w:val="single" w:sz="8" w:space="0" w:color="auto"/>
              <w:bottom w:val="nil"/>
              <w:right w:val="nil"/>
            </w:tcBorders>
            <w:shd w:val="clear" w:color="auto" w:fill="auto"/>
            <w:noWrap/>
            <w:vAlign w:val="bottom"/>
            <w:hideMark/>
          </w:tcPr>
          <w:p w:rsidR="009F5ABB" w:rsidRPr="00F45BD4" w:rsidRDefault="009F5ABB">
            <w:pPr>
              <w:rPr>
                <w:sz w:val="18"/>
                <w:szCs w:val="18"/>
              </w:rPr>
            </w:pPr>
            <w:r w:rsidRPr="00F45BD4">
              <w:rPr>
                <w:sz w:val="18"/>
                <w:szCs w:val="18"/>
              </w:rPr>
              <w:t xml:space="preserve">  Помощи</w:t>
            </w:r>
          </w:p>
        </w:tc>
        <w:tc>
          <w:tcPr>
            <w:tcW w:w="992" w:type="dxa"/>
            <w:tcBorders>
              <w:top w:val="nil"/>
              <w:left w:val="nil"/>
              <w:bottom w:val="nil"/>
              <w:right w:val="nil"/>
            </w:tcBorders>
            <w:shd w:val="clear" w:color="auto" w:fill="auto"/>
            <w:noWrap/>
            <w:vAlign w:val="bottom"/>
            <w:hideMark/>
          </w:tcPr>
          <w:p w:rsidR="009F5ABB" w:rsidRPr="00F45BD4" w:rsidRDefault="009F5ABB">
            <w:pPr>
              <w:jc w:val="right"/>
              <w:rPr>
                <w:sz w:val="18"/>
                <w:szCs w:val="18"/>
              </w:rPr>
            </w:pPr>
            <w:r w:rsidRPr="00F45BD4">
              <w:rPr>
                <w:sz w:val="18"/>
                <w:szCs w:val="18"/>
              </w:rPr>
              <w:t>2 683,3</w:t>
            </w:r>
          </w:p>
        </w:tc>
        <w:tc>
          <w:tcPr>
            <w:tcW w:w="1087" w:type="dxa"/>
            <w:tcBorders>
              <w:top w:val="nil"/>
              <w:left w:val="nil"/>
              <w:bottom w:val="nil"/>
              <w:right w:val="nil"/>
            </w:tcBorders>
            <w:shd w:val="clear" w:color="auto" w:fill="auto"/>
            <w:noWrap/>
            <w:vAlign w:val="bottom"/>
            <w:hideMark/>
          </w:tcPr>
          <w:p w:rsidR="009F5ABB" w:rsidRPr="00F45BD4" w:rsidRDefault="009F5ABB">
            <w:pPr>
              <w:jc w:val="right"/>
              <w:rPr>
                <w:sz w:val="18"/>
                <w:szCs w:val="18"/>
              </w:rPr>
            </w:pPr>
            <w:r w:rsidRPr="00F45BD4">
              <w:rPr>
                <w:sz w:val="18"/>
                <w:szCs w:val="18"/>
              </w:rPr>
              <w:t>561,8</w:t>
            </w:r>
          </w:p>
        </w:tc>
        <w:tc>
          <w:tcPr>
            <w:tcW w:w="1252" w:type="dxa"/>
            <w:tcBorders>
              <w:top w:val="nil"/>
              <w:left w:val="nil"/>
              <w:bottom w:val="nil"/>
              <w:right w:val="nil"/>
            </w:tcBorders>
            <w:shd w:val="clear" w:color="auto" w:fill="auto"/>
            <w:noWrap/>
            <w:vAlign w:val="bottom"/>
            <w:hideMark/>
          </w:tcPr>
          <w:p w:rsidR="009F5ABB" w:rsidRPr="00F45BD4" w:rsidRDefault="009F5ABB">
            <w:pPr>
              <w:jc w:val="right"/>
              <w:rPr>
                <w:sz w:val="18"/>
                <w:szCs w:val="18"/>
              </w:rPr>
            </w:pPr>
            <w:r w:rsidRPr="00F45BD4">
              <w:rPr>
                <w:sz w:val="18"/>
                <w:szCs w:val="18"/>
              </w:rPr>
              <w:t>7,4</w:t>
            </w:r>
          </w:p>
        </w:tc>
        <w:tc>
          <w:tcPr>
            <w:tcW w:w="1199" w:type="dxa"/>
            <w:tcBorders>
              <w:top w:val="nil"/>
              <w:left w:val="nil"/>
              <w:bottom w:val="single" w:sz="4" w:space="0" w:color="auto"/>
              <w:right w:val="nil"/>
            </w:tcBorders>
            <w:shd w:val="clear" w:color="auto" w:fill="auto"/>
            <w:noWrap/>
            <w:vAlign w:val="bottom"/>
            <w:hideMark/>
          </w:tcPr>
          <w:p w:rsidR="009F5ABB" w:rsidRPr="00F45BD4" w:rsidRDefault="009F5ABB">
            <w:pPr>
              <w:jc w:val="right"/>
              <w:rPr>
                <w:sz w:val="18"/>
                <w:szCs w:val="18"/>
              </w:rPr>
            </w:pPr>
            <w:r w:rsidRPr="00F45BD4">
              <w:rPr>
                <w:sz w:val="18"/>
                <w:szCs w:val="18"/>
              </w:rPr>
              <w:t>554,3</w:t>
            </w:r>
          </w:p>
        </w:tc>
        <w:tc>
          <w:tcPr>
            <w:tcW w:w="1300" w:type="dxa"/>
            <w:tcBorders>
              <w:top w:val="nil"/>
              <w:left w:val="nil"/>
              <w:bottom w:val="nil"/>
              <w:right w:val="single" w:sz="8" w:space="0" w:color="auto"/>
            </w:tcBorders>
            <w:shd w:val="clear" w:color="auto" w:fill="auto"/>
            <w:noWrap/>
            <w:vAlign w:val="bottom"/>
            <w:hideMark/>
          </w:tcPr>
          <w:p w:rsidR="009F5ABB" w:rsidRPr="00F45BD4" w:rsidRDefault="009F5ABB">
            <w:pPr>
              <w:jc w:val="right"/>
              <w:rPr>
                <w:sz w:val="18"/>
                <w:szCs w:val="18"/>
              </w:rPr>
            </w:pPr>
            <w:r w:rsidRPr="00F45BD4">
              <w:rPr>
                <w:sz w:val="18"/>
                <w:szCs w:val="18"/>
              </w:rPr>
              <w:t>20,9%</w:t>
            </w:r>
          </w:p>
        </w:tc>
      </w:tr>
      <w:tr w:rsidR="00F45BD4" w:rsidRPr="00F45BD4" w:rsidTr="00F52838">
        <w:trPr>
          <w:trHeight w:val="480"/>
        </w:trPr>
        <w:tc>
          <w:tcPr>
            <w:tcW w:w="4263" w:type="dxa"/>
            <w:tcBorders>
              <w:top w:val="single" w:sz="4" w:space="0" w:color="auto"/>
              <w:left w:val="single" w:sz="8" w:space="0" w:color="auto"/>
              <w:bottom w:val="nil"/>
              <w:right w:val="nil"/>
            </w:tcBorders>
            <w:shd w:val="clear" w:color="auto" w:fill="auto"/>
            <w:vAlign w:val="bottom"/>
            <w:hideMark/>
          </w:tcPr>
          <w:p w:rsidR="004E3AFB" w:rsidRPr="00F45BD4" w:rsidRDefault="004E3AFB">
            <w:pPr>
              <w:rPr>
                <w:b/>
                <w:bCs/>
                <w:sz w:val="18"/>
                <w:szCs w:val="18"/>
              </w:rPr>
            </w:pPr>
            <w:r w:rsidRPr="00F45BD4">
              <w:rPr>
                <w:b/>
                <w:bCs/>
                <w:sz w:val="18"/>
                <w:szCs w:val="18"/>
              </w:rPr>
              <w:t>РАЗХОДИ И ВНОСКА ЗА ОБЩИЯ БЮДЖЕТ НА ЕС</w:t>
            </w:r>
          </w:p>
        </w:tc>
        <w:tc>
          <w:tcPr>
            <w:tcW w:w="992" w:type="dxa"/>
            <w:tcBorders>
              <w:top w:val="single" w:sz="4" w:space="0" w:color="auto"/>
              <w:left w:val="nil"/>
              <w:bottom w:val="nil"/>
              <w:right w:val="nil"/>
            </w:tcBorders>
            <w:shd w:val="clear" w:color="auto" w:fill="auto"/>
            <w:noWrap/>
            <w:vAlign w:val="bottom"/>
            <w:hideMark/>
          </w:tcPr>
          <w:p w:rsidR="004E3AFB" w:rsidRPr="00F45BD4" w:rsidRDefault="004E3AFB">
            <w:pPr>
              <w:jc w:val="right"/>
              <w:rPr>
                <w:b/>
                <w:bCs/>
                <w:sz w:val="18"/>
                <w:szCs w:val="18"/>
              </w:rPr>
            </w:pPr>
            <w:r w:rsidRPr="00F45BD4">
              <w:rPr>
                <w:b/>
                <w:bCs/>
                <w:sz w:val="18"/>
                <w:szCs w:val="18"/>
              </w:rPr>
              <w:t>44 457,0</w:t>
            </w:r>
          </w:p>
        </w:tc>
        <w:tc>
          <w:tcPr>
            <w:tcW w:w="1087" w:type="dxa"/>
            <w:tcBorders>
              <w:top w:val="single" w:sz="4" w:space="0" w:color="auto"/>
              <w:left w:val="nil"/>
              <w:bottom w:val="nil"/>
              <w:right w:val="nil"/>
            </w:tcBorders>
            <w:shd w:val="clear" w:color="auto" w:fill="auto"/>
            <w:noWrap/>
            <w:vAlign w:val="bottom"/>
            <w:hideMark/>
          </w:tcPr>
          <w:p w:rsidR="004E3AFB" w:rsidRPr="00F45BD4" w:rsidRDefault="004E3AFB">
            <w:pPr>
              <w:jc w:val="right"/>
              <w:rPr>
                <w:b/>
                <w:bCs/>
                <w:sz w:val="18"/>
                <w:szCs w:val="18"/>
              </w:rPr>
            </w:pPr>
            <w:r w:rsidRPr="00F45BD4">
              <w:rPr>
                <w:b/>
                <w:bCs/>
                <w:sz w:val="18"/>
                <w:szCs w:val="18"/>
              </w:rPr>
              <w:t>9 051,1</w:t>
            </w:r>
          </w:p>
        </w:tc>
        <w:tc>
          <w:tcPr>
            <w:tcW w:w="1252" w:type="dxa"/>
            <w:tcBorders>
              <w:top w:val="single" w:sz="4" w:space="0" w:color="auto"/>
              <w:left w:val="nil"/>
              <w:bottom w:val="nil"/>
              <w:right w:val="nil"/>
            </w:tcBorders>
            <w:shd w:val="clear" w:color="auto" w:fill="auto"/>
            <w:noWrap/>
            <w:vAlign w:val="bottom"/>
            <w:hideMark/>
          </w:tcPr>
          <w:p w:rsidR="004E3AFB" w:rsidRPr="00F45BD4" w:rsidRDefault="004E3AFB">
            <w:pPr>
              <w:jc w:val="right"/>
              <w:rPr>
                <w:b/>
                <w:bCs/>
                <w:sz w:val="18"/>
                <w:szCs w:val="18"/>
              </w:rPr>
            </w:pPr>
            <w:r w:rsidRPr="00F45BD4">
              <w:rPr>
                <w:b/>
                <w:bCs/>
                <w:sz w:val="18"/>
                <w:szCs w:val="18"/>
              </w:rPr>
              <w:t>8 518,1</w:t>
            </w:r>
          </w:p>
        </w:tc>
        <w:tc>
          <w:tcPr>
            <w:tcW w:w="1199" w:type="dxa"/>
            <w:tcBorders>
              <w:top w:val="nil"/>
              <w:left w:val="nil"/>
              <w:bottom w:val="nil"/>
              <w:right w:val="nil"/>
            </w:tcBorders>
            <w:shd w:val="clear" w:color="auto" w:fill="auto"/>
            <w:noWrap/>
            <w:vAlign w:val="bottom"/>
            <w:hideMark/>
          </w:tcPr>
          <w:p w:rsidR="004E3AFB" w:rsidRPr="00F45BD4" w:rsidRDefault="004E3AFB">
            <w:pPr>
              <w:jc w:val="right"/>
              <w:rPr>
                <w:b/>
                <w:bCs/>
                <w:sz w:val="18"/>
                <w:szCs w:val="18"/>
              </w:rPr>
            </w:pPr>
            <w:r w:rsidRPr="00F45BD4">
              <w:rPr>
                <w:b/>
                <w:bCs/>
                <w:sz w:val="18"/>
                <w:szCs w:val="18"/>
              </w:rPr>
              <w:t>533,0</w:t>
            </w:r>
          </w:p>
        </w:tc>
        <w:tc>
          <w:tcPr>
            <w:tcW w:w="1300" w:type="dxa"/>
            <w:tcBorders>
              <w:top w:val="single" w:sz="4" w:space="0" w:color="auto"/>
              <w:left w:val="nil"/>
              <w:bottom w:val="nil"/>
              <w:right w:val="single" w:sz="8" w:space="0" w:color="auto"/>
            </w:tcBorders>
            <w:shd w:val="clear" w:color="auto" w:fill="auto"/>
            <w:noWrap/>
            <w:vAlign w:val="bottom"/>
            <w:hideMark/>
          </w:tcPr>
          <w:p w:rsidR="004E3AFB" w:rsidRPr="00F45BD4" w:rsidRDefault="004E3AFB">
            <w:pPr>
              <w:jc w:val="right"/>
              <w:rPr>
                <w:b/>
                <w:bCs/>
                <w:sz w:val="18"/>
                <w:szCs w:val="18"/>
              </w:rPr>
            </w:pPr>
            <w:r w:rsidRPr="00F45BD4">
              <w:rPr>
                <w:b/>
                <w:bCs/>
                <w:sz w:val="18"/>
                <w:szCs w:val="18"/>
              </w:rPr>
              <w:t>20,4%</w:t>
            </w:r>
          </w:p>
        </w:tc>
      </w:tr>
      <w:tr w:rsidR="00F45BD4" w:rsidRPr="00F45BD4" w:rsidTr="00F52838">
        <w:trPr>
          <w:trHeight w:val="255"/>
        </w:trPr>
        <w:tc>
          <w:tcPr>
            <w:tcW w:w="4263" w:type="dxa"/>
            <w:tcBorders>
              <w:top w:val="nil"/>
              <w:left w:val="single" w:sz="8" w:space="0" w:color="auto"/>
              <w:bottom w:val="nil"/>
              <w:right w:val="nil"/>
            </w:tcBorders>
            <w:shd w:val="clear" w:color="auto" w:fill="auto"/>
            <w:noWrap/>
            <w:vAlign w:val="bottom"/>
            <w:hideMark/>
          </w:tcPr>
          <w:p w:rsidR="004E3AFB" w:rsidRPr="00F45BD4" w:rsidRDefault="004E3AFB">
            <w:pPr>
              <w:rPr>
                <w:sz w:val="18"/>
                <w:szCs w:val="18"/>
              </w:rPr>
            </w:pPr>
            <w:r w:rsidRPr="00F45BD4">
              <w:rPr>
                <w:sz w:val="18"/>
                <w:szCs w:val="18"/>
              </w:rPr>
              <w:t xml:space="preserve">  Нелихвени</w:t>
            </w:r>
          </w:p>
        </w:tc>
        <w:tc>
          <w:tcPr>
            <w:tcW w:w="992" w:type="dxa"/>
            <w:tcBorders>
              <w:top w:val="nil"/>
              <w:left w:val="nil"/>
              <w:bottom w:val="nil"/>
              <w:right w:val="nil"/>
            </w:tcBorders>
            <w:shd w:val="clear" w:color="auto" w:fill="auto"/>
            <w:noWrap/>
            <w:vAlign w:val="bottom"/>
            <w:hideMark/>
          </w:tcPr>
          <w:p w:rsidR="004E3AFB" w:rsidRPr="00F45BD4" w:rsidRDefault="004E3AFB">
            <w:pPr>
              <w:jc w:val="right"/>
              <w:rPr>
                <w:sz w:val="18"/>
                <w:szCs w:val="18"/>
              </w:rPr>
            </w:pPr>
            <w:r w:rsidRPr="00F45BD4">
              <w:rPr>
                <w:sz w:val="18"/>
                <w:szCs w:val="18"/>
              </w:rPr>
              <w:t>42 297,4</w:t>
            </w:r>
          </w:p>
        </w:tc>
        <w:tc>
          <w:tcPr>
            <w:tcW w:w="1087" w:type="dxa"/>
            <w:tcBorders>
              <w:top w:val="nil"/>
              <w:left w:val="nil"/>
              <w:bottom w:val="nil"/>
              <w:right w:val="nil"/>
            </w:tcBorders>
            <w:shd w:val="clear" w:color="auto" w:fill="auto"/>
            <w:noWrap/>
            <w:vAlign w:val="bottom"/>
            <w:hideMark/>
          </w:tcPr>
          <w:p w:rsidR="004E3AFB" w:rsidRPr="00F45BD4" w:rsidRDefault="004E3AFB">
            <w:pPr>
              <w:jc w:val="right"/>
              <w:rPr>
                <w:sz w:val="18"/>
                <w:szCs w:val="18"/>
              </w:rPr>
            </w:pPr>
            <w:r w:rsidRPr="00F45BD4">
              <w:rPr>
                <w:sz w:val="18"/>
                <w:szCs w:val="18"/>
              </w:rPr>
              <w:t>8 208,9</w:t>
            </w:r>
          </w:p>
        </w:tc>
        <w:tc>
          <w:tcPr>
            <w:tcW w:w="1252" w:type="dxa"/>
            <w:tcBorders>
              <w:top w:val="nil"/>
              <w:left w:val="nil"/>
              <w:bottom w:val="nil"/>
              <w:right w:val="nil"/>
            </w:tcBorders>
            <w:shd w:val="clear" w:color="auto" w:fill="auto"/>
            <w:noWrap/>
            <w:vAlign w:val="bottom"/>
            <w:hideMark/>
          </w:tcPr>
          <w:p w:rsidR="004E3AFB" w:rsidRPr="00F45BD4" w:rsidRDefault="004E3AFB">
            <w:pPr>
              <w:jc w:val="right"/>
              <w:rPr>
                <w:sz w:val="18"/>
                <w:szCs w:val="18"/>
              </w:rPr>
            </w:pPr>
            <w:r w:rsidRPr="00F45BD4">
              <w:rPr>
                <w:sz w:val="18"/>
                <w:szCs w:val="18"/>
              </w:rPr>
              <w:t>7 675,9</w:t>
            </w:r>
          </w:p>
        </w:tc>
        <w:tc>
          <w:tcPr>
            <w:tcW w:w="1199" w:type="dxa"/>
            <w:tcBorders>
              <w:top w:val="nil"/>
              <w:left w:val="nil"/>
              <w:bottom w:val="nil"/>
              <w:right w:val="nil"/>
            </w:tcBorders>
            <w:shd w:val="clear" w:color="auto" w:fill="auto"/>
            <w:noWrap/>
            <w:vAlign w:val="bottom"/>
            <w:hideMark/>
          </w:tcPr>
          <w:p w:rsidR="004E3AFB" w:rsidRPr="00F45BD4" w:rsidRDefault="004E3AFB">
            <w:pPr>
              <w:jc w:val="right"/>
              <w:rPr>
                <w:sz w:val="18"/>
                <w:szCs w:val="18"/>
              </w:rPr>
            </w:pPr>
            <w:r w:rsidRPr="00F45BD4">
              <w:rPr>
                <w:sz w:val="18"/>
                <w:szCs w:val="18"/>
              </w:rPr>
              <w:t>533,0</w:t>
            </w:r>
          </w:p>
        </w:tc>
        <w:tc>
          <w:tcPr>
            <w:tcW w:w="1300" w:type="dxa"/>
            <w:tcBorders>
              <w:top w:val="nil"/>
              <w:left w:val="nil"/>
              <w:bottom w:val="nil"/>
              <w:right w:val="single" w:sz="8" w:space="0" w:color="auto"/>
            </w:tcBorders>
            <w:shd w:val="clear" w:color="auto" w:fill="auto"/>
            <w:noWrap/>
            <w:vAlign w:val="bottom"/>
            <w:hideMark/>
          </w:tcPr>
          <w:p w:rsidR="004E3AFB" w:rsidRPr="00F45BD4" w:rsidRDefault="004E3AFB">
            <w:pPr>
              <w:jc w:val="right"/>
              <w:rPr>
                <w:sz w:val="18"/>
                <w:szCs w:val="18"/>
              </w:rPr>
            </w:pPr>
            <w:r w:rsidRPr="00F45BD4">
              <w:rPr>
                <w:sz w:val="18"/>
                <w:szCs w:val="18"/>
              </w:rPr>
              <w:t>19,4%</w:t>
            </w:r>
          </w:p>
        </w:tc>
      </w:tr>
      <w:tr w:rsidR="00F45BD4" w:rsidRPr="00F45BD4" w:rsidTr="00F52838">
        <w:trPr>
          <w:trHeight w:val="255"/>
        </w:trPr>
        <w:tc>
          <w:tcPr>
            <w:tcW w:w="4263" w:type="dxa"/>
            <w:tcBorders>
              <w:top w:val="nil"/>
              <w:left w:val="single" w:sz="8" w:space="0" w:color="auto"/>
              <w:bottom w:val="nil"/>
              <w:right w:val="nil"/>
            </w:tcBorders>
            <w:shd w:val="clear" w:color="auto" w:fill="auto"/>
            <w:noWrap/>
            <w:vAlign w:val="bottom"/>
            <w:hideMark/>
          </w:tcPr>
          <w:p w:rsidR="004E3AFB" w:rsidRPr="00F45BD4" w:rsidRDefault="004E3AFB">
            <w:pPr>
              <w:rPr>
                <w:sz w:val="18"/>
                <w:szCs w:val="18"/>
              </w:rPr>
            </w:pPr>
            <w:r w:rsidRPr="00F45BD4">
              <w:rPr>
                <w:sz w:val="18"/>
                <w:szCs w:val="18"/>
              </w:rPr>
              <w:t xml:space="preserve">    Текущи</w:t>
            </w:r>
          </w:p>
        </w:tc>
        <w:tc>
          <w:tcPr>
            <w:tcW w:w="992" w:type="dxa"/>
            <w:tcBorders>
              <w:top w:val="nil"/>
              <w:left w:val="nil"/>
              <w:bottom w:val="nil"/>
              <w:right w:val="nil"/>
            </w:tcBorders>
            <w:shd w:val="clear" w:color="auto" w:fill="auto"/>
            <w:noWrap/>
            <w:vAlign w:val="bottom"/>
            <w:hideMark/>
          </w:tcPr>
          <w:p w:rsidR="004E3AFB" w:rsidRPr="00F45BD4" w:rsidRDefault="004E3AFB">
            <w:pPr>
              <w:jc w:val="right"/>
              <w:rPr>
                <w:sz w:val="18"/>
                <w:szCs w:val="18"/>
              </w:rPr>
            </w:pPr>
            <w:r w:rsidRPr="00F45BD4">
              <w:rPr>
                <w:sz w:val="18"/>
                <w:szCs w:val="18"/>
              </w:rPr>
              <w:t>35 697,9</w:t>
            </w:r>
          </w:p>
        </w:tc>
        <w:tc>
          <w:tcPr>
            <w:tcW w:w="1087" w:type="dxa"/>
            <w:tcBorders>
              <w:top w:val="nil"/>
              <w:left w:val="nil"/>
              <w:bottom w:val="nil"/>
              <w:right w:val="nil"/>
            </w:tcBorders>
            <w:shd w:val="clear" w:color="auto" w:fill="auto"/>
            <w:noWrap/>
            <w:vAlign w:val="bottom"/>
            <w:hideMark/>
          </w:tcPr>
          <w:p w:rsidR="004E3AFB" w:rsidRPr="00F45BD4" w:rsidRDefault="004E3AFB">
            <w:pPr>
              <w:jc w:val="right"/>
              <w:rPr>
                <w:sz w:val="18"/>
                <w:szCs w:val="18"/>
              </w:rPr>
            </w:pPr>
            <w:r w:rsidRPr="00F45BD4">
              <w:rPr>
                <w:sz w:val="18"/>
                <w:szCs w:val="18"/>
              </w:rPr>
              <w:t>7 678,4</w:t>
            </w:r>
          </w:p>
        </w:tc>
        <w:tc>
          <w:tcPr>
            <w:tcW w:w="1252" w:type="dxa"/>
            <w:tcBorders>
              <w:top w:val="nil"/>
              <w:left w:val="nil"/>
              <w:bottom w:val="nil"/>
              <w:right w:val="nil"/>
            </w:tcBorders>
            <w:shd w:val="clear" w:color="auto" w:fill="auto"/>
            <w:noWrap/>
            <w:vAlign w:val="bottom"/>
            <w:hideMark/>
          </w:tcPr>
          <w:p w:rsidR="004E3AFB" w:rsidRPr="00F45BD4" w:rsidRDefault="004E3AFB">
            <w:pPr>
              <w:jc w:val="right"/>
              <w:rPr>
                <w:sz w:val="18"/>
                <w:szCs w:val="18"/>
              </w:rPr>
            </w:pPr>
            <w:r w:rsidRPr="00F45BD4">
              <w:rPr>
                <w:sz w:val="18"/>
                <w:szCs w:val="18"/>
              </w:rPr>
              <w:t>7 455,9</w:t>
            </w:r>
          </w:p>
        </w:tc>
        <w:tc>
          <w:tcPr>
            <w:tcW w:w="1199" w:type="dxa"/>
            <w:tcBorders>
              <w:top w:val="nil"/>
              <w:left w:val="nil"/>
              <w:bottom w:val="nil"/>
              <w:right w:val="nil"/>
            </w:tcBorders>
            <w:shd w:val="clear" w:color="auto" w:fill="auto"/>
            <w:noWrap/>
            <w:vAlign w:val="bottom"/>
            <w:hideMark/>
          </w:tcPr>
          <w:p w:rsidR="004E3AFB" w:rsidRPr="00F45BD4" w:rsidRDefault="004E3AFB">
            <w:pPr>
              <w:jc w:val="right"/>
              <w:rPr>
                <w:sz w:val="18"/>
                <w:szCs w:val="18"/>
              </w:rPr>
            </w:pPr>
            <w:r w:rsidRPr="00F45BD4">
              <w:rPr>
                <w:sz w:val="18"/>
                <w:szCs w:val="18"/>
              </w:rPr>
              <w:t>222,5</w:t>
            </w:r>
          </w:p>
        </w:tc>
        <w:tc>
          <w:tcPr>
            <w:tcW w:w="1300" w:type="dxa"/>
            <w:tcBorders>
              <w:top w:val="nil"/>
              <w:left w:val="nil"/>
              <w:bottom w:val="nil"/>
              <w:right w:val="single" w:sz="8" w:space="0" w:color="auto"/>
            </w:tcBorders>
            <w:shd w:val="clear" w:color="auto" w:fill="auto"/>
            <w:noWrap/>
            <w:vAlign w:val="bottom"/>
            <w:hideMark/>
          </w:tcPr>
          <w:p w:rsidR="004E3AFB" w:rsidRPr="00F45BD4" w:rsidRDefault="004E3AFB">
            <w:pPr>
              <w:jc w:val="right"/>
              <w:rPr>
                <w:sz w:val="18"/>
                <w:szCs w:val="18"/>
              </w:rPr>
            </w:pPr>
            <w:r w:rsidRPr="00F45BD4">
              <w:rPr>
                <w:sz w:val="18"/>
                <w:szCs w:val="18"/>
              </w:rPr>
              <w:t>21,5%</w:t>
            </w:r>
          </w:p>
        </w:tc>
      </w:tr>
      <w:tr w:rsidR="00F45BD4" w:rsidRPr="00F45BD4" w:rsidTr="00F52838">
        <w:trPr>
          <w:trHeight w:val="255"/>
        </w:trPr>
        <w:tc>
          <w:tcPr>
            <w:tcW w:w="4263" w:type="dxa"/>
            <w:tcBorders>
              <w:top w:val="nil"/>
              <w:left w:val="single" w:sz="8" w:space="0" w:color="auto"/>
              <w:bottom w:val="nil"/>
              <w:right w:val="nil"/>
            </w:tcBorders>
            <w:shd w:val="clear" w:color="auto" w:fill="auto"/>
            <w:noWrap/>
            <w:vAlign w:val="bottom"/>
          </w:tcPr>
          <w:p w:rsidR="00527AC5" w:rsidRPr="00F45BD4" w:rsidRDefault="00527AC5">
            <w:pPr>
              <w:rPr>
                <w:sz w:val="18"/>
                <w:szCs w:val="18"/>
              </w:rPr>
            </w:pPr>
            <w:r w:rsidRPr="00F45BD4">
              <w:rPr>
                <w:sz w:val="18"/>
                <w:szCs w:val="18"/>
                <w:lang w:val="en-US"/>
              </w:rPr>
              <w:t xml:space="preserve">    </w:t>
            </w:r>
            <w:r w:rsidRPr="00F45BD4">
              <w:rPr>
                <w:sz w:val="18"/>
                <w:szCs w:val="18"/>
              </w:rPr>
              <w:t xml:space="preserve">Предоставени </w:t>
            </w:r>
            <w:proofErr w:type="spellStart"/>
            <w:r w:rsidRPr="00F45BD4">
              <w:rPr>
                <w:sz w:val="18"/>
                <w:szCs w:val="18"/>
              </w:rPr>
              <w:t>тек</w:t>
            </w:r>
            <w:proofErr w:type="spellEnd"/>
            <w:r w:rsidRPr="00F45BD4">
              <w:rPr>
                <w:sz w:val="18"/>
                <w:szCs w:val="18"/>
              </w:rPr>
              <w:t xml:space="preserve">. и </w:t>
            </w:r>
            <w:proofErr w:type="spellStart"/>
            <w:r w:rsidRPr="00F45BD4">
              <w:rPr>
                <w:sz w:val="18"/>
                <w:szCs w:val="18"/>
              </w:rPr>
              <w:t>капит</w:t>
            </w:r>
            <w:proofErr w:type="spellEnd"/>
            <w:r w:rsidRPr="00F45BD4">
              <w:rPr>
                <w:sz w:val="18"/>
                <w:szCs w:val="18"/>
              </w:rPr>
              <w:t>. трансфери за чужбина</w:t>
            </w:r>
          </w:p>
        </w:tc>
        <w:tc>
          <w:tcPr>
            <w:tcW w:w="992" w:type="dxa"/>
            <w:tcBorders>
              <w:top w:val="nil"/>
              <w:left w:val="nil"/>
              <w:bottom w:val="nil"/>
              <w:right w:val="nil"/>
            </w:tcBorders>
            <w:shd w:val="clear" w:color="auto" w:fill="auto"/>
            <w:noWrap/>
            <w:vAlign w:val="bottom"/>
          </w:tcPr>
          <w:p w:rsidR="00527AC5" w:rsidRPr="00F45BD4" w:rsidRDefault="00527AC5">
            <w:pPr>
              <w:jc w:val="right"/>
              <w:rPr>
                <w:sz w:val="18"/>
                <w:szCs w:val="18"/>
              </w:rPr>
            </w:pPr>
            <w:r w:rsidRPr="00F45BD4">
              <w:rPr>
                <w:sz w:val="18"/>
                <w:szCs w:val="18"/>
              </w:rPr>
              <w:t>14,4</w:t>
            </w:r>
          </w:p>
        </w:tc>
        <w:tc>
          <w:tcPr>
            <w:tcW w:w="1087" w:type="dxa"/>
            <w:tcBorders>
              <w:top w:val="nil"/>
              <w:left w:val="nil"/>
              <w:bottom w:val="nil"/>
              <w:right w:val="nil"/>
            </w:tcBorders>
            <w:shd w:val="clear" w:color="auto" w:fill="auto"/>
            <w:noWrap/>
            <w:vAlign w:val="bottom"/>
          </w:tcPr>
          <w:p w:rsidR="00527AC5" w:rsidRPr="00F45BD4" w:rsidRDefault="00527AC5">
            <w:pPr>
              <w:jc w:val="right"/>
              <w:rPr>
                <w:sz w:val="18"/>
                <w:szCs w:val="18"/>
              </w:rPr>
            </w:pPr>
            <w:r w:rsidRPr="00F45BD4">
              <w:rPr>
                <w:sz w:val="18"/>
                <w:szCs w:val="18"/>
              </w:rPr>
              <w:t>6,</w:t>
            </w:r>
            <w:proofErr w:type="spellStart"/>
            <w:r w:rsidRPr="00F45BD4">
              <w:rPr>
                <w:sz w:val="18"/>
                <w:szCs w:val="18"/>
              </w:rPr>
              <w:t>6</w:t>
            </w:r>
            <w:proofErr w:type="spellEnd"/>
          </w:p>
        </w:tc>
        <w:tc>
          <w:tcPr>
            <w:tcW w:w="1252" w:type="dxa"/>
            <w:tcBorders>
              <w:top w:val="nil"/>
              <w:left w:val="nil"/>
              <w:bottom w:val="nil"/>
              <w:right w:val="nil"/>
            </w:tcBorders>
            <w:shd w:val="clear" w:color="auto" w:fill="auto"/>
            <w:noWrap/>
            <w:vAlign w:val="bottom"/>
          </w:tcPr>
          <w:p w:rsidR="00527AC5" w:rsidRPr="00F45BD4" w:rsidRDefault="00527AC5">
            <w:pPr>
              <w:jc w:val="right"/>
              <w:rPr>
                <w:sz w:val="18"/>
                <w:szCs w:val="18"/>
              </w:rPr>
            </w:pPr>
            <w:r w:rsidRPr="00F45BD4">
              <w:rPr>
                <w:sz w:val="18"/>
                <w:szCs w:val="18"/>
              </w:rPr>
              <w:t>0,5</w:t>
            </w:r>
          </w:p>
        </w:tc>
        <w:tc>
          <w:tcPr>
            <w:tcW w:w="1199" w:type="dxa"/>
            <w:tcBorders>
              <w:top w:val="nil"/>
              <w:left w:val="nil"/>
              <w:bottom w:val="nil"/>
              <w:right w:val="nil"/>
            </w:tcBorders>
            <w:shd w:val="clear" w:color="auto" w:fill="auto"/>
            <w:noWrap/>
            <w:vAlign w:val="bottom"/>
          </w:tcPr>
          <w:p w:rsidR="00527AC5" w:rsidRPr="00F45BD4" w:rsidRDefault="00527AC5">
            <w:pPr>
              <w:jc w:val="right"/>
              <w:rPr>
                <w:sz w:val="18"/>
                <w:szCs w:val="18"/>
              </w:rPr>
            </w:pPr>
            <w:r w:rsidRPr="00F45BD4">
              <w:rPr>
                <w:sz w:val="18"/>
                <w:szCs w:val="18"/>
              </w:rPr>
              <w:t>6,1</w:t>
            </w:r>
          </w:p>
        </w:tc>
        <w:tc>
          <w:tcPr>
            <w:tcW w:w="1300" w:type="dxa"/>
            <w:tcBorders>
              <w:top w:val="nil"/>
              <w:left w:val="nil"/>
              <w:bottom w:val="nil"/>
              <w:right w:val="single" w:sz="8" w:space="0" w:color="auto"/>
            </w:tcBorders>
            <w:shd w:val="clear" w:color="auto" w:fill="auto"/>
            <w:noWrap/>
            <w:vAlign w:val="bottom"/>
          </w:tcPr>
          <w:p w:rsidR="00527AC5" w:rsidRPr="00F45BD4" w:rsidRDefault="00527AC5">
            <w:pPr>
              <w:jc w:val="right"/>
              <w:rPr>
                <w:sz w:val="18"/>
                <w:szCs w:val="18"/>
              </w:rPr>
            </w:pPr>
            <w:r w:rsidRPr="00F45BD4">
              <w:rPr>
                <w:sz w:val="18"/>
                <w:szCs w:val="18"/>
              </w:rPr>
              <w:t>45,6%</w:t>
            </w:r>
          </w:p>
        </w:tc>
      </w:tr>
      <w:tr w:rsidR="00F45BD4" w:rsidRPr="00F45BD4" w:rsidTr="00F52838">
        <w:trPr>
          <w:trHeight w:val="255"/>
        </w:trPr>
        <w:tc>
          <w:tcPr>
            <w:tcW w:w="4263" w:type="dxa"/>
            <w:tcBorders>
              <w:top w:val="nil"/>
              <w:left w:val="single" w:sz="8" w:space="0" w:color="auto"/>
              <w:bottom w:val="nil"/>
              <w:right w:val="nil"/>
            </w:tcBorders>
            <w:shd w:val="clear" w:color="auto" w:fill="auto"/>
            <w:noWrap/>
            <w:vAlign w:val="bottom"/>
            <w:hideMark/>
          </w:tcPr>
          <w:p w:rsidR="00527AC5" w:rsidRPr="00F45BD4" w:rsidRDefault="00527AC5">
            <w:pPr>
              <w:rPr>
                <w:sz w:val="18"/>
                <w:szCs w:val="18"/>
              </w:rPr>
            </w:pPr>
            <w:r w:rsidRPr="00F45BD4">
              <w:rPr>
                <w:sz w:val="18"/>
                <w:szCs w:val="18"/>
              </w:rPr>
              <w:t xml:space="preserve">    Капиталови</w:t>
            </w:r>
          </w:p>
        </w:tc>
        <w:tc>
          <w:tcPr>
            <w:tcW w:w="992" w:type="dxa"/>
            <w:tcBorders>
              <w:top w:val="nil"/>
              <w:left w:val="nil"/>
              <w:bottom w:val="nil"/>
              <w:right w:val="nil"/>
            </w:tcBorders>
            <w:shd w:val="clear" w:color="auto" w:fill="auto"/>
            <w:noWrap/>
            <w:vAlign w:val="bottom"/>
            <w:hideMark/>
          </w:tcPr>
          <w:p w:rsidR="00527AC5" w:rsidRPr="00F45BD4" w:rsidRDefault="00527AC5">
            <w:pPr>
              <w:jc w:val="right"/>
              <w:rPr>
                <w:sz w:val="18"/>
                <w:szCs w:val="18"/>
              </w:rPr>
            </w:pPr>
            <w:r w:rsidRPr="00F45BD4">
              <w:rPr>
                <w:sz w:val="18"/>
                <w:szCs w:val="18"/>
              </w:rPr>
              <w:t>6 585,2</w:t>
            </w:r>
          </w:p>
        </w:tc>
        <w:tc>
          <w:tcPr>
            <w:tcW w:w="1087" w:type="dxa"/>
            <w:tcBorders>
              <w:top w:val="nil"/>
              <w:left w:val="nil"/>
              <w:bottom w:val="nil"/>
              <w:right w:val="nil"/>
            </w:tcBorders>
            <w:shd w:val="clear" w:color="auto" w:fill="auto"/>
            <w:noWrap/>
            <w:vAlign w:val="bottom"/>
            <w:hideMark/>
          </w:tcPr>
          <w:p w:rsidR="00527AC5" w:rsidRPr="00F45BD4" w:rsidRDefault="00527AC5">
            <w:pPr>
              <w:jc w:val="right"/>
              <w:rPr>
                <w:sz w:val="18"/>
                <w:szCs w:val="18"/>
              </w:rPr>
            </w:pPr>
            <w:r w:rsidRPr="00F45BD4">
              <w:rPr>
                <w:sz w:val="18"/>
                <w:szCs w:val="18"/>
              </w:rPr>
              <w:t>523,9</w:t>
            </w:r>
          </w:p>
        </w:tc>
        <w:tc>
          <w:tcPr>
            <w:tcW w:w="1252" w:type="dxa"/>
            <w:tcBorders>
              <w:top w:val="nil"/>
              <w:left w:val="nil"/>
              <w:bottom w:val="nil"/>
              <w:right w:val="nil"/>
            </w:tcBorders>
            <w:shd w:val="clear" w:color="auto" w:fill="auto"/>
            <w:noWrap/>
            <w:vAlign w:val="bottom"/>
            <w:hideMark/>
          </w:tcPr>
          <w:p w:rsidR="00527AC5" w:rsidRPr="00F45BD4" w:rsidRDefault="00527AC5">
            <w:pPr>
              <w:jc w:val="right"/>
              <w:rPr>
                <w:sz w:val="18"/>
                <w:szCs w:val="18"/>
              </w:rPr>
            </w:pPr>
            <w:r w:rsidRPr="00F45BD4">
              <w:rPr>
                <w:sz w:val="18"/>
                <w:szCs w:val="18"/>
              </w:rPr>
              <w:t>219,5</w:t>
            </w:r>
          </w:p>
        </w:tc>
        <w:tc>
          <w:tcPr>
            <w:tcW w:w="1199" w:type="dxa"/>
            <w:tcBorders>
              <w:top w:val="nil"/>
              <w:left w:val="nil"/>
              <w:bottom w:val="nil"/>
              <w:right w:val="nil"/>
            </w:tcBorders>
            <w:shd w:val="clear" w:color="auto" w:fill="auto"/>
            <w:noWrap/>
            <w:vAlign w:val="bottom"/>
            <w:hideMark/>
          </w:tcPr>
          <w:p w:rsidR="00527AC5" w:rsidRPr="00F45BD4" w:rsidRDefault="00527AC5">
            <w:pPr>
              <w:jc w:val="right"/>
              <w:rPr>
                <w:sz w:val="18"/>
                <w:szCs w:val="18"/>
              </w:rPr>
            </w:pPr>
            <w:r w:rsidRPr="00F45BD4">
              <w:rPr>
                <w:sz w:val="18"/>
                <w:szCs w:val="18"/>
              </w:rPr>
              <w:t>304,5</w:t>
            </w:r>
          </w:p>
        </w:tc>
        <w:tc>
          <w:tcPr>
            <w:tcW w:w="1300" w:type="dxa"/>
            <w:tcBorders>
              <w:top w:val="nil"/>
              <w:left w:val="nil"/>
              <w:bottom w:val="nil"/>
              <w:right w:val="single" w:sz="8" w:space="0" w:color="auto"/>
            </w:tcBorders>
            <w:shd w:val="clear" w:color="auto" w:fill="auto"/>
            <w:noWrap/>
            <w:vAlign w:val="bottom"/>
            <w:hideMark/>
          </w:tcPr>
          <w:p w:rsidR="00527AC5" w:rsidRPr="00F45BD4" w:rsidRDefault="00527AC5">
            <w:pPr>
              <w:jc w:val="right"/>
              <w:rPr>
                <w:sz w:val="18"/>
                <w:szCs w:val="18"/>
              </w:rPr>
            </w:pPr>
            <w:r w:rsidRPr="00F45BD4">
              <w:rPr>
                <w:sz w:val="18"/>
                <w:szCs w:val="18"/>
              </w:rPr>
              <w:t>8,0%</w:t>
            </w:r>
          </w:p>
        </w:tc>
      </w:tr>
      <w:tr w:rsidR="00F45BD4" w:rsidRPr="00F45BD4" w:rsidTr="00F1730F">
        <w:trPr>
          <w:trHeight w:val="255"/>
        </w:trPr>
        <w:tc>
          <w:tcPr>
            <w:tcW w:w="4263" w:type="dxa"/>
            <w:tcBorders>
              <w:top w:val="nil"/>
              <w:left w:val="single" w:sz="8" w:space="0" w:color="auto"/>
              <w:bottom w:val="nil"/>
              <w:right w:val="nil"/>
            </w:tcBorders>
            <w:shd w:val="clear" w:color="auto" w:fill="auto"/>
            <w:noWrap/>
            <w:vAlign w:val="bottom"/>
            <w:hideMark/>
          </w:tcPr>
          <w:p w:rsidR="00527AC5" w:rsidRPr="00F45BD4" w:rsidRDefault="00527AC5">
            <w:pPr>
              <w:rPr>
                <w:sz w:val="18"/>
                <w:szCs w:val="18"/>
              </w:rPr>
            </w:pPr>
            <w:r w:rsidRPr="00F45BD4">
              <w:rPr>
                <w:sz w:val="18"/>
                <w:szCs w:val="18"/>
              </w:rPr>
              <w:t xml:space="preserve">           в т.ч. нетен прираст на държавния резерв</w:t>
            </w:r>
          </w:p>
        </w:tc>
        <w:tc>
          <w:tcPr>
            <w:tcW w:w="992" w:type="dxa"/>
            <w:tcBorders>
              <w:top w:val="nil"/>
              <w:left w:val="nil"/>
              <w:bottom w:val="nil"/>
              <w:right w:val="nil"/>
            </w:tcBorders>
            <w:shd w:val="clear" w:color="auto" w:fill="auto"/>
            <w:noWrap/>
            <w:vAlign w:val="bottom"/>
            <w:hideMark/>
          </w:tcPr>
          <w:p w:rsidR="00527AC5" w:rsidRPr="00F45BD4" w:rsidRDefault="00527AC5">
            <w:pPr>
              <w:jc w:val="right"/>
              <w:rPr>
                <w:sz w:val="18"/>
                <w:szCs w:val="18"/>
              </w:rPr>
            </w:pPr>
            <w:r w:rsidRPr="00F45BD4">
              <w:rPr>
                <w:sz w:val="18"/>
                <w:szCs w:val="18"/>
              </w:rPr>
              <w:t>19,2</w:t>
            </w:r>
          </w:p>
        </w:tc>
        <w:tc>
          <w:tcPr>
            <w:tcW w:w="1087" w:type="dxa"/>
            <w:tcBorders>
              <w:top w:val="nil"/>
              <w:left w:val="nil"/>
              <w:bottom w:val="nil"/>
              <w:right w:val="nil"/>
            </w:tcBorders>
            <w:shd w:val="clear" w:color="auto" w:fill="auto"/>
            <w:noWrap/>
            <w:vAlign w:val="bottom"/>
            <w:hideMark/>
          </w:tcPr>
          <w:p w:rsidR="00527AC5" w:rsidRPr="00F45BD4" w:rsidRDefault="00527AC5">
            <w:pPr>
              <w:jc w:val="right"/>
              <w:rPr>
                <w:sz w:val="18"/>
                <w:szCs w:val="18"/>
              </w:rPr>
            </w:pPr>
            <w:r w:rsidRPr="00F45BD4">
              <w:rPr>
                <w:sz w:val="18"/>
                <w:szCs w:val="18"/>
              </w:rPr>
              <w:t>-0,6</w:t>
            </w:r>
          </w:p>
        </w:tc>
        <w:tc>
          <w:tcPr>
            <w:tcW w:w="1252" w:type="dxa"/>
            <w:tcBorders>
              <w:top w:val="nil"/>
              <w:left w:val="nil"/>
              <w:bottom w:val="nil"/>
              <w:right w:val="nil"/>
            </w:tcBorders>
            <w:shd w:val="clear" w:color="auto" w:fill="auto"/>
            <w:noWrap/>
            <w:vAlign w:val="bottom"/>
            <w:hideMark/>
          </w:tcPr>
          <w:p w:rsidR="00527AC5" w:rsidRPr="00F45BD4" w:rsidRDefault="00527AC5">
            <w:pPr>
              <w:jc w:val="right"/>
              <w:rPr>
                <w:sz w:val="18"/>
                <w:szCs w:val="18"/>
              </w:rPr>
            </w:pPr>
            <w:r w:rsidRPr="00F45BD4">
              <w:rPr>
                <w:sz w:val="18"/>
                <w:szCs w:val="18"/>
              </w:rPr>
              <w:t>-0,6</w:t>
            </w:r>
          </w:p>
        </w:tc>
        <w:tc>
          <w:tcPr>
            <w:tcW w:w="1199" w:type="dxa"/>
            <w:tcBorders>
              <w:top w:val="nil"/>
              <w:left w:val="nil"/>
              <w:bottom w:val="nil"/>
              <w:right w:val="nil"/>
            </w:tcBorders>
            <w:shd w:val="clear" w:color="auto" w:fill="auto"/>
            <w:noWrap/>
            <w:vAlign w:val="bottom"/>
          </w:tcPr>
          <w:p w:rsidR="00527AC5" w:rsidRPr="00F45BD4" w:rsidRDefault="00527AC5">
            <w:pPr>
              <w:jc w:val="right"/>
              <w:rPr>
                <w:sz w:val="18"/>
                <w:szCs w:val="18"/>
              </w:rPr>
            </w:pPr>
          </w:p>
        </w:tc>
        <w:tc>
          <w:tcPr>
            <w:tcW w:w="1300" w:type="dxa"/>
            <w:tcBorders>
              <w:top w:val="nil"/>
              <w:left w:val="nil"/>
              <w:bottom w:val="nil"/>
              <w:right w:val="single" w:sz="8" w:space="0" w:color="auto"/>
            </w:tcBorders>
            <w:shd w:val="clear" w:color="auto" w:fill="auto"/>
            <w:noWrap/>
            <w:vAlign w:val="bottom"/>
          </w:tcPr>
          <w:p w:rsidR="00527AC5" w:rsidRPr="00F45BD4" w:rsidRDefault="00527AC5">
            <w:pPr>
              <w:jc w:val="right"/>
              <w:rPr>
                <w:sz w:val="18"/>
                <w:szCs w:val="18"/>
              </w:rPr>
            </w:pPr>
          </w:p>
        </w:tc>
      </w:tr>
      <w:tr w:rsidR="00F45BD4" w:rsidRPr="00F45BD4" w:rsidTr="00573521">
        <w:trPr>
          <w:trHeight w:val="255"/>
        </w:trPr>
        <w:tc>
          <w:tcPr>
            <w:tcW w:w="4263" w:type="dxa"/>
            <w:tcBorders>
              <w:top w:val="nil"/>
              <w:left w:val="single" w:sz="8" w:space="0" w:color="auto"/>
              <w:bottom w:val="nil"/>
              <w:right w:val="nil"/>
            </w:tcBorders>
            <w:shd w:val="clear" w:color="auto" w:fill="auto"/>
            <w:noWrap/>
            <w:vAlign w:val="bottom"/>
            <w:hideMark/>
          </w:tcPr>
          <w:p w:rsidR="00117CA6" w:rsidRPr="00F45BD4" w:rsidRDefault="00117CA6">
            <w:pPr>
              <w:rPr>
                <w:sz w:val="18"/>
                <w:szCs w:val="18"/>
              </w:rPr>
            </w:pPr>
            <w:r w:rsidRPr="00F45BD4">
              <w:rPr>
                <w:sz w:val="18"/>
                <w:szCs w:val="18"/>
              </w:rPr>
              <w:t xml:space="preserve">  Лихвени</w:t>
            </w:r>
          </w:p>
        </w:tc>
        <w:tc>
          <w:tcPr>
            <w:tcW w:w="992" w:type="dxa"/>
            <w:tcBorders>
              <w:top w:val="nil"/>
              <w:left w:val="nil"/>
              <w:bottom w:val="nil"/>
              <w:right w:val="nil"/>
            </w:tcBorders>
            <w:shd w:val="clear" w:color="auto" w:fill="auto"/>
            <w:noWrap/>
            <w:vAlign w:val="bottom"/>
            <w:hideMark/>
          </w:tcPr>
          <w:p w:rsidR="00117CA6" w:rsidRPr="00F45BD4" w:rsidRDefault="00117CA6">
            <w:pPr>
              <w:jc w:val="right"/>
              <w:rPr>
                <w:sz w:val="18"/>
                <w:szCs w:val="18"/>
              </w:rPr>
            </w:pPr>
            <w:r w:rsidRPr="00F45BD4">
              <w:rPr>
                <w:sz w:val="18"/>
                <w:szCs w:val="18"/>
              </w:rPr>
              <w:t>669,2</w:t>
            </w:r>
          </w:p>
        </w:tc>
        <w:tc>
          <w:tcPr>
            <w:tcW w:w="1087" w:type="dxa"/>
            <w:tcBorders>
              <w:top w:val="nil"/>
              <w:left w:val="nil"/>
              <w:bottom w:val="nil"/>
              <w:right w:val="nil"/>
            </w:tcBorders>
            <w:shd w:val="clear" w:color="auto" w:fill="auto"/>
            <w:noWrap/>
            <w:vAlign w:val="bottom"/>
            <w:hideMark/>
          </w:tcPr>
          <w:p w:rsidR="00117CA6" w:rsidRPr="00F45BD4" w:rsidRDefault="00117CA6">
            <w:pPr>
              <w:jc w:val="right"/>
              <w:rPr>
                <w:sz w:val="18"/>
                <w:szCs w:val="18"/>
              </w:rPr>
            </w:pPr>
            <w:r w:rsidRPr="00F45BD4">
              <w:rPr>
                <w:sz w:val="18"/>
                <w:szCs w:val="18"/>
              </w:rPr>
              <w:t>376,1</w:t>
            </w:r>
          </w:p>
        </w:tc>
        <w:tc>
          <w:tcPr>
            <w:tcW w:w="1252" w:type="dxa"/>
            <w:tcBorders>
              <w:top w:val="nil"/>
              <w:left w:val="nil"/>
              <w:bottom w:val="nil"/>
              <w:right w:val="nil"/>
            </w:tcBorders>
            <w:shd w:val="clear" w:color="auto" w:fill="auto"/>
            <w:noWrap/>
            <w:vAlign w:val="bottom"/>
            <w:hideMark/>
          </w:tcPr>
          <w:p w:rsidR="00117CA6" w:rsidRPr="00F45BD4" w:rsidRDefault="00117CA6">
            <w:pPr>
              <w:jc w:val="right"/>
              <w:rPr>
                <w:sz w:val="18"/>
                <w:szCs w:val="18"/>
              </w:rPr>
            </w:pPr>
            <w:r w:rsidRPr="00F45BD4">
              <w:rPr>
                <w:sz w:val="18"/>
                <w:szCs w:val="18"/>
              </w:rPr>
              <w:t>376,1</w:t>
            </w:r>
          </w:p>
        </w:tc>
        <w:tc>
          <w:tcPr>
            <w:tcW w:w="1199" w:type="dxa"/>
            <w:tcBorders>
              <w:top w:val="nil"/>
              <w:left w:val="nil"/>
              <w:bottom w:val="nil"/>
              <w:right w:val="nil"/>
            </w:tcBorders>
            <w:shd w:val="clear" w:color="auto" w:fill="auto"/>
            <w:noWrap/>
            <w:vAlign w:val="bottom"/>
          </w:tcPr>
          <w:p w:rsidR="00117CA6" w:rsidRPr="00F45BD4" w:rsidRDefault="00117CA6">
            <w:pPr>
              <w:jc w:val="right"/>
              <w:rPr>
                <w:sz w:val="18"/>
                <w:szCs w:val="18"/>
              </w:rPr>
            </w:pPr>
          </w:p>
        </w:tc>
        <w:tc>
          <w:tcPr>
            <w:tcW w:w="1300" w:type="dxa"/>
            <w:tcBorders>
              <w:top w:val="nil"/>
              <w:left w:val="nil"/>
              <w:bottom w:val="nil"/>
              <w:right w:val="single" w:sz="8" w:space="0" w:color="auto"/>
            </w:tcBorders>
            <w:shd w:val="clear" w:color="auto" w:fill="auto"/>
            <w:noWrap/>
            <w:vAlign w:val="bottom"/>
            <w:hideMark/>
          </w:tcPr>
          <w:p w:rsidR="00117CA6" w:rsidRPr="00F45BD4" w:rsidRDefault="00117CA6">
            <w:pPr>
              <w:jc w:val="right"/>
              <w:rPr>
                <w:sz w:val="18"/>
                <w:szCs w:val="18"/>
              </w:rPr>
            </w:pPr>
            <w:r w:rsidRPr="00F45BD4">
              <w:rPr>
                <w:sz w:val="18"/>
                <w:szCs w:val="18"/>
              </w:rPr>
              <w:t>56,2%</w:t>
            </w:r>
          </w:p>
        </w:tc>
      </w:tr>
      <w:tr w:rsidR="00F45BD4" w:rsidRPr="00F45BD4" w:rsidTr="00573521">
        <w:trPr>
          <w:trHeight w:val="255"/>
        </w:trPr>
        <w:tc>
          <w:tcPr>
            <w:tcW w:w="4263" w:type="dxa"/>
            <w:tcBorders>
              <w:top w:val="nil"/>
              <w:left w:val="single" w:sz="8" w:space="0" w:color="auto"/>
              <w:bottom w:val="nil"/>
              <w:right w:val="nil"/>
            </w:tcBorders>
            <w:shd w:val="clear" w:color="auto" w:fill="auto"/>
            <w:noWrap/>
            <w:vAlign w:val="bottom"/>
            <w:hideMark/>
          </w:tcPr>
          <w:p w:rsidR="00117CA6" w:rsidRPr="00F45BD4" w:rsidRDefault="00117CA6">
            <w:pPr>
              <w:rPr>
                <w:sz w:val="18"/>
                <w:szCs w:val="18"/>
              </w:rPr>
            </w:pPr>
            <w:r w:rsidRPr="00F45BD4">
              <w:rPr>
                <w:sz w:val="18"/>
                <w:szCs w:val="18"/>
              </w:rPr>
              <w:t xml:space="preserve">  Резерв за неотложни и непредвидени разходи</w:t>
            </w:r>
          </w:p>
        </w:tc>
        <w:tc>
          <w:tcPr>
            <w:tcW w:w="992" w:type="dxa"/>
            <w:tcBorders>
              <w:top w:val="nil"/>
              <w:left w:val="nil"/>
              <w:bottom w:val="nil"/>
              <w:right w:val="nil"/>
            </w:tcBorders>
            <w:shd w:val="clear" w:color="auto" w:fill="auto"/>
            <w:noWrap/>
            <w:vAlign w:val="bottom"/>
            <w:hideMark/>
          </w:tcPr>
          <w:p w:rsidR="00117CA6" w:rsidRPr="00F45BD4" w:rsidRDefault="00117CA6">
            <w:pPr>
              <w:jc w:val="right"/>
              <w:rPr>
                <w:sz w:val="18"/>
                <w:szCs w:val="18"/>
              </w:rPr>
            </w:pPr>
            <w:r w:rsidRPr="00F45BD4">
              <w:rPr>
                <w:sz w:val="18"/>
                <w:szCs w:val="18"/>
              </w:rPr>
              <w:t>208,2</w:t>
            </w:r>
          </w:p>
        </w:tc>
        <w:tc>
          <w:tcPr>
            <w:tcW w:w="1087" w:type="dxa"/>
            <w:tcBorders>
              <w:top w:val="nil"/>
              <w:left w:val="nil"/>
              <w:bottom w:val="nil"/>
              <w:right w:val="nil"/>
            </w:tcBorders>
            <w:shd w:val="clear" w:color="auto" w:fill="auto"/>
            <w:noWrap/>
            <w:vAlign w:val="bottom"/>
            <w:hideMark/>
          </w:tcPr>
          <w:p w:rsidR="00117CA6" w:rsidRPr="00F45BD4" w:rsidRDefault="00117CA6">
            <w:pPr>
              <w:rPr>
                <w:sz w:val="18"/>
                <w:szCs w:val="18"/>
              </w:rPr>
            </w:pPr>
            <w:r w:rsidRPr="00F45BD4">
              <w:rPr>
                <w:sz w:val="18"/>
                <w:szCs w:val="18"/>
              </w:rPr>
              <w:t> </w:t>
            </w:r>
          </w:p>
        </w:tc>
        <w:tc>
          <w:tcPr>
            <w:tcW w:w="1252" w:type="dxa"/>
            <w:tcBorders>
              <w:top w:val="nil"/>
              <w:left w:val="nil"/>
              <w:bottom w:val="nil"/>
              <w:right w:val="nil"/>
            </w:tcBorders>
            <w:shd w:val="clear" w:color="auto" w:fill="auto"/>
            <w:noWrap/>
            <w:vAlign w:val="bottom"/>
            <w:hideMark/>
          </w:tcPr>
          <w:p w:rsidR="00117CA6" w:rsidRPr="00F45BD4" w:rsidRDefault="00117CA6">
            <w:pPr>
              <w:rPr>
                <w:sz w:val="18"/>
                <w:szCs w:val="18"/>
              </w:rPr>
            </w:pPr>
          </w:p>
        </w:tc>
        <w:tc>
          <w:tcPr>
            <w:tcW w:w="1199" w:type="dxa"/>
            <w:tcBorders>
              <w:top w:val="nil"/>
              <w:left w:val="nil"/>
              <w:bottom w:val="nil"/>
              <w:right w:val="nil"/>
            </w:tcBorders>
            <w:shd w:val="clear" w:color="auto" w:fill="auto"/>
            <w:noWrap/>
            <w:vAlign w:val="bottom"/>
          </w:tcPr>
          <w:p w:rsidR="00117CA6" w:rsidRPr="00F45BD4" w:rsidRDefault="00117CA6">
            <w:pPr>
              <w:rPr>
                <w:sz w:val="18"/>
                <w:szCs w:val="18"/>
              </w:rPr>
            </w:pPr>
          </w:p>
        </w:tc>
        <w:tc>
          <w:tcPr>
            <w:tcW w:w="1300" w:type="dxa"/>
            <w:tcBorders>
              <w:top w:val="nil"/>
              <w:left w:val="nil"/>
              <w:bottom w:val="nil"/>
              <w:right w:val="single" w:sz="8" w:space="0" w:color="auto"/>
            </w:tcBorders>
            <w:shd w:val="clear" w:color="auto" w:fill="auto"/>
            <w:noWrap/>
            <w:vAlign w:val="bottom"/>
            <w:hideMark/>
          </w:tcPr>
          <w:p w:rsidR="00117CA6" w:rsidRPr="00F45BD4" w:rsidRDefault="00117CA6">
            <w:pPr>
              <w:rPr>
                <w:sz w:val="18"/>
                <w:szCs w:val="18"/>
              </w:rPr>
            </w:pPr>
            <w:r w:rsidRPr="00F45BD4">
              <w:rPr>
                <w:sz w:val="18"/>
                <w:szCs w:val="18"/>
              </w:rPr>
              <w:t> </w:t>
            </w:r>
          </w:p>
        </w:tc>
      </w:tr>
      <w:tr w:rsidR="00F45BD4" w:rsidRPr="00F45BD4" w:rsidTr="00573521">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117CA6" w:rsidRPr="00F45BD4" w:rsidRDefault="00117CA6">
            <w:pPr>
              <w:rPr>
                <w:sz w:val="18"/>
                <w:szCs w:val="18"/>
              </w:rPr>
            </w:pPr>
            <w:r w:rsidRPr="00F45BD4">
              <w:rPr>
                <w:sz w:val="18"/>
                <w:szCs w:val="18"/>
              </w:rPr>
              <w:t xml:space="preserve">  Вноска за общия бюджет на ЕС</w:t>
            </w:r>
          </w:p>
        </w:tc>
        <w:tc>
          <w:tcPr>
            <w:tcW w:w="992" w:type="dxa"/>
            <w:tcBorders>
              <w:top w:val="nil"/>
              <w:left w:val="nil"/>
              <w:bottom w:val="single" w:sz="4" w:space="0" w:color="auto"/>
              <w:right w:val="nil"/>
            </w:tcBorders>
            <w:shd w:val="clear" w:color="auto" w:fill="auto"/>
            <w:noWrap/>
            <w:vAlign w:val="bottom"/>
            <w:hideMark/>
          </w:tcPr>
          <w:p w:rsidR="00117CA6" w:rsidRPr="00F45BD4" w:rsidRDefault="00117CA6">
            <w:pPr>
              <w:jc w:val="right"/>
              <w:rPr>
                <w:sz w:val="18"/>
                <w:szCs w:val="18"/>
              </w:rPr>
            </w:pPr>
            <w:r w:rsidRPr="00F45BD4">
              <w:rPr>
                <w:sz w:val="18"/>
                <w:szCs w:val="18"/>
              </w:rPr>
              <w:t>1 282,1</w:t>
            </w:r>
          </w:p>
        </w:tc>
        <w:tc>
          <w:tcPr>
            <w:tcW w:w="1087" w:type="dxa"/>
            <w:tcBorders>
              <w:top w:val="nil"/>
              <w:left w:val="nil"/>
              <w:bottom w:val="single" w:sz="4" w:space="0" w:color="auto"/>
              <w:right w:val="nil"/>
            </w:tcBorders>
            <w:shd w:val="clear" w:color="auto" w:fill="auto"/>
            <w:noWrap/>
            <w:vAlign w:val="bottom"/>
            <w:hideMark/>
          </w:tcPr>
          <w:p w:rsidR="00117CA6" w:rsidRPr="00F45BD4" w:rsidRDefault="00117CA6">
            <w:pPr>
              <w:jc w:val="right"/>
              <w:rPr>
                <w:sz w:val="18"/>
                <w:szCs w:val="18"/>
              </w:rPr>
            </w:pPr>
            <w:r w:rsidRPr="00F45BD4">
              <w:rPr>
                <w:sz w:val="18"/>
                <w:szCs w:val="18"/>
              </w:rPr>
              <w:t>466,1</w:t>
            </w:r>
          </w:p>
        </w:tc>
        <w:tc>
          <w:tcPr>
            <w:tcW w:w="1252" w:type="dxa"/>
            <w:tcBorders>
              <w:top w:val="nil"/>
              <w:left w:val="nil"/>
              <w:bottom w:val="single" w:sz="4" w:space="0" w:color="auto"/>
              <w:right w:val="nil"/>
            </w:tcBorders>
            <w:shd w:val="clear" w:color="auto" w:fill="auto"/>
            <w:noWrap/>
            <w:vAlign w:val="bottom"/>
            <w:hideMark/>
          </w:tcPr>
          <w:p w:rsidR="00117CA6" w:rsidRPr="00F45BD4" w:rsidRDefault="00117CA6">
            <w:pPr>
              <w:jc w:val="right"/>
              <w:rPr>
                <w:sz w:val="18"/>
                <w:szCs w:val="18"/>
              </w:rPr>
            </w:pPr>
            <w:r w:rsidRPr="00F45BD4">
              <w:rPr>
                <w:sz w:val="18"/>
                <w:szCs w:val="18"/>
              </w:rPr>
              <w:t>466,1</w:t>
            </w:r>
          </w:p>
        </w:tc>
        <w:tc>
          <w:tcPr>
            <w:tcW w:w="1199" w:type="dxa"/>
            <w:tcBorders>
              <w:top w:val="nil"/>
              <w:left w:val="nil"/>
              <w:bottom w:val="single" w:sz="4" w:space="0" w:color="auto"/>
              <w:right w:val="nil"/>
            </w:tcBorders>
            <w:shd w:val="clear" w:color="auto" w:fill="auto"/>
            <w:noWrap/>
            <w:vAlign w:val="bottom"/>
          </w:tcPr>
          <w:p w:rsidR="00117CA6" w:rsidRPr="00F45BD4" w:rsidRDefault="00117CA6">
            <w:pPr>
              <w:jc w:val="right"/>
              <w:rPr>
                <w:sz w:val="18"/>
                <w:szCs w:val="18"/>
              </w:rPr>
            </w:pPr>
          </w:p>
        </w:tc>
        <w:tc>
          <w:tcPr>
            <w:tcW w:w="1300" w:type="dxa"/>
            <w:tcBorders>
              <w:top w:val="nil"/>
              <w:left w:val="nil"/>
              <w:bottom w:val="single" w:sz="4" w:space="0" w:color="auto"/>
              <w:right w:val="single" w:sz="8" w:space="0" w:color="auto"/>
            </w:tcBorders>
            <w:shd w:val="clear" w:color="auto" w:fill="auto"/>
            <w:noWrap/>
            <w:vAlign w:val="bottom"/>
            <w:hideMark/>
          </w:tcPr>
          <w:p w:rsidR="00117CA6" w:rsidRPr="00F45BD4" w:rsidRDefault="00117CA6">
            <w:pPr>
              <w:jc w:val="right"/>
              <w:rPr>
                <w:sz w:val="18"/>
                <w:szCs w:val="18"/>
              </w:rPr>
            </w:pPr>
            <w:r w:rsidRPr="00F45BD4">
              <w:rPr>
                <w:sz w:val="18"/>
                <w:szCs w:val="18"/>
              </w:rPr>
              <w:t>36,4%</w:t>
            </w:r>
          </w:p>
        </w:tc>
      </w:tr>
      <w:tr w:rsidR="00F45BD4" w:rsidRPr="00F45BD4" w:rsidTr="00F52838">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117CA6" w:rsidRPr="00F45BD4" w:rsidRDefault="00117CA6">
            <w:pPr>
              <w:rPr>
                <w:sz w:val="18"/>
                <w:szCs w:val="18"/>
              </w:rPr>
            </w:pPr>
            <w:r w:rsidRPr="00F45BD4">
              <w:rPr>
                <w:sz w:val="18"/>
                <w:szCs w:val="18"/>
              </w:rPr>
              <w:t>Трансфер от централния бюджет</w:t>
            </w:r>
          </w:p>
        </w:tc>
        <w:tc>
          <w:tcPr>
            <w:tcW w:w="992" w:type="dxa"/>
            <w:tcBorders>
              <w:top w:val="nil"/>
              <w:left w:val="nil"/>
              <w:bottom w:val="single" w:sz="4" w:space="0" w:color="auto"/>
              <w:right w:val="nil"/>
            </w:tcBorders>
            <w:shd w:val="clear" w:color="auto" w:fill="auto"/>
            <w:noWrap/>
            <w:vAlign w:val="bottom"/>
            <w:hideMark/>
          </w:tcPr>
          <w:p w:rsidR="00117CA6" w:rsidRPr="00F45BD4" w:rsidRDefault="00117CA6">
            <w:pPr>
              <w:rPr>
                <w:sz w:val="18"/>
                <w:szCs w:val="18"/>
              </w:rPr>
            </w:pPr>
          </w:p>
        </w:tc>
        <w:tc>
          <w:tcPr>
            <w:tcW w:w="1087" w:type="dxa"/>
            <w:tcBorders>
              <w:top w:val="nil"/>
              <w:left w:val="nil"/>
              <w:bottom w:val="single" w:sz="4" w:space="0" w:color="auto"/>
              <w:right w:val="nil"/>
            </w:tcBorders>
            <w:shd w:val="clear" w:color="auto" w:fill="auto"/>
            <w:noWrap/>
            <w:vAlign w:val="bottom"/>
            <w:hideMark/>
          </w:tcPr>
          <w:p w:rsidR="00117CA6" w:rsidRPr="00F45BD4" w:rsidRDefault="00117CA6">
            <w:pPr>
              <w:jc w:val="right"/>
              <w:rPr>
                <w:b/>
                <w:bCs/>
                <w:sz w:val="18"/>
                <w:szCs w:val="18"/>
              </w:rPr>
            </w:pPr>
          </w:p>
        </w:tc>
        <w:tc>
          <w:tcPr>
            <w:tcW w:w="1252" w:type="dxa"/>
            <w:tcBorders>
              <w:top w:val="nil"/>
              <w:left w:val="nil"/>
              <w:bottom w:val="single" w:sz="4" w:space="0" w:color="auto"/>
              <w:right w:val="nil"/>
            </w:tcBorders>
            <w:shd w:val="clear" w:color="auto" w:fill="auto"/>
            <w:noWrap/>
            <w:vAlign w:val="bottom"/>
            <w:hideMark/>
          </w:tcPr>
          <w:p w:rsidR="00117CA6" w:rsidRPr="00F45BD4" w:rsidRDefault="00117CA6">
            <w:pPr>
              <w:jc w:val="right"/>
              <w:rPr>
                <w:sz w:val="18"/>
                <w:szCs w:val="18"/>
              </w:rPr>
            </w:pPr>
            <w:r w:rsidRPr="00F45BD4">
              <w:rPr>
                <w:sz w:val="18"/>
                <w:szCs w:val="18"/>
              </w:rPr>
              <w:t>-122,5</w:t>
            </w:r>
          </w:p>
        </w:tc>
        <w:tc>
          <w:tcPr>
            <w:tcW w:w="1199" w:type="dxa"/>
            <w:tcBorders>
              <w:top w:val="nil"/>
              <w:left w:val="nil"/>
              <w:bottom w:val="single" w:sz="4" w:space="0" w:color="auto"/>
              <w:right w:val="nil"/>
            </w:tcBorders>
            <w:shd w:val="clear" w:color="auto" w:fill="auto"/>
            <w:noWrap/>
            <w:vAlign w:val="bottom"/>
            <w:hideMark/>
          </w:tcPr>
          <w:p w:rsidR="00117CA6" w:rsidRPr="00F45BD4" w:rsidRDefault="00117CA6">
            <w:pPr>
              <w:jc w:val="right"/>
              <w:rPr>
                <w:sz w:val="18"/>
                <w:szCs w:val="18"/>
              </w:rPr>
            </w:pPr>
            <w:r w:rsidRPr="00F45BD4">
              <w:rPr>
                <w:sz w:val="18"/>
                <w:szCs w:val="18"/>
              </w:rPr>
              <w:t>122,5</w:t>
            </w:r>
          </w:p>
        </w:tc>
        <w:tc>
          <w:tcPr>
            <w:tcW w:w="1300" w:type="dxa"/>
            <w:tcBorders>
              <w:top w:val="nil"/>
              <w:left w:val="nil"/>
              <w:bottom w:val="single" w:sz="4" w:space="0" w:color="auto"/>
              <w:right w:val="single" w:sz="8" w:space="0" w:color="auto"/>
            </w:tcBorders>
            <w:shd w:val="clear" w:color="auto" w:fill="auto"/>
            <w:noWrap/>
            <w:vAlign w:val="bottom"/>
            <w:hideMark/>
          </w:tcPr>
          <w:p w:rsidR="00117CA6" w:rsidRPr="00F45BD4" w:rsidRDefault="00117CA6">
            <w:pPr>
              <w:rPr>
                <w:b/>
                <w:bCs/>
                <w:sz w:val="18"/>
                <w:szCs w:val="18"/>
              </w:rPr>
            </w:pPr>
            <w:r w:rsidRPr="00F45BD4">
              <w:rPr>
                <w:b/>
                <w:bCs/>
                <w:sz w:val="18"/>
                <w:szCs w:val="18"/>
              </w:rPr>
              <w:t> </w:t>
            </w:r>
          </w:p>
        </w:tc>
      </w:tr>
      <w:tr w:rsidR="00F45BD4" w:rsidRPr="00F45BD4" w:rsidTr="00F52838">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117CA6" w:rsidRPr="00F45BD4" w:rsidRDefault="00117CA6">
            <w:pPr>
              <w:rPr>
                <w:b/>
                <w:bCs/>
                <w:sz w:val="18"/>
                <w:szCs w:val="18"/>
              </w:rPr>
            </w:pPr>
            <w:r w:rsidRPr="00F45BD4">
              <w:rPr>
                <w:b/>
                <w:bCs/>
                <w:sz w:val="18"/>
                <w:szCs w:val="18"/>
              </w:rPr>
              <w:t>БЮДЖЕТНО САЛДО</w:t>
            </w:r>
          </w:p>
        </w:tc>
        <w:tc>
          <w:tcPr>
            <w:tcW w:w="992" w:type="dxa"/>
            <w:tcBorders>
              <w:top w:val="nil"/>
              <w:left w:val="nil"/>
              <w:bottom w:val="single" w:sz="8" w:space="0" w:color="auto"/>
              <w:right w:val="nil"/>
            </w:tcBorders>
            <w:shd w:val="clear" w:color="000000" w:fill="D9D9D9"/>
            <w:noWrap/>
            <w:vAlign w:val="bottom"/>
            <w:hideMark/>
          </w:tcPr>
          <w:p w:rsidR="00117CA6" w:rsidRPr="00F45BD4" w:rsidRDefault="00117CA6">
            <w:pPr>
              <w:jc w:val="right"/>
              <w:rPr>
                <w:b/>
                <w:bCs/>
                <w:sz w:val="18"/>
                <w:szCs w:val="18"/>
              </w:rPr>
            </w:pPr>
            <w:r w:rsidRPr="00F45BD4">
              <w:rPr>
                <w:b/>
                <w:bCs/>
                <w:sz w:val="18"/>
                <w:szCs w:val="18"/>
              </w:rPr>
              <w:t>-600,0</w:t>
            </w:r>
          </w:p>
        </w:tc>
        <w:tc>
          <w:tcPr>
            <w:tcW w:w="1087" w:type="dxa"/>
            <w:tcBorders>
              <w:top w:val="nil"/>
              <w:left w:val="nil"/>
              <w:bottom w:val="single" w:sz="8" w:space="0" w:color="auto"/>
              <w:right w:val="nil"/>
            </w:tcBorders>
            <w:shd w:val="clear" w:color="000000" w:fill="D9D9D9"/>
            <w:noWrap/>
            <w:vAlign w:val="bottom"/>
            <w:hideMark/>
          </w:tcPr>
          <w:p w:rsidR="00117CA6" w:rsidRPr="00F45BD4" w:rsidRDefault="00117CA6">
            <w:pPr>
              <w:jc w:val="right"/>
              <w:rPr>
                <w:b/>
                <w:bCs/>
                <w:sz w:val="18"/>
                <w:szCs w:val="18"/>
              </w:rPr>
            </w:pPr>
            <w:r w:rsidRPr="00F45BD4">
              <w:rPr>
                <w:b/>
                <w:bCs/>
                <w:sz w:val="18"/>
                <w:szCs w:val="18"/>
              </w:rPr>
              <w:t>1 806,7</w:t>
            </w:r>
          </w:p>
        </w:tc>
        <w:tc>
          <w:tcPr>
            <w:tcW w:w="1252" w:type="dxa"/>
            <w:tcBorders>
              <w:top w:val="nil"/>
              <w:left w:val="nil"/>
              <w:bottom w:val="single" w:sz="8" w:space="0" w:color="auto"/>
              <w:right w:val="nil"/>
            </w:tcBorders>
            <w:shd w:val="clear" w:color="000000" w:fill="D9D9D9"/>
            <w:noWrap/>
            <w:vAlign w:val="bottom"/>
            <w:hideMark/>
          </w:tcPr>
          <w:p w:rsidR="00117CA6" w:rsidRPr="00F45BD4" w:rsidRDefault="00117CA6">
            <w:pPr>
              <w:jc w:val="right"/>
              <w:rPr>
                <w:b/>
                <w:bCs/>
                <w:sz w:val="18"/>
                <w:szCs w:val="18"/>
              </w:rPr>
            </w:pPr>
            <w:r w:rsidRPr="00F45BD4">
              <w:rPr>
                <w:b/>
                <w:bCs/>
                <w:sz w:val="18"/>
                <w:szCs w:val="18"/>
              </w:rPr>
              <w:t>1 662,6</w:t>
            </w:r>
          </w:p>
        </w:tc>
        <w:tc>
          <w:tcPr>
            <w:tcW w:w="1199" w:type="dxa"/>
            <w:tcBorders>
              <w:top w:val="nil"/>
              <w:left w:val="nil"/>
              <w:bottom w:val="single" w:sz="8" w:space="0" w:color="auto"/>
              <w:right w:val="nil"/>
            </w:tcBorders>
            <w:shd w:val="clear" w:color="000000" w:fill="D9D9D9"/>
            <w:noWrap/>
            <w:vAlign w:val="bottom"/>
            <w:hideMark/>
          </w:tcPr>
          <w:p w:rsidR="00117CA6" w:rsidRPr="00F45BD4" w:rsidRDefault="00117CA6">
            <w:pPr>
              <w:jc w:val="right"/>
              <w:rPr>
                <w:b/>
                <w:bCs/>
                <w:sz w:val="18"/>
                <w:szCs w:val="18"/>
              </w:rPr>
            </w:pPr>
            <w:r w:rsidRPr="00F45BD4">
              <w:rPr>
                <w:b/>
                <w:bCs/>
                <w:sz w:val="18"/>
                <w:szCs w:val="18"/>
              </w:rPr>
              <w:t>144,1</w:t>
            </w:r>
          </w:p>
        </w:tc>
        <w:tc>
          <w:tcPr>
            <w:tcW w:w="1300" w:type="dxa"/>
            <w:tcBorders>
              <w:top w:val="nil"/>
              <w:left w:val="nil"/>
              <w:bottom w:val="single" w:sz="8" w:space="0" w:color="auto"/>
              <w:right w:val="single" w:sz="8" w:space="0" w:color="auto"/>
            </w:tcBorders>
            <w:shd w:val="clear" w:color="000000" w:fill="D9D9D9"/>
            <w:noWrap/>
            <w:vAlign w:val="bottom"/>
            <w:hideMark/>
          </w:tcPr>
          <w:p w:rsidR="00117CA6" w:rsidRPr="00F45BD4" w:rsidRDefault="00117CA6">
            <w:pPr>
              <w:rPr>
                <w:b/>
                <w:bCs/>
                <w:sz w:val="18"/>
                <w:szCs w:val="18"/>
              </w:rPr>
            </w:pPr>
            <w:r w:rsidRPr="00F45BD4">
              <w:rPr>
                <w:b/>
                <w:bCs/>
                <w:sz w:val="18"/>
                <w:szCs w:val="18"/>
              </w:rPr>
              <w:t> </w:t>
            </w:r>
          </w:p>
        </w:tc>
      </w:tr>
    </w:tbl>
    <w:p w:rsidR="00E74802" w:rsidRPr="000613BA" w:rsidRDefault="00E74802" w:rsidP="00E74802">
      <w:pPr>
        <w:ind w:left="360"/>
        <w:jc w:val="both"/>
        <w:rPr>
          <w:color w:val="0070C0"/>
        </w:rPr>
      </w:pPr>
    </w:p>
    <w:p w:rsidR="00987CE4" w:rsidRPr="00845606" w:rsidRDefault="00987CE4" w:rsidP="006658F0">
      <w:pPr>
        <w:numPr>
          <w:ilvl w:val="1"/>
          <w:numId w:val="11"/>
        </w:numPr>
        <w:tabs>
          <w:tab w:val="clear" w:pos="2160"/>
          <w:tab w:val="num" w:pos="426"/>
        </w:tabs>
        <w:ind w:left="0" w:firstLine="0"/>
        <w:jc w:val="both"/>
        <w:rPr>
          <w:rFonts w:eastAsia="Calibri"/>
        </w:rPr>
      </w:pPr>
      <w:r w:rsidRPr="005B3401">
        <w:rPr>
          <w:b/>
        </w:rPr>
        <w:t>Приходите</w:t>
      </w:r>
      <w:r w:rsidR="00867198" w:rsidRPr="005B3401">
        <w:rPr>
          <w:b/>
        </w:rPr>
        <w:t xml:space="preserve"> и помощите</w:t>
      </w:r>
      <w:r w:rsidRPr="005B3401">
        <w:rPr>
          <w:b/>
        </w:rPr>
        <w:t xml:space="preserve"> по консолидираната фискална програма</w:t>
      </w:r>
      <w:r w:rsidRPr="005B3401">
        <w:t xml:space="preserve"> (КФП) </w:t>
      </w:r>
      <w:r w:rsidR="00D03F6C" w:rsidRPr="005B3401">
        <w:t>към края на</w:t>
      </w:r>
      <w:r w:rsidR="00D03F6C" w:rsidRPr="005B3401">
        <w:rPr>
          <w:b/>
        </w:rPr>
        <w:t xml:space="preserve"> </w:t>
      </w:r>
      <w:r w:rsidR="005B3401" w:rsidRPr="005B3401">
        <w:t>месец март</w:t>
      </w:r>
      <w:r w:rsidR="00183FAF" w:rsidRPr="005B3401">
        <w:t xml:space="preserve"> </w:t>
      </w:r>
      <w:r w:rsidRPr="005B3401">
        <w:t>201</w:t>
      </w:r>
      <w:r w:rsidR="005B3401" w:rsidRPr="005B3401">
        <w:t>9</w:t>
      </w:r>
      <w:r w:rsidRPr="005B3401">
        <w:t xml:space="preserve"> г. са в размер на </w:t>
      </w:r>
      <w:r w:rsidR="005B3401" w:rsidRPr="005B3401">
        <w:rPr>
          <w:b/>
          <w:bCs/>
          <w:lang w:val="en-US"/>
        </w:rPr>
        <w:t xml:space="preserve">10 857,8 </w:t>
      </w:r>
      <w:r w:rsidRPr="005B3401">
        <w:rPr>
          <w:b/>
        </w:rPr>
        <w:t>млн. лв.,</w:t>
      </w:r>
      <w:r w:rsidRPr="005B3401">
        <w:t xml:space="preserve"> което представлява </w:t>
      </w:r>
      <w:r w:rsidR="005B3401" w:rsidRPr="005B3401">
        <w:t>24,8</w:t>
      </w:r>
      <w:r w:rsidRPr="005B3401">
        <w:t xml:space="preserve"> % от годишните </w:t>
      </w:r>
      <w:r w:rsidRPr="00845606">
        <w:t>разчети към ЗДБРБ за 201</w:t>
      </w:r>
      <w:r w:rsidR="005B3401" w:rsidRPr="00845606">
        <w:t>9</w:t>
      </w:r>
      <w:r w:rsidRPr="00845606">
        <w:t xml:space="preserve"> г. </w:t>
      </w:r>
      <w:r w:rsidR="006658F0" w:rsidRPr="00845606">
        <w:rPr>
          <w:rFonts w:eastAsia="Calibri"/>
        </w:rPr>
        <w:t xml:space="preserve">Съпоставени със същия период на предходната година, данъчните и неданъчните приходи нарастват с </w:t>
      </w:r>
      <w:r w:rsidR="006658F0" w:rsidRPr="00845606">
        <w:rPr>
          <w:rFonts w:eastAsia="Calibri"/>
          <w:lang w:val="en-US"/>
        </w:rPr>
        <w:t xml:space="preserve"> 1 212,6</w:t>
      </w:r>
      <w:r w:rsidR="006658F0" w:rsidRPr="00845606">
        <w:rPr>
          <w:rFonts w:eastAsia="Calibri"/>
        </w:rPr>
        <w:t xml:space="preserve"> млн. лв. (</w:t>
      </w:r>
      <w:r w:rsidR="006658F0" w:rsidRPr="00845606">
        <w:rPr>
          <w:rFonts w:eastAsia="Calibri"/>
          <w:lang w:val="en-US"/>
        </w:rPr>
        <w:t>13</w:t>
      </w:r>
      <w:r w:rsidR="006658F0" w:rsidRPr="00845606">
        <w:rPr>
          <w:rFonts w:eastAsia="Calibri"/>
        </w:rPr>
        <w:t>,</w:t>
      </w:r>
      <w:r w:rsidR="006658F0" w:rsidRPr="00845606">
        <w:rPr>
          <w:rFonts w:eastAsia="Calibri"/>
          <w:lang w:val="en-US"/>
        </w:rPr>
        <w:t>4</w:t>
      </w:r>
      <w:r w:rsidR="006658F0" w:rsidRPr="00845606">
        <w:rPr>
          <w:rFonts w:eastAsia="Calibri"/>
          <w:b/>
        </w:rPr>
        <w:t> </w:t>
      </w:r>
      <w:r w:rsidR="006658F0" w:rsidRPr="00845606">
        <w:rPr>
          <w:rFonts w:eastAsia="Calibri"/>
        </w:rPr>
        <w:t xml:space="preserve">%), а постъпленията от </w:t>
      </w:r>
      <w:r w:rsidR="006658F0" w:rsidRPr="00651FFE">
        <w:rPr>
          <w:rFonts w:eastAsia="Calibri"/>
        </w:rPr>
        <w:t xml:space="preserve">помощи (основно </w:t>
      </w:r>
      <w:proofErr w:type="spellStart"/>
      <w:r w:rsidR="006658F0" w:rsidRPr="00651FFE">
        <w:rPr>
          <w:rFonts w:eastAsia="Calibri"/>
        </w:rPr>
        <w:t>грантове</w:t>
      </w:r>
      <w:proofErr w:type="spellEnd"/>
      <w:r w:rsidR="006658F0" w:rsidRPr="00651FFE">
        <w:rPr>
          <w:rFonts w:eastAsia="Calibri"/>
        </w:rPr>
        <w:t xml:space="preserve"> по програмите и фондовете на ЕС)</w:t>
      </w:r>
      <w:r w:rsidR="006658F0" w:rsidRPr="00845606">
        <w:rPr>
          <w:rFonts w:eastAsia="Calibri"/>
        </w:rPr>
        <w:t xml:space="preserve"> нарастват с 4</w:t>
      </w:r>
      <w:r w:rsidR="006658F0" w:rsidRPr="00845606">
        <w:rPr>
          <w:rFonts w:eastAsia="Calibri"/>
          <w:lang w:val="en-US"/>
        </w:rPr>
        <w:t>25</w:t>
      </w:r>
      <w:r w:rsidR="006658F0" w:rsidRPr="00845606">
        <w:rPr>
          <w:rFonts w:eastAsia="Calibri"/>
        </w:rPr>
        <w:t>,</w:t>
      </w:r>
      <w:r w:rsidR="006658F0" w:rsidRPr="00845606">
        <w:rPr>
          <w:rFonts w:eastAsia="Calibri"/>
          <w:lang w:val="en-US"/>
        </w:rPr>
        <w:t>2</w:t>
      </w:r>
      <w:r w:rsidR="006658F0" w:rsidRPr="00845606">
        <w:rPr>
          <w:rFonts w:eastAsia="Calibri"/>
        </w:rPr>
        <w:t xml:space="preserve"> млн. лева. </w:t>
      </w:r>
    </w:p>
    <w:p w:rsidR="00D9270B" w:rsidRPr="00A240BF" w:rsidRDefault="00A04FFB" w:rsidP="00D4646A">
      <w:pPr>
        <w:spacing w:before="120"/>
        <w:jc w:val="both"/>
      </w:pPr>
      <w:r w:rsidRPr="006267F7">
        <w:t>Общата сума</w:t>
      </w:r>
      <w:r w:rsidRPr="006267F7">
        <w:rPr>
          <w:b/>
        </w:rPr>
        <w:t xml:space="preserve"> </w:t>
      </w:r>
      <w:r w:rsidRPr="006267F7">
        <w:t>на</w:t>
      </w:r>
      <w:r w:rsidRPr="006267F7">
        <w:rPr>
          <w:b/>
        </w:rPr>
        <w:t xml:space="preserve"> </w:t>
      </w:r>
      <w:r w:rsidRPr="006267F7">
        <w:rPr>
          <w:b/>
          <w:i/>
        </w:rPr>
        <w:t>данъчните постъпления</w:t>
      </w:r>
      <w:r w:rsidRPr="006267F7">
        <w:t xml:space="preserve"> (вкл. приходите от осигурителни вноски) </w:t>
      </w:r>
      <w:r w:rsidR="006E0F71" w:rsidRPr="006267F7">
        <w:t xml:space="preserve">са в размер на </w:t>
      </w:r>
      <w:r w:rsidR="006267F7" w:rsidRPr="006267F7">
        <w:rPr>
          <w:b/>
          <w:i/>
        </w:rPr>
        <w:t>8 520,3</w:t>
      </w:r>
      <w:r w:rsidR="00CB019A" w:rsidRPr="006267F7">
        <w:rPr>
          <w:b/>
          <w:i/>
        </w:rPr>
        <w:t xml:space="preserve"> </w:t>
      </w:r>
      <w:r w:rsidR="006E0F71" w:rsidRPr="006267F7">
        <w:rPr>
          <w:b/>
          <w:i/>
        </w:rPr>
        <w:t>млн. лв</w:t>
      </w:r>
      <w:r w:rsidR="006E0F71" w:rsidRPr="006267F7">
        <w:rPr>
          <w:i/>
        </w:rPr>
        <w:t>.</w:t>
      </w:r>
      <w:r w:rsidR="006E0F71" w:rsidRPr="006267F7">
        <w:t xml:space="preserve">, което представлява </w:t>
      </w:r>
      <w:r w:rsidR="006267F7" w:rsidRPr="006267F7">
        <w:t>78,5</w:t>
      </w:r>
      <w:r w:rsidR="006E0F71" w:rsidRPr="006267F7">
        <w:t xml:space="preserve"> % от общите постъпления по КФП за периода. </w:t>
      </w:r>
      <w:r w:rsidR="00C24DBE" w:rsidRPr="00F514E3">
        <w:t xml:space="preserve">Постъпленията в групата представляват </w:t>
      </w:r>
      <w:r w:rsidR="00F514E3" w:rsidRPr="00F514E3">
        <w:t>24,7</w:t>
      </w:r>
      <w:r w:rsidR="00C24DBE" w:rsidRPr="00F514E3">
        <w:t xml:space="preserve"> % от разчета за годината и нарастват </w:t>
      </w:r>
      <w:r w:rsidR="00C24DBE" w:rsidRPr="009F7F00">
        <w:t xml:space="preserve">номинално с </w:t>
      </w:r>
      <w:r w:rsidR="00F514E3" w:rsidRPr="009F7F00">
        <w:t>691,7</w:t>
      </w:r>
      <w:r w:rsidR="00C24DBE" w:rsidRPr="009F7F00">
        <w:t xml:space="preserve"> млн. лв. (</w:t>
      </w:r>
      <w:r w:rsidR="00F514E3" w:rsidRPr="009F7F00">
        <w:t>8</w:t>
      </w:r>
      <w:r w:rsidR="00C24DBE" w:rsidRPr="009F7F00">
        <w:t>,</w:t>
      </w:r>
      <w:proofErr w:type="spellStart"/>
      <w:r w:rsidR="00C24DBE" w:rsidRPr="009F7F00">
        <w:t>8</w:t>
      </w:r>
      <w:proofErr w:type="spellEnd"/>
      <w:r w:rsidR="00C24DBE" w:rsidRPr="009F7F00">
        <w:t xml:space="preserve"> %) спрямо отчетените към </w:t>
      </w:r>
      <w:r w:rsidR="00F514E3" w:rsidRPr="009F7F00">
        <w:t>март</w:t>
      </w:r>
      <w:r w:rsidR="00C24DBE" w:rsidRPr="009F7F00">
        <w:t xml:space="preserve"> 201</w:t>
      </w:r>
      <w:r w:rsidR="00F514E3" w:rsidRPr="009F7F00">
        <w:t>8</w:t>
      </w:r>
      <w:r w:rsidR="00C24DBE" w:rsidRPr="009F7F00">
        <w:t xml:space="preserve"> година</w:t>
      </w:r>
      <w:r w:rsidR="006E0F71" w:rsidRPr="009F7F00">
        <w:t>.</w:t>
      </w:r>
      <w:r w:rsidRPr="009F7F00">
        <w:t xml:space="preserve"> Приходите в частта на </w:t>
      </w:r>
      <w:r w:rsidRPr="009F7F00">
        <w:rPr>
          <w:i/>
        </w:rPr>
        <w:t>преките</w:t>
      </w:r>
      <w:r w:rsidR="00821B89" w:rsidRPr="009F7F00">
        <w:rPr>
          <w:i/>
        </w:rPr>
        <w:t xml:space="preserve"> данъци</w:t>
      </w:r>
      <w:r w:rsidRPr="009F7F00">
        <w:rPr>
          <w:i/>
        </w:rPr>
        <w:t xml:space="preserve"> </w:t>
      </w:r>
      <w:r w:rsidR="006E0F71" w:rsidRPr="009F7F00">
        <w:t xml:space="preserve">възлизат на </w:t>
      </w:r>
      <w:r w:rsidR="009F7F00" w:rsidRPr="009F7F00">
        <w:t xml:space="preserve">1 445,5 </w:t>
      </w:r>
      <w:r w:rsidR="006E0F71" w:rsidRPr="009F7F00">
        <w:t xml:space="preserve">млн. лв., което представлява </w:t>
      </w:r>
      <w:r w:rsidR="009F7F00" w:rsidRPr="009F7F00">
        <w:t>22</w:t>
      </w:r>
      <w:r w:rsidR="00716F33" w:rsidRPr="009F7F00">
        <w:t>,0</w:t>
      </w:r>
      <w:r w:rsidR="006E0F71" w:rsidRPr="009F7F00">
        <w:t xml:space="preserve"> % от разчета </w:t>
      </w:r>
      <w:r w:rsidR="006E0F71" w:rsidRPr="006004E2">
        <w:t>за 201</w:t>
      </w:r>
      <w:r w:rsidR="009F7F00" w:rsidRPr="006004E2">
        <w:t>9</w:t>
      </w:r>
      <w:r w:rsidR="0062059F" w:rsidRPr="006004E2">
        <w:t> </w:t>
      </w:r>
      <w:r w:rsidR="006E0F71" w:rsidRPr="006004E2">
        <w:t>г.</w:t>
      </w:r>
      <w:r w:rsidR="001E44C8" w:rsidRPr="006004E2">
        <w:t xml:space="preserve"> Съпоставени със същия период на 201</w:t>
      </w:r>
      <w:r w:rsidR="00C03A0A" w:rsidRPr="006004E2">
        <w:t>8</w:t>
      </w:r>
      <w:r w:rsidR="001E44C8" w:rsidRPr="006004E2">
        <w:t xml:space="preserve"> г.</w:t>
      </w:r>
      <w:r w:rsidR="003579F2" w:rsidRPr="006004E2">
        <w:t>,</w:t>
      </w:r>
      <w:r w:rsidR="001E44C8" w:rsidRPr="006004E2">
        <w:t xml:space="preserve"> преките данъци </w:t>
      </w:r>
      <w:r w:rsidR="00C03A0A" w:rsidRPr="006004E2">
        <w:t>намаляват</w:t>
      </w:r>
      <w:r w:rsidR="001E44C8" w:rsidRPr="006004E2">
        <w:t xml:space="preserve"> с </w:t>
      </w:r>
      <w:r w:rsidR="00C03A0A" w:rsidRPr="006004E2">
        <w:t>0,5</w:t>
      </w:r>
      <w:r w:rsidR="003579F2" w:rsidRPr="006004E2">
        <w:t xml:space="preserve"> </w:t>
      </w:r>
      <w:r w:rsidR="001E44C8" w:rsidRPr="006004E2">
        <w:t>% (</w:t>
      </w:r>
      <w:r w:rsidR="00C03A0A" w:rsidRPr="006004E2">
        <w:t>7,</w:t>
      </w:r>
      <w:proofErr w:type="spellStart"/>
      <w:r w:rsidR="00C03A0A" w:rsidRPr="006004E2">
        <w:t>7</w:t>
      </w:r>
      <w:proofErr w:type="spellEnd"/>
      <w:r w:rsidR="001E44C8" w:rsidRPr="006004E2">
        <w:t xml:space="preserve"> </w:t>
      </w:r>
      <w:r w:rsidR="001E44C8" w:rsidRPr="002E6EAB">
        <w:t>млн. лв.).</w:t>
      </w:r>
      <w:r w:rsidRPr="002E6EAB">
        <w:rPr>
          <w:rFonts w:ascii="Arial" w:hAnsi="Arial" w:cs="Arial"/>
        </w:rPr>
        <w:t xml:space="preserve"> </w:t>
      </w:r>
      <w:r w:rsidRPr="002E6EAB">
        <w:t xml:space="preserve">Приходите от </w:t>
      </w:r>
      <w:r w:rsidRPr="002E6EAB">
        <w:rPr>
          <w:i/>
        </w:rPr>
        <w:t>косвени данъци</w:t>
      </w:r>
      <w:r w:rsidRPr="002E6EAB">
        <w:t xml:space="preserve"> са в размер на </w:t>
      </w:r>
      <w:r w:rsidR="00617584" w:rsidRPr="002E6EAB">
        <w:t xml:space="preserve">4 286,9 </w:t>
      </w:r>
      <w:r w:rsidRPr="002E6EAB">
        <w:t>млн. лв., което представлява</w:t>
      </w:r>
      <w:r w:rsidRPr="00617584">
        <w:t xml:space="preserve"> </w:t>
      </w:r>
      <w:r w:rsidR="00617584" w:rsidRPr="00617584">
        <w:t>26</w:t>
      </w:r>
      <w:r w:rsidR="00716F33" w:rsidRPr="00617584">
        <w:t>,1</w:t>
      </w:r>
      <w:r w:rsidRPr="00617584">
        <w:t xml:space="preserve"> % от </w:t>
      </w:r>
      <w:r w:rsidR="009947C7" w:rsidRPr="006976BB">
        <w:t>г</w:t>
      </w:r>
      <w:r w:rsidRPr="006976BB">
        <w:t xml:space="preserve">одишния разчет. </w:t>
      </w:r>
      <w:r w:rsidR="001E44C8" w:rsidRPr="006976BB">
        <w:t xml:space="preserve">Съпоставени с </w:t>
      </w:r>
      <w:r w:rsidR="006976BB" w:rsidRPr="006976BB">
        <w:t>първото тримесечие</w:t>
      </w:r>
      <w:r w:rsidR="006E0F71" w:rsidRPr="006976BB">
        <w:t xml:space="preserve"> </w:t>
      </w:r>
      <w:r w:rsidR="001E44C8" w:rsidRPr="006976BB">
        <w:t>на 201</w:t>
      </w:r>
      <w:r w:rsidR="006976BB" w:rsidRPr="006976BB">
        <w:t>8</w:t>
      </w:r>
      <w:r w:rsidR="001E44C8" w:rsidRPr="006976BB">
        <w:t xml:space="preserve"> г. косвените данъци бележат </w:t>
      </w:r>
      <w:r w:rsidR="001E44C8" w:rsidRPr="00820962">
        <w:t xml:space="preserve">ръст от </w:t>
      </w:r>
      <w:r w:rsidR="006976BB" w:rsidRPr="00820962">
        <w:t>11,9</w:t>
      </w:r>
      <w:r w:rsidR="001E44C8" w:rsidRPr="00820962">
        <w:t xml:space="preserve"> % (</w:t>
      </w:r>
      <w:r w:rsidR="006976BB" w:rsidRPr="00820962">
        <w:t>457,6</w:t>
      </w:r>
      <w:r w:rsidR="001E44C8" w:rsidRPr="00820962">
        <w:t xml:space="preserve"> млн. лв.). </w:t>
      </w:r>
      <w:r w:rsidRPr="00820962">
        <w:t xml:space="preserve">Постъпленията от </w:t>
      </w:r>
      <w:r w:rsidRPr="00820962">
        <w:rPr>
          <w:i/>
        </w:rPr>
        <w:t>други данъци</w:t>
      </w:r>
      <w:r w:rsidRPr="00820962">
        <w:t xml:space="preserve"> (включват други данъци по ЗКПО, имуществени данъци и др.) са </w:t>
      </w:r>
      <w:r w:rsidR="00820962" w:rsidRPr="00820962">
        <w:t>333,4</w:t>
      </w:r>
      <w:r w:rsidR="009B46C0" w:rsidRPr="00820962">
        <w:t xml:space="preserve"> </w:t>
      </w:r>
      <w:r w:rsidRPr="00820962">
        <w:t xml:space="preserve">млн. лв., което </w:t>
      </w:r>
      <w:r w:rsidRPr="000439F5">
        <w:t xml:space="preserve">представлява </w:t>
      </w:r>
      <w:r w:rsidR="00820962" w:rsidRPr="000439F5">
        <w:t>28,5</w:t>
      </w:r>
      <w:r w:rsidRPr="000439F5">
        <w:t> % от разчетите към ЗДБРБ за 201</w:t>
      </w:r>
      <w:r w:rsidR="00820962" w:rsidRPr="000439F5">
        <w:t>9</w:t>
      </w:r>
      <w:r w:rsidRPr="000439F5">
        <w:t> г.</w:t>
      </w:r>
      <w:r w:rsidR="00C62B54">
        <w:t xml:space="preserve"> и</w:t>
      </w:r>
      <w:r w:rsidRPr="000439F5">
        <w:t xml:space="preserve"> </w:t>
      </w:r>
      <w:r w:rsidR="00C62B54">
        <w:t xml:space="preserve">сравнени с </w:t>
      </w:r>
      <w:r w:rsidR="00C62B54" w:rsidRPr="00A240BF">
        <w:t>март 2018 г</w:t>
      </w:r>
      <w:r w:rsidR="00C62B54">
        <w:t>. са близки по размер</w:t>
      </w:r>
      <w:r w:rsidR="001E44C8" w:rsidRPr="00A240BF">
        <w:t xml:space="preserve">. </w:t>
      </w:r>
      <w:r w:rsidRPr="00A240BF">
        <w:t xml:space="preserve">Приходите от </w:t>
      </w:r>
      <w:r w:rsidRPr="00A240BF">
        <w:rPr>
          <w:b/>
          <w:i/>
        </w:rPr>
        <w:t>социалноосигурителни и здравни вноски</w:t>
      </w:r>
      <w:r w:rsidRPr="00A240BF">
        <w:rPr>
          <w:b/>
        </w:rPr>
        <w:t xml:space="preserve"> </w:t>
      </w:r>
      <w:r w:rsidRPr="00A240BF">
        <w:t xml:space="preserve">към </w:t>
      </w:r>
      <w:r w:rsidR="00A240BF" w:rsidRPr="00A240BF">
        <w:t>31</w:t>
      </w:r>
      <w:r w:rsidRPr="00A240BF">
        <w:t>.</w:t>
      </w:r>
      <w:r w:rsidR="00A240BF" w:rsidRPr="00A240BF">
        <w:t>03</w:t>
      </w:r>
      <w:r w:rsidRPr="00A240BF">
        <w:t>.201</w:t>
      </w:r>
      <w:r w:rsidR="00A240BF" w:rsidRPr="00A240BF">
        <w:t>9</w:t>
      </w:r>
      <w:r w:rsidR="00734F0F" w:rsidRPr="00A240BF">
        <w:t> </w:t>
      </w:r>
      <w:r w:rsidRPr="00A240BF">
        <w:t xml:space="preserve">г. са в размер на </w:t>
      </w:r>
      <w:r w:rsidR="00A240BF" w:rsidRPr="00A240BF">
        <w:t xml:space="preserve">2 454,5 </w:t>
      </w:r>
      <w:r w:rsidRPr="00A240BF">
        <w:t xml:space="preserve">млн. лв. или </w:t>
      </w:r>
      <w:r w:rsidR="00A240BF" w:rsidRPr="00A240BF">
        <w:t>23,6</w:t>
      </w:r>
      <w:r w:rsidRPr="00A240BF">
        <w:t xml:space="preserve"> % от планираните за годината, като спрямо същия период на предходната година нарастват </w:t>
      </w:r>
      <w:r w:rsidR="00073DF5" w:rsidRPr="00A240BF">
        <w:t>с</w:t>
      </w:r>
      <w:r w:rsidRPr="00A240BF">
        <w:t xml:space="preserve"> </w:t>
      </w:r>
      <w:r w:rsidR="00A240BF" w:rsidRPr="00A240BF">
        <w:t>238,</w:t>
      </w:r>
      <w:r w:rsidR="008B165E">
        <w:t>4</w:t>
      </w:r>
      <w:r w:rsidRPr="00A240BF">
        <w:t xml:space="preserve"> млн. лева. </w:t>
      </w:r>
      <w:r w:rsidR="001E44C8" w:rsidRPr="00A240BF">
        <w:t>(</w:t>
      </w:r>
      <w:r w:rsidR="00A240BF" w:rsidRPr="00A240BF">
        <w:t>10,8</w:t>
      </w:r>
      <w:r w:rsidR="00FA5819" w:rsidRPr="00A240BF">
        <w:t> </w:t>
      </w:r>
      <w:r w:rsidR="001E44C8" w:rsidRPr="00A240BF">
        <w:t>%).</w:t>
      </w:r>
      <w:r w:rsidR="00073DF5" w:rsidRPr="00A240BF">
        <w:t xml:space="preserve"> </w:t>
      </w:r>
    </w:p>
    <w:p w:rsidR="00BF3B6B" w:rsidRPr="00D8378B" w:rsidRDefault="00741E2F" w:rsidP="00671112">
      <w:pPr>
        <w:spacing w:before="120"/>
        <w:jc w:val="both"/>
      </w:pPr>
      <w:r w:rsidRPr="00D8378B">
        <w:rPr>
          <w:b/>
          <w:bCs/>
          <w:i/>
          <w:iCs/>
        </w:rPr>
        <w:t xml:space="preserve">Неданъчните приходи </w:t>
      </w:r>
      <w:r w:rsidR="00BF3B6B" w:rsidRPr="00D8378B">
        <w:t xml:space="preserve">са в размер на </w:t>
      </w:r>
      <w:r w:rsidR="00D8378B" w:rsidRPr="00D8378B">
        <w:rPr>
          <w:b/>
        </w:rPr>
        <w:t xml:space="preserve">1 775,7 </w:t>
      </w:r>
      <w:r w:rsidR="00853509" w:rsidRPr="00D8378B">
        <w:rPr>
          <w:b/>
        </w:rPr>
        <w:t>млн. лв</w:t>
      </w:r>
      <w:r w:rsidR="00853509" w:rsidRPr="00D8378B">
        <w:t xml:space="preserve">., което представлява </w:t>
      </w:r>
      <w:r w:rsidR="00D8378B" w:rsidRPr="00D8378B">
        <w:t>26,8</w:t>
      </w:r>
      <w:r w:rsidR="00853509" w:rsidRPr="00D8378B">
        <w:t xml:space="preserve"> % изпълнение на годишните разчети</w:t>
      </w:r>
      <w:r w:rsidR="00BF3B6B" w:rsidRPr="00D8378B">
        <w:t xml:space="preserve">. </w:t>
      </w:r>
      <w:r w:rsidR="006E4D80" w:rsidRPr="00845606">
        <w:rPr>
          <w:rFonts w:eastAsia="Calibri"/>
        </w:rPr>
        <w:t xml:space="preserve">Следва да се отбележи, че при неданъчните приходи се </w:t>
      </w:r>
      <w:r w:rsidR="006E4D80" w:rsidRPr="00845606">
        <w:rPr>
          <w:rFonts w:eastAsia="Calibri"/>
        </w:rPr>
        <w:lastRenderedPageBreak/>
        <w:t>проявява базов ефект в частта на приходите по бюджета на Фонд „Сигурност на електроенергийната система“, поради влезлите в сила промени в Закона за енергетиката от 01.07.2018 г., с които бе променен механизма за събиране на приходи по бюджета на фонда. Поради тази причина приходите по бюджета на фонда за първите три месеца на 2019 г. са по-високи от постъпленията за същия период на 2018 г.</w:t>
      </w:r>
    </w:p>
    <w:p w:rsidR="00BF3B6B" w:rsidRPr="00D8378B" w:rsidRDefault="00BF3B6B" w:rsidP="00671112">
      <w:pPr>
        <w:spacing w:before="120"/>
        <w:jc w:val="both"/>
      </w:pPr>
      <w:r w:rsidRPr="00D8378B">
        <w:t xml:space="preserve">Постъпленията от </w:t>
      </w:r>
      <w:r w:rsidRPr="00D8378B">
        <w:rPr>
          <w:b/>
          <w:i/>
        </w:rPr>
        <w:t>помощи</w:t>
      </w:r>
      <w:r w:rsidRPr="00D8378B">
        <w:t xml:space="preserve"> от страната и чужбина (</w:t>
      </w:r>
      <w:r w:rsidR="005B4689" w:rsidRPr="00D8378B">
        <w:t>основно</w:t>
      </w:r>
      <w:r w:rsidRPr="00D8378B">
        <w:t xml:space="preserve"> помощи от фондовете на ЕС) са в размер на </w:t>
      </w:r>
      <w:r w:rsidR="00D8378B" w:rsidRPr="00D8378B">
        <w:rPr>
          <w:b/>
        </w:rPr>
        <w:t>561,8</w:t>
      </w:r>
      <w:r w:rsidRPr="00D8378B">
        <w:rPr>
          <w:b/>
        </w:rPr>
        <w:t xml:space="preserve"> млн. лв.</w:t>
      </w:r>
      <w:r w:rsidR="006916AA" w:rsidRPr="00D8378B">
        <w:t xml:space="preserve"> </w:t>
      </w:r>
    </w:p>
    <w:p w:rsidR="00D4646A" w:rsidRPr="00A81543" w:rsidRDefault="00987CE4" w:rsidP="00E46F6A">
      <w:pPr>
        <w:pStyle w:val="ListParagraph"/>
        <w:numPr>
          <w:ilvl w:val="0"/>
          <w:numId w:val="34"/>
        </w:numPr>
        <w:tabs>
          <w:tab w:val="left" w:pos="426"/>
        </w:tabs>
        <w:spacing w:before="120" w:line="240" w:lineRule="auto"/>
        <w:ind w:left="0" w:firstLine="0"/>
        <w:rPr>
          <w:rFonts w:ascii="Times New Roman" w:hAnsi="Times New Roman"/>
        </w:rPr>
      </w:pPr>
      <w:r w:rsidRPr="00A81543">
        <w:rPr>
          <w:rFonts w:ascii="Times New Roman" w:hAnsi="Times New Roman"/>
          <w:b/>
        </w:rPr>
        <w:t>Разходите по консолидиран</w:t>
      </w:r>
      <w:r w:rsidR="006F2870" w:rsidRPr="00A81543">
        <w:rPr>
          <w:rFonts w:ascii="Times New Roman" w:hAnsi="Times New Roman"/>
          <w:b/>
        </w:rPr>
        <w:t>ата</w:t>
      </w:r>
      <w:r w:rsidRPr="00A81543">
        <w:rPr>
          <w:rFonts w:ascii="Times New Roman" w:hAnsi="Times New Roman"/>
          <w:b/>
        </w:rPr>
        <w:t xml:space="preserve"> </w:t>
      </w:r>
      <w:r w:rsidR="006F2870" w:rsidRPr="00A81543">
        <w:rPr>
          <w:rFonts w:ascii="Times New Roman" w:hAnsi="Times New Roman"/>
          <w:b/>
        </w:rPr>
        <w:t>фискална програма</w:t>
      </w:r>
      <w:r w:rsidRPr="00A81543">
        <w:rPr>
          <w:rFonts w:ascii="Times New Roman" w:hAnsi="Times New Roman"/>
          <w:b/>
        </w:rPr>
        <w:t xml:space="preserve"> </w:t>
      </w:r>
      <w:r w:rsidRPr="00A81543">
        <w:rPr>
          <w:rFonts w:ascii="Times New Roman" w:hAnsi="Times New Roman"/>
        </w:rPr>
        <w:t xml:space="preserve">(вкл. вноската на Република България в общия бюджет на ЕС) </w:t>
      </w:r>
      <w:r w:rsidR="0084568A" w:rsidRPr="00A81543">
        <w:rPr>
          <w:rFonts w:ascii="Times New Roman" w:hAnsi="Times New Roman"/>
        </w:rPr>
        <w:t xml:space="preserve">към </w:t>
      </w:r>
      <w:r w:rsidR="007553B1" w:rsidRPr="00A81543">
        <w:rPr>
          <w:rFonts w:ascii="Times New Roman" w:hAnsi="Times New Roman"/>
        </w:rPr>
        <w:t>31</w:t>
      </w:r>
      <w:r w:rsidR="0084568A" w:rsidRPr="00A81543">
        <w:rPr>
          <w:rFonts w:ascii="Times New Roman" w:hAnsi="Times New Roman"/>
        </w:rPr>
        <w:t>.</w:t>
      </w:r>
      <w:r w:rsidR="007553B1" w:rsidRPr="00A81543">
        <w:rPr>
          <w:rFonts w:ascii="Times New Roman" w:hAnsi="Times New Roman"/>
        </w:rPr>
        <w:t>03</w:t>
      </w:r>
      <w:r w:rsidR="0084568A" w:rsidRPr="00A81543">
        <w:rPr>
          <w:rFonts w:ascii="Times New Roman" w:hAnsi="Times New Roman"/>
        </w:rPr>
        <w:t>.201</w:t>
      </w:r>
      <w:r w:rsidR="007553B1" w:rsidRPr="00A81543">
        <w:rPr>
          <w:rFonts w:ascii="Times New Roman" w:hAnsi="Times New Roman"/>
        </w:rPr>
        <w:t>9</w:t>
      </w:r>
      <w:r w:rsidR="0084568A" w:rsidRPr="00A81543">
        <w:rPr>
          <w:rFonts w:ascii="Times New Roman" w:hAnsi="Times New Roman"/>
        </w:rPr>
        <w:t xml:space="preserve"> г.</w:t>
      </w:r>
      <w:r w:rsidR="0084568A" w:rsidRPr="00A81543">
        <w:rPr>
          <w:rFonts w:ascii="Times New Roman" w:hAnsi="Times New Roman"/>
          <w:b/>
        </w:rPr>
        <w:t xml:space="preserve"> са в размер на </w:t>
      </w:r>
      <w:r w:rsidR="007553B1" w:rsidRPr="00A81543">
        <w:rPr>
          <w:rFonts w:ascii="Times New Roman" w:hAnsi="Times New Roman"/>
          <w:b/>
        </w:rPr>
        <w:t>9</w:t>
      </w:r>
      <w:r w:rsidR="007553B1" w:rsidRPr="00A81543">
        <w:rPr>
          <w:rFonts w:ascii="Times New Roman" w:hAnsi="Times New Roman"/>
          <w:b/>
          <w:lang w:val="en-US"/>
        </w:rPr>
        <w:t xml:space="preserve"> </w:t>
      </w:r>
      <w:r w:rsidR="007553B1" w:rsidRPr="00A81543">
        <w:rPr>
          <w:rFonts w:ascii="Times New Roman" w:hAnsi="Times New Roman"/>
          <w:b/>
        </w:rPr>
        <w:t>051</w:t>
      </w:r>
      <w:r w:rsidR="007553B1" w:rsidRPr="00A81543">
        <w:rPr>
          <w:rFonts w:ascii="Times New Roman" w:hAnsi="Times New Roman"/>
          <w:b/>
          <w:lang w:val="en-US"/>
        </w:rPr>
        <w:t>,</w:t>
      </w:r>
      <w:r w:rsidR="007553B1" w:rsidRPr="00A81543">
        <w:rPr>
          <w:rFonts w:ascii="Times New Roman" w:hAnsi="Times New Roman"/>
          <w:b/>
        </w:rPr>
        <w:t>1</w:t>
      </w:r>
      <w:r w:rsidR="007553B1" w:rsidRPr="00A81543">
        <w:rPr>
          <w:rFonts w:ascii="Times New Roman" w:hAnsi="Times New Roman"/>
          <w:b/>
          <w:lang w:val="en-US"/>
        </w:rPr>
        <w:t xml:space="preserve"> </w:t>
      </w:r>
      <w:r w:rsidR="009A38EA" w:rsidRPr="00A81543">
        <w:rPr>
          <w:rFonts w:ascii="Times New Roman" w:hAnsi="Times New Roman"/>
          <w:b/>
        </w:rPr>
        <w:t xml:space="preserve">млн. лв., </w:t>
      </w:r>
      <w:r w:rsidR="009A38EA" w:rsidRPr="00A81543">
        <w:rPr>
          <w:rFonts w:ascii="Times New Roman" w:hAnsi="Times New Roman"/>
        </w:rPr>
        <w:t xml:space="preserve">което представлява </w:t>
      </w:r>
      <w:r w:rsidR="007553B1" w:rsidRPr="00A81543">
        <w:rPr>
          <w:rFonts w:ascii="Times New Roman" w:hAnsi="Times New Roman"/>
        </w:rPr>
        <w:t>20</w:t>
      </w:r>
      <w:r w:rsidR="00EE1B4A" w:rsidRPr="00A81543">
        <w:rPr>
          <w:rFonts w:ascii="Times New Roman" w:hAnsi="Times New Roman"/>
        </w:rPr>
        <w:t>,4</w:t>
      </w:r>
      <w:r w:rsidR="009A38EA" w:rsidRPr="00A81543">
        <w:rPr>
          <w:rFonts w:ascii="Times New Roman" w:hAnsi="Times New Roman"/>
        </w:rPr>
        <w:t xml:space="preserve"> % от годишния разчет. </w:t>
      </w:r>
      <w:r w:rsidR="00F60617" w:rsidRPr="00A81543">
        <w:rPr>
          <w:rFonts w:ascii="Times New Roman" w:eastAsia="Calibri" w:hAnsi="Times New Roman"/>
        </w:rPr>
        <w:t>За сравнение разходите за същия период на предходната година са в размер на 8 628,2 млн. лева. Номиналното нарастване, съпоставено с март 2018 г., е основно поради по-високия размер на вноската в общия бюджет на ЕС, увеличение на разходите за персонал (поради увеличението с 10 на сто на средствата за заплати, възнаграждения и осигурителни вноски на заетите в бюджетния сектор и поредната стъпка на увеличение на възнагражденията в сектор „Образование“), както</w:t>
      </w:r>
      <w:r w:rsidR="00F60617" w:rsidRPr="00A81543">
        <w:rPr>
          <w:rFonts w:ascii="Times New Roman" w:eastAsia="Calibri" w:hAnsi="Times New Roman"/>
          <w:lang w:val="en-US"/>
        </w:rPr>
        <w:t xml:space="preserve"> </w:t>
      </w:r>
      <w:r w:rsidR="00F60617" w:rsidRPr="00A81543">
        <w:rPr>
          <w:rFonts w:ascii="Times New Roman" w:eastAsia="Calibri" w:hAnsi="Times New Roman"/>
        </w:rPr>
        <w:t>и по-високи социални и здравноосигурителни плащания (базов ефект от увеличението на пенсиите от юли 2018 г. и увеличение на здравноосигурителните плащания, заложено в ЗБНЗОК за 2019 г.).</w:t>
      </w:r>
    </w:p>
    <w:p w:rsidR="00D8005C" w:rsidRPr="001D34AF" w:rsidRDefault="003A4129" w:rsidP="00D4646A">
      <w:pPr>
        <w:spacing w:before="120" w:after="120"/>
        <w:jc w:val="both"/>
      </w:pPr>
      <w:r w:rsidRPr="001D34AF">
        <w:rPr>
          <w:b/>
          <w:i/>
        </w:rPr>
        <w:t>Нелихвените разходи</w:t>
      </w:r>
      <w:r w:rsidRPr="001D34AF">
        <w:t xml:space="preserve"> са в размер на </w:t>
      </w:r>
      <w:r w:rsidR="006E4CA2" w:rsidRPr="001D34AF">
        <w:rPr>
          <w:rFonts w:eastAsia="Calibri"/>
        </w:rPr>
        <w:t xml:space="preserve">8 208,9 </w:t>
      </w:r>
      <w:r w:rsidR="0017293F" w:rsidRPr="001D34AF">
        <w:rPr>
          <w:rFonts w:eastAsia="Calibri"/>
        </w:rPr>
        <w:t xml:space="preserve">млн. лв., което представлява </w:t>
      </w:r>
      <w:r w:rsidR="006E4CA2" w:rsidRPr="001D34AF">
        <w:rPr>
          <w:rFonts w:eastAsia="Calibri"/>
        </w:rPr>
        <w:t>19,4</w:t>
      </w:r>
      <w:r w:rsidR="0017293F" w:rsidRPr="001D34AF">
        <w:rPr>
          <w:rFonts w:eastAsia="Calibri"/>
        </w:rPr>
        <w:t xml:space="preserve"> % </w:t>
      </w:r>
      <w:r w:rsidRPr="001D34AF">
        <w:t xml:space="preserve">от годишния разчет. </w:t>
      </w:r>
      <w:r w:rsidRPr="001D34AF">
        <w:rPr>
          <w:i/>
        </w:rPr>
        <w:t>Текущите нелихвени разходи</w:t>
      </w:r>
      <w:r w:rsidRPr="001D34AF">
        <w:t xml:space="preserve"> са в размер на </w:t>
      </w:r>
      <w:r w:rsidR="006E4CA2" w:rsidRPr="001D34AF">
        <w:rPr>
          <w:rFonts w:eastAsia="Calibri"/>
        </w:rPr>
        <w:t xml:space="preserve">7 678,4 </w:t>
      </w:r>
      <w:r w:rsidR="00601C10" w:rsidRPr="001D34AF">
        <w:rPr>
          <w:rFonts w:eastAsia="Calibri"/>
        </w:rPr>
        <w:t>млн. лв.</w:t>
      </w:r>
      <w:r w:rsidRPr="001D34AF">
        <w:t xml:space="preserve"> </w:t>
      </w:r>
      <w:r w:rsidRPr="001D34AF">
        <w:rPr>
          <w:i/>
        </w:rPr>
        <w:t>Капиталовите разходи</w:t>
      </w:r>
      <w:r w:rsidRPr="001D34AF">
        <w:t xml:space="preserve"> (вкл. нетния прираст на държавния резерв) възлизат на </w:t>
      </w:r>
      <w:r w:rsidR="001D34AF" w:rsidRPr="001D34AF">
        <w:t>523,9</w:t>
      </w:r>
      <w:r w:rsidR="001A75B9" w:rsidRPr="001D34AF">
        <w:t xml:space="preserve"> млн. л</w:t>
      </w:r>
      <w:r w:rsidR="000D5449" w:rsidRPr="001D34AF">
        <w:t>е</w:t>
      </w:r>
      <w:r w:rsidR="001A75B9" w:rsidRPr="001D34AF">
        <w:t>в</w:t>
      </w:r>
      <w:r w:rsidR="000D5449" w:rsidRPr="001D34AF">
        <w:t>а</w:t>
      </w:r>
      <w:r w:rsidR="001A75B9" w:rsidRPr="001D34AF">
        <w:t xml:space="preserve">. </w:t>
      </w:r>
      <w:r w:rsidRPr="001D34AF">
        <w:rPr>
          <w:i/>
        </w:rPr>
        <w:t>Предоставените текущи и капиталови трансфери за чужбина</w:t>
      </w:r>
      <w:r w:rsidRPr="001D34AF">
        <w:t xml:space="preserve"> са в размер на </w:t>
      </w:r>
      <w:r w:rsidR="001D34AF" w:rsidRPr="001D34AF">
        <w:t>6,</w:t>
      </w:r>
      <w:proofErr w:type="spellStart"/>
      <w:r w:rsidR="001D34AF" w:rsidRPr="001D34AF">
        <w:t>6</w:t>
      </w:r>
      <w:proofErr w:type="spellEnd"/>
      <w:r w:rsidRPr="001D34AF">
        <w:t xml:space="preserve"> млн. л</w:t>
      </w:r>
      <w:r w:rsidR="000D5449" w:rsidRPr="001D34AF">
        <w:t>е</w:t>
      </w:r>
      <w:r w:rsidRPr="001D34AF">
        <w:t>в</w:t>
      </w:r>
      <w:r w:rsidR="000D5449" w:rsidRPr="001D34AF">
        <w:t>а</w:t>
      </w:r>
      <w:r w:rsidRPr="001D34AF">
        <w:t xml:space="preserve">. </w:t>
      </w:r>
      <w:r w:rsidRPr="001D34AF">
        <w:rPr>
          <w:b/>
          <w:i/>
        </w:rPr>
        <w:t>Лихвените плащания</w:t>
      </w:r>
      <w:r w:rsidRPr="001D34AF">
        <w:t xml:space="preserve"> са в размер на </w:t>
      </w:r>
      <w:r w:rsidR="001D34AF" w:rsidRPr="001D34AF">
        <w:t>376,1</w:t>
      </w:r>
      <w:r w:rsidRPr="001D34AF">
        <w:t> млн. лв. (</w:t>
      </w:r>
      <w:r w:rsidR="001D34AF" w:rsidRPr="001D34AF">
        <w:t>56</w:t>
      </w:r>
      <w:r w:rsidR="00B538A7" w:rsidRPr="001D34AF">
        <w:t>,2</w:t>
      </w:r>
      <w:r w:rsidRPr="001D34AF">
        <w:t> % от планираните за 201</w:t>
      </w:r>
      <w:r w:rsidR="001D34AF" w:rsidRPr="001D34AF">
        <w:t>9</w:t>
      </w:r>
      <w:r w:rsidRPr="001D34AF">
        <w:t> година).</w:t>
      </w:r>
    </w:p>
    <w:p w:rsidR="00F24D6A" w:rsidRPr="00F2630A" w:rsidRDefault="009B1713" w:rsidP="00E46F6A">
      <w:pPr>
        <w:pStyle w:val="ListParagraph"/>
        <w:numPr>
          <w:ilvl w:val="0"/>
          <w:numId w:val="34"/>
        </w:numPr>
        <w:tabs>
          <w:tab w:val="left" w:pos="426"/>
        </w:tabs>
        <w:spacing w:before="120" w:line="240" w:lineRule="auto"/>
        <w:ind w:left="0" w:firstLine="0"/>
        <w:rPr>
          <w:rFonts w:ascii="Times New Roman" w:hAnsi="Times New Roman"/>
        </w:rPr>
      </w:pPr>
      <w:r w:rsidRPr="00F2630A">
        <w:rPr>
          <w:rFonts w:ascii="Times New Roman" w:hAnsi="Times New Roman"/>
          <w:b/>
        </w:rPr>
        <w:t>Частта от вноската на Република България в общия бюджет на ЕС</w:t>
      </w:r>
      <w:r w:rsidRPr="00F2630A">
        <w:rPr>
          <w:rFonts w:ascii="Times New Roman" w:hAnsi="Times New Roman"/>
        </w:rPr>
        <w:t>,</w:t>
      </w:r>
      <w:r w:rsidR="006176D9" w:rsidRPr="00F2630A">
        <w:rPr>
          <w:rFonts w:ascii="Times New Roman" w:hAnsi="Times New Roman"/>
        </w:rPr>
        <w:t xml:space="preserve"> </w:t>
      </w:r>
      <w:r w:rsidR="00F24D6A" w:rsidRPr="00F2630A">
        <w:rPr>
          <w:rFonts w:ascii="Times New Roman" w:hAnsi="Times New Roman"/>
        </w:rPr>
        <w:t xml:space="preserve">изплатена към </w:t>
      </w:r>
      <w:r w:rsidR="00F2630A" w:rsidRPr="00F2630A">
        <w:rPr>
          <w:rFonts w:ascii="Times New Roman" w:hAnsi="Times New Roman"/>
        </w:rPr>
        <w:t>31</w:t>
      </w:r>
      <w:r w:rsidR="00F24D6A" w:rsidRPr="00F2630A">
        <w:rPr>
          <w:rFonts w:ascii="Times New Roman" w:hAnsi="Times New Roman"/>
        </w:rPr>
        <w:t>.</w:t>
      </w:r>
      <w:r w:rsidR="00F2630A" w:rsidRPr="00F2630A">
        <w:rPr>
          <w:rFonts w:ascii="Times New Roman" w:hAnsi="Times New Roman"/>
        </w:rPr>
        <w:t>03</w:t>
      </w:r>
      <w:r w:rsidR="00F24D6A" w:rsidRPr="00F2630A">
        <w:rPr>
          <w:rFonts w:ascii="Times New Roman" w:hAnsi="Times New Roman"/>
        </w:rPr>
        <w:t>.201</w:t>
      </w:r>
      <w:r w:rsidR="00F2630A" w:rsidRPr="00F2630A">
        <w:rPr>
          <w:rFonts w:ascii="Times New Roman" w:hAnsi="Times New Roman"/>
        </w:rPr>
        <w:t>9</w:t>
      </w:r>
      <w:r w:rsidR="00F24D6A" w:rsidRPr="00F2630A">
        <w:rPr>
          <w:rFonts w:ascii="Times New Roman" w:hAnsi="Times New Roman"/>
        </w:rPr>
        <w:t xml:space="preserve"> г. от централния бюджет, възлиза на </w:t>
      </w:r>
      <w:r w:rsidR="00F2630A" w:rsidRPr="00F2630A">
        <w:rPr>
          <w:rFonts w:ascii="Times New Roman" w:hAnsi="Times New Roman"/>
          <w:b/>
        </w:rPr>
        <w:t>466,1</w:t>
      </w:r>
      <w:r w:rsidR="00F24D6A" w:rsidRPr="00F2630A">
        <w:rPr>
          <w:rFonts w:ascii="Times New Roman" w:hAnsi="Times New Roman"/>
        </w:rPr>
        <w:t xml:space="preserve"> млн. лв., което е в изпълнение на действащото към момента законодателство в областта на собствените ресурси на ЕС - Решение на Съвета 2014/335/ЕС, </w:t>
      </w:r>
      <w:proofErr w:type="spellStart"/>
      <w:r w:rsidR="00F24D6A" w:rsidRPr="00F2630A">
        <w:rPr>
          <w:rFonts w:ascii="Times New Roman" w:hAnsi="Times New Roman"/>
        </w:rPr>
        <w:t>Евратом</w:t>
      </w:r>
      <w:proofErr w:type="spellEnd"/>
      <w:r w:rsidR="00F24D6A" w:rsidRPr="00F2630A">
        <w:rPr>
          <w:rFonts w:ascii="Times New Roman" w:hAnsi="Times New Roman"/>
        </w:rPr>
        <w:t xml:space="preserve"> относно системата на собствените ресурси на Европейския съюз, Регламент (ЕС, </w:t>
      </w:r>
      <w:proofErr w:type="spellStart"/>
      <w:r w:rsidR="00F24D6A" w:rsidRPr="00F2630A">
        <w:rPr>
          <w:rFonts w:ascii="Times New Roman" w:hAnsi="Times New Roman"/>
        </w:rPr>
        <w:t>Евратом</w:t>
      </w:r>
      <w:proofErr w:type="spellEnd"/>
      <w:r w:rsidR="00F24D6A" w:rsidRPr="00F2630A">
        <w:rPr>
          <w:rFonts w:ascii="Times New Roman" w:hAnsi="Times New Roman"/>
        </w:rPr>
        <w:t xml:space="preserve">) № 608/2014 на Съвета от 26 май 2014 г. за определяне на мерки за прилагане на системата на собствените ресурси на ЕС и Регламент (EС, </w:t>
      </w:r>
      <w:proofErr w:type="spellStart"/>
      <w:r w:rsidR="00F24D6A" w:rsidRPr="00F2630A">
        <w:rPr>
          <w:rFonts w:ascii="Times New Roman" w:hAnsi="Times New Roman"/>
        </w:rPr>
        <w:t>Евратом</w:t>
      </w:r>
      <w:proofErr w:type="spellEnd"/>
      <w:r w:rsidR="00F24D6A" w:rsidRPr="00F2630A">
        <w:rPr>
          <w:rFonts w:ascii="Times New Roman" w:hAnsi="Times New Roman"/>
        </w:rPr>
        <w:t xml:space="preserve">)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w:t>
      </w:r>
      <w:proofErr w:type="spellStart"/>
      <w:r w:rsidR="00F24D6A" w:rsidRPr="00F2630A">
        <w:rPr>
          <w:rFonts w:ascii="Times New Roman" w:hAnsi="Times New Roman"/>
        </w:rPr>
        <w:t>Евратом</w:t>
      </w:r>
      <w:proofErr w:type="spellEnd"/>
      <w:r w:rsidR="00F24D6A" w:rsidRPr="00F2630A">
        <w:rPr>
          <w:rFonts w:ascii="Times New Roman" w:hAnsi="Times New Roman"/>
        </w:rPr>
        <w:t>) 2016/804 на Съвета от 17 май 2016 г., в т.ч.:</w:t>
      </w:r>
    </w:p>
    <w:p w:rsidR="00F2630A" w:rsidRPr="00B4088B" w:rsidRDefault="00F2630A" w:rsidP="00F2630A">
      <w:pPr>
        <w:numPr>
          <w:ilvl w:val="0"/>
          <w:numId w:val="13"/>
        </w:numPr>
        <w:tabs>
          <w:tab w:val="clear" w:pos="1500"/>
          <w:tab w:val="num" w:pos="720"/>
        </w:tabs>
        <w:ind w:left="709" w:hanging="283"/>
        <w:jc w:val="both"/>
      </w:pPr>
      <w:r w:rsidRPr="00B4088B">
        <w:t>ресурс на база брутен национален доход – 325,1 млн. лв.;</w:t>
      </w:r>
    </w:p>
    <w:p w:rsidR="00F2630A" w:rsidRPr="00ED641C" w:rsidRDefault="00F2630A" w:rsidP="00F2630A">
      <w:pPr>
        <w:numPr>
          <w:ilvl w:val="0"/>
          <w:numId w:val="13"/>
        </w:numPr>
        <w:tabs>
          <w:tab w:val="clear" w:pos="1500"/>
          <w:tab w:val="num" w:pos="720"/>
        </w:tabs>
        <w:ind w:left="709" w:hanging="283"/>
        <w:jc w:val="both"/>
      </w:pPr>
      <w:r w:rsidRPr="00ED641C">
        <w:t>ресурс на база данък върху добавената стойност – 72,3 млн. лв.;</w:t>
      </w:r>
    </w:p>
    <w:p w:rsidR="00F2630A" w:rsidRPr="004218AF" w:rsidRDefault="00F2630A" w:rsidP="00F2630A">
      <w:pPr>
        <w:numPr>
          <w:ilvl w:val="0"/>
          <w:numId w:val="13"/>
        </w:numPr>
        <w:tabs>
          <w:tab w:val="clear" w:pos="1500"/>
          <w:tab w:val="num" w:pos="720"/>
        </w:tabs>
        <w:ind w:left="709" w:hanging="283"/>
        <w:jc w:val="both"/>
      </w:pPr>
      <w:r w:rsidRPr="004218AF">
        <w:t>корекция за Обединеното кралство – 26,0 млн. лв.;</w:t>
      </w:r>
    </w:p>
    <w:p w:rsidR="00F2630A" w:rsidRPr="004218AF" w:rsidRDefault="00F2630A" w:rsidP="00F2630A">
      <w:pPr>
        <w:numPr>
          <w:ilvl w:val="0"/>
          <w:numId w:val="13"/>
        </w:numPr>
        <w:tabs>
          <w:tab w:val="clear" w:pos="1500"/>
          <w:tab w:val="num" w:pos="720"/>
        </w:tabs>
        <w:ind w:left="709" w:hanging="283"/>
        <w:jc w:val="both"/>
      </w:pPr>
      <w:r w:rsidRPr="004218AF">
        <w:t>традиционни собствени ресурси (мита) – 39,5 млн. лв.;</w:t>
      </w:r>
    </w:p>
    <w:p w:rsidR="00F2630A" w:rsidRPr="004218AF" w:rsidRDefault="00F2630A" w:rsidP="00F2630A">
      <w:pPr>
        <w:numPr>
          <w:ilvl w:val="0"/>
          <w:numId w:val="13"/>
        </w:numPr>
        <w:tabs>
          <w:tab w:val="clear" w:pos="1500"/>
        </w:tabs>
        <w:ind w:left="709" w:hanging="283"/>
        <w:jc w:val="both"/>
      </w:pPr>
      <w:r w:rsidRPr="004218AF">
        <w:t>участие във финансиране на брутното намаление за Нидерландия, Швеция, Дания и Австрия – 3,2 млн. лв.</w:t>
      </w:r>
    </w:p>
    <w:p w:rsidR="0055394B" w:rsidRPr="00910E84" w:rsidRDefault="00E46502" w:rsidP="00910E84">
      <w:pPr>
        <w:pStyle w:val="ListParagraph"/>
        <w:numPr>
          <w:ilvl w:val="0"/>
          <w:numId w:val="34"/>
        </w:numPr>
        <w:tabs>
          <w:tab w:val="left" w:pos="426"/>
        </w:tabs>
        <w:spacing w:before="120" w:line="240" w:lineRule="auto"/>
        <w:ind w:left="0" w:firstLine="0"/>
        <w:rPr>
          <w:rFonts w:ascii="Times New Roman" w:hAnsi="Times New Roman"/>
          <w:szCs w:val="24"/>
          <w:lang w:eastAsia="bg-BG"/>
        </w:rPr>
      </w:pPr>
      <w:r w:rsidRPr="00910E84">
        <w:rPr>
          <w:rFonts w:ascii="Times New Roman" w:hAnsi="Times New Roman"/>
          <w:b/>
        </w:rPr>
        <w:t>Бюджетното салдо</w:t>
      </w:r>
      <w:r w:rsidRPr="00910E84">
        <w:rPr>
          <w:rFonts w:ascii="Times New Roman" w:hAnsi="Times New Roman"/>
        </w:rPr>
        <w:t xml:space="preserve"> по консолидираната фискална програма към </w:t>
      </w:r>
      <w:r w:rsidR="00910E84" w:rsidRPr="00910E84">
        <w:rPr>
          <w:rFonts w:ascii="Times New Roman" w:hAnsi="Times New Roman"/>
        </w:rPr>
        <w:t xml:space="preserve">март 2019 г. </w:t>
      </w:r>
      <w:r w:rsidRPr="00910E84">
        <w:rPr>
          <w:rFonts w:ascii="Times New Roman" w:hAnsi="Times New Roman"/>
        </w:rPr>
        <w:t xml:space="preserve">е </w:t>
      </w:r>
      <w:r w:rsidRPr="00910E84">
        <w:rPr>
          <w:rFonts w:ascii="Times New Roman" w:hAnsi="Times New Roman"/>
          <w:b/>
        </w:rPr>
        <w:t>положително</w:t>
      </w:r>
      <w:r w:rsidRPr="00910E84">
        <w:rPr>
          <w:rFonts w:ascii="Times New Roman" w:hAnsi="Times New Roman"/>
        </w:rPr>
        <w:t xml:space="preserve"> в размер на </w:t>
      </w:r>
      <w:r w:rsidR="00910E84" w:rsidRPr="00910E84">
        <w:rPr>
          <w:rFonts w:ascii="Times New Roman" w:hAnsi="Times New Roman"/>
          <w:b/>
          <w:bCs/>
          <w:szCs w:val="24"/>
          <w:lang w:eastAsia="bg-BG"/>
        </w:rPr>
        <w:t>1 806,7</w:t>
      </w:r>
      <w:r w:rsidR="00910E84" w:rsidRPr="00910E84">
        <w:rPr>
          <w:b/>
          <w:bCs/>
        </w:rPr>
        <w:t xml:space="preserve"> </w:t>
      </w:r>
      <w:r w:rsidRPr="00910E84">
        <w:rPr>
          <w:rFonts w:ascii="Times New Roman" w:hAnsi="Times New Roman"/>
          <w:b/>
        </w:rPr>
        <w:t>млн. лв.</w:t>
      </w:r>
      <w:r w:rsidRPr="00910E84">
        <w:rPr>
          <w:rFonts w:ascii="Times New Roman" w:hAnsi="Times New Roman"/>
        </w:rPr>
        <w:t xml:space="preserve"> (</w:t>
      </w:r>
      <w:r w:rsidR="00910E84" w:rsidRPr="00910E84">
        <w:rPr>
          <w:rFonts w:ascii="Times New Roman" w:hAnsi="Times New Roman"/>
        </w:rPr>
        <w:t>1,6</w:t>
      </w:r>
      <w:r w:rsidRPr="00910E84">
        <w:rPr>
          <w:rFonts w:ascii="Times New Roman" w:hAnsi="Times New Roman"/>
        </w:rPr>
        <w:t xml:space="preserve"> % от прогнозния БВП) и се формира от </w:t>
      </w:r>
      <w:r w:rsidR="00910E84" w:rsidRPr="00910E84">
        <w:rPr>
          <w:rFonts w:ascii="Times New Roman" w:hAnsi="Times New Roman"/>
          <w:szCs w:val="24"/>
          <w:lang w:eastAsia="bg-BG"/>
        </w:rPr>
        <w:t>излишък по националния бюджет в размер на 1 662,6 млн. лв. и излишък по европейските средства в размер на 144,1 млн. лева</w:t>
      </w:r>
      <w:r w:rsidR="00284488" w:rsidRPr="00910E84">
        <w:rPr>
          <w:rFonts w:ascii="Times New Roman" w:hAnsi="Times New Roman"/>
          <w:szCs w:val="24"/>
          <w:lang w:eastAsia="bg-BG"/>
        </w:rPr>
        <w:t>.</w:t>
      </w:r>
    </w:p>
    <w:p w:rsidR="00987CE4" w:rsidRPr="003D74EF" w:rsidRDefault="00987CE4" w:rsidP="00E46F6A">
      <w:pPr>
        <w:numPr>
          <w:ilvl w:val="0"/>
          <w:numId w:val="9"/>
        </w:numPr>
        <w:tabs>
          <w:tab w:val="clear" w:pos="540"/>
          <w:tab w:val="num" w:pos="0"/>
          <w:tab w:val="left" w:pos="426"/>
          <w:tab w:val="left" w:pos="720"/>
        </w:tabs>
        <w:spacing w:before="120" w:after="60"/>
        <w:ind w:left="0" w:firstLine="0"/>
        <w:jc w:val="both"/>
      </w:pPr>
      <w:r w:rsidRPr="003D74EF">
        <w:rPr>
          <w:b/>
          <w:bCs/>
        </w:rPr>
        <w:t xml:space="preserve">Общият размер на касовите постъпления от </w:t>
      </w:r>
      <w:r w:rsidR="0055394B" w:rsidRPr="003D74EF">
        <w:rPr>
          <w:b/>
          <w:bCs/>
        </w:rPr>
        <w:t>ЕС</w:t>
      </w:r>
      <w:r w:rsidR="0055394B" w:rsidRPr="003D74EF">
        <w:rPr>
          <w:bCs/>
        </w:rPr>
        <w:t xml:space="preserve"> (от Структурните и Кохезионния фондове, от</w:t>
      </w:r>
      <w:r w:rsidR="0055394B" w:rsidRPr="003D74EF">
        <w:t xml:space="preserve"> ЕЗФРСР и ЕФР</w:t>
      </w:r>
      <w:r w:rsidR="0055394B" w:rsidRPr="003D74EF">
        <w:rPr>
          <w:bCs/>
        </w:rPr>
        <w:t xml:space="preserve">, от средства за директни плащания към земеделските производители и плащания по пазарни мерки и др.) за </w:t>
      </w:r>
      <w:r w:rsidR="000016BE">
        <w:rPr>
          <w:bCs/>
        </w:rPr>
        <w:t>първото тримесечие</w:t>
      </w:r>
      <w:r w:rsidR="00FD6EA3" w:rsidRPr="003D74EF">
        <w:rPr>
          <w:bCs/>
        </w:rPr>
        <w:t xml:space="preserve"> </w:t>
      </w:r>
      <w:r w:rsidR="0055394B" w:rsidRPr="003D74EF">
        <w:rPr>
          <w:bCs/>
        </w:rPr>
        <w:t>на 201</w:t>
      </w:r>
      <w:r w:rsidR="000016BE">
        <w:rPr>
          <w:bCs/>
        </w:rPr>
        <w:t>9</w:t>
      </w:r>
      <w:r w:rsidR="0055394B" w:rsidRPr="003D74EF">
        <w:rPr>
          <w:bCs/>
        </w:rPr>
        <w:t xml:space="preserve"> г. е </w:t>
      </w:r>
      <w:r w:rsidR="005B035A" w:rsidRPr="003D74EF">
        <w:rPr>
          <w:b/>
          <w:bCs/>
        </w:rPr>
        <w:t>1 312,2</w:t>
      </w:r>
      <w:r w:rsidR="0055394B" w:rsidRPr="003D74EF">
        <w:rPr>
          <w:b/>
          <w:bCs/>
        </w:rPr>
        <w:t xml:space="preserve"> млн. лв.</w:t>
      </w:r>
      <w:r w:rsidR="0055394B" w:rsidRPr="003D74EF">
        <w:rPr>
          <w:b/>
        </w:rPr>
        <w:t xml:space="preserve"> </w:t>
      </w:r>
      <w:r w:rsidR="0055394B" w:rsidRPr="003D74EF">
        <w:rPr>
          <w:b/>
          <w:bCs/>
        </w:rPr>
        <w:t xml:space="preserve">Нетните постъпления от ЕС към </w:t>
      </w:r>
      <w:r w:rsidR="005B035A" w:rsidRPr="003D74EF">
        <w:rPr>
          <w:b/>
          <w:bCs/>
        </w:rPr>
        <w:t>31</w:t>
      </w:r>
      <w:r w:rsidR="0055394B" w:rsidRPr="003D74EF">
        <w:rPr>
          <w:b/>
          <w:bCs/>
        </w:rPr>
        <w:t>.</w:t>
      </w:r>
      <w:r w:rsidR="005B035A" w:rsidRPr="003D74EF">
        <w:rPr>
          <w:b/>
          <w:bCs/>
        </w:rPr>
        <w:t>03</w:t>
      </w:r>
      <w:r w:rsidR="0055394B" w:rsidRPr="003D74EF">
        <w:rPr>
          <w:b/>
          <w:bCs/>
        </w:rPr>
        <w:t>.201</w:t>
      </w:r>
      <w:r w:rsidR="005B035A" w:rsidRPr="003D74EF">
        <w:rPr>
          <w:b/>
          <w:bCs/>
        </w:rPr>
        <w:t>9</w:t>
      </w:r>
      <w:r w:rsidR="0055394B" w:rsidRPr="003D74EF">
        <w:rPr>
          <w:b/>
          <w:bCs/>
        </w:rPr>
        <w:t xml:space="preserve"> г. </w:t>
      </w:r>
      <w:r w:rsidR="0055394B" w:rsidRPr="003D74EF">
        <w:rPr>
          <w:bCs/>
        </w:rPr>
        <w:t xml:space="preserve">(касови постъпления от ЕС, намалени </w:t>
      </w:r>
      <w:r w:rsidR="005C0F0A" w:rsidRPr="003D74EF">
        <w:rPr>
          <w:bCs/>
        </w:rPr>
        <w:t xml:space="preserve">с </w:t>
      </w:r>
      <w:r w:rsidR="0055394B" w:rsidRPr="003D74EF">
        <w:rPr>
          <w:bCs/>
        </w:rPr>
        <w:t xml:space="preserve">вноската в общия бюджет на ЕС) са положителни в размер на </w:t>
      </w:r>
      <w:r w:rsidR="003D74EF" w:rsidRPr="003D74EF">
        <w:rPr>
          <w:b/>
          <w:bCs/>
        </w:rPr>
        <w:t>846,1</w:t>
      </w:r>
      <w:r w:rsidR="0055394B" w:rsidRPr="003D74EF">
        <w:rPr>
          <w:b/>
          <w:bCs/>
        </w:rPr>
        <w:t xml:space="preserve"> млн. лева</w:t>
      </w:r>
      <w:r w:rsidR="0055394B" w:rsidRPr="003D74EF">
        <w:t>.</w:t>
      </w:r>
    </w:p>
    <w:p w:rsidR="00987CE4" w:rsidRPr="000613BA" w:rsidRDefault="00987CE4" w:rsidP="00E46F6A">
      <w:pPr>
        <w:numPr>
          <w:ilvl w:val="2"/>
          <w:numId w:val="17"/>
        </w:numPr>
        <w:tabs>
          <w:tab w:val="clear" w:pos="2880"/>
          <w:tab w:val="left" w:pos="426"/>
        </w:tabs>
        <w:spacing w:before="120" w:after="120"/>
        <w:ind w:left="0" w:firstLine="0"/>
        <w:jc w:val="both"/>
        <w:rPr>
          <w:color w:val="0070C0"/>
          <w:sz w:val="8"/>
          <w:szCs w:val="8"/>
        </w:rPr>
      </w:pPr>
      <w:r w:rsidRPr="001D71BC">
        <w:rPr>
          <w:b/>
        </w:rPr>
        <w:lastRenderedPageBreak/>
        <w:t>Фискалният резерв</w:t>
      </w:r>
      <w:r w:rsidR="00E74802" w:rsidRPr="001D71BC">
        <w:rPr>
          <w:b/>
          <w:bCs/>
          <w:vertAlign w:val="superscript"/>
          <w:lang w:eastAsia="bg-BG"/>
        </w:rPr>
        <w:footnoteReference w:id="5"/>
      </w:r>
      <w:r w:rsidR="007E28C4" w:rsidRPr="001D71BC">
        <w:rPr>
          <w:bCs/>
          <w:lang w:eastAsia="bg-BG"/>
        </w:rPr>
        <w:t xml:space="preserve"> към </w:t>
      </w:r>
      <w:r w:rsidR="001D71BC" w:rsidRPr="001D71BC">
        <w:rPr>
          <w:bCs/>
        </w:rPr>
        <w:t xml:space="preserve">31.03.2019 </w:t>
      </w:r>
      <w:r w:rsidR="007E28C4" w:rsidRPr="001D71BC">
        <w:rPr>
          <w:bCs/>
          <w:lang w:eastAsia="bg-BG"/>
        </w:rPr>
        <w:t xml:space="preserve">г. е </w:t>
      </w:r>
      <w:r w:rsidR="001D71BC" w:rsidRPr="001D71BC">
        <w:rPr>
          <w:b/>
          <w:bCs/>
        </w:rPr>
        <w:t>10,33 млрд. лв</w:t>
      </w:r>
      <w:r w:rsidR="001D71BC" w:rsidRPr="001D71BC">
        <w:rPr>
          <w:bCs/>
        </w:rPr>
        <w:t xml:space="preserve">., в т.ч. 9,97 млрд. лв. депозити на </w:t>
      </w:r>
      <w:r w:rsidR="001D71BC" w:rsidRPr="004218AF">
        <w:rPr>
          <w:bCs/>
        </w:rPr>
        <w:t>фискалния резерв в БНБ и банки и 0,36 млрд. лв. вземания от фондовете на Европейския съюз за сертифицирани разходи, аванси и други</w:t>
      </w:r>
      <w:r w:rsidR="007E28C4" w:rsidRPr="000613BA">
        <w:rPr>
          <w:bCs/>
          <w:color w:val="0070C0"/>
          <w:lang w:eastAsia="bg-BG"/>
        </w:rPr>
        <w:t>.</w:t>
      </w:r>
      <w:r w:rsidRPr="000613BA">
        <w:rPr>
          <w:bCs/>
          <w:color w:val="0070C0"/>
        </w:rPr>
        <w:t xml:space="preserve"> </w:t>
      </w:r>
    </w:p>
    <w:p w:rsidR="00135E92" w:rsidRPr="00135E92" w:rsidRDefault="00135E92" w:rsidP="00135E92">
      <w:pPr>
        <w:pStyle w:val="Heading1"/>
        <w:numPr>
          <w:ilvl w:val="0"/>
          <w:numId w:val="10"/>
        </w:numPr>
        <w:tabs>
          <w:tab w:val="clear" w:pos="532"/>
          <w:tab w:val="num" w:pos="750"/>
        </w:tabs>
        <w:spacing w:before="120"/>
        <w:ind w:left="748" w:right="-108" w:hanging="391"/>
        <w:jc w:val="both"/>
        <w:rPr>
          <w:sz w:val="24"/>
        </w:rPr>
      </w:pPr>
      <w:r w:rsidRPr="00135E92">
        <w:rPr>
          <w:sz w:val="24"/>
        </w:rPr>
        <w:t xml:space="preserve">Промени в данъчното законодателство </w:t>
      </w:r>
      <w:r w:rsidR="00675E99">
        <w:rPr>
          <w:sz w:val="24"/>
        </w:rPr>
        <w:t>за</w:t>
      </w:r>
      <w:r w:rsidRPr="00135E92">
        <w:rPr>
          <w:sz w:val="24"/>
        </w:rPr>
        <w:t xml:space="preserve"> 201</w:t>
      </w:r>
      <w:r>
        <w:rPr>
          <w:sz w:val="24"/>
          <w:lang w:val="en-US"/>
        </w:rPr>
        <w:t>9</w:t>
      </w:r>
      <w:r w:rsidRPr="00135E92">
        <w:rPr>
          <w:sz w:val="24"/>
        </w:rPr>
        <w:t xml:space="preserve"> г.</w:t>
      </w:r>
    </w:p>
    <w:p w:rsidR="00675E99" w:rsidRPr="00F044DA" w:rsidRDefault="00675E99" w:rsidP="00675E99">
      <w:pPr>
        <w:spacing w:before="120"/>
        <w:ind w:right="-40" w:firstLine="709"/>
        <w:jc w:val="both"/>
        <w:rPr>
          <w:bCs/>
          <w:iCs/>
        </w:rPr>
      </w:pPr>
      <w:r w:rsidRPr="00F044DA">
        <w:t>Приетите изменения в данъчното законодателство за 2019 г. са свързани с оптимизиране на събираемостта, повишаване на приходите и справяне със сенчестата икономика, чрез предотвратяване на възможностите за отклонение и избягване от данъчно облагане и п</w:t>
      </w:r>
      <w:r w:rsidRPr="00F044DA">
        <w:rPr>
          <w:bCs/>
        </w:rPr>
        <w:t>одобряване на контролната дейност на приходните администрации</w:t>
      </w:r>
      <w:r w:rsidRPr="00F044DA">
        <w:t xml:space="preserve">. Разширяват се мерките по отношение на намаляване на </w:t>
      </w:r>
      <w:r w:rsidRPr="00F044DA">
        <w:rPr>
          <w:bCs/>
          <w:iCs/>
        </w:rPr>
        <w:t xml:space="preserve">административната тежест и разходите за бизнеса и гражданите. </w:t>
      </w:r>
    </w:p>
    <w:p w:rsidR="00675E99" w:rsidRPr="00F044DA" w:rsidRDefault="00675E99" w:rsidP="00675E99">
      <w:pPr>
        <w:spacing w:after="120"/>
        <w:ind w:right="-39" w:firstLine="709"/>
        <w:jc w:val="both"/>
        <w:rPr>
          <w:bCs/>
          <w:iCs/>
        </w:rPr>
      </w:pPr>
      <w:r w:rsidRPr="00F044DA">
        <w:rPr>
          <w:bCs/>
          <w:iCs/>
        </w:rPr>
        <w:t xml:space="preserve">С промените в данъчната нормативна уредба се хармонизира българското данъчно законодателство с изискванията на европейските директиви и решения на Съда на Европейския съюз и се прецизират разпоредби, във връзка с възникнали несъответствия при единното тълкуване и практическото прилагане на данъчните закони. </w:t>
      </w:r>
    </w:p>
    <w:p w:rsidR="00675E99" w:rsidRPr="009E04AF" w:rsidRDefault="00675E99" w:rsidP="00675E99">
      <w:pPr>
        <w:widowControl w:val="0"/>
        <w:suppressAutoHyphens/>
        <w:spacing w:after="120"/>
        <w:ind w:right="-39" w:firstLine="709"/>
        <w:jc w:val="both"/>
        <w:rPr>
          <w:rFonts w:eastAsia="DejaVu Sans"/>
          <w:bCs/>
          <w:kern w:val="1"/>
          <w:lang w:eastAsia="hi-IN" w:bidi="hi-IN"/>
        </w:rPr>
      </w:pPr>
      <w:r w:rsidRPr="009E04AF">
        <w:rPr>
          <w:b/>
          <w:u w:val="single"/>
        </w:rPr>
        <w:t>Промени в Закона за данък върху добавената стойност</w:t>
      </w:r>
    </w:p>
    <w:p w:rsidR="00675E99" w:rsidRPr="00D8350B" w:rsidRDefault="00675E99" w:rsidP="00675E99">
      <w:pPr>
        <w:widowControl w:val="0"/>
        <w:suppressAutoHyphens/>
        <w:spacing w:after="120"/>
        <w:ind w:right="-39" w:firstLine="709"/>
        <w:jc w:val="both"/>
        <w:rPr>
          <w:b/>
          <w:bCs/>
          <w:i/>
          <w:lang w:val="en-US"/>
        </w:rPr>
      </w:pPr>
      <w:r>
        <w:rPr>
          <w:b/>
          <w:bCs/>
          <w:i/>
        </w:rPr>
        <w:t>П</w:t>
      </w:r>
      <w:r w:rsidRPr="00B36FD3">
        <w:rPr>
          <w:b/>
          <w:bCs/>
          <w:i/>
        </w:rPr>
        <w:t>ромени, свързани с въвеждане на правилата на новоприети европейски директиви с цел хармонизиране с изискванията им</w:t>
      </w:r>
    </w:p>
    <w:p w:rsidR="00675E99" w:rsidRDefault="00675E99" w:rsidP="00675E99">
      <w:pPr>
        <w:widowControl w:val="0"/>
        <w:suppressAutoHyphens/>
        <w:spacing w:after="120"/>
        <w:ind w:right="-39" w:firstLine="709"/>
        <w:jc w:val="both"/>
        <w:rPr>
          <w:bCs/>
        </w:rPr>
      </w:pPr>
      <w:r>
        <w:rPr>
          <w:bCs/>
        </w:rPr>
        <w:t xml:space="preserve">В </w:t>
      </w:r>
      <w:r w:rsidRPr="00F044DA">
        <w:rPr>
          <w:bCs/>
        </w:rPr>
        <w:t xml:space="preserve">националното законодателство </w:t>
      </w:r>
      <w:r>
        <w:rPr>
          <w:bCs/>
        </w:rPr>
        <w:t xml:space="preserve">са въведени </w:t>
      </w:r>
      <w:r w:rsidRPr="00F044DA">
        <w:rPr>
          <w:bCs/>
        </w:rPr>
        <w:t>разпоредбите на Директива (ЕС) 2017/2455 на Съвета от 5 декември 2017 година за изменение на Директива 2006/112/ЕО и Директива 2009/132/ЕО по отношение на някои задължения, приложими при доставките на услуги и дистанционните продажби на стоки</w:t>
      </w:r>
      <w:r>
        <w:rPr>
          <w:bCs/>
        </w:rPr>
        <w:t>.</w:t>
      </w:r>
      <w:r w:rsidRPr="00F044DA">
        <w:rPr>
          <w:bCs/>
        </w:rPr>
        <w:t xml:space="preserve"> Въвежда се праг от 10 000 евро при осъществяване на доставки на далекосъобщителни услуги, на услуги за радио- и телевизионно излъчване и на услуги, извършвани по електронен път, по които получатели са данъчно незадължени лица. Когато общата стойност без данъка върху добавената стойност на тези доставки е под прага, т.е. под 10 000 евро, и при условие че доставчикът е установен, има постоянен адрес или обичайно пребиваване само на територията на една държава членка, мястото на изпълнение на доставките ще е там, където доставчикът е установен, има постоянен адрес или обичайно пребиваване. Доставката, с която се надхвърля прага ще е с място на изпълнение по сега действащия ред, т.е. там, където е установено данъчно незадълженото лице получател. Дадена е възможност, дори прагът да не е надхвърлен, доставчикът да може да избере да определя мястото на доставка там, където е установено данъчно незадълженото лице получател по услугата.</w:t>
      </w:r>
    </w:p>
    <w:p w:rsidR="00675E99" w:rsidRPr="00F01679" w:rsidRDefault="00675E99" w:rsidP="00675E99">
      <w:pPr>
        <w:widowControl w:val="0"/>
        <w:suppressAutoHyphens/>
        <w:spacing w:after="120"/>
        <w:ind w:right="-39" w:firstLine="709"/>
        <w:jc w:val="both"/>
        <w:rPr>
          <w:bCs/>
        </w:rPr>
      </w:pPr>
      <w:r>
        <w:rPr>
          <w:bCs/>
        </w:rPr>
        <w:t xml:space="preserve">Въведени са </w:t>
      </w:r>
      <w:r w:rsidRPr="00F01679">
        <w:rPr>
          <w:bCs/>
        </w:rPr>
        <w:t xml:space="preserve">разпоредбите на Директива (ЕС) 2016/1065 на Съвета от 27 юни 2016 година за изменение на Директива 2006/112/ЕО </w:t>
      </w:r>
      <w:r>
        <w:rPr>
          <w:bCs/>
        </w:rPr>
        <w:t xml:space="preserve">в </w:t>
      </w:r>
      <w:r w:rsidRPr="00EA2835">
        <w:rPr>
          <w:bCs/>
        </w:rPr>
        <w:t xml:space="preserve">Закона за данък върху добавената стойност </w:t>
      </w:r>
      <w:r>
        <w:rPr>
          <w:bCs/>
          <w:lang w:val="en-US"/>
        </w:rPr>
        <w:t>(</w:t>
      </w:r>
      <w:r>
        <w:rPr>
          <w:bCs/>
        </w:rPr>
        <w:t>ЗДДС</w:t>
      </w:r>
      <w:r>
        <w:rPr>
          <w:bCs/>
          <w:lang w:val="en-US"/>
        </w:rPr>
        <w:t>)</w:t>
      </w:r>
      <w:r>
        <w:rPr>
          <w:bCs/>
        </w:rPr>
        <w:t xml:space="preserve"> </w:t>
      </w:r>
      <w:r w:rsidRPr="00F01679">
        <w:rPr>
          <w:bCs/>
        </w:rPr>
        <w:t>по отношение на данъчното третиране на ваучери</w:t>
      </w:r>
      <w:r>
        <w:rPr>
          <w:bCs/>
        </w:rPr>
        <w:t xml:space="preserve"> по ЗДДС, </w:t>
      </w:r>
      <w:r w:rsidRPr="00E16D58">
        <w:rPr>
          <w:bCs/>
        </w:rPr>
        <w:t xml:space="preserve">като се пояснява </w:t>
      </w:r>
      <w:r w:rsidRPr="00E16D58">
        <w:rPr>
          <w:bCs/>
          <w:iCs/>
        </w:rPr>
        <w:t>кога е налице доставка на стока или услуга</w:t>
      </w:r>
      <w:r w:rsidRPr="00E16D58">
        <w:rPr>
          <w:bCs/>
        </w:rPr>
        <w:t>. С цел гарантиране</w:t>
      </w:r>
      <w:r w:rsidRPr="00F01679">
        <w:rPr>
          <w:bCs/>
        </w:rPr>
        <w:t xml:space="preserve"> на сигурно и еднакво третиране, наличие на съответствие с принципите за общ данък върху потреблението, точно пропорционален на цената на стоките и услугите, избягване на непоследователност, нарушаване на конкуренцията, двойно данъ</w:t>
      </w:r>
      <w:r>
        <w:rPr>
          <w:bCs/>
        </w:rPr>
        <w:t xml:space="preserve">чно облагане или необлагане, са </w:t>
      </w:r>
      <w:r w:rsidRPr="00F01679">
        <w:rPr>
          <w:bCs/>
        </w:rPr>
        <w:t xml:space="preserve">въведени </w:t>
      </w:r>
      <w:r>
        <w:rPr>
          <w:bCs/>
        </w:rPr>
        <w:t xml:space="preserve">са </w:t>
      </w:r>
      <w:r w:rsidRPr="00F01679">
        <w:rPr>
          <w:bCs/>
        </w:rPr>
        <w:t>отделни правила по отношение на третирането на ваучерите за целите на ДДС.</w:t>
      </w:r>
    </w:p>
    <w:p w:rsidR="00675E99" w:rsidRDefault="00675E99" w:rsidP="00675E99">
      <w:pPr>
        <w:widowControl w:val="0"/>
        <w:suppressAutoHyphens/>
        <w:spacing w:after="120"/>
        <w:ind w:right="-39" w:firstLine="709"/>
        <w:jc w:val="both"/>
        <w:rPr>
          <w:bCs/>
        </w:rPr>
      </w:pPr>
      <w:r>
        <w:rPr>
          <w:bCs/>
        </w:rPr>
        <w:t xml:space="preserve">Въведени са </w:t>
      </w:r>
      <w:r w:rsidRPr="00F01679">
        <w:rPr>
          <w:bCs/>
        </w:rPr>
        <w:t>разпоредбите на Директива (EС) 2018/912 на Съвета от 22 юни 2018 година за изменение на Директива 2006/112/ЕО относно общата система на данъка върху добавената стойност по отношение на задължението за спазване на минимален размер на стандартната данъчна ставка.</w:t>
      </w:r>
    </w:p>
    <w:p w:rsidR="00675E99" w:rsidRDefault="00675E99" w:rsidP="00675E99">
      <w:pPr>
        <w:widowControl w:val="0"/>
        <w:suppressAutoHyphens/>
        <w:spacing w:after="120"/>
        <w:ind w:right="-39" w:firstLine="709"/>
        <w:jc w:val="both"/>
        <w:rPr>
          <w:b/>
          <w:bCs/>
          <w:i/>
        </w:rPr>
      </w:pPr>
      <w:r w:rsidRPr="00CD08FC">
        <w:rPr>
          <w:b/>
          <w:bCs/>
          <w:i/>
        </w:rPr>
        <w:t>Промени, свързани с по-нататъшното хармонизиране с правилата на Директива 2006/112/ЕО относно общата система на ДДС</w:t>
      </w:r>
    </w:p>
    <w:p w:rsidR="00675E99" w:rsidRPr="000372FA" w:rsidRDefault="00675E99" w:rsidP="00675E99">
      <w:pPr>
        <w:widowControl w:val="0"/>
        <w:suppressAutoHyphens/>
        <w:spacing w:after="120"/>
        <w:ind w:right="-39" w:firstLine="709"/>
        <w:jc w:val="both"/>
        <w:rPr>
          <w:bCs/>
        </w:rPr>
      </w:pPr>
      <w:r>
        <w:rPr>
          <w:bCs/>
        </w:rPr>
        <w:lastRenderedPageBreak/>
        <w:t xml:space="preserve">Въведена е </w:t>
      </w:r>
      <w:r w:rsidRPr="00175FC8">
        <w:rPr>
          <w:bCs/>
        </w:rPr>
        <w:t xml:space="preserve">възможността, предвидена в чл. 211, параграф 2 от Директива 2006/112/ЕO за отложено начисляване на ДДС от вносител при внос на стоки на територията на страната. Тази опция ще може да се прилага за определени видове стоки, които не са акцизни стоки и не са предназначени за крайно </w:t>
      </w:r>
      <w:r w:rsidRPr="000372FA">
        <w:rPr>
          <w:bCs/>
        </w:rPr>
        <w:t xml:space="preserve">потребление. Лицата, които изпълняват условията, предвидени в закона, ще могат да начисляват дължимия при внос данък в справката-декларация за ДДС, като отпада задължението за ефективно внасяне на данъка в съответното митническо </w:t>
      </w:r>
      <w:proofErr w:type="spellStart"/>
      <w:r w:rsidRPr="000372FA">
        <w:rPr>
          <w:bCs/>
        </w:rPr>
        <w:t>учреждение</w:t>
      </w:r>
      <w:proofErr w:type="spellEnd"/>
      <w:r w:rsidRPr="000372FA">
        <w:rPr>
          <w:bCs/>
        </w:rPr>
        <w:t xml:space="preserve">. Ще е налице и право на приспадане на данъчен кредит по реда на </w:t>
      </w:r>
      <w:hyperlink r:id="rId9" w:anchor="zdds_chl_71" w:history="1">
        <w:r w:rsidRPr="000372FA">
          <w:rPr>
            <w:rStyle w:val="Hyperlink"/>
            <w:bCs/>
          </w:rPr>
          <w:t>чл.71, т.10</w:t>
        </w:r>
      </w:hyperlink>
      <w:r w:rsidRPr="000372FA">
        <w:rPr>
          <w:bCs/>
        </w:rPr>
        <w:t xml:space="preserve"> от ЗДДС</w:t>
      </w:r>
      <w:r>
        <w:rPr>
          <w:bCs/>
        </w:rPr>
        <w:t xml:space="preserve">, като </w:t>
      </w:r>
      <w:r w:rsidRPr="000372FA">
        <w:rPr>
          <w:bCs/>
        </w:rPr>
        <w:t xml:space="preserve">разпоредбите, относно този специален режим на отложено начисляване на ДДС влизат в сила </w:t>
      </w:r>
      <w:r w:rsidRPr="000372FA">
        <w:rPr>
          <w:bCs/>
          <w:iCs/>
        </w:rPr>
        <w:t>от 01.07.2019 г</w:t>
      </w:r>
      <w:r w:rsidRPr="000372FA">
        <w:rPr>
          <w:bCs/>
        </w:rPr>
        <w:t>.</w:t>
      </w:r>
    </w:p>
    <w:p w:rsidR="00675E99" w:rsidRDefault="00675E99" w:rsidP="00675E99">
      <w:pPr>
        <w:widowControl w:val="0"/>
        <w:suppressAutoHyphens/>
        <w:spacing w:after="120"/>
        <w:ind w:right="-39" w:firstLine="709"/>
        <w:jc w:val="both"/>
        <w:rPr>
          <w:b/>
          <w:bCs/>
          <w:i/>
        </w:rPr>
      </w:pPr>
      <w:r w:rsidRPr="00C90239">
        <w:rPr>
          <w:b/>
          <w:bCs/>
          <w:i/>
        </w:rPr>
        <w:t>Промени в резултат на констатирани от Европейската комисия (ЕК) неизпълнения на Република България и открити процедури за нарушение</w:t>
      </w:r>
    </w:p>
    <w:p w:rsidR="00675E99" w:rsidRDefault="00675E99" w:rsidP="00675E99">
      <w:pPr>
        <w:widowControl w:val="0"/>
        <w:suppressAutoHyphens/>
        <w:spacing w:after="120"/>
        <w:ind w:right="-39" w:firstLine="709"/>
        <w:jc w:val="both"/>
        <w:rPr>
          <w:bCs/>
        </w:rPr>
      </w:pPr>
      <w:r w:rsidRPr="00621E65">
        <w:rPr>
          <w:bCs/>
        </w:rPr>
        <w:t xml:space="preserve">Във връзка с получено официално уведомително писмо </w:t>
      </w:r>
      <w:r>
        <w:rPr>
          <w:bCs/>
        </w:rPr>
        <w:t xml:space="preserve">от </w:t>
      </w:r>
      <w:r w:rsidRPr="00621E65">
        <w:rPr>
          <w:bCs/>
        </w:rPr>
        <w:t>ЕК по открита процедура за нарушение за неизпълнение на Република България на задълженията по чл. 273 от Директива 2006/112/ЕО на Съвета и чл. 16 от Хартата на основ</w:t>
      </w:r>
      <w:r>
        <w:rPr>
          <w:bCs/>
        </w:rPr>
        <w:t xml:space="preserve">ните права на Европейския съюз, са приети </w:t>
      </w:r>
      <w:r w:rsidRPr="00621E65">
        <w:rPr>
          <w:bCs/>
        </w:rPr>
        <w:t xml:space="preserve">изменения </w:t>
      </w:r>
      <w:r>
        <w:rPr>
          <w:bCs/>
        </w:rPr>
        <w:t xml:space="preserve">в ЗДДС </w:t>
      </w:r>
      <w:r w:rsidRPr="00621E65">
        <w:rPr>
          <w:bCs/>
        </w:rPr>
        <w:t>по отношение на задължението за предоставяне на обезпечение за данъчно задължените лица, които през текущия данъчен период извършват достави на течни горива над 25 000 лв., като отпада изискването размера на обезпечението, да не може да бъде по-малък от 50 000 лв.</w:t>
      </w:r>
    </w:p>
    <w:p w:rsidR="00675E99" w:rsidRDefault="00675E99" w:rsidP="00675E99">
      <w:pPr>
        <w:widowControl w:val="0"/>
        <w:suppressAutoHyphens/>
        <w:spacing w:after="120"/>
        <w:ind w:right="-39" w:firstLine="709"/>
        <w:jc w:val="both"/>
        <w:rPr>
          <w:b/>
          <w:i/>
        </w:rPr>
      </w:pPr>
      <w:r w:rsidRPr="00E801E3">
        <w:rPr>
          <w:b/>
          <w:i/>
        </w:rPr>
        <w:t>Прецизиране на разпоредби поради възникнали затруднения при практическото прилагане на закона</w:t>
      </w:r>
    </w:p>
    <w:p w:rsidR="00675E99" w:rsidRPr="00981E16" w:rsidRDefault="00675E99" w:rsidP="00675E99">
      <w:pPr>
        <w:ind w:right="-39" w:firstLine="708"/>
        <w:jc w:val="both"/>
        <w:rPr>
          <w:bCs/>
        </w:rPr>
      </w:pPr>
      <w:r>
        <w:t xml:space="preserve">С оглед </w:t>
      </w:r>
      <w:r w:rsidRPr="00981E16">
        <w:t>по-голяма правна сигурност при извършване на корекция на ползван данъчен кредит за дълготраен актив</w:t>
      </w:r>
      <w:r>
        <w:t>, в ЗДДС</w:t>
      </w:r>
      <w:r w:rsidRPr="00981E16">
        <w:t xml:space="preserve"> се пренася</w:t>
      </w:r>
      <w:r>
        <w:t>т</w:t>
      </w:r>
      <w:r w:rsidRPr="00981E16">
        <w:t xml:space="preserve"> разпоредбите от правилника за прилагането му, които регламентират, че </w:t>
      </w:r>
      <w:r w:rsidRPr="00981E16">
        <w:rPr>
          <w:bCs/>
        </w:rPr>
        <w:t>5-годишният срок, съответно 20-годишният срок, спира да тече за всяка календарна година, през която дълготрайният актив изобщо не се използва.</w:t>
      </w:r>
    </w:p>
    <w:p w:rsidR="00675E99" w:rsidRDefault="00675E99" w:rsidP="00675E99">
      <w:pPr>
        <w:ind w:right="-39" w:firstLine="708"/>
        <w:jc w:val="both"/>
      </w:pPr>
      <w:r>
        <w:t xml:space="preserve">Прието е изменение за </w:t>
      </w:r>
      <w:r w:rsidRPr="00981E16">
        <w:t xml:space="preserve">генериране в електронен вид на фискалния/системния бон </w:t>
      </w:r>
      <w:r>
        <w:t xml:space="preserve">и </w:t>
      </w:r>
      <w:r w:rsidRPr="00981E16">
        <w:t>предоставянето му на купувача</w:t>
      </w:r>
      <w:r>
        <w:t>,</w:t>
      </w:r>
      <w:r w:rsidRPr="00981E16">
        <w:t xml:space="preserve"> в случаите на  продажби на стоки или услуги чрез електронен магазин, при които няма физически контакт между доставчика</w:t>
      </w:r>
      <w:r>
        <w:t xml:space="preserve"> и получателя по доставката. </w:t>
      </w:r>
      <w:r w:rsidRPr="00981E16">
        <w:t>НАП</w:t>
      </w:r>
      <w:r>
        <w:t xml:space="preserve"> ще поддържа </w:t>
      </w:r>
      <w:r w:rsidRPr="00981E16">
        <w:t>публичен електронен списък на електронните магазини, чрез които български задължени лица извършват търговска дейност в интернет</w:t>
      </w:r>
      <w:r>
        <w:t>,</w:t>
      </w:r>
      <w:r w:rsidRPr="00981E16">
        <w:t xml:space="preserve"> с цел защита на потребителите при пазаруване в интернет и намаляване сивия сектор в интернет търговията.</w:t>
      </w:r>
    </w:p>
    <w:p w:rsidR="00675E99" w:rsidRDefault="00675E99" w:rsidP="00675E99">
      <w:pPr>
        <w:ind w:right="-39" w:firstLine="708"/>
        <w:jc w:val="both"/>
      </w:pPr>
      <w:r w:rsidRPr="00981E16">
        <w:t>С цел премахване на несъразмерността на прилаганата от закона административно наказателна норма се отм</w:t>
      </w:r>
      <w:r>
        <w:t>еня</w:t>
      </w:r>
      <w:r w:rsidRPr="00981E16">
        <w:t xml:space="preserve"> мярката за принудително запечатване на обект за срок от 30 дни в случаите на неспазване реда или начина на ежедневно отчитане на оборотите от продажби, когато това е задължително.</w:t>
      </w:r>
    </w:p>
    <w:p w:rsidR="00675E99" w:rsidRPr="00013FD2" w:rsidRDefault="00675E99" w:rsidP="00675E99">
      <w:pPr>
        <w:widowControl w:val="0"/>
        <w:suppressAutoHyphens/>
        <w:spacing w:before="120" w:after="120"/>
        <w:ind w:right="-39" w:firstLine="709"/>
        <w:jc w:val="both"/>
        <w:rPr>
          <w:b/>
          <w:bCs/>
          <w:i/>
        </w:rPr>
      </w:pPr>
      <w:r w:rsidRPr="00013FD2">
        <w:rPr>
          <w:b/>
          <w:bCs/>
          <w:i/>
        </w:rPr>
        <w:t>Промени, свързани с намаляване на административната тежест и разходите за бизнеса и гражданите</w:t>
      </w:r>
    </w:p>
    <w:p w:rsidR="00675E99" w:rsidRPr="00013FD2" w:rsidRDefault="00675E99" w:rsidP="00675E99">
      <w:pPr>
        <w:ind w:right="-39" w:firstLine="720"/>
        <w:jc w:val="both"/>
      </w:pPr>
      <w:r w:rsidRPr="00013FD2">
        <w:t xml:space="preserve">Приети са промени, свързани с </w:t>
      </w:r>
      <w:proofErr w:type="spellStart"/>
      <w:r w:rsidRPr="00013FD2">
        <w:rPr>
          <w:bCs/>
        </w:rPr>
        <w:t>дерегистрация</w:t>
      </w:r>
      <w:proofErr w:type="spellEnd"/>
      <w:r w:rsidRPr="00013FD2">
        <w:rPr>
          <w:bCs/>
        </w:rPr>
        <w:t xml:space="preserve"> по избор след изтичането на 12 месеца</w:t>
      </w:r>
      <w:r w:rsidRPr="00013FD2">
        <w:t xml:space="preserve"> от началото на календарната година, следваща годината на доброволната регистрация.</w:t>
      </w:r>
    </w:p>
    <w:p w:rsidR="00675E99" w:rsidRPr="00981E16" w:rsidRDefault="00675E99" w:rsidP="00675E99">
      <w:pPr>
        <w:pStyle w:val="m"/>
        <w:spacing w:before="0" w:beforeAutospacing="0" w:after="0" w:afterAutospacing="0"/>
        <w:ind w:right="-39" w:firstLine="720"/>
        <w:jc w:val="both"/>
      </w:pPr>
      <w:r w:rsidRPr="00013FD2">
        <w:t>С цел обл</w:t>
      </w:r>
      <w:r w:rsidR="00EF6D04">
        <w:t xml:space="preserve">екчаване на лицата при </w:t>
      </w:r>
      <w:proofErr w:type="spellStart"/>
      <w:r w:rsidR="00EF6D04">
        <w:t>дерегист</w:t>
      </w:r>
      <w:r w:rsidRPr="00013FD2">
        <w:t>рация</w:t>
      </w:r>
      <w:proofErr w:type="spellEnd"/>
      <w:r w:rsidRPr="00013FD2">
        <w:t xml:space="preserve"> по закона е </w:t>
      </w:r>
      <w:r>
        <w:t xml:space="preserve">предвидено </w:t>
      </w:r>
      <w:r w:rsidRPr="00013FD2">
        <w:t>срокът</w:t>
      </w:r>
      <w:r w:rsidRPr="00981E16">
        <w:t xml:space="preserve"> за внасяне на данъка по справка-декларацията за последния данъчен период да се увеличи до края на календарния месец, следващ месеца, през който е следвало да бъде подадена. </w:t>
      </w:r>
      <w:r>
        <w:t>Прието е изменение, с което</w:t>
      </w:r>
      <w:r w:rsidRPr="00981E16">
        <w:t xml:space="preserve">, когато едно лице се </w:t>
      </w:r>
      <w:proofErr w:type="spellStart"/>
      <w:r w:rsidRPr="00981E16">
        <w:t>дерегистрира</w:t>
      </w:r>
      <w:proofErr w:type="spellEnd"/>
      <w:r w:rsidRPr="00981E16">
        <w:t xml:space="preserve"> и повторно </w:t>
      </w:r>
      <w:r>
        <w:t xml:space="preserve">се </w:t>
      </w:r>
      <w:r w:rsidRPr="00981E16">
        <w:t xml:space="preserve">регистрира по закона в рамките на един данъчен период - за стоките и услугите, които са били налични, както към датата на </w:t>
      </w:r>
      <w:proofErr w:type="spellStart"/>
      <w:r w:rsidRPr="00981E16">
        <w:t>дерегистрацията</w:t>
      </w:r>
      <w:proofErr w:type="spellEnd"/>
      <w:r w:rsidRPr="00981E16">
        <w:t xml:space="preserve">, така и към датата на </w:t>
      </w:r>
      <w:proofErr w:type="spellStart"/>
      <w:r w:rsidRPr="00981E16">
        <w:t>последващата</w:t>
      </w:r>
      <w:proofErr w:type="spellEnd"/>
      <w:r w:rsidRPr="00981E16">
        <w:t xml:space="preserve"> регистрация, да не се начислява данък при </w:t>
      </w:r>
      <w:proofErr w:type="spellStart"/>
      <w:r w:rsidRPr="00981E16">
        <w:t>дерегистрацията</w:t>
      </w:r>
      <w:proofErr w:type="spellEnd"/>
      <w:r w:rsidRPr="00981E16">
        <w:t>.</w:t>
      </w:r>
    </w:p>
    <w:p w:rsidR="00675E99" w:rsidRDefault="00675E99" w:rsidP="00675E99">
      <w:pPr>
        <w:widowControl w:val="0"/>
        <w:suppressAutoHyphens/>
        <w:spacing w:after="120"/>
        <w:ind w:right="-39" w:firstLine="709"/>
        <w:jc w:val="both"/>
      </w:pPr>
      <w:r w:rsidRPr="00981E16">
        <w:t xml:space="preserve">С оглед общата тенденция за електронизация на подаването на данни към НАП и намаляване </w:t>
      </w:r>
      <w:r>
        <w:t>на административната тежест,</w:t>
      </w:r>
      <w:r w:rsidRPr="00981E16">
        <w:t xml:space="preserve"> </w:t>
      </w:r>
      <w:r>
        <w:t xml:space="preserve">е направена промяна, с която </w:t>
      </w:r>
      <w:r w:rsidRPr="00981E16">
        <w:t xml:space="preserve">регистърът за </w:t>
      </w:r>
      <w:proofErr w:type="spellStart"/>
      <w:r w:rsidRPr="00981E16">
        <w:t>вътреобщностни</w:t>
      </w:r>
      <w:proofErr w:type="spellEnd"/>
      <w:r w:rsidRPr="00981E16">
        <w:t xml:space="preserve"> доставки на нови превозни средства, по които получатели са нерегистрирани за целите на ДДС лица в други държави членки, който водят регистрираните лица, извършили такива доставки през съответното календарно тримесечие се подава по електронен път, а не на технически носител.</w:t>
      </w:r>
    </w:p>
    <w:p w:rsidR="00675E99" w:rsidRPr="009E04AF" w:rsidRDefault="00675E99" w:rsidP="00675E99">
      <w:pPr>
        <w:widowControl w:val="0"/>
        <w:suppressAutoHyphens/>
        <w:spacing w:after="120"/>
        <w:ind w:right="-39" w:firstLine="709"/>
        <w:jc w:val="both"/>
        <w:rPr>
          <w:rFonts w:eastAsia="DejaVu Sans"/>
          <w:b/>
          <w:bCs/>
          <w:kern w:val="1"/>
          <w:u w:val="single"/>
          <w:lang w:eastAsia="hi-IN" w:bidi="hi-IN"/>
        </w:rPr>
      </w:pPr>
      <w:r w:rsidRPr="009E04AF">
        <w:rPr>
          <w:rFonts w:eastAsia="DejaVu Sans"/>
          <w:b/>
          <w:bCs/>
          <w:kern w:val="1"/>
          <w:u w:val="single"/>
          <w:lang w:eastAsia="hi-IN" w:bidi="hi-IN"/>
        </w:rPr>
        <w:lastRenderedPageBreak/>
        <w:t>Промени в Закона за акцизите и данъчните складове</w:t>
      </w:r>
    </w:p>
    <w:p w:rsidR="00675E99" w:rsidRDefault="00675E99" w:rsidP="00675E99">
      <w:pPr>
        <w:widowControl w:val="0"/>
        <w:suppressAutoHyphens/>
        <w:spacing w:after="120"/>
        <w:ind w:right="-39" w:firstLine="709"/>
        <w:jc w:val="both"/>
        <w:rPr>
          <w:b/>
          <w:bCs/>
          <w:i/>
        </w:rPr>
      </w:pPr>
      <w:r w:rsidRPr="00013FD2">
        <w:rPr>
          <w:b/>
          <w:bCs/>
          <w:i/>
        </w:rPr>
        <w:t>Промени, свързани с намаляване на административната тежест и разходите за бизнеса и гражданите</w:t>
      </w:r>
    </w:p>
    <w:p w:rsidR="00675E99" w:rsidRPr="00D8350B" w:rsidRDefault="00675E99" w:rsidP="00675E99">
      <w:pPr>
        <w:widowControl w:val="0"/>
        <w:suppressAutoHyphens/>
        <w:spacing w:after="120"/>
        <w:ind w:right="-39" w:firstLine="709"/>
        <w:jc w:val="both"/>
      </w:pPr>
      <w:r w:rsidRPr="00981E16">
        <w:t xml:space="preserve">Във връзка с намаляване на административната тежест, както и уреждане на хипотеза за освобождаване от облагане с акциз на </w:t>
      </w:r>
      <w:r>
        <w:t xml:space="preserve">енергийни продукти </w:t>
      </w:r>
      <w:r w:rsidRPr="00981E16">
        <w:t>с кодове по КН от 2711 12 11 до 2711 19 00 - в опаковки по смисъла на Закона за защита на потребителите до 5 литра</w:t>
      </w:r>
      <w:r>
        <w:t>,</w:t>
      </w:r>
      <w:r w:rsidRPr="00981E16">
        <w:t xml:space="preserve"> е допълнена разпоредбата на чл. 24, ал. 1, т. 3</w:t>
      </w:r>
      <w:r>
        <w:t xml:space="preserve"> </w:t>
      </w:r>
      <w:r w:rsidRPr="00D8350B">
        <w:t xml:space="preserve">от </w:t>
      </w:r>
      <w:r w:rsidRPr="00D8350B">
        <w:rPr>
          <w:bCs/>
        </w:rPr>
        <w:t>Закона за акцизите и данъчните складове</w:t>
      </w:r>
      <w:r w:rsidRPr="00D8350B">
        <w:t xml:space="preserve"> </w:t>
      </w:r>
      <w:r>
        <w:rPr>
          <w:lang w:val="en-US"/>
        </w:rPr>
        <w:t>(</w:t>
      </w:r>
      <w:r w:rsidRPr="00D8350B">
        <w:t>ЗАДС</w:t>
      </w:r>
      <w:r>
        <w:rPr>
          <w:lang w:val="en-US"/>
        </w:rPr>
        <w:t>)</w:t>
      </w:r>
      <w:r w:rsidRPr="00D8350B">
        <w:t>.</w:t>
      </w:r>
    </w:p>
    <w:p w:rsidR="00675E99" w:rsidRDefault="00675E99" w:rsidP="00675E99">
      <w:pPr>
        <w:widowControl w:val="0"/>
        <w:suppressAutoHyphens/>
        <w:spacing w:after="120"/>
        <w:ind w:right="-40" w:firstLine="709"/>
        <w:jc w:val="both"/>
      </w:pPr>
      <w:r w:rsidRPr="00981E16">
        <w:t xml:space="preserve">С цел намаляване на административната тежест за лицензираните </w:t>
      </w:r>
      <w:proofErr w:type="spellStart"/>
      <w:r w:rsidRPr="00981E16">
        <w:t>складодържатели</w:t>
      </w:r>
      <w:proofErr w:type="spellEnd"/>
      <w:r w:rsidRPr="00981E16">
        <w:t>, регистрираните получатели, временно регистрираните получатели и регистрираните изпращачи</w:t>
      </w:r>
      <w:r>
        <w:t>,</w:t>
      </w:r>
      <w:r w:rsidRPr="00981E16">
        <w:t xml:space="preserve"> са направени изменения в </w:t>
      </w:r>
      <w:r>
        <w:t xml:space="preserve">закона, които съответстват на разпоредбите на </w:t>
      </w:r>
      <w:r w:rsidRPr="00981E16">
        <w:t>Наредба № 2 от 19.03.2018 г. за условията и реда за подаване на документи по ЗАДС по електронен път</w:t>
      </w:r>
      <w:r>
        <w:t xml:space="preserve">. Съгласно наредбата </w:t>
      </w:r>
      <w:r w:rsidRPr="00981E16">
        <w:t xml:space="preserve">отпадна необходимостта от предоставянето на митническата администрация на имената на служителите, упълномощени да подписват електронни административни документи и </w:t>
      </w:r>
      <w:proofErr w:type="spellStart"/>
      <w:r w:rsidRPr="00981E16">
        <w:t>спесимени</w:t>
      </w:r>
      <w:proofErr w:type="spellEnd"/>
      <w:r w:rsidRPr="00981E16">
        <w:t xml:space="preserve"> на подписите им.</w:t>
      </w:r>
    </w:p>
    <w:p w:rsidR="00675E99" w:rsidRPr="00981E16" w:rsidRDefault="00675E99" w:rsidP="00675E99">
      <w:pPr>
        <w:spacing w:after="120"/>
        <w:ind w:right="-39" w:firstLine="720"/>
        <w:jc w:val="both"/>
      </w:pPr>
      <w:r>
        <w:t xml:space="preserve">Със създаването на </w:t>
      </w:r>
      <w:r w:rsidRPr="00981E16">
        <w:t xml:space="preserve">нов </w:t>
      </w:r>
      <w:r>
        <w:t xml:space="preserve">член в ЗАДС законово се регламентира </w:t>
      </w:r>
      <w:r w:rsidRPr="00981E16">
        <w:t>възможност</w:t>
      </w:r>
      <w:r>
        <w:t>та</w:t>
      </w:r>
      <w:r w:rsidRPr="00981E16">
        <w:t xml:space="preserve"> за анулиране/деактивиране на погрешно подадени искани</w:t>
      </w:r>
      <w:r>
        <w:t xml:space="preserve">я, описи и отчети за бандероли </w:t>
      </w:r>
      <w:r w:rsidRPr="00721DAC">
        <w:t>по писмено искане на лицето</w:t>
      </w:r>
      <w:r>
        <w:t xml:space="preserve">. </w:t>
      </w:r>
      <w:r w:rsidRPr="00721DAC">
        <w:t>Искането за бандероли може да се анулира преди изпращането му до отдел "Контрол върху отпечатването на ценни книжа" в Министерството на финансите</w:t>
      </w:r>
      <w:r>
        <w:t xml:space="preserve">, с което </w:t>
      </w:r>
      <w:r w:rsidRPr="00981E16">
        <w:t xml:space="preserve">се намалява административната тежест върху </w:t>
      </w:r>
      <w:r>
        <w:t xml:space="preserve">данъчно задължените по закона </w:t>
      </w:r>
      <w:r w:rsidRPr="00981E16">
        <w:t>лица.</w:t>
      </w:r>
    </w:p>
    <w:p w:rsidR="00675E99" w:rsidRDefault="00675E99" w:rsidP="00675E99">
      <w:pPr>
        <w:widowControl w:val="0"/>
        <w:suppressAutoHyphens/>
        <w:spacing w:after="120"/>
        <w:ind w:right="-39" w:firstLine="709"/>
        <w:jc w:val="both"/>
        <w:rPr>
          <w:b/>
          <w:bCs/>
          <w:i/>
          <w:iCs/>
        </w:rPr>
      </w:pPr>
      <w:r w:rsidRPr="00D31AD9">
        <w:rPr>
          <w:b/>
          <w:bCs/>
          <w:i/>
          <w:iCs/>
        </w:rPr>
        <w:t>Прецизиране на разпоредби</w:t>
      </w:r>
      <w:r w:rsidRPr="00D31AD9">
        <w:rPr>
          <w:b/>
          <w:i/>
        </w:rPr>
        <w:t xml:space="preserve"> поради възникнали затруднения при практическото прилагане на закона</w:t>
      </w:r>
      <w:r w:rsidRPr="00D31AD9">
        <w:rPr>
          <w:b/>
          <w:bCs/>
          <w:i/>
          <w:iCs/>
        </w:rPr>
        <w:t xml:space="preserve"> и с оглед необходимостта от хармонизиране на българското данъчно законодателство с изискванията на европейските директиви и решения на Съда на Европейския съюз</w:t>
      </w:r>
    </w:p>
    <w:p w:rsidR="00675E99" w:rsidRDefault="00675E99" w:rsidP="00675E99">
      <w:pPr>
        <w:widowControl w:val="0"/>
        <w:suppressAutoHyphens/>
        <w:spacing w:after="120"/>
        <w:ind w:right="-39" w:firstLine="709"/>
        <w:jc w:val="both"/>
      </w:pPr>
      <w:r>
        <w:t xml:space="preserve">Направени са допълнения </w:t>
      </w:r>
      <w:r w:rsidRPr="00981E16">
        <w:t xml:space="preserve">във връзка с отстраняване на затруднения </w:t>
      </w:r>
      <w:r>
        <w:t xml:space="preserve">в </w:t>
      </w:r>
      <w:r w:rsidRPr="00981E16">
        <w:t xml:space="preserve">тълкуването, че не </w:t>
      </w:r>
      <w:r>
        <w:t>могат</w:t>
      </w:r>
      <w:r w:rsidRPr="00981E16">
        <w:t xml:space="preserve"> да бъдат данъчнозадължени лица и съответно да се образува ревизионно производство спрямо лица</w:t>
      </w:r>
      <w:r>
        <w:t>,</w:t>
      </w:r>
      <w:r w:rsidRPr="00981E16">
        <w:t xml:space="preserve"> подали искане за възстановяване на акциз, които не са регистрирани по ЗАДС и лицата</w:t>
      </w:r>
      <w:r>
        <w:t>,</w:t>
      </w:r>
      <w:r w:rsidRPr="00981E16">
        <w:t xml:space="preserve"> посочени в чл. 3, ал. 2 от ЗАДС, когато са произвели или са участвали в производството на акцизни стоки, държат или са участвали в държането на акцизни стоки, разпореждат се или са се разпоредили с акцизни стоки, за които не е бил заплатен акциз или акцизът е бил заплатен частично</w:t>
      </w:r>
      <w:r>
        <w:t>.</w:t>
      </w:r>
    </w:p>
    <w:p w:rsidR="00675E99" w:rsidRDefault="00675E99" w:rsidP="00675E99">
      <w:pPr>
        <w:widowControl w:val="0"/>
        <w:suppressAutoHyphens/>
        <w:spacing w:after="120"/>
        <w:ind w:right="-39" w:firstLine="709"/>
        <w:jc w:val="both"/>
      </w:pPr>
      <w:r>
        <w:t xml:space="preserve">Приета е разпоредба, която </w:t>
      </w:r>
      <w:r w:rsidRPr="00981E16">
        <w:t>въвежда солидарна отговорност за събиране на задълженията за акциз</w:t>
      </w:r>
      <w:r>
        <w:t xml:space="preserve">, </w:t>
      </w:r>
      <w:r w:rsidRPr="00981E16">
        <w:t>в случаите на потребление на енергийни продукти извън условията на ползване на данъчно облагане. В тази</w:t>
      </w:r>
      <w:r>
        <w:t xml:space="preserve"> връзка е предвидено допълнение</w:t>
      </w:r>
      <w:r w:rsidRPr="00981E16">
        <w:t>, ко</w:t>
      </w:r>
      <w:r>
        <w:t>е</w:t>
      </w:r>
      <w:r w:rsidRPr="00981E16">
        <w:t>то урежда хипотезата за освобождаване за потребление да се счита, неизпълнението на условие по отношение на крайното потребление, за което е ползвано освобождаване от заплащане на акциз. Целта е да се избегне възстановяването на акциз при неизпълнение на условие по отношение на крайното предназначение, и в случаите на доставката на енергийни продукти за зареждане на плавателни съдове и въздухоплавателни средства. Промяната е в съответствие с чл. 21, параграф 4 от Директива 2003/96/ на Съвета от 27 октомври 2003 година относно преструктурирането на правната рамката на Общността за данъчно облагане на енергийните продукти и електроенергията.</w:t>
      </w:r>
    </w:p>
    <w:p w:rsidR="00675E99" w:rsidRPr="00AF61D1" w:rsidRDefault="00675E99" w:rsidP="00675E99">
      <w:pPr>
        <w:widowControl w:val="0"/>
        <w:suppressAutoHyphens/>
        <w:spacing w:after="120"/>
        <w:ind w:right="-39" w:firstLine="709"/>
        <w:jc w:val="both"/>
      </w:pPr>
      <w:r>
        <w:t xml:space="preserve">Създаден е специален ред </w:t>
      </w:r>
      <w:r w:rsidRPr="000D040E">
        <w:t xml:space="preserve">за уведомяване на митническите органи за бутилирани алкохолни напитки и ограничени серии пури с колекционерска стойност. Промяната е направена вследствие на възникнали практически казуси, свързани с държането на високо алкохолни напитки без бандерол с висока колекционерска стойност. Целта на </w:t>
      </w:r>
      <w:r>
        <w:t xml:space="preserve">промяната </w:t>
      </w:r>
      <w:r w:rsidRPr="000D040E">
        <w:t xml:space="preserve">е да се уреди нормативно </w:t>
      </w:r>
      <w:r w:rsidRPr="00AF61D1">
        <w:t xml:space="preserve">възможността за колекциониране на такива акцизни стоки (алкохолни напитки и пури). В случай, че колекционерите на тези стоки са изпълнили изискванията на закона, спрямо тях не се ангажира </w:t>
      </w:r>
      <w:proofErr w:type="spellStart"/>
      <w:r w:rsidRPr="00AF61D1">
        <w:t>административнонаказателна</w:t>
      </w:r>
      <w:proofErr w:type="spellEnd"/>
      <w:r w:rsidRPr="00AF61D1">
        <w:t xml:space="preserve"> отговорност.</w:t>
      </w:r>
    </w:p>
    <w:p w:rsidR="00675E99" w:rsidRDefault="00675E99" w:rsidP="00675E99">
      <w:pPr>
        <w:widowControl w:val="0"/>
        <w:suppressAutoHyphens/>
        <w:spacing w:after="120"/>
        <w:ind w:right="-39" w:firstLine="709"/>
        <w:jc w:val="both"/>
      </w:pPr>
      <w:r w:rsidRPr="00AF61D1">
        <w:t xml:space="preserve">Направено е изменение, с което се регламентира, че за целите на възникване на </w:t>
      </w:r>
      <w:r w:rsidRPr="00AF61D1">
        <w:lastRenderedPageBreak/>
        <w:t>задължението за заплащане на акциз не е необходимо да има установено нарушение, включително и с влязло в сила наказателно постановление, за да може да бъде извършено ревизионно производство.</w:t>
      </w:r>
    </w:p>
    <w:p w:rsidR="00675E99" w:rsidRPr="00B724B9" w:rsidRDefault="00675E99" w:rsidP="00675E99">
      <w:pPr>
        <w:widowControl w:val="0"/>
        <w:suppressAutoHyphens/>
        <w:spacing w:after="120"/>
        <w:ind w:right="-39" w:firstLine="709"/>
        <w:jc w:val="both"/>
        <w:rPr>
          <w:bCs/>
        </w:rPr>
      </w:pPr>
      <w:r>
        <w:t xml:space="preserve">Направено е изменение, </w:t>
      </w:r>
      <w:r w:rsidRPr="00B724B9">
        <w:t>с цел създаване на законова регламентация относно условието за заплащане на пълното задължение за акциз, при надвишаване на годишното допустимо производство от 200 000 хектолитра бира от лице, което е получило удостоверение за независима малка пивоварна.</w:t>
      </w:r>
    </w:p>
    <w:p w:rsidR="00675E99" w:rsidRDefault="00675E99" w:rsidP="00675E99">
      <w:pPr>
        <w:widowControl w:val="0"/>
        <w:suppressAutoHyphens/>
        <w:spacing w:after="120"/>
        <w:ind w:right="-39" w:firstLine="709"/>
        <w:jc w:val="both"/>
      </w:pPr>
      <w:r w:rsidRPr="00BB4CD1">
        <w:t>Прецизирана е разпоредбата на чл. 90б, ал. 1</w:t>
      </w:r>
      <w:r>
        <w:t>,</w:t>
      </w:r>
      <w:r w:rsidRPr="00BB4CD1">
        <w:t xml:space="preserve"> за да се разшири обхватът на обектите, в които се извършва търговия с тютюневи изделия. С промяната </w:t>
      </w:r>
      <w:r>
        <w:t xml:space="preserve">е </w:t>
      </w:r>
      <w:r w:rsidRPr="00BB4CD1">
        <w:t xml:space="preserve">създадена нормативна възможност за издаване на разрешения за продажба на тютюневи изделия </w:t>
      </w:r>
      <w:r>
        <w:t xml:space="preserve">и </w:t>
      </w:r>
      <w:r w:rsidRPr="00BB4CD1">
        <w:t>за обекти</w:t>
      </w:r>
      <w:r>
        <w:t xml:space="preserve"> </w:t>
      </w:r>
      <w:r w:rsidRPr="00BB4CD1">
        <w:t>за зареждане на моторни превозни средства с горива</w:t>
      </w:r>
      <w:r>
        <w:t>, освен включените в понятието „бензиностанция“, регламентирано в закона.</w:t>
      </w:r>
    </w:p>
    <w:p w:rsidR="00675E99" w:rsidRDefault="00675E99" w:rsidP="00675E99">
      <w:pPr>
        <w:widowControl w:val="0"/>
        <w:suppressAutoHyphens/>
        <w:spacing w:after="120"/>
        <w:ind w:right="-39" w:firstLine="709"/>
        <w:jc w:val="both"/>
      </w:pPr>
      <w:r>
        <w:t xml:space="preserve">Направено </w:t>
      </w:r>
      <w:r w:rsidRPr="00E70D1B">
        <w:t xml:space="preserve">е изменение </w:t>
      </w:r>
      <w:r>
        <w:t xml:space="preserve">в ЗАДС, с оглед </w:t>
      </w:r>
      <w:r w:rsidRPr="00E70D1B">
        <w:t>улеснение на лицата, предоставящи услуги за публикуване на обяви и съобщения</w:t>
      </w:r>
      <w:r>
        <w:t xml:space="preserve"> за продажба на акцизни стоки</w:t>
      </w:r>
      <w:r w:rsidRPr="00E70D1B">
        <w:t>, включително в електронен вид.</w:t>
      </w:r>
      <w:r>
        <w:t xml:space="preserve"> С </w:t>
      </w:r>
      <w:r w:rsidRPr="00E70D1B">
        <w:t xml:space="preserve">прецизирането на текста се обхващат и случаите, в които се предлагат за продажба и алкохолни напитки (вино), което представлява една голяма част от предлаганите за продажба акцизни стоки чрез интернет. С цел търговия, физическите лица произвеждат масово вина в нарушение на чл. 60 от ЗАДС, като по този начин реализират неофициални доходи и укриват данъци. От забраната е предвидено изключение за търговците, чиято обичайна дейност е легалната търговия с алкохолни напитки и същите предлагат онлайн вино, бира и спиртни напитки (предлагането и продажбата на тютюневи изделия чрез интернет е забранено от Закона за тютюна, тютюневите и свързаните с тях изделия). Задължително условие обаче е предлагането на акцизните стоки да става чрез електронен магазин, регистриран в НАП. </w:t>
      </w:r>
    </w:p>
    <w:p w:rsidR="00675E99" w:rsidRDefault="00675E99" w:rsidP="00675E99">
      <w:pPr>
        <w:widowControl w:val="0"/>
        <w:suppressAutoHyphens/>
        <w:spacing w:after="120"/>
        <w:ind w:right="-39" w:firstLine="709"/>
        <w:jc w:val="both"/>
      </w:pPr>
      <w:r w:rsidRPr="00DE1360">
        <w:rPr>
          <w:b/>
          <w:i/>
        </w:rPr>
        <w:t>Промени в резултат на констатирани несъответствия с правото на ЕС и хармонизиране на националното с европейското законодателство, с цел единното прилагане, при съобразяване с практиката на Съда на ЕС</w:t>
      </w:r>
      <w:r>
        <w:t xml:space="preserve"> </w:t>
      </w:r>
    </w:p>
    <w:p w:rsidR="00675E99" w:rsidRDefault="00675E99" w:rsidP="00675E99">
      <w:pPr>
        <w:widowControl w:val="0"/>
        <w:suppressAutoHyphens/>
        <w:spacing w:after="120"/>
        <w:ind w:right="-39" w:firstLine="709"/>
        <w:jc w:val="both"/>
      </w:pPr>
      <w:r>
        <w:t xml:space="preserve">Във връзка с Решение на Съда на ЕС </w:t>
      </w:r>
      <w:r w:rsidRPr="00341BE9">
        <w:t>/СЕС/ от 6 април 2017 г. по дело C</w:t>
      </w:r>
      <w:r w:rsidRPr="00341BE9">
        <w:rPr>
          <w:rFonts w:ascii="MS Mincho" w:eastAsia="MS Mincho" w:hAnsi="MS Mincho" w:cs="MS Mincho" w:hint="eastAsia"/>
        </w:rPr>
        <w:t>‑</w:t>
      </w:r>
      <w:r w:rsidRPr="00341BE9">
        <w:t>638/15</w:t>
      </w:r>
      <w:r>
        <w:t xml:space="preserve"> и в съответствие с разпоредбите на </w:t>
      </w:r>
      <w:r w:rsidRPr="00341BE9">
        <w:t>Директива 2011/64/ЕС на Съвета от 21 юни 2011 година относно структурата и ставките на акциза върху обработен тютюн</w:t>
      </w:r>
      <w:r>
        <w:t xml:space="preserve">, е прието изменение в ЗАДС, с което </w:t>
      </w:r>
      <w:r w:rsidRPr="00341BE9">
        <w:t xml:space="preserve">изсушени, плоски, с неправилна форма, частично </w:t>
      </w:r>
      <w:proofErr w:type="spellStart"/>
      <w:r w:rsidRPr="00341BE9">
        <w:t>обезжилени</w:t>
      </w:r>
      <w:proofErr w:type="spellEnd"/>
      <w:r w:rsidRPr="00341BE9">
        <w:t xml:space="preserve"> тютюневи листа, преминали процес на изсушаване и контролирано овлажняване, които съдържат глицерин и са годни за пушене след проста манипулация посредством смачкване или ръчно нарязване, спадат към понятието „тютю</w:t>
      </w:r>
      <w:r>
        <w:t xml:space="preserve">н за пушене“ по смисъла на </w:t>
      </w:r>
      <w:r w:rsidRPr="00341BE9">
        <w:t>разпоредби</w:t>
      </w:r>
      <w:r>
        <w:t xml:space="preserve">те на директивата.  </w:t>
      </w:r>
    </w:p>
    <w:p w:rsidR="00675E99" w:rsidRDefault="00675E99" w:rsidP="00675E99">
      <w:pPr>
        <w:spacing w:after="120"/>
        <w:ind w:right="-39" w:firstLine="720"/>
        <w:jc w:val="both"/>
      </w:pPr>
      <w:r>
        <w:t xml:space="preserve">Прецизирана е разпоредба в ЗАДС, </w:t>
      </w:r>
      <w:r w:rsidRPr="00981E16">
        <w:t xml:space="preserve">с оглед Решение на СЕС по дело С-30/17, в което е постановено, че чл. 3, параграф 1 от Директива 92/83/ЕИО на Съвета от 19 октомври 1992 година за хармонизиране на структурата на акцизите върху алкохола и алкохолните напитки трябва да се тълкува в смисъл, че при определянето на данъчната основа за облагане на ароматизирани бири по скалата на Плато следва да се взема предвид сухият екстракт в първичната мъст, без да се отчитат добавените след приключване на ферментацията </w:t>
      </w:r>
      <w:proofErr w:type="spellStart"/>
      <w:r w:rsidRPr="00981E16">
        <w:t>овкусители</w:t>
      </w:r>
      <w:proofErr w:type="spellEnd"/>
      <w:r w:rsidRPr="00981E16">
        <w:t xml:space="preserve"> и захарен сироп. В цитираното решение е посочено, че понятието „градус Плато“, съдържащо се </w:t>
      </w:r>
      <w:r>
        <w:t xml:space="preserve">в разпоредбите на </w:t>
      </w:r>
      <w:r w:rsidRPr="00981E16">
        <w:t>Директива 92/83, трябва да се тълкува като мерна единица, отнасяща се за първоначалната плътност на бирата и следователно за нейната първоначална мъст.</w:t>
      </w:r>
    </w:p>
    <w:p w:rsidR="00675E99" w:rsidRPr="009E04AF" w:rsidRDefault="00675E99" w:rsidP="00675E99">
      <w:pPr>
        <w:widowControl w:val="0"/>
        <w:suppressAutoHyphens/>
        <w:spacing w:after="120"/>
        <w:ind w:right="-284" w:firstLine="709"/>
        <w:jc w:val="both"/>
        <w:rPr>
          <w:rFonts w:eastAsia="DejaVu Sans"/>
          <w:b/>
          <w:bCs/>
          <w:kern w:val="1"/>
          <w:u w:val="single"/>
          <w:lang w:eastAsia="hi-IN" w:bidi="hi-IN"/>
        </w:rPr>
      </w:pPr>
      <w:r w:rsidRPr="009E04AF">
        <w:rPr>
          <w:rFonts w:eastAsia="DejaVu Sans"/>
          <w:b/>
          <w:bCs/>
          <w:kern w:val="1"/>
          <w:u w:val="single"/>
          <w:lang w:eastAsia="hi-IN" w:bidi="hi-IN"/>
        </w:rPr>
        <w:t>Промени в Закона за данъците върху доходите на физическите лица</w:t>
      </w:r>
    </w:p>
    <w:p w:rsidR="00675E99" w:rsidRPr="00E57768" w:rsidRDefault="00675E99" w:rsidP="00675E99">
      <w:pPr>
        <w:autoSpaceDE w:val="0"/>
        <w:autoSpaceDN w:val="0"/>
        <w:adjustRightInd w:val="0"/>
        <w:spacing w:after="120"/>
        <w:ind w:firstLine="709"/>
        <w:jc w:val="both"/>
        <w:rPr>
          <w:b/>
          <w:bCs/>
          <w:i/>
          <w:iCs/>
        </w:rPr>
      </w:pPr>
      <w:r w:rsidRPr="00E57768">
        <w:rPr>
          <w:b/>
          <w:bCs/>
          <w:i/>
          <w:iCs/>
        </w:rPr>
        <w:t>Намаляване административната тежест и разходите за лицата и приходната администрация</w:t>
      </w:r>
    </w:p>
    <w:p w:rsidR="00675E99" w:rsidRDefault="00675E99" w:rsidP="00675E99">
      <w:pPr>
        <w:autoSpaceDE w:val="0"/>
        <w:autoSpaceDN w:val="0"/>
        <w:adjustRightInd w:val="0"/>
        <w:spacing w:after="120"/>
        <w:ind w:firstLine="709"/>
        <w:jc w:val="both"/>
        <w:rPr>
          <w:color w:val="000000"/>
        </w:rPr>
      </w:pPr>
      <w:r>
        <w:rPr>
          <w:color w:val="00000A"/>
        </w:rPr>
        <w:t xml:space="preserve">С оглед </w:t>
      </w:r>
      <w:r w:rsidRPr="00981E16">
        <w:rPr>
          <w:color w:val="00000A"/>
        </w:rPr>
        <w:t xml:space="preserve">намаляване на административната тежест и улесняване на лицата при ползване на данъчните облекчения за млади семейства, за деца и за деца с увреждания, </w:t>
      </w:r>
      <w:r>
        <w:rPr>
          <w:color w:val="00000A"/>
        </w:rPr>
        <w:t xml:space="preserve">е направено изменение в закона, </w:t>
      </w:r>
      <w:r w:rsidRPr="00981E16">
        <w:rPr>
          <w:color w:val="00000A"/>
        </w:rPr>
        <w:t xml:space="preserve">с което </w:t>
      </w:r>
      <w:r>
        <w:rPr>
          <w:color w:val="00000A"/>
        </w:rPr>
        <w:t xml:space="preserve">отпада </w:t>
      </w:r>
      <w:r w:rsidRPr="00981E16">
        <w:rPr>
          <w:color w:val="00000A"/>
        </w:rPr>
        <w:t xml:space="preserve">задължението към годишната данъчна декларация да се прилага писмена декларация от съпруга/та, че същият/ата няма да ползва данъчното </w:t>
      </w:r>
      <w:r w:rsidRPr="00981E16">
        <w:rPr>
          <w:color w:val="00000A"/>
        </w:rPr>
        <w:lastRenderedPageBreak/>
        <w:t>облекчение.</w:t>
      </w:r>
      <w:r w:rsidRPr="00E57768">
        <w:rPr>
          <w:color w:val="000000"/>
        </w:rPr>
        <w:t xml:space="preserve"> </w:t>
      </w:r>
      <w:r w:rsidRPr="00981E16">
        <w:rPr>
          <w:color w:val="000000"/>
        </w:rPr>
        <w:t>За избягване на злоупотреби, свързани с облекчения режим на ползване на тези данъчни преференции, е предвидено възстановяване на частта от данъка и от двете страни, съответстваща на размера на ползваното облекчение. Целта е да се избегнат случаите на неспазване на закона, като се санкционират некоректните данъкоплатци.</w:t>
      </w:r>
    </w:p>
    <w:p w:rsidR="00675E99" w:rsidRPr="00B07F99" w:rsidRDefault="00675E99" w:rsidP="00675E99">
      <w:pPr>
        <w:autoSpaceDE w:val="0"/>
        <w:autoSpaceDN w:val="0"/>
        <w:adjustRightInd w:val="0"/>
        <w:spacing w:after="120"/>
        <w:ind w:firstLine="709"/>
        <w:jc w:val="both"/>
        <w:rPr>
          <w:bCs/>
          <w:iCs/>
        </w:rPr>
      </w:pPr>
      <w:r w:rsidRPr="00981E16">
        <w:rPr>
          <w:color w:val="00000A"/>
        </w:rPr>
        <w:t xml:space="preserve">По отношение на данъчните облекчения за деца и за деца с увреждания, </w:t>
      </w:r>
      <w:r>
        <w:rPr>
          <w:color w:val="00000A"/>
        </w:rPr>
        <w:t xml:space="preserve">е създадена </w:t>
      </w:r>
      <w:r w:rsidRPr="00981E16">
        <w:rPr>
          <w:color w:val="00000A"/>
        </w:rPr>
        <w:t>правна възможност за ползване на облекченията и от двамата родители, когато доходите им не позволяват те да се приложат от единия родител, което се среща най-вече при прилагане на данъчното облекчение за деца с увреждания. Целта е да се даде възможност и на семействата с по-</w:t>
      </w:r>
      <w:r w:rsidRPr="00B07F99">
        <w:t>ниски доходи да прилагат пълния размер на облекчението.</w:t>
      </w:r>
    </w:p>
    <w:p w:rsidR="00675E99" w:rsidRDefault="00675E99" w:rsidP="00675E99">
      <w:pPr>
        <w:autoSpaceDE w:val="0"/>
        <w:autoSpaceDN w:val="0"/>
        <w:adjustRightInd w:val="0"/>
        <w:spacing w:after="120"/>
        <w:ind w:firstLine="709"/>
        <w:jc w:val="both"/>
        <w:rPr>
          <w:bCs/>
          <w:iCs/>
        </w:rPr>
      </w:pPr>
      <w:r w:rsidRPr="00B07F99">
        <w:rPr>
          <w:bCs/>
          <w:iCs/>
        </w:rPr>
        <w:t>Посочените промени се прилагат при ползване на данъчни облекчения за 2018 г</w:t>
      </w:r>
      <w:r>
        <w:rPr>
          <w:bCs/>
          <w:iCs/>
        </w:rPr>
        <w:t>одина</w:t>
      </w:r>
      <w:r w:rsidRPr="00B07F99">
        <w:rPr>
          <w:bCs/>
          <w:iCs/>
        </w:rPr>
        <w:t>.</w:t>
      </w:r>
    </w:p>
    <w:p w:rsidR="00675E99" w:rsidRDefault="00675E99" w:rsidP="00675E99">
      <w:pPr>
        <w:autoSpaceDE w:val="0"/>
        <w:autoSpaceDN w:val="0"/>
        <w:adjustRightInd w:val="0"/>
        <w:spacing w:after="120"/>
        <w:ind w:firstLine="709"/>
        <w:jc w:val="both"/>
        <w:rPr>
          <w:color w:val="00000A"/>
        </w:rPr>
      </w:pPr>
      <w:r>
        <w:rPr>
          <w:color w:val="00000A"/>
        </w:rPr>
        <w:t xml:space="preserve">Приета е </w:t>
      </w:r>
      <w:r w:rsidRPr="00981E16">
        <w:rPr>
          <w:color w:val="00000A"/>
        </w:rPr>
        <w:t xml:space="preserve">промяна в режима на облагане на придобитите облагаеми парични и предметни </w:t>
      </w:r>
      <w:r w:rsidRPr="0016359F">
        <w:rPr>
          <w:color w:val="00000A"/>
        </w:rPr>
        <w:t xml:space="preserve">награди от игри, състезания и конкурси, които не са предоставени от работодател или възложител, </w:t>
      </w:r>
      <w:r>
        <w:rPr>
          <w:iCs/>
          <w:color w:val="00000A"/>
        </w:rPr>
        <w:t xml:space="preserve">като се </w:t>
      </w:r>
      <w:r w:rsidRPr="0016359F">
        <w:rPr>
          <w:iCs/>
          <w:color w:val="00000A"/>
        </w:rPr>
        <w:t>преминава от облагане с данък върху годишната данъчна основа към облагане с окончателен данък</w:t>
      </w:r>
      <w:r w:rsidRPr="0016359F">
        <w:rPr>
          <w:color w:val="00000A"/>
        </w:rPr>
        <w:t>. Приетото изменение намалява административната тежест за лицата, които няма да са задължени да декларират тези доходи в годишната си данъчна декларация,</w:t>
      </w:r>
      <w:r w:rsidRPr="008E1166">
        <w:rPr>
          <w:iCs/>
        </w:rPr>
        <w:t xml:space="preserve"> </w:t>
      </w:r>
      <w:r w:rsidRPr="00BA1813">
        <w:rPr>
          <w:iCs/>
        </w:rPr>
        <w:t>предвид и обстоятелството, че в голям брой случаи те забравят да ги декларират</w:t>
      </w:r>
      <w:r>
        <w:rPr>
          <w:iCs/>
        </w:rPr>
        <w:t>,</w:t>
      </w:r>
      <w:r w:rsidRPr="00BA1813">
        <w:rPr>
          <w:iCs/>
        </w:rPr>
        <w:t xml:space="preserve"> поради случайния им характер, което от своя страна е свързано с налагането на имуществена санкция/глоба.</w:t>
      </w:r>
      <w:r>
        <w:rPr>
          <w:iCs/>
        </w:rPr>
        <w:t xml:space="preserve"> Отпада и задължението на п</w:t>
      </w:r>
      <w:r w:rsidRPr="0016359F">
        <w:rPr>
          <w:color w:val="00000A"/>
        </w:rPr>
        <w:t>редприятията</w:t>
      </w:r>
      <w:r>
        <w:rPr>
          <w:color w:val="00000A"/>
        </w:rPr>
        <w:t xml:space="preserve">-платци на наградите </w:t>
      </w:r>
      <w:r w:rsidRPr="0016359F">
        <w:rPr>
          <w:color w:val="00000A"/>
        </w:rPr>
        <w:t xml:space="preserve">да издават служебни бележки. Същевременно се повишава стойността на необлагаемите награди от 30 на 100 лв., което също ще облекчи </w:t>
      </w:r>
      <w:r w:rsidRPr="0016359F">
        <w:rPr>
          <w:iCs/>
        </w:rPr>
        <w:t>както лицата, получили такива награди, така и платците на наградите</w:t>
      </w:r>
      <w:r w:rsidRPr="0016359F">
        <w:rPr>
          <w:color w:val="00000A"/>
        </w:rPr>
        <w:t>.</w:t>
      </w:r>
    </w:p>
    <w:p w:rsidR="00675E99" w:rsidRDefault="00675E99" w:rsidP="00675E99">
      <w:pPr>
        <w:autoSpaceDE w:val="0"/>
        <w:autoSpaceDN w:val="0"/>
        <w:adjustRightInd w:val="0"/>
        <w:spacing w:after="120"/>
        <w:ind w:firstLine="709"/>
        <w:jc w:val="both"/>
        <w:rPr>
          <w:color w:val="00000A"/>
        </w:rPr>
      </w:pPr>
      <w:r>
        <w:rPr>
          <w:color w:val="00000A"/>
        </w:rPr>
        <w:t xml:space="preserve">Въведена е нова разпоредба, с която се прецизира </w:t>
      </w:r>
      <w:r w:rsidRPr="00981E16">
        <w:rPr>
          <w:color w:val="00000A"/>
        </w:rPr>
        <w:t>начина на закръгляване на годишните данъци върху доходите на физическите лица, така че дължимият данък за довнасяне по годишна данъчна декларация да се внася без стотинки, а само в левове. Посочената промяна се прилага и при деклариране на доходите за 2018 г</w:t>
      </w:r>
      <w:r>
        <w:rPr>
          <w:color w:val="00000A"/>
        </w:rPr>
        <w:t>одина</w:t>
      </w:r>
      <w:r w:rsidRPr="00981E16">
        <w:rPr>
          <w:color w:val="00000A"/>
        </w:rPr>
        <w:t>.</w:t>
      </w:r>
    </w:p>
    <w:p w:rsidR="00675E99" w:rsidRDefault="00675E99" w:rsidP="00675E99">
      <w:pPr>
        <w:autoSpaceDE w:val="0"/>
        <w:autoSpaceDN w:val="0"/>
        <w:adjustRightInd w:val="0"/>
        <w:spacing w:after="120"/>
        <w:ind w:firstLine="709"/>
        <w:jc w:val="both"/>
        <w:rPr>
          <w:color w:val="000000"/>
        </w:rPr>
      </w:pPr>
      <w:r w:rsidRPr="00385E4F">
        <w:rPr>
          <w:color w:val="00000A"/>
        </w:rPr>
        <w:t>Прието е изменение, с което се предвижда едномесечен срок за внасянето на дължим данък за доходи на починали лица</w:t>
      </w:r>
      <w:r w:rsidRPr="00385E4F">
        <w:rPr>
          <w:color w:val="000000"/>
        </w:rPr>
        <w:t xml:space="preserve"> от датата, на която изтича срокът за подаване на годишната данъчна декларация от наследниците/</w:t>
      </w:r>
      <w:proofErr w:type="spellStart"/>
      <w:r w:rsidRPr="00385E4F">
        <w:rPr>
          <w:color w:val="000000"/>
        </w:rPr>
        <w:t>заветниците</w:t>
      </w:r>
      <w:proofErr w:type="spellEnd"/>
      <w:r w:rsidRPr="00385E4F">
        <w:rPr>
          <w:color w:val="000000"/>
        </w:rPr>
        <w:t xml:space="preserve"> - </w:t>
      </w:r>
      <w:r w:rsidRPr="00385E4F">
        <w:rPr>
          <w:color w:val="00000A"/>
        </w:rPr>
        <w:t xml:space="preserve">30 април. Целта на направената промяна е </w:t>
      </w:r>
      <w:r w:rsidRPr="00385E4F">
        <w:rPr>
          <w:color w:val="000000"/>
        </w:rPr>
        <w:t>избягване начисляването на лихви за просрочие, в случаите, когато наследниците по една или друга причина се възползват от законовата възможност за подаване на декларация за дължимия данък след 30 април.</w:t>
      </w:r>
    </w:p>
    <w:p w:rsidR="00675E99" w:rsidRDefault="00675E99" w:rsidP="00675E99">
      <w:pPr>
        <w:autoSpaceDE w:val="0"/>
        <w:autoSpaceDN w:val="0"/>
        <w:adjustRightInd w:val="0"/>
        <w:spacing w:after="120"/>
        <w:ind w:firstLine="709"/>
        <w:jc w:val="both"/>
        <w:rPr>
          <w:color w:val="00000A"/>
          <w:highlight w:val="lightGray"/>
        </w:rPr>
      </w:pPr>
      <w:r>
        <w:rPr>
          <w:color w:val="00000A"/>
        </w:rPr>
        <w:t xml:space="preserve">Приета е </w:t>
      </w:r>
      <w:r w:rsidRPr="00981E16">
        <w:rPr>
          <w:color w:val="00000A"/>
        </w:rPr>
        <w:t>напълно нова концепция за премахване на хартиения носител на служебните бележки по чл. 45 от ЗДДФЛ за придобития през годината облагаем доход и удържания данък на физическите лица, като отпад</w:t>
      </w:r>
      <w:r>
        <w:rPr>
          <w:color w:val="00000A"/>
        </w:rPr>
        <w:t>а</w:t>
      </w:r>
      <w:r w:rsidRPr="00981E16">
        <w:rPr>
          <w:color w:val="00000A"/>
        </w:rPr>
        <w:t xml:space="preserve"> законовото задължение на работодателите за издаване на служебн</w:t>
      </w:r>
      <w:r>
        <w:rPr>
          <w:color w:val="00000A"/>
        </w:rPr>
        <w:t xml:space="preserve">и бележки и това </w:t>
      </w:r>
      <w:r w:rsidRPr="00981E16">
        <w:rPr>
          <w:color w:val="00000A"/>
        </w:rPr>
        <w:t xml:space="preserve">става само при поискване от страна на лицата. Механизмът на </w:t>
      </w:r>
      <w:r>
        <w:rPr>
          <w:color w:val="00000A"/>
        </w:rPr>
        <w:t xml:space="preserve">направената </w:t>
      </w:r>
      <w:r w:rsidRPr="00981E16">
        <w:rPr>
          <w:color w:val="00000A"/>
        </w:rPr>
        <w:t>промяна предвижда информацията от служебната бележка да се предоставя от платците на доходите с подаваната от тях справка по чл. 73, ал. 1 от ЗДДФЛ след малки допълнения към настоящия й образец.</w:t>
      </w:r>
    </w:p>
    <w:p w:rsidR="00675E99" w:rsidRPr="00CF7DAC" w:rsidRDefault="00675E99" w:rsidP="00675E99">
      <w:pPr>
        <w:spacing w:after="120"/>
        <w:ind w:firstLine="720"/>
        <w:jc w:val="both"/>
        <w:rPr>
          <w:color w:val="00000A"/>
        </w:rPr>
      </w:pPr>
      <w:r w:rsidRPr="00CF7DAC">
        <w:rPr>
          <w:b/>
          <w:bCs/>
          <w:i/>
          <w:iCs/>
          <w:color w:val="00000A"/>
        </w:rPr>
        <w:t>Електронно подаване на декларации по Закона за данъците върху доходите на физическите лица (ЗДДФЛ)</w:t>
      </w:r>
    </w:p>
    <w:p w:rsidR="00675E99" w:rsidRPr="006015DA" w:rsidRDefault="00675E99" w:rsidP="00675E99">
      <w:pPr>
        <w:spacing w:after="120"/>
        <w:ind w:firstLine="720"/>
        <w:jc w:val="both"/>
        <w:rPr>
          <w:iCs/>
          <w:color w:val="00000A"/>
        </w:rPr>
      </w:pPr>
      <w:r w:rsidRPr="00216648">
        <w:rPr>
          <w:iCs/>
        </w:rPr>
        <w:t xml:space="preserve">Приета е промяна, с която предприятията-платци на доходи, както и </w:t>
      </w:r>
      <w:proofErr w:type="spellStart"/>
      <w:r w:rsidRPr="00216648">
        <w:rPr>
          <w:iCs/>
        </w:rPr>
        <w:t>самоосигуряващите</w:t>
      </w:r>
      <w:proofErr w:type="spellEnd"/>
      <w:r w:rsidRPr="00216648">
        <w:rPr>
          <w:iCs/>
        </w:rPr>
        <w:t xml:space="preserve"> се лица по смисъла на </w:t>
      </w:r>
      <w:hyperlink r:id="rId10" w:history="1">
        <w:r w:rsidRPr="00216648">
          <w:rPr>
            <w:rStyle w:val="Hyperlink"/>
            <w:iCs/>
            <w:color w:val="auto"/>
          </w:rPr>
          <w:t>Кодекса за социално осигуряване</w:t>
        </w:r>
      </w:hyperlink>
      <w:r w:rsidRPr="00216648">
        <w:rPr>
          <w:iCs/>
        </w:rPr>
        <w:t xml:space="preserve">, подават само по електронен път декларацията по </w:t>
      </w:r>
      <w:hyperlink r:id="rId11" w:history="1">
        <w:r w:rsidRPr="00216648">
          <w:rPr>
            <w:rStyle w:val="Hyperlink"/>
            <w:iCs/>
            <w:color w:val="auto"/>
          </w:rPr>
          <w:t>чл. 55, ал. 1</w:t>
        </w:r>
      </w:hyperlink>
      <w:r w:rsidRPr="00216648">
        <w:rPr>
          <w:iCs/>
        </w:rPr>
        <w:t xml:space="preserve"> и справката по чл. 73, ал. 1 от ЗДДФЛ. Също </w:t>
      </w:r>
      <w:r w:rsidRPr="00CF7DAC">
        <w:rPr>
          <w:iCs/>
        </w:rPr>
        <w:t>така е въведено изменение за подаването на информацията от работодателите, изплатили доходи от трудови правоотношения на лица, които са местни за друга държава-членка на</w:t>
      </w:r>
      <w:r w:rsidRPr="00CF7DAC">
        <w:rPr>
          <w:iCs/>
          <w:color w:val="00000A"/>
        </w:rPr>
        <w:t xml:space="preserve"> ЕС, да се осъществява само по електронен път. Отпада задължението на работодателите за издаване на служебни бележки на хартиен носител, като вместо това информацията се подава по електронен път към данъчната администрация, като целта е данните автоматично да се зареждат в образците на годишните данъчни декларации на лицата. Промяната значително ще опрости процеса на попълването и подаването на декларациите по електронен път.</w:t>
      </w:r>
      <w:r>
        <w:rPr>
          <w:iCs/>
          <w:color w:val="00000A"/>
        </w:rPr>
        <w:t xml:space="preserve"> </w:t>
      </w:r>
      <w:r>
        <w:rPr>
          <w:color w:val="00000A"/>
        </w:rPr>
        <w:lastRenderedPageBreak/>
        <w:t>Посочените промени се прилагат за годишната данъчна декларация и съответно за справките, за които задължението за подаване възниква след 31 декември 2019 година.</w:t>
      </w:r>
    </w:p>
    <w:p w:rsidR="00675E99" w:rsidRDefault="00675E99" w:rsidP="00675E99">
      <w:pPr>
        <w:autoSpaceDE w:val="0"/>
        <w:autoSpaceDN w:val="0"/>
        <w:adjustRightInd w:val="0"/>
        <w:spacing w:after="120"/>
        <w:ind w:firstLine="709"/>
        <w:jc w:val="both"/>
        <w:rPr>
          <w:b/>
          <w:i/>
          <w:color w:val="00000A"/>
        </w:rPr>
      </w:pPr>
      <w:r w:rsidRPr="00F50D57">
        <w:rPr>
          <w:b/>
          <w:i/>
          <w:color w:val="00000A"/>
        </w:rPr>
        <w:t xml:space="preserve">Синхронизиране на разпоредбите на ЗДДФЛ с тези на </w:t>
      </w:r>
      <w:r w:rsidRPr="00472169">
        <w:rPr>
          <w:b/>
          <w:bCs/>
          <w:i/>
          <w:iCs/>
        </w:rPr>
        <w:t xml:space="preserve">Закона за корпоративното подоходно облагане </w:t>
      </w:r>
      <w:r w:rsidRPr="005A1E39">
        <w:rPr>
          <w:b/>
          <w:bCs/>
          <w:i/>
          <w:iCs/>
        </w:rPr>
        <w:t>(</w:t>
      </w:r>
      <w:r w:rsidRPr="00472169">
        <w:rPr>
          <w:b/>
          <w:bCs/>
          <w:i/>
          <w:iCs/>
        </w:rPr>
        <w:t>ЗКПО</w:t>
      </w:r>
      <w:r w:rsidRPr="005A1E39">
        <w:rPr>
          <w:b/>
          <w:bCs/>
          <w:i/>
          <w:iCs/>
        </w:rPr>
        <w:t>)</w:t>
      </w:r>
    </w:p>
    <w:p w:rsidR="00675E99" w:rsidRDefault="00675E99" w:rsidP="00675E99">
      <w:pPr>
        <w:autoSpaceDE w:val="0"/>
        <w:autoSpaceDN w:val="0"/>
        <w:adjustRightInd w:val="0"/>
        <w:spacing w:after="120"/>
        <w:ind w:firstLine="709"/>
        <w:jc w:val="both"/>
        <w:rPr>
          <w:rFonts w:eastAsia="Batang"/>
        </w:rPr>
      </w:pPr>
      <w:r w:rsidRPr="00472169">
        <w:rPr>
          <w:rFonts w:eastAsia="Batang"/>
        </w:rPr>
        <w:t xml:space="preserve">Синхронизирани са разпоредбите на ЗДДФЛ с тези на ЗКПО по отношение на годишния отчет за дейността на лицата, които не осъществяват дейност по смисъла на Закона за счетоводството, като конкретно е </w:t>
      </w:r>
      <w:r>
        <w:rPr>
          <w:rFonts w:eastAsia="Batang"/>
        </w:rPr>
        <w:t>прието</w:t>
      </w:r>
      <w:r w:rsidRPr="00472169">
        <w:rPr>
          <w:rFonts w:eastAsia="Batang"/>
        </w:rPr>
        <w:t xml:space="preserve"> лицата търговци по смисъла на Търговския закон, които през данъчната година не са осъществявали дейност по смисъла на Закона за счетоводството, да не подават годишен отчет за дейността. Промяната е и с цел намаляване на административната тежест на лицата. </w:t>
      </w:r>
      <w:r>
        <w:rPr>
          <w:rFonts w:eastAsia="Batang"/>
        </w:rPr>
        <w:t>Приета</w:t>
      </w:r>
      <w:r w:rsidRPr="00472169">
        <w:rPr>
          <w:rFonts w:eastAsia="Batang"/>
        </w:rPr>
        <w:t xml:space="preserve"> е уточняваща и прецизираща разпоредба с цел синхронизиране на ЗДДФЛ с аналогична разпоредба в ЗКПО относно срока за окончателния данък за доходи от дивиденти под формата на скрито разпределение на печалбата.</w:t>
      </w:r>
    </w:p>
    <w:p w:rsidR="00675E99" w:rsidRPr="00AA57F2" w:rsidRDefault="00675E99" w:rsidP="00675E99">
      <w:pPr>
        <w:autoSpaceDE w:val="0"/>
        <w:autoSpaceDN w:val="0"/>
        <w:adjustRightInd w:val="0"/>
        <w:spacing w:after="120"/>
        <w:ind w:firstLine="709"/>
        <w:jc w:val="both"/>
        <w:rPr>
          <w:rFonts w:eastAsia="Batang"/>
          <w:b/>
          <w:u w:val="single"/>
        </w:rPr>
      </w:pPr>
      <w:r w:rsidRPr="00AA57F2">
        <w:rPr>
          <w:rFonts w:eastAsia="Batang"/>
          <w:b/>
          <w:u w:val="single"/>
        </w:rPr>
        <w:t>Промени в Закона за корпоративното подоходно облагане</w:t>
      </w:r>
    </w:p>
    <w:p w:rsidR="00675E99" w:rsidRPr="00472169" w:rsidRDefault="00675E99" w:rsidP="00675E99">
      <w:pPr>
        <w:spacing w:after="120"/>
        <w:ind w:firstLine="709"/>
        <w:jc w:val="both"/>
        <w:rPr>
          <w:iCs/>
        </w:rPr>
      </w:pPr>
      <w:r>
        <w:rPr>
          <w:b/>
          <w:bCs/>
          <w:i/>
          <w:iCs/>
        </w:rPr>
        <w:t>В</w:t>
      </w:r>
      <w:r w:rsidRPr="00472169">
        <w:rPr>
          <w:b/>
          <w:bCs/>
          <w:i/>
          <w:iCs/>
        </w:rPr>
        <w:t xml:space="preserve">ъвеждане на данъчни правила в Закона за корпоративното подоходно облагане в съответствие с </w:t>
      </w:r>
      <w:r>
        <w:rPr>
          <w:b/>
          <w:bCs/>
          <w:i/>
          <w:iCs/>
        </w:rPr>
        <w:t>разпоредбите</w:t>
      </w:r>
      <w:r w:rsidRPr="00472169">
        <w:rPr>
          <w:b/>
          <w:bCs/>
          <w:i/>
          <w:iCs/>
        </w:rPr>
        <w:t>, установени с Директива 2016/1164, ограничаващи възможностите за агресивно данъчно планиране и избягване от облагане</w:t>
      </w:r>
    </w:p>
    <w:p w:rsidR="00675E99" w:rsidRDefault="00675E99" w:rsidP="00675E99">
      <w:pPr>
        <w:numPr>
          <w:ilvl w:val="0"/>
          <w:numId w:val="35"/>
        </w:numPr>
        <w:tabs>
          <w:tab w:val="left" w:pos="993"/>
        </w:tabs>
        <w:spacing w:after="120"/>
        <w:ind w:left="0" w:firstLine="567"/>
        <w:jc w:val="both"/>
        <w:rPr>
          <w:iCs/>
        </w:rPr>
      </w:pPr>
      <w:r w:rsidRPr="00BF09CC">
        <w:rPr>
          <w:iCs/>
        </w:rPr>
        <w:t>Правило за ограничаване на приспадането на лихвите (чл. 4 на Директива</w:t>
      </w:r>
      <w:r w:rsidRPr="00472169">
        <w:rPr>
          <w:iCs/>
        </w:rPr>
        <w:t xml:space="preserve"> 2016/1164</w:t>
      </w:r>
      <w:r w:rsidRPr="005A1E39">
        <w:rPr>
          <w:iCs/>
        </w:rPr>
        <w:t>)</w:t>
      </w:r>
      <w:r w:rsidRPr="00472169">
        <w:rPr>
          <w:iCs/>
        </w:rPr>
        <w:t xml:space="preserve"> – с Директивата е въведено правило за ограничаване на приспадането на лихвите. Целта на това правило е да се предотвратят практиките, водещи до свиване на данъчната основа и прехвърлянето на печалби чрез прекомерни лихвени плащания, като се ограничи приспадането на превишението на разходите по заеми</w:t>
      </w:r>
      <w:r w:rsidRPr="002D0795">
        <w:rPr>
          <w:iCs/>
        </w:rPr>
        <w:t xml:space="preserve">. С промените в ЗКПО се въвежда ново правило за ограничаване на приспадането на лихви и се въвежда праг, при който новото правило не се прилага, когато превишението на разходите по заеми, определено за текущата година, не надвишава прага от левовата равностойност на 3 000 </w:t>
      </w:r>
      <w:proofErr w:type="spellStart"/>
      <w:r w:rsidRPr="002D0795">
        <w:rPr>
          <w:iCs/>
        </w:rPr>
        <w:t>000</w:t>
      </w:r>
      <w:proofErr w:type="spellEnd"/>
      <w:r w:rsidRPr="002D0795">
        <w:rPr>
          <w:iCs/>
        </w:rPr>
        <w:t xml:space="preserve"> ев</w:t>
      </w:r>
      <w:r>
        <w:rPr>
          <w:iCs/>
        </w:rPr>
        <w:t xml:space="preserve">ро, определена по </w:t>
      </w:r>
      <w:r w:rsidRPr="002D0795">
        <w:rPr>
          <w:iCs/>
        </w:rPr>
        <w:t xml:space="preserve">официалния валутен курс на лева към еврото. Предвидено е данъчно задължените лица, които са под прага от 3 000 </w:t>
      </w:r>
      <w:proofErr w:type="spellStart"/>
      <w:r w:rsidRPr="002D0795">
        <w:rPr>
          <w:iCs/>
        </w:rPr>
        <w:t>000</w:t>
      </w:r>
      <w:proofErr w:type="spellEnd"/>
      <w:r w:rsidRPr="002D0795">
        <w:rPr>
          <w:iCs/>
        </w:rPr>
        <w:t xml:space="preserve"> евро</w:t>
      </w:r>
      <w:r>
        <w:rPr>
          <w:iCs/>
        </w:rPr>
        <w:t>,</w:t>
      </w:r>
      <w:r w:rsidRPr="002D0795">
        <w:rPr>
          <w:iCs/>
        </w:rPr>
        <w:t xml:space="preserve"> да продължат да прилагат режима на слаба капитализация. На регулиране по новото правило ще подлежи превишението на разходите по заеми, т.е. сумата, с която общият размер на признатите за данъчни цели разходи по заеми превишава общия размер на признатите за данъчни цели приходи от лихви и други икономически еквивалентни приходи. Обхватът на регулируемите разходи по заеми е по-широк, като в него се включват всички разходи за лихви по всякакъв вид дълг, други разходи, които са икономически еквивалентни на лихви, както и други разходи, направени във връзка с набирането на средства, като в законопроекта, базирайки се на директивата, е включен списък с примери за разходи по заеми, който не е изчерпателен</w:t>
      </w:r>
      <w:r w:rsidRPr="00472169">
        <w:rPr>
          <w:iCs/>
        </w:rPr>
        <w:t>;</w:t>
      </w:r>
    </w:p>
    <w:p w:rsidR="00675E99" w:rsidRDefault="00675E99" w:rsidP="00675E99">
      <w:pPr>
        <w:numPr>
          <w:ilvl w:val="0"/>
          <w:numId w:val="35"/>
        </w:numPr>
        <w:tabs>
          <w:tab w:val="left" w:pos="993"/>
        </w:tabs>
        <w:spacing w:after="120"/>
        <w:ind w:left="0" w:firstLine="567"/>
        <w:jc w:val="both"/>
        <w:rPr>
          <w:iCs/>
        </w:rPr>
      </w:pPr>
      <w:r w:rsidRPr="008760F8">
        <w:rPr>
          <w:iCs/>
        </w:rPr>
        <w:t>Правило за контролираните чуждестранни дружества и изчисляване на дохода на дружеството (чл. 7 и 8 от Директива 2016/1164) – с Директивата се въвеждат правила за облагане на доходи от контролирани чуждестранни дружества. В съответствие с Директивата са приети изменения в ЗКПО, с които се въвежда нов режим за облагане на печалба, произтичаща от чуждестранни образувания и места на стопанска дейност, които отговарят на условията за контролирано чуждестранно дружество. Въвеждането на облагане на неразпределената печалба на чуждестранно образувание и на печалба на място на стопанска дейност, в случаите, в които попадат в обхвата на контролирано чуждестранно дружество и то само при условие, че не осъществява съществена стопанска дейност, от една страна предотвратява избягването от облагане в страната чрез прехвърляне на печалби към страни с по-ниско данъчно облагане, а от друга страна гарантира спазването на основните свободи и не води до прекомерно увеличаване на административната тежест за лицата. Предвид това, така предложеният подход за облагане на контролираните чуждестранни дружества е балансиран и неутрален по отношение на големината на чуждестранните дружества и вида на осъществяваната от тях дейност.</w:t>
      </w:r>
    </w:p>
    <w:p w:rsidR="00675E99" w:rsidRDefault="00675E99" w:rsidP="00675E99">
      <w:pPr>
        <w:tabs>
          <w:tab w:val="left" w:pos="993"/>
        </w:tabs>
        <w:spacing w:after="120"/>
        <w:ind w:firstLine="709"/>
        <w:jc w:val="both"/>
        <w:rPr>
          <w:iCs/>
        </w:rPr>
      </w:pPr>
      <w:r w:rsidRPr="006D53E4">
        <w:rPr>
          <w:b/>
          <w:i/>
          <w:iCs/>
        </w:rPr>
        <w:t>Промени</w:t>
      </w:r>
      <w:r>
        <w:rPr>
          <w:b/>
          <w:i/>
          <w:iCs/>
          <w:lang w:val="en-US"/>
        </w:rPr>
        <w:t>,</w:t>
      </w:r>
      <w:r w:rsidRPr="006D53E4">
        <w:rPr>
          <w:b/>
          <w:i/>
          <w:iCs/>
        </w:rPr>
        <w:t xml:space="preserve"> във връзка с реда за деклариране и внасяне на корпоративен данък, на данък, удържан при източника, на данък върху разходите и на алтернативен данък в </w:t>
      </w:r>
      <w:r w:rsidRPr="006D53E4">
        <w:rPr>
          <w:b/>
          <w:i/>
          <w:iCs/>
        </w:rPr>
        <w:lastRenderedPageBreak/>
        <w:t>случаите на прекратяване с ликвидация или поради несъстоятелност, прекратяване на дейността на място на стопанска дейност на чуждестранно юридическо лице в България или прекратяване на неперсонифицирано дружество или осигурителна каса</w:t>
      </w:r>
    </w:p>
    <w:p w:rsidR="00675E99" w:rsidRPr="008760F8" w:rsidRDefault="00675E99" w:rsidP="00675E99">
      <w:pPr>
        <w:tabs>
          <w:tab w:val="left" w:pos="993"/>
        </w:tabs>
        <w:spacing w:after="120"/>
        <w:ind w:firstLine="709"/>
        <w:jc w:val="both"/>
        <w:rPr>
          <w:iCs/>
        </w:rPr>
      </w:pPr>
      <w:r w:rsidRPr="006D53E4">
        <w:rPr>
          <w:iCs/>
        </w:rPr>
        <w:t>Целта на въведените изменения е облекчаване на процеса по деклариране и внасяне на данъка, като е унифициран срокът за подаване на данъчни декларации и за внасяне на дължимите данъци за последния данъчен период за всички хипотези на заличаване/прекратяване на данъчно задължено по ЗКПО лице и за всички видове данъци, дължими по реда на този закон</w:t>
      </w:r>
      <w:r>
        <w:rPr>
          <w:iCs/>
        </w:rPr>
        <w:t>.</w:t>
      </w:r>
    </w:p>
    <w:p w:rsidR="00675E99" w:rsidRPr="006823D9" w:rsidRDefault="00675E99" w:rsidP="00675E99">
      <w:pPr>
        <w:autoSpaceDE w:val="0"/>
        <w:autoSpaceDN w:val="0"/>
        <w:adjustRightInd w:val="0"/>
        <w:spacing w:after="120"/>
        <w:ind w:firstLine="709"/>
        <w:jc w:val="both"/>
        <w:rPr>
          <w:rFonts w:eastAsia="DejaVu Sans"/>
          <w:b/>
          <w:bCs/>
          <w:kern w:val="1"/>
          <w:u w:val="single"/>
          <w:lang w:eastAsia="hi-IN" w:bidi="hi-IN"/>
        </w:rPr>
      </w:pPr>
      <w:r w:rsidRPr="006823D9">
        <w:rPr>
          <w:rFonts w:eastAsia="DejaVu Sans"/>
          <w:b/>
          <w:bCs/>
          <w:kern w:val="1"/>
          <w:u w:val="single"/>
          <w:lang w:eastAsia="hi-IN" w:bidi="hi-IN"/>
        </w:rPr>
        <w:t>Промени в Закона за местните данъци и такси</w:t>
      </w:r>
    </w:p>
    <w:p w:rsidR="00675E99" w:rsidRPr="00472169" w:rsidRDefault="00675E99" w:rsidP="00675E99">
      <w:pPr>
        <w:spacing w:after="120"/>
        <w:ind w:firstLine="709"/>
        <w:jc w:val="both"/>
      </w:pPr>
      <w:r>
        <w:rPr>
          <w:b/>
          <w:i/>
          <w:iCs/>
        </w:rPr>
        <w:t>П</w:t>
      </w:r>
      <w:r w:rsidRPr="00472169">
        <w:rPr>
          <w:b/>
          <w:i/>
          <w:iCs/>
        </w:rPr>
        <w:t xml:space="preserve">ромени в Закона за местните данъци и такси </w:t>
      </w:r>
      <w:r w:rsidRPr="005A1E39">
        <w:rPr>
          <w:b/>
          <w:i/>
          <w:iCs/>
        </w:rPr>
        <w:t>(</w:t>
      </w:r>
      <w:r w:rsidRPr="00472169">
        <w:rPr>
          <w:b/>
          <w:i/>
          <w:iCs/>
        </w:rPr>
        <w:t>ЗМДТ</w:t>
      </w:r>
      <w:r w:rsidRPr="005A1E39">
        <w:rPr>
          <w:b/>
          <w:i/>
          <w:iCs/>
        </w:rPr>
        <w:t>)</w:t>
      </w:r>
      <w:r w:rsidRPr="00472169">
        <w:rPr>
          <w:b/>
          <w:i/>
          <w:iCs/>
        </w:rPr>
        <w:t xml:space="preserve">, свързани с </w:t>
      </w:r>
      <w:r w:rsidRPr="00472169">
        <w:rPr>
          <w:b/>
          <w:i/>
        </w:rPr>
        <w:t>въвеждане на мярка против злоупотребите с данъчното облекчение за основно жилище</w:t>
      </w:r>
      <w:r w:rsidRPr="00472169">
        <w:t xml:space="preserve"> </w:t>
      </w:r>
    </w:p>
    <w:p w:rsidR="00675E99" w:rsidRDefault="00675E99" w:rsidP="00675E99">
      <w:pPr>
        <w:spacing w:after="120"/>
        <w:ind w:firstLine="709"/>
        <w:jc w:val="both"/>
        <w:rPr>
          <w:bCs/>
        </w:rPr>
      </w:pPr>
      <w:r>
        <w:t xml:space="preserve">Приета е </w:t>
      </w:r>
      <w:r w:rsidRPr="00472169">
        <w:t>п</w:t>
      </w:r>
      <w:r w:rsidRPr="00472169">
        <w:rPr>
          <w:bCs/>
        </w:rPr>
        <w:t>ромяна, свързана с предотвратяване на некоректно ползване на данъчно облекчение за основно жилище, съгласно която данъкът върху недвижимите имоти се определя в пълен размер за всички жилища на данъчно задълженото лице</w:t>
      </w:r>
      <w:r>
        <w:rPr>
          <w:bCs/>
        </w:rPr>
        <w:t>,</w:t>
      </w:r>
      <w:r w:rsidRPr="00472169">
        <w:rPr>
          <w:bCs/>
        </w:rPr>
        <w:t xml:space="preserve"> при установяване, че същите са декларирани като основни жилища и за периода, в който едновременно са декларирани като основни жилища.</w:t>
      </w:r>
    </w:p>
    <w:p w:rsidR="00675E99" w:rsidRPr="008A6FB4" w:rsidRDefault="00675E99" w:rsidP="00675E99">
      <w:pPr>
        <w:spacing w:after="120"/>
        <w:ind w:firstLine="709"/>
        <w:jc w:val="both"/>
        <w:rPr>
          <w:bCs/>
        </w:rPr>
      </w:pPr>
      <w:r>
        <w:rPr>
          <w:b/>
          <w:bCs/>
          <w:i/>
          <w:iCs/>
        </w:rPr>
        <w:t>Промяна</w:t>
      </w:r>
      <w:r w:rsidRPr="008A6FB4">
        <w:rPr>
          <w:b/>
          <w:bCs/>
          <w:i/>
          <w:iCs/>
        </w:rPr>
        <w:t xml:space="preserve">, свързана с </w:t>
      </w:r>
      <w:r w:rsidRPr="008A6FB4">
        <w:rPr>
          <w:b/>
          <w:bCs/>
          <w:i/>
        </w:rPr>
        <w:t>въвеждане на нова концепция за определяне на данъка върху превозните средства за леките автомобили и товарните автомобили с технически допустима максимална маса не повече от 3,5 тона</w:t>
      </w:r>
    </w:p>
    <w:p w:rsidR="00675E99" w:rsidRPr="008A6FB4" w:rsidRDefault="00675E99" w:rsidP="00675E99">
      <w:pPr>
        <w:spacing w:after="120"/>
        <w:ind w:firstLine="709"/>
        <w:jc w:val="both"/>
        <w:rPr>
          <w:bCs/>
        </w:rPr>
      </w:pPr>
      <w:r>
        <w:rPr>
          <w:bCs/>
        </w:rPr>
        <w:t>Приета е</w:t>
      </w:r>
      <w:r w:rsidRPr="008A6FB4">
        <w:rPr>
          <w:bCs/>
        </w:rPr>
        <w:t xml:space="preserve"> нова концепция за определяне на данъка върху превозните средства за леките и товарните автомобили чрез въвеждане на имуществен и екологичен компонент. </w:t>
      </w:r>
    </w:p>
    <w:p w:rsidR="00675E99" w:rsidRPr="008A6FB4" w:rsidRDefault="00675E99" w:rsidP="00675E99">
      <w:pPr>
        <w:spacing w:after="120"/>
        <w:ind w:firstLine="709"/>
        <w:jc w:val="both"/>
        <w:rPr>
          <w:bCs/>
        </w:rPr>
      </w:pPr>
      <w:r w:rsidRPr="008A6FB4">
        <w:rPr>
          <w:bCs/>
        </w:rPr>
        <w:t xml:space="preserve">Имущественият компонент отчита мощността и годината на производство на автомобила, а екологичният компонент отчита екологичната категория на автомобила, респективно замърсяването, което причинява съответният автомобил. </w:t>
      </w:r>
    </w:p>
    <w:p w:rsidR="00675E99" w:rsidRPr="008A6FB4" w:rsidRDefault="00675E99" w:rsidP="00675E99">
      <w:pPr>
        <w:spacing w:after="120"/>
        <w:ind w:firstLine="709"/>
        <w:jc w:val="both"/>
        <w:rPr>
          <w:bCs/>
        </w:rPr>
      </w:pPr>
      <w:r w:rsidRPr="008A6FB4">
        <w:rPr>
          <w:bCs/>
        </w:rPr>
        <w:t xml:space="preserve">Имущественият компонент се определя от ставката за тази част от данъка и мощността на двигателя, коригирани с коефициент в зависимост от годината на производство на автомобила. </w:t>
      </w:r>
      <w:r>
        <w:rPr>
          <w:bCs/>
        </w:rPr>
        <w:t xml:space="preserve">В закона са предвидени </w:t>
      </w:r>
      <w:r w:rsidRPr="008A6FB4">
        <w:rPr>
          <w:bCs/>
        </w:rPr>
        <w:t>шест диапазона на мощности на автомобили и съответно минимална и максимална стойност на границите на размера на данъка за всеки диапазон на мощност. Доколкото тази част от формирането на данъка е в частта имуществен компонент</w:t>
      </w:r>
      <w:r>
        <w:rPr>
          <w:bCs/>
        </w:rPr>
        <w:t>,</w:t>
      </w:r>
      <w:r w:rsidRPr="008A6FB4">
        <w:rPr>
          <w:bCs/>
        </w:rPr>
        <w:t xml:space="preserve"> се запазва принципа за определяне на по-високи граници на ставка на данък за по-мощните автомобили. Запазва се правото на общинския съвет</w:t>
      </w:r>
      <w:r>
        <w:rPr>
          <w:bCs/>
        </w:rPr>
        <w:t xml:space="preserve"> да определя размера на данъчната </w:t>
      </w:r>
      <w:r w:rsidRPr="008A6FB4">
        <w:rPr>
          <w:bCs/>
        </w:rPr>
        <w:t>ставка. Коефициентът за годината на производство на автомобила е диференциран по години</w:t>
      </w:r>
      <w:r>
        <w:rPr>
          <w:bCs/>
        </w:rPr>
        <w:t xml:space="preserve">. Прецизирането на </w:t>
      </w:r>
      <w:r w:rsidRPr="008A6FB4">
        <w:rPr>
          <w:bCs/>
        </w:rPr>
        <w:t>коефициентите цели създаването на финансов инструмент за стимулиране извеждането на по-стари автомобили от употреба и замяната им с по-нови и по-екологични автомобили, предвид това, че автомобилите над 20 години са ненадеждни, изиск</w:t>
      </w:r>
      <w:r>
        <w:rPr>
          <w:bCs/>
        </w:rPr>
        <w:t>ват големи разходи за поддръжка</w:t>
      </w:r>
      <w:r w:rsidRPr="008A6FB4">
        <w:rPr>
          <w:bCs/>
        </w:rPr>
        <w:t xml:space="preserve"> и причиняват големи замърсявания на въздуха с вредни емисии. </w:t>
      </w:r>
    </w:p>
    <w:p w:rsidR="00675E99" w:rsidRPr="008A6FB4" w:rsidRDefault="00675E99" w:rsidP="00675E99">
      <w:pPr>
        <w:spacing w:after="120"/>
        <w:ind w:firstLine="709"/>
        <w:jc w:val="both"/>
        <w:rPr>
          <w:bCs/>
        </w:rPr>
      </w:pPr>
      <w:r w:rsidRPr="008A6FB4">
        <w:rPr>
          <w:bCs/>
        </w:rPr>
        <w:t xml:space="preserve">Екологичният компонент е свързан с екологичните характеристики на автомобила и представлява коригиращ коефициент, който отразява екологичната категория на автомобила, която е свързана с европейските стандарти за изгорели газове (познати още като Евро 1, 2, 3, 4, 5 и </w:t>
      </w:r>
      <w:r>
        <w:rPr>
          <w:bCs/>
        </w:rPr>
        <w:t xml:space="preserve">6). </w:t>
      </w:r>
      <w:r w:rsidRPr="008A6FB4">
        <w:rPr>
          <w:bCs/>
        </w:rPr>
        <w:t>Екологичният компонент осигурява облекчение за собствениците на автомобили, съответстващи на екологични стандарти „Евро 4“ и по-високи</w:t>
      </w:r>
      <w:r>
        <w:rPr>
          <w:bCs/>
        </w:rPr>
        <w:t>,</w:t>
      </w:r>
      <w:r w:rsidRPr="008A6FB4">
        <w:rPr>
          <w:bCs/>
        </w:rPr>
        <w:t xml:space="preserve"> и утежнение за собствениците на автомобили, които не съответстват на екологична категория или съответстват на екологична категория, по-ниска от „Евро 4“. </w:t>
      </w:r>
    </w:p>
    <w:p w:rsidR="00675E99" w:rsidRDefault="00675E99" w:rsidP="00675E99">
      <w:pPr>
        <w:autoSpaceDE w:val="0"/>
        <w:autoSpaceDN w:val="0"/>
        <w:adjustRightInd w:val="0"/>
        <w:spacing w:after="120"/>
        <w:ind w:firstLine="709"/>
        <w:jc w:val="both"/>
        <w:rPr>
          <w:bCs/>
        </w:rPr>
      </w:pPr>
      <w:r w:rsidRPr="008A6FB4">
        <w:rPr>
          <w:bCs/>
        </w:rPr>
        <w:t>По отношение на коефициента за екологична категория в законопроекта са определени границите, в рамките на които общинският съвет следва да определи размера на коефициента за всяка екологична категория.</w:t>
      </w:r>
    </w:p>
    <w:p w:rsidR="00675E99" w:rsidRPr="00D70795" w:rsidRDefault="00675E99" w:rsidP="00675E99">
      <w:pPr>
        <w:autoSpaceDE w:val="0"/>
        <w:autoSpaceDN w:val="0"/>
        <w:adjustRightInd w:val="0"/>
        <w:spacing w:after="120"/>
        <w:ind w:firstLine="709"/>
        <w:jc w:val="both"/>
        <w:rPr>
          <w:bCs/>
          <w:i/>
        </w:rPr>
      </w:pPr>
      <w:r w:rsidRPr="00D70795">
        <w:rPr>
          <w:b/>
          <w:bCs/>
          <w:i/>
        </w:rPr>
        <w:t xml:space="preserve">Промени, свързани с облекчаване на административната тежест </w:t>
      </w:r>
    </w:p>
    <w:p w:rsidR="00675E99" w:rsidRPr="00D70795" w:rsidRDefault="00675E99" w:rsidP="00675E99">
      <w:pPr>
        <w:autoSpaceDE w:val="0"/>
        <w:autoSpaceDN w:val="0"/>
        <w:adjustRightInd w:val="0"/>
        <w:spacing w:after="120"/>
        <w:ind w:firstLine="709"/>
        <w:jc w:val="both"/>
        <w:rPr>
          <w:bCs/>
        </w:rPr>
      </w:pPr>
      <w:r w:rsidRPr="00D70795">
        <w:rPr>
          <w:bCs/>
        </w:rPr>
        <w:t xml:space="preserve">Направено е изменение, съгласно което нотариусите, при реализиране на сделка или действие за придобиване на моторно превозно средство, извършват проверка за наличието </w:t>
      </w:r>
      <w:r w:rsidRPr="00D70795">
        <w:rPr>
          <w:bCs/>
        </w:rPr>
        <w:lastRenderedPageBreak/>
        <w:t xml:space="preserve">или липсата на задължения за данък върху превозното средство чрез автоматизиран обмен на данни със системата за обмен на информация, поддържана от Министерството на финансите в изпълнение на чл. 5а от ЗМДТ, при посредничеството на информационната система на Министерството на вътрешните работи. </w:t>
      </w:r>
    </w:p>
    <w:p w:rsidR="00675E99" w:rsidRDefault="00675E99" w:rsidP="00675E99">
      <w:pPr>
        <w:autoSpaceDE w:val="0"/>
        <w:autoSpaceDN w:val="0"/>
        <w:adjustRightInd w:val="0"/>
        <w:spacing w:after="120"/>
        <w:ind w:firstLine="709"/>
        <w:jc w:val="both"/>
        <w:rPr>
          <w:bCs/>
        </w:rPr>
      </w:pPr>
      <w:r>
        <w:rPr>
          <w:bCs/>
        </w:rPr>
        <w:t xml:space="preserve">Въведен е </w:t>
      </w:r>
      <w:r w:rsidRPr="00D70795">
        <w:rPr>
          <w:bCs/>
        </w:rPr>
        <w:t xml:space="preserve">7-дневен срок след извършване на сделката или действието по придобиване на недвижим имот или моторно превозно средство нотариусите да уведомяват съответната община за прехвърлените вещни права върху недвижимия имот или моторното превозно средство, както и да предоставят информация за размера на заплатения данък по чл. 49, ал. 2 и за основата, върху която е определен. </w:t>
      </w:r>
      <w:r>
        <w:rPr>
          <w:bCs/>
        </w:rPr>
        <w:t xml:space="preserve">Промяната </w:t>
      </w:r>
      <w:r w:rsidRPr="00D70795">
        <w:rPr>
          <w:bCs/>
        </w:rPr>
        <w:t>е свързан</w:t>
      </w:r>
      <w:r>
        <w:rPr>
          <w:bCs/>
        </w:rPr>
        <w:t>а</w:t>
      </w:r>
      <w:r w:rsidRPr="00D70795">
        <w:rPr>
          <w:bCs/>
        </w:rPr>
        <w:t xml:space="preserve"> с осигуряване на яснота за прехвърлените през периода недвижими имоти и моторни превозни средства и размера на данъка, който трябва да постъпи в общината за конкретния недвижим имот или моторното превозно средство</w:t>
      </w:r>
      <w:r>
        <w:rPr>
          <w:bCs/>
        </w:rPr>
        <w:t>.</w:t>
      </w:r>
    </w:p>
    <w:p w:rsidR="00675E99" w:rsidRPr="00110B12" w:rsidRDefault="00675E99" w:rsidP="00675E99">
      <w:pPr>
        <w:autoSpaceDE w:val="0"/>
        <w:autoSpaceDN w:val="0"/>
        <w:adjustRightInd w:val="0"/>
        <w:spacing w:after="120"/>
        <w:ind w:firstLine="709"/>
        <w:jc w:val="both"/>
        <w:rPr>
          <w:b/>
          <w:bCs/>
          <w:u w:val="single"/>
          <w:lang w:val="en-US"/>
        </w:rPr>
      </w:pPr>
      <w:r w:rsidRPr="00BB4BE4">
        <w:rPr>
          <w:b/>
          <w:bCs/>
          <w:u w:val="single"/>
        </w:rPr>
        <w:t>Промени в Закона за тютюна, тютюневите и свързаните с тях изделия</w:t>
      </w:r>
    </w:p>
    <w:p w:rsidR="00675E99" w:rsidRDefault="00675E99" w:rsidP="00675E99">
      <w:pPr>
        <w:autoSpaceDE w:val="0"/>
        <w:autoSpaceDN w:val="0"/>
        <w:adjustRightInd w:val="0"/>
        <w:spacing w:after="120"/>
        <w:ind w:firstLine="709"/>
        <w:jc w:val="both"/>
        <w:rPr>
          <w:b/>
          <w:bCs/>
          <w:i/>
          <w:iCs/>
          <w:lang w:val="en-US"/>
        </w:rPr>
      </w:pPr>
      <w:r>
        <w:rPr>
          <w:b/>
          <w:bCs/>
          <w:i/>
          <w:iCs/>
        </w:rPr>
        <w:t xml:space="preserve">Изменения, свързани с </w:t>
      </w:r>
      <w:r w:rsidRPr="007B7FCD">
        <w:rPr>
          <w:b/>
          <w:bCs/>
          <w:i/>
          <w:iCs/>
        </w:rPr>
        <w:t>привеждане на националното законодателство към изискванията на европейските регламенти и директиви</w:t>
      </w:r>
    </w:p>
    <w:p w:rsidR="00675E99" w:rsidRDefault="00675E99" w:rsidP="00675E99">
      <w:pPr>
        <w:autoSpaceDE w:val="0"/>
        <w:autoSpaceDN w:val="0"/>
        <w:adjustRightInd w:val="0"/>
        <w:spacing w:after="120"/>
        <w:ind w:firstLine="709"/>
        <w:jc w:val="both"/>
        <w:rPr>
          <w:bCs/>
          <w:iCs/>
        </w:rPr>
      </w:pPr>
      <w:r w:rsidRPr="004870FE">
        <w:rPr>
          <w:bCs/>
          <w:iCs/>
        </w:rPr>
        <w:t>Въведени са нови разпоредби в Закона за тютюна, тютюневите и свързаните с тях изделия (ЗТТСИ), в съответствие с техническите стандарти, определени с Решение за изпълнение (ЕС) 2018/576 на Комисията относно техническите стандарти за защитните елементи, прилагани спрямо тютюневи изделия, като всички потребителски опаковки на тютюневи изделия, произведени или внесени</w:t>
      </w:r>
      <w:r w:rsidRPr="00D97FD3">
        <w:rPr>
          <w:bCs/>
          <w:iCs/>
        </w:rPr>
        <w:t xml:space="preserve"> в ЕС след 20 май 2019 г., трябва да бъдат маркирани с уникален идентификатор. </w:t>
      </w:r>
      <w:r w:rsidRPr="00D8350B">
        <w:rPr>
          <w:bCs/>
          <w:iCs/>
        </w:rPr>
        <w:t>Генерирането на уникални идентификатори е необходимо да се извършва от трета, независима страна (издател на уникални идентификатори), като издател на идентификаторите ще бъде печатницата на Българската народна банка. Основна цел на маркирането на потребителските опаковки на тютюневите изделия е тяхното проследяване по веригата на доставка, както и разрешаване на проблема с незаконната им търговия.</w:t>
      </w:r>
      <w:r w:rsidRPr="00D8350B">
        <w:rPr>
          <w:bCs/>
        </w:rPr>
        <w:t xml:space="preserve"> Предвидено е </w:t>
      </w:r>
      <w:r w:rsidRPr="00D8350B">
        <w:rPr>
          <w:bCs/>
          <w:iCs/>
        </w:rPr>
        <w:t>Агенция „Митници“ да бъде компетентният орган, отговорен за функционирането на системата за проследяване на тютюневи изделия</w:t>
      </w:r>
      <w:r>
        <w:rPr>
          <w:bCs/>
          <w:iCs/>
        </w:rPr>
        <w:t>.</w:t>
      </w:r>
    </w:p>
    <w:p w:rsidR="00675E99" w:rsidRPr="002F3F20" w:rsidRDefault="00675E99" w:rsidP="00675E99">
      <w:pPr>
        <w:widowControl w:val="0"/>
        <w:spacing w:after="120"/>
        <w:ind w:firstLine="709"/>
        <w:jc w:val="both"/>
        <w:rPr>
          <w:b/>
          <w:bCs/>
          <w:iCs/>
        </w:rPr>
      </w:pPr>
      <w:r w:rsidRPr="002F3F20">
        <w:rPr>
          <w:b/>
          <w:bCs/>
          <w:iCs/>
          <w:u w:val="single"/>
        </w:rPr>
        <w:t>Промени в Закона за счетоводството</w:t>
      </w:r>
    </w:p>
    <w:p w:rsidR="00675E99" w:rsidRPr="008F7C2E" w:rsidRDefault="00675E99" w:rsidP="00675E99">
      <w:pPr>
        <w:widowControl w:val="0"/>
        <w:spacing w:after="120"/>
        <w:ind w:firstLine="709"/>
        <w:jc w:val="both"/>
        <w:rPr>
          <w:b/>
          <w:i/>
        </w:rPr>
      </w:pPr>
      <w:r>
        <w:rPr>
          <w:b/>
          <w:i/>
        </w:rPr>
        <w:t xml:space="preserve">Прецизиране и допълване на разпоредби </w:t>
      </w:r>
      <w:r w:rsidRPr="00CA1DAB">
        <w:rPr>
          <w:b/>
          <w:i/>
        </w:rPr>
        <w:t xml:space="preserve">в </w:t>
      </w:r>
      <w:r w:rsidRPr="00CA1DAB">
        <w:rPr>
          <w:b/>
          <w:bCs/>
          <w:i/>
          <w:iCs/>
        </w:rPr>
        <w:t>Закона за счетоводството</w:t>
      </w:r>
      <w:r w:rsidRPr="00CA1DAB">
        <w:rPr>
          <w:b/>
          <w:i/>
        </w:rPr>
        <w:t xml:space="preserve"> </w:t>
      </w:r>
      <w:r w:rsidRPr="00CA1DAB">
        <w:rPr>
          <w:b/>
          <w:i/>
          <w:lang w:val="en-US"/>
        </w:rPr>
        <w:t>(</w:t>
      </w:r>
      <w:r w:rsidRPr="00CA1DAB">
        <w:rPr>
          <w:b/>
          <w:i/>
        </w:rPr>
        <w:t>ЗСч</w:t>
      </w:r>
      <w:r w:rsidRPr="00CA1DAB">
        <w:rPr>
          <w:b/>
          <w:i/>
          <w:lang w:val="en-US"/>
        </w:rPr>
        <w:t>)</w:t>
      </w:r>
      <w:r>
        <w:rPr>
          <w:b/>
          <w:i/>
        </w:rPr>
        <w:t xml:space="preserve">, свързани с </w:t>
      </w:r>
      <w:r w:rsidRPr="00E801E3">
        <w:rPr>
          <w:b/>
          <w:i/>
        </w:rPr>
        <w:t xml:space="preserve">възникнали затруднения при практическото прилагане на </w:t>
      </w:r>
      <w:r w:rsidRPr="008F7C2E">
        <w:rPr>
          <w:b/>
          <w:i/>
        </w:rPr>
        <w:t>закона</w:t>
      </w:r>
      <w:r>
        <w:rPr>
          <w:b/>
          <w:i/>
        </w:rPr>
        <w:t xml:space="preserve"> </w:t>
      </w:r>
      <w:r w:rsidRPr="008F7C2E">
        <w:rPr>
          <w:b/>
          <w:i/>
        </w:rPr>
        <w:t xml:space="preserve">както от предприятията, така и от администрацията </w:t>
      </w:r>
    </w:p>
    <w:p w:rsidR="00675E99" w:rsidRPr="005D63BF" w:rsidRDefault="00675E99" w:rsidP="00675E99">
      <w:pPr>
        <w:widowControl w:val="0"/>
        <w:spacing w:after="120"/>
        <w:ind w:firstLine="709"/>
        <w:jc w:val="both"/>
      </w:pPr>
      <w:r>
        <w:t>П</w:t>
      </w:r>
      <w:r w:rsidRPr="005D63BF">
        <w:t xml:space="preserve">ремахва се изискването за поставяне на печат на предприятието и печат на счетоводното предприятие </w:t>
      </w:r>
      <w:r>
        <w:t xml:space="preserve">върху годишни финансови отчети, като е съобразено, че </w:t>
      </w:r>
      <w:r w:rsidRPr="005D63BF">
        <w:t>в нито един нормативен акт на страната</w:t>
      </w:r>
      <w:r>
        <w:t xml:space="preserve"> </w:t>
      </w:r>
      <w:r w:rsidRPr="005D63BF">
        <w:t xml:space="preserve">не съществува </w:t>
      </w:r>
      <w:r>
        <w:t>и</w:t>
      </w:r>
      <w:r w:rsidRPr="005D63BF">
        <w:t>зискване корпоративните предприятия да имат печат</w:t>
      </w:r>
      <w:r>
        <w:t>.</w:t>
      </w:r>
      <w:r w:rsidRPr="005D63BF">
        <w:t xml:space="preserve"> Изисквания за печати съществуват единствено в Закона за държавния печат и националното знаме на Република България и други специални закони, отнасящи се за държавната администрация.</w:t>
      </w:r>
    </w:p>
    <w:p w:rsidR="00675E99" w:rsidRPr="006832AA" w:rsidRDefault="00675E99" w:rsidP="00675E99">
      <w:pPr>
        <w:widowControl w:val="0"/>
        <w:spacing w:after="120"/>
        <w:ind w:firstLine="709"/>
        <w:jc w:val="both"/>
      </w:pPr>
      <w:r>
        <w:t xml:space="preserve">Въвеждат се редакционни промени в </w:t>
      </w:r>
      <w:r w:rsidRPr="001F3297">
        <w:t>чл. 38</w:t>
      </w:r>
      <w:r>
        <w:t xml:space="preserve"> от ЗСч, като </w:t>
      </w:r>
      <w:r w:rsidRPr="001F3297">
        <w:t>се заличават думите „в обществена полза“</w:t>
      </w:r>
      <w:r>
        <w:t>, с цел по-ясно тълкуване на разпоредбите</w:t>
      </w:r>
      <w:r w:rsidRPr="001F3297">
        <w:t xml:space="preserve">. Изменението е свързано с измененията в Закона за юридическите лица с нестопанска цел (ЗЮЛНЦ), закриване на Централния регистър на ЮЛНЦ, </w:t>
      </w:r>
      <w:r w:rsidRPr="006832AA">
        <w:t>регистрирани в обществена полза, и създаване към Агенцията по вписванията на регистър на ЮЛНЦ. В новия регистър годишните си финансови отчети ще публикуват всички ЮЛНЦ, а не само тези, регистрирани в обществена полза.</w:t>
      </w:r>
    </w:p>
    <w:p w:rsidR="00675E99" w:rsidRPr="006832AA" w:rsidRDefault="00675E99" w:rsidP="00675E99">
      <w:pPr>
        <w:autoSpaceDE w:val="0"/>
        <w:autoSpaceDN w:val="0"/>
        <w:adjustRightInd w:val="0"/>
        <w:spacing w:after="120"/>
        <w:ind w:firstLine="709"/>
        <w:jc w:val="both"/>
        <w:rPr>
          <w:rFonts w:eastAsia="DejaVu Sans"/>
          <w:b/>
          <w:bCs/>
          <w:kern w:val="1"/>
          <w:u w:val="single"/>
          <w:lang w:eastAsia="hi-IN" w:bidi="hi-IN"/>
        </w:rPr>
      </w:pPr>
      <w:r w:rsidRPr="006832AA">
        <w:rPr>
          <w:rFonts w:eastAsia="DejaVu Sans"/>
          <w:b/>
          <w:bCs/>
          <w:kern w:val="1"/>
          <w:u w:val="single"/>
          <w:lang w:eastAsia="hi-IN" w:bidi="hi-IN"/>
        </w:rPr>
        <w:t>Промени в Данъчно-осигурителния процесуален кодекс</w:t>
      </w:r>
    </w:p>
    <w:p w:rsidR="00675E99" w:rsidRPr="006832AA" w:rsidRDefault="00675E99" w:rsidP="00675E99">
      <w:pPr>
        <w:autoSpaceDE w:val="0"/>
        <w:autoSpaceDN w:val="0"/>
        <w:adjustRightInd w:val="0"/>
        <w:spacing w:after="120"/>
        <w:ind w:firstLine="709"/>
        <w:jc w:val="both"/>
        <w:rPr>
          <w:rFonts w:eastAsia="DejaVu Sans"/>
          <w:b/>
          <w:bCs/>
          <w:i/>
          <w:kern w:val="1"/>
          <w:lang w:eastAsia="hi-IN" w:bidi="hi-IN"/>
        </w:rPr>
      </w:pPr>
      <w:r w:rsidRPr="006832AA">
        <w:rPr>
          <w:bCs/>
        </w:rPr>
        <w:t>Направено е изменение в ДОПК, свързано с промяна в ЗМДТ относно намаляване на</w:t>
      </w:r>
      <w:r w:rsidRPr="006D3F53">
        <w:rPr>
          <w:bCs/>
        </w:rPr>
        <w:t xml:space="preserve"> административната тежест при сделка или действие за придобиване на моторно превозно средство. Предоставя се възможност нотариусите да извършват проверка за наличието или липсата на задължения за данък върху превозното средство</w:t>
      </w:r>
      <w:r>
        <w:rPr>
          <w:bCs/>
        </w:rPr>
        <w:t>,</w:t>
      </w:r>
      <w:r w:rsidRPr="006D3F53">
        <w:rPr>
          <w:bCs/>
        </w:rPr>
        <w:t xml:space="preserve"> чрез автоматизиран обмен на данни със системата за обмен на информация, поддържана от Министерството на финансите</w:t>
      </w:r>
      <w:r>
        <w:rPr>
          <w:bCs/>
        </w:rPr>
        <w:t>.</w:t>
      </w:r>
      <w:r w:rsidRPr="00547A1C">
        <w:rPr>
          <w:rFonts w:ascii="Verdana" w:hAnsi="Verdana"/>
        </w:rPr>
        <w:t xml:space="preserve"> </w:t>
      </w:r>
      <w:r w:rsidRPr="00547A1C">
        <w:rPr>
          <w:bCs/>
        </w:rPr>
        <w:t>При условие</w:t>
      </w:r>
      <w:r>
        <w:rPr>
          <w:bCs/>
        </w:rPr>
        <w:t>,</w:t>
      </w:r>
      <w:r w:rsidRPr="00547A1C">
        <w:rPr>
          <w:bCs/>
        </w:rPr>
        <w:t xml:space="preserve"> че съответната община не е осигурила непрекъснат автоматизиран обмен на </w:t>
      </w:r>
      <w:r w:rsidRPr="00547A1C">
        <w:rPr>
          <w:bCs/>
        </w:rPr>
        <w:lastRenderedPageBreak/>
        <w:t xml:space="preserve">информация, </w:t>
      </w:r>
      <w:r w:rsidRPr="006832AA">
        <w:rPr>
          <w:bCs/>
        </w:rPr>
        <w:t>проверката за платен данък върху превозните средства може да се извърши с представяне на издаден или заверен от общината документ.</w:t>
      </w:r>
    </w:p>
    <w:p w:rsidR="00675E99" w:rsidRPr="00DD5C5A" w:rsidRDefault="00675E99" w:rsidP="00675E99">
      <w:pPr>
        <w:autoSpaceDE w:val="0"/>
        <w:autoSpaceDN w:val="0"/>
        <w:adjustRightInd w:val="0"/>
        <w:spacing w:after="120"/>
        <w:ind w:firstLine="709"/>
        <w:jc w:val="both"/>
        <w:rPr>
          <w:b/>
          <w:bCs/>
          <w:u w:val="single"/>
        </w:rPr>
      </w:pPr>
      <w:r w:rsidRPr="00DD5C5A">
        <w:rPr>
          <w:rFonts w:eastAsia="DejaVu Sans"/>
          <w:b/>
          <w:bCs/>
          <w:kern w:val="1"/>
          <w:u w:val="single"/>
          <w:lang w:eastAsia="hi-IN" w:bidi="hi-IN"/>
        </w:rPr>
        <w:t>Промени в</w:t>
      </w:r>
      <w:r w:rsidRPr="00DD5C5A">
        <w:rPr>
          <w:bCs/>
          <w:u w:val="single"/>
        </w:rPr>
        <w:t xml:space="preserve"> </w:t>
      </w:r>
      <w:r w:rsidRPr="00DD5C5A">
        <w:rPr>
          <w:b/>
          <w:bCs/>
          <w:u w:val="single"/>
        </w:rPr>
        <w:t>Закона за безмитната търговия</w:t>
      </w:r>
    </w:p>
    <w:p w:rsidR="00675E99" w:rsidRPr="00FD7C5D" w:rsidRDefault="00675E99" w:rsidP="00675E99">
      <w:pPr>
        <w:autoSpaceDE w:val="0"/>
        <w:autoSpaceDN w:val="0"/>
        <w:adjustRightInd w:val="0"/>
        <w:spacing w:after="240"/>
        <w:ind w:firstLine="709"/>
        <w:jc w:val="both"/>
        <w:rPr>
          <w:bCs/>
          <w:iCs/>
        </w:rPr>
      </w:pPr>
      <w:r>
        <w:rPr>
          <w:bCs/>
        </w:rPr>
        <w:t xml:space="preserve">Приети са </w:t>
      </w:r>
      <w:r w:rsidRPr="008D5781">
        <w:rPr>
          <w:bCs/>
        </w:rPr>
        <w:t>изменения във връзка с въвеждане на системата за проследяване на цигарите съгласно член 15 от Директива 2014/40/ЕС на Европейския парламент и на Съвета от 3 април 2014 година за сближаване на законовите, подзаконовите и административните разпоредби държавите членки относно производството, представянето и продажбата на тютюневи и свързани с тях изделия</w:t>
      </w:r>
      <w:r>
        <w:rPr>
          <w:bCs/>
        </w:rPr>
        <w:t>.</w:t>
      </w:r>
    </w:p>
    <w:p w:rsidR="00EE235A" w:rsidRPr="00135E92" w:rsidRDefault="00EE235A" w:rsidP="00337CA7">
      <w:pPr>
        <w:pStyle w:val="Heading1"/>
        <w:numPr>
          <w:ilvl w:val="0"/>
          <w:numId w:val="10"/>
        </w:numPr>
        <w:ind w:right="-108"/>
        <w:jc w:val="both"/>
        <w:rPr>
          <w:sz w:val="24"/>
        </w:rPr>
      </w:pPr>
      <w:r w:rsidRPr="00135E92">
        <w:rPr>
          <w:sz w:val="24"/>
        </w:rPr>
        <w:t>Изпълнение на държавния бюджет</w:t>
      </w:r>
      <w:r w:rsidR="001E7EA4" w:rsidRPr="00135E92">
        <w:rPr>
          <w:rStyle w:val="FootnoteReference"/>
          <w:bCs w:val="0"/>
          <w:sz w:val="20"/>
          <w:szCs w:val="20"/>
        </w:rPr>
        <w:footnoteReference w:id="6"/>
      </w:r>
      <w:r w:rsidRPr="00135E92">
        <w:rPr>
          <w:sz w:val="24"/>
        </w:rPr>
        <w:t xml:space="preserve"> към </w:t>
      </w:r>
      <w:r w:rsidR="00135E92" w:rsidRPr="00135E92">
        <w:rPr>
          <w:sz w:val="24"/>
        </w:rPr>
        <w:t xml:space="preserve">март </w:t>
      </w:r>
      <w:r w:rsidRPr="00135E92">
        <w:rPr>
          <w:sz w:val="24"/>
        </w:rPr>
        <w:t>201</w:t>
      </w:r>
      <w:r w:rsidR="00135E92" w:rsidRPr="00135E92">
        <w:rPr>
          <w:sz w:val="24"/>
          <w:lang w:val="en-US"/>
        </w:rPr>
        <w:t>9</w:t>
      </w:r>
      <w:r w:rsidRPr="00135E92">
        <w:rPr>
          <w:sz w:val="24"/>
        </w:rPr>
        <w:t xml:space="preserve"> г.</w:t>
      </w:r>
    </w:p>
    <w:p w:rsidR="00F226B6" w:rsidRPr="00AF3241" w:rsidRDefault="00F226B6" w:rsidP="00F226B6">
      <w:pPr>
        <w:tabs>
          <w:tab w:val="left" w:pos="1080"/>
        </w:tabs>
        <w:spacing w:before="120"/>
        <w:jc w:val="both"/>
        <w:rPr>
          <w:lang w:val="en-US"/>
        </w:rPr>
      </w:pPr>
      <w:r w:rsidRPr="003B019B">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F226B6" w:rsidRPr="000613BA" w:rsidRDefault="00F226B6" w:rsidP="00F226B6">
      <w:pPr>
        <w:tabs>
          <w:tab w:val="left" w:pos="1080"/>
        </w:tabs>
        <w:spacing w:before="120"/>
        <w:jc w:val="both"/>
        <w:rPr>
          <w:color w:val="0070C0"/>
          <w:sz w:val="2"/>
          <w:szCs w:val="2"/>
        </w:rPr>
      </w:pPr>
    </w:p>
    <w:p w:rsidR="00F226B6" w:rsidRPr="00364563" w:rsidRDefault="00F226B6" w:rsidP="00F226B6">
      <w:pPr>
        <w:ind w:right="-242"/>
        <w:rPr>
          <w:b/>
          <w:bCs/>
          <w:sz w:val="20"/>
          <w:szCs w:val="20"/>
          <w:lang w:eastAsia="bg-BG"/>
        </w:rPr>
      </w:pPr>
      <w:r w:rsidRPr="00364563">
        <w:rPr>
          <w:b/>
          <w:bCs/>
          <w:sz w:val="20"/>
          <w:szCs w:val="20"/>
          <w:lang w:eastAsia="bg-BG"/>
        </w:rPr>
        <w:t xml:space="preserve">            Таблица</w:t>
      </w:r>
      <w:r w:rsidRPr="00364563">
        <w:rPr>
          <w:b/>
          <w:bCs/>
          <w:sz w:val="20"/>
          <w:szCs w:val="20"/>
          <w:vertAlign w:val="superscript"/>
          <w:lang w:eastAsia="bg-BG"/>
        </w:rPr>
        <w:footnoteReference w:id="7"/>
      </w:r>
      <w:r w:rsidRPr="00364563">
        <w:rPr>
          <w:b/>
          <w:bCs/>
          <w:sz w:val="20"/>
          <w:szCs w:val="20"/>
          <w:lang w:eastAsia="bg-BG"/>
        </w:rPr>
        <w:t xml:space="preserve">  №</w:t>
      </w:r>
      <w:r w:rsidR="00182A94" w:rsidRPr="00364563">
        <w:rPr>
          <w:b/>
          <w:bCs/>
          <w:sz w:val="20"/>
          <w:szCs w:val="20"/>
          <w:lang w:eastAsia="bg-BG"/>
        </w:rPr>
        <w:t>2</w:t>
      </w:r>
      <w:r w:rsidRPr="00364563">
        <w:rPr>
          <w:b/>
          <w:bCs/>
          <w:sz w:val="20"/>
          <w:szCs w:val="20"/>
          <w:lang w:eastAsia="bg-BG"/>
        </w:rPr>
        <w:t xml:space="preserve">      </w:t>
      </w:r>
      <w:r w:rsidRPr="00364563">
        <w:rPr>
          <w:b/>
          <w:bCs/>
          <w:sz w:val="20"/>
          <w:szCs w:val="20"/>
          <w:lang w:eastAsia="bg-BG"/>
        </w:rPr>
        <w:tab/>
      </w:r>
      <w:r w:rsidRPr="00364563">
        <w:rPr>
          <w:b/>
          <w:bCs/>
          <w:sz w:val="20"/>
          <w:szCs w:val="20"/>
          <w:lang w:eastAsia="bg-BG"/>
        </w:rPr>
        <w:tab/>
        <w:t xml:space="preserve">                                          </w:t>
      </w:r>
      <w:r w:rsidRPr="00364563">
        <w:rPr>
          <w:b/>
          <w:bCs/>
          <w:sz w:val="20"/>
          <w:szCs w:val="20"/>
          <w:lang w:eastAsia="bg-BG"/>
        </w:rPr>
        <w:tab/>
      </w:r>
      <w:r w:rsidRPr="00364563">
        <w:rPr>
          <w:b/>
          <w:bCs/>
          <w:sz w:val="20"/>
          <w:szCs w:val="20"/>
          <w:lang w:eastAsia="bg-BG"/>
        </w:rPr>
        <w:tab/>
      </w:r>
      <w:r w:rsidRPr="00364563">
        <w:rPr>
          <w:b/>
          <w:bCs/>
          <w:sz w:val="20"/>
          <w:szCs w:val="20"/>
          <w:lang w:eastAsia="bg-BG"/>
        </w:rPr>
        <w:tab/>
      </w:r>
      <w:r w:rsidRPr="00364563">
        <w:rPr>
          <w:b/>
          <w:bCs/>
          <w:sz w:val="20"/>
          <w:szCs w:val="20"/>
          <w:lang w:eastAsia="bg-BG"/>
        </w:rPr>
        <w:tab/>
        <w:t xml:space="preserve">  (млн. лв.)</w:t>
      </w:r>
    </w:p>
    <w:p w:rsidR="00F226B6" w:rsidRPr="00364563" w:rsidRDefault="00F226B6" w:rsidP="00F226B6">
      <w:pPr>
        <w:ind w:right="-242"/>
        <w:rPr>
          <w:b/>
          <w:bCs/>
          <w:sz w:val="6"/>
          <w:szCs w:val="6"/>
          <w:lang w:eastAsia="bg-BG"/>
        </w:rPr>
      </w:pPr>
    </w:p>
    <w:tbl>
      <w:tblPr>
        <w:tblW w:w="8642" w:type="dxa"/>
        <w:jc w:val="center"/>
        <w:tblInd w:w="-1068" w:type="dxa"/>
        <w:tblCellMar>
          <w:left w:w="70" w:type="dxa"/>
          <w:right w:w="70" w:type="dxa"/>
        </w:tblCellMar>
        <w:tblLook w:val="0000" w:firstRow="0" w:lastRow="0" w:firstColumn="0" w:lastColumn="0" w:noHBand="0" w:noVBand="0"/>
      </w:tblPr>
      <w:tblGrid>
        <w:gridCol w:w="4853"/>
        <w:gridCol w:w="1276"/>
        <w:gridCol w:w="1209"/>
        <w:gridCol w:w="1304"/>
      </w:tblGrid>
      <w:tr w:rsidR="00364563" w:rsidRPr="00364563" w:rsidTr="00F521AA">
        <w:trPr>
          <w:trHeight w:val="520"/>
          <w:jc w:val="center"/>
        </w:trPr>
        <w:tc>
          <w:tcPr>
            <w:tcW w:w="4853" w:type="dxa"/>
            <w:tcBorders>
              <w:top w:val="single" w:sz="8" w:space="0" w:color="auto"/>
              <w:left w:val="single" w:sz="8" w:space="0" w:color="auto"/>
              <w:bottom w:val="nil"/>
              <w:right w:val="single" w:sz="8" w:space="0" w:color="auto"/>
            </w:tcBorders>
            <w:shd w:val="clear" w:color="auto" w:fill="auto"/>
            <w:noWrap/>
            <w:vAlign w:val="center"/>
          </w:tcPr>
          <w:p w:rsidR="007E1DD6" w:rsidRPr="00364563" w:rsidRDefault="007E1DD6" w:rsidP="00F521AA">
            <w:pPr>
              <w:jc w:val="center"/>
              <w:rPr>
                <w:b/>
                <w:bCs/>
                <w:sz w:val="18"/>
                <w:szCs w:val="18"/>
              </w:rPr>
            </w:pPr>
            <w:r w:rsidRPr="00364563">
              <w:rPr>
                <w:b/>
                <w:bCs/>
                <w:sz w:val="18"/>
                <w:szCs w:val="18"/>
              </w:rPr>
              <w:t>ПОКАЗАТЕЛИ</w:t>
            </w:r>
          </w:p>
        </w:tc>
        <w:tc>
          <w:tcPr>
            <w:tcW w:w="1276" w:type="dxa"/>
            <w:tcBorders>
              <w:top w:val="single" w:sz="8" w:space="0" w:color="auto"/>
              <w:left w:val="nil"/>
              <w:bottom w:val="nil"/>
              <w:right w:val="nil"/>
            </w:tcBorders>
            <w:shd w:val="clear" w:color="auto" w:fill="auto"/>
            <w:vAlign w:val="center"/>
          </w:tcPr>
          <w:p w:rsidR="007E1DD6" w:rsidRPr="00364563" w:rsidRDefault="007E1DD6" w:rsidP="00364563">
            <w:pPr>
              <w:jc w:val="center"/>
              <w:rPr>
                <w:b/>
                <w:bCs/>
                <w:sz w:val="18"/>
                <w:szCs w:val="18"/>
              </w:rPr>
            </w:pPr>
            <w:r w:rsidRPr="00364563">
              <w:rPr>
                <w:b/>
                <w:bCs/>
                <w:sz w:val="18"/>
                <w:szCs w:val="18"/>
              </w:rPr>
              <w:t>ЗДБРБ     201</w:t>
            </w:r>
            <w:r w:rsidR="00364563" w:rsidRPr="00364563">
              <w:rPr>
                <w:b/>
                <w:bCs/>
                <w:sz w:val="18"/>
                <w:szCs w:val="18"/>
                <w:lang w:val="en-US"/>
              </w:rPr>
              <w:t>9</w:t>
            </w:r>
            <w:r w:rsidRPr="00364563">
              <w:rPr>
                <w:b/>
                <w:bCs/>
                <w:sz w:val="18"/>
                <w:szCs w:val="18"/>
              </w:rPr>
              <w:t xml:space="preserve"> г.</w:t>
            </w:r>
            <w:r w:rsidRPr="00364563">
              <w:rPr>
                <w:rStyle w:val="FootnoteReference"/>
                <w:b/>
                <w:bCs/>
                <w:sz w:val="20"/>
                <w:szCs w:val="20"/>
              </w:rPr>
              <w:t xml:space="preserve"> </w:t>
            </w:r>
          </w:p>
        </w:tc>
        <w:tc>
          <w:tcPr>
            <w:tcW w:w="1209" w:type="dxa"/>
            <w:tcBorders>
              <w:top w:val="single" w:sz="8" w:space="0" w:color="auto"/>
              <w:left w:val="nil"/>
              <w:bottom w:val="nil"/>
              <w:right w:val="nil"/>
            </w:tcBorders>
            <w:shd w:val="clear" w:color="auto" w:fill="auto"/>
            <w:vAlign w:val="center"/>
          </w:tcPr>
          <w:p w:rsidR="007E1DD6" w:rsidRPr="00364563" w:rsidRDefault="007E1DD6" w:rsidP="00324DD1">
            <w:pPr>
              <w:jc w:val="center"/>
              <w:rPr>
                <w:b/>
                <w:bCs/>
                <w:sz w:val="18"/>
                <w:szCs w:val="18"/>
              </w:rPr>
            </w:pPr>
            <w:r w:rsidRPr="00364563">
              <w:rPr>
                <w:b/>
                <w:bCs/>
                <w:sz w:val="18"/>
                <w:szCs w:val="18"/>
              </w:rPr>
              <w:t xml:space="preserve">Отчет </w:t>
            </w:r>
          </w:p>
          <w:p w:rsidR="00364563" w:rsidRPr="00364563" w:rsidRDefault="00364563" w:rsidP="00364563">
            <w:pPr>
              <w:jc w:val="center"/>
              <w:rPr>
                <w:b/>
                <w:bCs/>
                <w:sz w:val="18"/>
                <w:szCs w:val="18"/>
              </w:rPr>
            </w:pPr>
            <w:r w:rsidRPr="00364563">
              <w:rPr>
                <w:b/>
                <w:bCs/>
                <w:sz w:val="18"/>
                <w:szCs w:val="18"/>
              </w:rPr>
              <w:t>март</w:t>
            </w:r>
          </w:p>
          <w:p w:rsidR="007E1DD6" w:rsidRPr="00364563" w:rsidRDefault="007E1DD6" w:rsidP="00364563">
            <w:pPr>
              <w:jc w:val="center"/>
              <w:rPr>
                <w:b/>
                <w:bCs/>
                <w:sz w:val="18"/>
                <w:szCs w:val="18"/>
              </w:rPr>
            </w:pPr>
            <w:r w:rsidRPr="00364563">
              <w:rPr>
                <w:b/>
                <w:bCs/>
                <w:sz w:val="18"/>
                <w:szCs w:val="18"/>
              </w:rPr>
              <w:t>201</w:t>
            </w:r>
            <w:r w:rsidR="00364563" w:rsidRPr="00364563">
              <w:rPr>
                <w:b/>
                <w:bCs/>
                <w:sz w:val="18"/>
                <w:szCs w:val="18"/>
                <w:lang w:val="en-US"/>
              </w:rPr>
              <w:t>9</w:t>
            </w:r>
            <w:r w:rsidRPr="00364563">
              <w:rPr>
                <w:b/>
                <w:bCs/>
                <w:sz w:val="18"/>
                <w:szCs w:val="18"/>
              </w:rPr>
              <w:t xml:space="preserve"> г.</w:t>
            </w:r>
          </w:p>
        </w:tc>
        <w:tc>
          <w:tcPr>
            <w:tcW w:w="1304" w:type="dxa"/>
            <w:tcBorders>
              <w:top w:val="single" w:sz="8" w:space="0" w:color="auto"/>
              <w:left w:val="nil"/>
              <w:bottom w:val="nil"/>
              <w:right w:val="single" w:sz="8" w:space="0" w:color="auto"/>
            </w:tcBorders>
            <w:shd w:val="clear" w:color="auto" w:fill="auto"/>
            <w:vAlign w:val="center"/>
          </w:tcPr>
          <w:p w:rsidR="007E1DD6" w:rsidRPr="00364563" w:rsidRDefault="007E1DD6" w:rsidP="00364563">
            <w:pPr>
              <w:jc w:val="center"/>
              <w:rPr>
                <w:b/>
                <w:bCs/>
                <w:sz w:val="18"/>
                <w:szCs w:val="18"/>
              </w:rPr>
            </w:pPr>
            <w:r w:rsidRPr="00364563">
              <w:rPr>
                <w:b/>
                <w:bCs/>
                <w:sz w:val="18"/>
                <w:szCs w:val="18"/>
              </w:rPr>
              <w:t>Изпълнение спрямо    закон 201</w:t>
            </w:r>
            <w:r w:rsidR="00364563" w:rsidRPr="00364563">
              <w:rPr>
                <w:b/>
                <w:bCs/>
                <w:sz w:val="18"/>
                <w:szCs w:val="18"/>
                <w:lang w:val="en-US"/>
              </w:rPr>
              <w:t>9</w:t>
            </w:r>
            <w:r w:rsidRPr="00364563">
              <w:rPr>
                <w:b/>
                <w:bCs/>
                <w:sz w:val="18"/>
                <w:szCs w:val="18"/>
              </w:rPr>
              <w:t xml:space="preserve"> г.</w:t>
            </w:r>
          </w:p>
        </w:tc>
      </w:tr>
      <w:tr w:rsidR="00921588" w:rsidRPr="000613BA" w:rsidTr="00C3675D">
        <w:trPr>
          <w:trHeight w:val="92"/>
          <w:jc w:val="center"/>
        </w:trPr>
        <w:tc>
          <w:tcPr>
            <w:tcW w:w="4853" w:type="dxa"/>
            <w:tcBorders>
              <w:top w:val="single" w:sz="4" w:space="0" w:color="auto"/>
              <w:left w:val="single" w:sz="8" w:space="0" w:color="auto"/>
              <w:bottom w:val="single" w:sz="4" w:space="0" w:color="auto"/>
              <w:right w:val="single" w:sz="8" w:space="0" w:color="auto"/>
            </w:tcBorders>
            <w:shd w:val="clear" w:color="auto" w:fill="auto"/>
            <w:noWrap/>
            <w:vAlign w:val="bottom"/>
          </w:tcPr>
          <w:p w:rsidR="00921588" w:rsidRPr="00364563" w:rsidRDefault="00921588" w:rsidP="00F521AA">
            <w:pPr>
              <w:rPr>
                <w:b/>
                <w:bCs/>
                <w:sz w:val="18"/>
                <w:szCs w:val="18"/>
              </w:rPr>
            </w:pPr>
            <w:r w:rsidRPr="00364563">
              <w:rPr>
                <w:b/>
                <w:bCs/>
                <w:sz w:val="18"/>
                <w:szCs w:val="18"/>
              </w:rPr>
              <w:t>Общо приходи и помощи</w:t>
            </w:r>
          </w:p>
        </w:tc>
        <w:tc>
          <w:tcPr>
            <w:tcW w:w="1276" w:type="dxa"/>
            <w:tcBorders>
              <w:top w:val="single" w:sz="4" w:space="0" w:color="auto"/>
              <w:left w:val="nil"/>
              <w:bottom w:val="single" w:sz="8" w:space="0" w:color="auto"/>
              <w:right w:val="nil"/>
            </w:tcBorders>
            <w:shd w:val="clear" w:color="auto" w:fill="auto"/>
            <w:noWrap/>
            <w:vAlign w:val="bottom"/>
          </w:tcPr>
          <w:p w:rsidR="00921588" w:rsidRPr="002F7BC7" w:rsidRDefault="00921588" w:rsidP="00C3675D">
            <w:pPr>
              <w:jc w:val="right"/>
              <w:rPr>
                <w:b/>
                <w:bCs/>
                <w:sz w:val="18"/>
                <w:szCs w:val="18"/>
              </w:rPr>
            </w:pPr>
            <w:r w:rsidRPr="002F7BC7">
              <w:rPr>
                <w:b/>
                <w:bCs/>
                <w:sz w:val="18"/>
                <w:szCs w:val="18"/>
              </w:rPr>
              <w:t>25 693,3</w:t>
            </w:r>
          </w:p>
        </w:tc>
        <w:tc>
          <w:tcPr>
            <w:tcW w:w="1209" w:type="dxa"/>
            <w:tcBorders>
              <w:top w:val="single" w:sz="4" w:space="0" w:color="auto"/>
              <w:left w:val="nil"/>
              <w:bottom w:val="single" w:sz="8" w:space="0" w:color="auto"/>
              <w:right w:val="nil"/>
            </w:tcBorders>
            <w:shd w:val="clear" w:color="auto" w:fill="auto"/>
            <w:noWrap/>
            <w:vAlign w:val="bottom"/>
          </w:tcPr>
          <w:p w:rsidR="00921588" w:rsidRPr="002F7BC7" w:rsidRDefault="00921588" w:rsidP="00C3675D">
            <w:pPr>
              <w:jc w:val="right"/>
              <w:rPr>
                <w:b/>
                <w:bCs/>
                <w:sz w:val="18"/>
                <w:szCs w:val="18"/>
                <w:lang w:val="en-US"/>
              </w:rPr>
            </w:pPr>
            <w:r w:rsidRPr="002F7BC7">
              <w:rPr>
                <w:b/>
                <w:bCs/>
                <w:sz w:val="18"/>
                <w:szCs w:val="18"/>
                <w:lang w:val="en-US"/>
              </w:rPr>
              <w:t>6 425,0</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921588" w:rsidRPr="002F7BC7" w:rsidRDefault="00921588" w:rsidP="00C3675D">
            <w:pPr>
              <w:jc w:val="right"/>
              <w:rPr>
                <w:b/>
                <w:bCs/>
                <w:sz w:val="18"/>
                <w:szCs w:val="18"/>
                <w:lang w:val="en-US"/>
              </w:rPr>
            </w:pPr>
            <w:r w:rsidRPr="002F7BC7">
              <w:rPr>
                <w:b/>
                <w:bCs/>
                <w:sz w:val="18"/>
                <w:szCs w:val="18"/>
                <w:lang w:val="en-US"/>
              </w:rPr>
              <w:t>25,0%</w:t>
            </w:r>
          </w:p>
        </w:tc>
      </w:tr>
      <w:tr w:rsidR="00921588" w:rsidRPr="000613BA" w:rsidTr="00C3675D">
        <w:trPr>
          <w:trHeight w:val="80"/>
          <w:jc w:val="center"/>
        </w:trPr>
        <w:tc>
          <w:tcPr>
            <w:tcW w:w="4853" w:type="dxa"/>
            <w:tcBorders>
              <w:top w:val="single" w:sz="4" w:space="0" w:color="auto"/>
              <w:left w:val="single" w:sz="8" w:space="0" w:color="auto"/>
              <w:bottom w:val="nil"/>
              <w:right w:val="single" w:sz="8"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-Данъчни приходи</w:t>
            </w:r>
          </w:p>
        </w:tc>
        <w:tc>
          <w:tcPr>
            <w:tcW w:w="1276" w:type="dxa"/>
            <w:tcBorders>
              <w:top w:val="single" w:sz="8" w:space="0" w:color="auto"/>
              <w:left w:val="nil"/>
              <w:right w:val="nil"/>
            </w:tcBorders>
            <w:shd w:val="clear" w:color="auto" w:fill="auto"/>
            <w:noWrap/>
            <w:vAlign w:val="bottom"/>
          </w:tcPr>
          <w:p w:rsidR="00921588" w:rsidRPr="002F7BC7" w:rsidRDefault="00921588" w:rsidP="00C3675D">
            <w:pPr>
              <w:jc w:val="right"/>
              <w:rPr>
                <w:sz w:val="18"/>
                <w:szCs w:val="18"/>
              </w:rPr>
            </w:pPr>
            <w:r w:rsidRPr="002F7BC7">
              <w:rPr>
                <w:sz w:val="18"/>
                <w:szCs w:val="18"/>
              </w:rPr>
              <w:t>23 133,2</w:t>
            </w:r>
          </w:p>
        </w:tc>
        <w:tc>
          <w:tcPr>
            <w:tcW w:w="1209" w:type="dxa"/>
            <w:tcBorders>
              <w:top w:val="single" w:sz="8" w:space="0" w:color="auto"/>
              <w:left w:val="nil"/>
              <w:right w:val="nil"/>
            </w:tcBorders>
            <w:shd w:val="clear" w:color="auto" w:fill="auto"/>
            <w:noWrap/>
            <w:vAlign w:val="bottom"/>
          </w:tcPr>
          <w:p w:rsidR="00921588" w:rsidRPr="002F7BC7" w:rsidRDefault="00921588" w:rsidP="00C3675D">
            <w:pPr>
              <w:jc w:val="right"/>
              <w:rPr>
                <w:sz w:val="18"/>
                <w:szCs w:val="18"/>
              </w:rPr>
            </w:pPr>
            <w:r w:rsidRPr="002F7BC7">
              <w:rPr>
                <w:sz w:val="18"/>
                <w:szCs w:val="18"/>
              </w:rPr>
              <w:t>5 812,9</w:t>
            </w:r>
          </w:p>
        </w:tc>
        <w:tc>
          <w:tcPr>
            <w:tcW w:w="1304" w:type="dxa"/>
            <w:tcBorders>
              <w:top w:val="single" w:sz="8" w:space="0" w:color="auto"/>
              <w:left w:val="nil"/>
              <w:right w:val="single" w:sz="8" w:space="0" w:color="auto"/>
            </w:tcBorders>
            <w:shd w:val="clear" w:color="auto" w:fill="auto"/>
            <w:noWrap/>
            <w:vAlign w:val="bottom"/>
          </w:tcPr>
          <w:p w:rsidR="00921588" w:rsidRPr="002F7BC7" w:rsidRDefault="00921588" w:rsidP="00C3675D">
            <w:pPr>
              <w:jc w:val="right"/>
              <w:rPr>
                <w:sz w:val="18"/>
                <w:szCs w:val="18"/>
              </w:rPr>
            </w:pPr>
            <w:r w:rsidRPr="002F7BC7">
              <w:rPr>
                <w:sz w:val="18"/>
                <w:szCs w:val="18"/>
              </w:rPr>
              <w:t>25,1%</w:t>
            </w:r>
          </w:p>
        </w:tc>
      </w:tr>
      <w:tr w:rsidR="00921588" w:rsidRPr="000613BA" w:rsidTr="00F521AA">
        <w:trPr>
          <w:trHeight w:val="80"/>
          <w:jc w:val="center"/>
        </w:trPr>
        <w:tc>
          <w:tcPr>
            <w:tcW w:w="4853" w:type="dxa"/>
            <w:tcBorders>
              <w:left w:val="single" w:sz="8" w:space="0" w:color="auto"/>
              <w:right w:val="single" w:sz="8"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Корпоративни данъци</w:t>
            </w:r>
          </w:p>
        </w:tc>
        <w:tc>
          <w:tcPr>
            <w:tcW w:w="1276" w:type="dxa"/>
            <w:tcBorders>
              <w:left w:val="nil"/>
              <w:bottom w:val="nil"/>
              <w:right w:val="nil"/>
            </w:tcBorders>
            <w:shd w:val="clear" w:color="auto" w:fill="auto"/>
            <w:noWrap/>
            <w:vAlign w:val="bottom"/>
          </w:tcPr>
          <w:p w:rsidR="00921588" w:rsidRPr="002F7BC7" w:rsidRDefault="00921588" w:rsidP="00C3675D">
            <w:pPr>
              <w:jc w:val="right"/>
              <w:rPr>
                <w:sz w:val="18"/>
                <w:szCs w:val="18"/>
              </w:rPr>
            </w:pPr>
            <w:r w:rsidRPr="002F7BC7">
              <w:rPr>
                <w:sz w:val="18"/>
                <w:szCs w:val="18"/>
              </w:rPr>
              <w:t>2 675,9</w:t>
            </w:r>
          </w:p>
        </w:tc>
        <w:tc>
          <w:tcPr>
            <w:tcW w:w="1209" w:type="dxa"/>
            <w:tcBorders>
              <w:left w:val="nil"/>
              <w:bottom w:val="nil"/>
              <w:right w:val="nil"/>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522,0</w:t>
            </w:r>
          </w:p>
        </w:tc>
        <w:tc>
          <w:tcPr>
            <w:tcW w:w="1304" w:type="dxa"/>
            <w:tcBorders>
              <w:left w:val="nil"/>
              <w:bottom w:val="nil"/>
              <w:right w:val="single" w:sz="8" w:space="0" w:color="auto"/>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19,5%</w:t>
            </w:r>
          </w:p>
        </w:tc>
      </w:tr>
      <w:tr w:rsidR="00921588" w:rsidRPr="000613BA" w:rsidTr="00F521AA">
        <w:trPr>
          <w:trHeight w:val="165"/>
          <w:jc w:val="center"/>
        </w:trPr>
        <w:tc>
          <w:tcPr>
            <w:tcW w:w="4853" w:type="dxa"/>
            <w:tcBorders>
              <w:left w:val="single" w:sz="8" w:space="0" w:color="auto"/>
              <w:right w:val="single" w:sz="8"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ДДФЛ</w:t>
            </w:r>
          </w:p>
        </w:tc>
        <w:tc>
          <w:tcPr>
            <w:tcW w:w="1276" w:type="dxa"/>
            <w:tcBorders>
              <w:left w:val="nil"/>
              <w:bottom w:val="nil"/>
              <w:right w:val="nil"/>
            </w:tcBorders>
            <w:shd w:val="clear" w:color="auto" w:fill="auto"/>
            <w:noWrap/>
            <w:vAlign w:val="bottom"/>
          </w:tcPr>
          <w:p w:rsidR="00921588" w:rsidRPr="002F7BC7" w:rsidRDefault="00921588" w:rsidP="00C3675D">
            <w:pPr>
              <w:jc w:val="right"/>
              <w:rPr>
                <w:sz w:val="18"/>
                <w:szCs w:val="18"/>
              </w:rPr>
            </w:pPr>
            <w:r w:rsidRPr="002F7BC7">
              <w:rPr>
                <w:sz w:val="18"/>
                <w:szCs w:val="18"/>
              </w:rPr>
              <w:t>3 861,0</w:t>
            </w:r>
          </w:p>
        </w:tc>
        <w:tc>
          <w:tcPr>
            <w:tcW w:w="1209" w:type="dxa"/>
            <w:tcBorders>
              <w:left w:val="nil"/>
              <w:bottom w:val="nil"/>
              <w:right w:val="nil"/>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917,0</w:t>
            </w:r>
          </w:p>
        </w:tc>
        <w:tc>
          <w:tcPr>
            <w:tcW w:w="1304" w:type="dxa"/>
            <w:tcBorders>
              <w:left w:val="nil"/>
              <w:bottom w:val="nil"/>
              <w:right w:val="single" w:sz="8" w:space="0" w:color="auto"/>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23,8%</w:t>
            </w:r>
          </w:p>
        </w:tc>
      </w:tr>
      <w:tr w:rsidR="00921588" w:rsidRPr="000613BA" w:rsidTr="00F521AA">
        <w:trPr>
          <w:trHeight w:val="165"/>
          <w:jc w:val="center"/>
        </w:trPr>
        <w:tc>
          <w:tcPr>
            <w:tcW w:w="4853" w:type="dxa"/>
            <w:tcBorders>
              <w:left w:val="single" w:sz="8" w:space="0" w:color="auto"/>
              <w:right w:val="single" w:sz="8"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ДДС</w:t>
            </w:r>
          </w:p>
        </w:tc>
        <w:tc>
          <w:tcPr>
            <w:tcW w:w="1276" w:type="dxa"/>
            <w:tcBorders>
              <w:left w:val="nil"/>
              <w:bottom w:val="nil"/>
              <w:right w:val="nil"/>
            </w:tcBorders>
            <w:shd w:val="clear" w:color="auto" w:fill="auto"/>
            <w:noWrap/>
            <w:vAlign w:val="bottom"/>
          </w:tcPr>
          <w:p w:rsidR="00921588" w:rsidRPr="002F7BC7" w:rsidRDefault="00921588" w:rsidP="00C3675D">
            <w:pPr>
              <w:jc w:val="right"/>
              <w:rPr>
                <w:sz w:val="18"/>
                <w:szCs w:val="18"/>
              </w:rPr>
            </w:pPr>
            <w:r w:rsidRPr="002F7BC7">
              <w:rPr>
                <w:sz w:val="18"/>
                <w:szCs w:val="18"/>
              </w:rPr>
              <w:t>10 830,0</w:t>
            </w:r>
          </w:p>
        </w:tc>
        <w:tc>
          <w:tcPr>
            <w:tcW w:w="1209" w:type="dxa"/>
            <w:tcBorders>
              <w:left w:val="nil"/>
              <w:bottom w:val="nil"/>
              <w:right w:val="nil"/>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2 940,6</w:t>
            </w:r>
          </w:p>
        </w:tc>
        <w:tc>
          <w:tcPr>
            <w:tcW w:w="1304" w:type="dxa"/>
            <w:tcBorders>
              <w:left w:val="nil"/>
              <w:bottom w:val="nil"/>
              <w:right w:val="single" w:sz="8" w:space="0" w:color="auto"/>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27,2%</w:t>
            </w:r>
          </w:p>
        </w:tc>
      </w:tr>
      <w:tr w:rsidR="00921588" w:rsidRPr="000613BA" w:rsidTr="00F521AA">
        <w:trPr>
          <w:trHeight w:val="165"/>
          <w:jc w:val="center"/>
        </w:trPr>
        <w:tc>
          <w:tcPr>
            <w:tcW w:w="4853" w:type="dxa"/>
            <w:tcBorders>
              <w:left w:val="single" w:sz="8" w:space="0" w:color="auto"/>
              <w:right w:val="single" w:sz="8"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Акцизи </w:t>
            </w:r>
          </w:p>
        </w:tc>
        <w:tc>
          <w:tcPr>
            <w:tcW w:w="1276" w:type="dxa"/>
            <w:tcBorders>
              <w:left w:val="nil"/>
              <w:bottom w:val="nil"/>
              <w:right w:val="nil"/>
            </w:tcBorders>
            <w:shd w:val="clear" w:color="auto" w:fill="auto"/>
            <w:noWrap/>
            <w:vAlign w:val="bottom"/>
          </w:tcPr>
          <w:p w:rsidR="00921588" w:rsidRPr="002F7BC7" w:rsidRDefault="00921588" w:rsidP="00C3675D">
            <w:pPr>
              <w:jc w:val="right"/>
              <w:rPr>
                <w:sz w:val="18"/>
                <w:szCs w:val="18"/>
              </w:rPr>
            </w:pPr>
            <w:r w:rsidRPr="002F7BC7">
              <w:rPr>
                <w:sz w:val="18"/>
                <w:szCs w:val="18"/>
              </w:rPr>
              <w:t>5 330,7</w:t>
            </w:r>
          </w:p>
        </w:tc>
        <w:tc>
          <w:tcPr>
            <w:tcW w:w="1209" w:type="dxa"/>
            <w:tcBorders>
              <w:left w:val="nil"/>
              <w:bottom w:val="nil"/>
              <w:right w:val="nil"/>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1 276,5</w:t>
            </w:r>
          </w:p>
        </w:tc>
        <w:tc>
          <w:tcPr>
            <w:tcW w:w="1304" w:type="dxa"/>
            <w:tcBorders>
              <w:left w:val="nil"/>
              <w:bottom w:val="nil"/>
              <w:right w:val="single" w:sz="8" w:space="0" w:color="auto"/>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23,9%</w:t>
            </w:r>
          </w:p>
        </w:tc>
      </w:tr>
      <w:tr w:rsidR="00921588" w:rsidRPr="000613BA" w:rsidTr="00324DD1">
        <w:trPr>
          <w:trHeight w:val="165"/>
          <w:jc w:val="center"/>
        </w:trPr>
        <w:tc>
          <w:tcPr>
            <w:tcW w:w="4853" w:type="dxa"/>
            <w:tcBorders>
              <w:left w:val="single" w:sz="8" w:space="0" w:color="auto"/>
              <w:right w:val="single" w:sz="8"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rsidR="00921588" w:rsidRPr="002F7BC7" w:rsidRDefault="00921588" w:rsidP="00C3675D">
            <w:pPr>
              <w:jc w:val="right"/>
              <w:rPr>
                <w:sz w:val="18"/>
                <w:szCs w:val="18"/>
              </w:rPr>
            </w:pPr>
            <w:r w:rsidRPr="002F7BC7">
              <w:rPr>
                <w:sz w:val="18"/>
                <w:szCs w:val="18"/>
              </w:rPr>
              <w:t>39,7</w:t>
            </w:r>
          </w:p>
        </w:tc>
        <w:tc>
          <w:tcPr>
            <w:tcW w:w="1209" w:type="dxa"/>
            <w:tcBorders>
              <w:left w:val="nil"/>
              <w:bottom w:val="nil"/>
              <w:right w:val="nil"/>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10,7</w:t>
            </w:r>
          </w:p>
        </w:tc>
        <w:tc>
          <w:tcPr>
            <w:tcW w:w="1304" w:type="dxa"/>
            <w:tcBorders>
              <w:left w:val="nil"/>
              <w:bottom w:val="nil"/>
              <w:right w:val="single" w:sz="8" w:space="0" w:color="auto"/>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27,0%</w:t>
            </w:r>
          </w:p>
        </w:tc>
      </w:tr>
      <w:tr w:rsidR="00921588" w:rsidRPr="000613BA" w:rsidTr="00324DD1">
        <w:trPr>
          <w:trHeight w:val="165"/>
          <w:jc w:val="center"/>
        </w:trPr>
        <w:tc>
          <w:tcPr>
            <w:tcW w:w="4853" w:type="dxa"/>
            <w:tcBorders>
              <w:left w:val="single" w:sz="8" w:space="0" w:color="auto"/>
              <w:right w:val="single" w:sz="8"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Мита и митнически такси</w:t>
            </w:r>
          </w:p>
        </w:tc>
        <w:tc>
          <w:tcPr>
            <w:tcW w:w="1276" w:type="dxa"/>
            <w:tcBorders>
              <w:left w:val="nil"/>
              <w:bottom w:val="nil"/>
              <w:right w:val="nil"/>
            </w:tcBorders>
            <w:shd w:val="clear" w:color="auto" w:fill="auto"/>
            <w:noWrap/>
            <w:vAlign w:val="bottom"/>
          </w:tcPr>
          <w:p w:rsidR="00921588" w:rsidRPr="002F7BC7" w:rsidRDefault="00921588" w:rsidP="00C3675D">
            <w:pPr>
              <w:jc w:val="right"/>
              <w:rPr>
                <w:sz w:val="18"/>
                <w:szCs w:val="18"/>
              </w:rPr>
            </w:pPr>
            <w:r w:rsidRPr="002F7BC7">
              <w:rPr>
                <w:sz w:val="18"/>
                <w:szCs w:val="18"/>
              </w:rPr>
              <w:t>236,9</w:t>
            </w:r>
          </w:p>
        </w:tc>
        <w:tc>
          <w:tcPr>
            <w:tcW w:w="1209" w:type="dxa"/>
            <w:tcBorders>
              <w:left w:val="nil"/>
              <w:bottom w:val="nil"/>
              <w:right w:val="nil"/>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59,0</w:t>
            </w:r>
          </w:p>
        </w:tc>
        <w:tc>
          <w:tcPr>
            <w:tcW w:w="1304" w:type="dxa"/>
            <w:tcBorders>
              <w:left w:val="nil"/>
              <w:bottom w:val="nil"/>
              <w:right w:val="single" w:sz="8" w:space="0" w:color="auto"/>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24,9%</w:t>
            </w:r>
          </w:p>
        </w:tc>
      </w:tr>
      <w:tr w:rsidR="00921588" w:rsidRPr="000613BA" w:rsidTr="00F521AA">
        <w:trPr>
          <w:trHeight w:val="165"/>
          <w:jc w:val="center"/>
        </w:trPr>
        <w:tc>
          <w:tcPr>
            <w:tcW w:w="4853" w:type="dxa"/>
            <w:tcBorders>
              <w:left w:val="single" w:sz="8" w:space="0" w:color="auto"/>
              <w:right w:val="single" w:sz="8"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Други данъци</w:t>
            </w:r>
          </w:p>
        </w:tc>
        <w:tc>
          <w:tcPr>
            <w:tcW w:w="1276" w:type="dxa"/>
            <w:tcBorders>
              <w:left w:val="nil"/>
              <w:bottom w:val="nil"/>
              <w:right w:val="nil"/>
            </w:tcBorders>
            <w:shd w:val="clear" w:color="auto" w:fill="auto"/>
            <w:noWrap/>
            <w:vAlign w:val="bottom"/>
          </w:tcPr>
          <w:p w:rsidR="00921588" w:rsidRPr="002F7BC7" w:rsidRDefault="00921588" w:rsidP="00C3675D">
            <w:pPr>
              <w:jc w:val="right"/>
              <w:rPr>
                <w:sz w:val="18"/>
                <w:szCs w:val="18"/>
              </w:rPr>
            </w:pPr>
            <w:r w:rsidRPr="002F7BC7">
              <w:rPr>
                <w:sz w:val="18"/>
                <w:szCs w:val="18"/>
              </w:rPr>
              <w:t>159,0</w:t>
            </w:r>
          </w:p>
        </w:tc>
        <w:tc>
          <w:tcPr>
            <w:tcW w:w="1209" w:type="dxa"/>
            <w:tcBorders>
              <w:left w:val="nil"/>
              <w:bottom w:val="nil"/>
              <w:right w:val="nil"/>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87,0</w:t>
            </w:r>
          </w:p>
        </w:tc>
        <w:tc>
          <w:tcPr>
            <w:tcW w:w="1304" w:type="dxa"/>
            <w:tcBorders>
              <w:left w:val="nil"/>
              <w:bottom w:val="nil"/>
              <w:right w:val="single" w:sz="8" w:space="0" w:color="auto"/>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54,7%</w:t>
            </w:r>
          </w:p>
        </w:tc>
      </w:tr>
      <w:tr w:rsidR="00921588" w:rsidRPr="000613BA" w:rsidTr="00F521AA">
        <w:trPr>
          <w:trHeight w:val="165"/>
          <w:jc w:val="center"/>
        </w:trPr>
        <w:tc>
          <w:tcPr>
            <w:tcW w:w="4853" w:type="dxa"/>
            <w:tcBorders>
              <w:left w:val="single" w:sz="8" w:space="0" w:color="auto"/>
              <w:right w:val="single" w:sz="8"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-Неданъчни приходи</w:t>
            </w:r>
          </w:p>
        </w:tc>
        <w:tc>
          <w:tcPr>
            <w:tcW w:w="1276" w:type="dxa"/>
            <w:tcBorders>
              <w:left w:val="nil"/>
              <w:bottom w:val="nil"/>
              <w:right w:val="nil"/>
            </w:tcBorders>
            <w:shd w:val="clear" w:color="auto" w:fill="auto"/>
            <w:noWrap/>
            <w:vAlign w:val="bottom"/>
          </w:tcPr>
          <w:p w:rsidR="00921588" w:rsidRPr="002F7BC7" w:rsidRDefault="00921588" w:rsidP="00C3675D">
            <w:pPr>
              <w:jc w:val="right"/>
              <w:rPr>
                <w:sz w:val="18"/>
                <w:szCs w:val="18"/>
              </w:rPr>
            </w:pPr>
            <w:r w:rsidRPr="002F7BC7">
              <w:rPr>
                <w:sz w:val="18"/>
                <w:szCs w:val="18"/>
              </w:rPr>
              <w:t>2 560,1</w:t>
            </w:r>
          </w:p>
        </w:tc>
        <w:tc>
          <w:tcPr>
            <w:tcW w:w="1209" w:type="dxa"/>
            <w:tcBorders>
              <w:left w:val="nil"/>
              <w:bottom w:val="nil"/>
              <w:right w:val="nil"/>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611,2</w:t>
            </w:r>
          </w:p>
        </w:tc>
        <w:tc>
          <w:tcPr>
            <w:tcW w:w="1304" w:type="dxa"/>
            <w:tcBorders>
              <w:left w:val="nil"/>
              <w:bottom w:val="nil"/>
              <w:right w:val="single" w:sz="8" w:space="0" w:color="auto"/>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23,9%</w:t>
            </w:r>
          </w:p>
        </w:tc>
      </w:tr>
      <w:tr w:rsidR="00921588" w:rsidRPr="000613BA" w:rsidTr="00F521AA">
        <w:trPr>
          <w:trHeight w:val="165"/>
          <w:jc w:val="center"/>
        </w:trPr>
        <w:tc>
          <w:tcPr>
            <w:tcW w:w="4853" w:type="dxa"/>
            <w:tcBorders>
              <w:left w:val="single" w:sz="8" w:space="0" w:color="auto"/>
              <w:right w:val="single" w:sz="8"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-Помощи</w:t>
            </w:r>
          </w:p>
        </w:tc>
        <w:tc>
          <w:tcPr>
            <w:tcW w:w="1276" w:type="dxa"/>
            <w:tcBorders>
              <w:left w:val="nil"/>
              <w:bottom w:val="nil"/>
              <w:right w:val="nil"/>
            </w:tcBorders>
            <w:shd w:val="clear" w:color="auto" w:fill="auto"/>
            <w:noWrap/>
            <w:vAlign w:val="bottom"/>
          </w:tcPr>
          <w:p w:rsidR="00921588" w:rsidRPr="002F7BC7" w:rsidRDefault="00921588" w:rsidP="00C3675D">
            <w:pPr>
              <w:jc w:val="right"/>
              <w:rPr>
                <w:sz w:val="18"/>
                <w:szCs w:val="18"/>
              </w:rPr>
            </w:pPr>
            <w:r w:rsidRPr="002F7BC7">
              <w:rPr>
                <w:sz w:val="18"/>
                <w:szCs w:val="18"/>
              </w:rPr>
              <w:t>0,</w:t>
            </w:r>
            <w:proofErr w:type="spellStart"/>
            <w:r w:rsidRPr="002F7BC7">
              <w:rPr>
                <w:sz w:val="18"/>
                <w:szCs w:val="18"/>
              </w:rPr>
              <w:t>0</w:t>
            </w:r>
            <w:proofErr w:type="spellEnd"/>
          </w:p>
        </w:tc>
        <w:tc>
          <w:tcPr>
            <w:tcW w:w="1209" w:type="dxa"/>
            <w:tcBorders>
              <w:left w:val="nil"/>
              <w:bottom w:val="nil"/>
              <w:right w:val="nil"/>
            </w:tcBorders>
            <w:shd w:val="clear" w:color="auto" w:fill="auto"/>
            <w:noWrap/>
            <w:vAlign w:val="bottom"/>
          </w:tcPr>
          <w:p w:rsidR="00921588" w:rsidRPr="002F7BC7" w:rsidRDefault="00921588" w:rsidP="00C3675D">
            <w:pPr>
              <w:jc w:val="right"/>
              <w:rPr>
                <w:sz w:val="18"/>
                <w:szCs w:val="18"/>
                <w:lang w:val="en-US"/>
              </w:rPr>
            </w:pPr>
            <w:r w:rsidRPr="002F7BC7">
              <w:rPr>
                <w:sz w:val="18"/>
                <w:szCs w:val="18"/>
                <w:lang w:val="en-US"/>
              </w:rPr>
              <w:t>1,0</w:t>
            </w:r>
          </w:p>
        </w:tc>
        <w:tc>
          <w:tcPr>
            <w:tcW w:w="1304" w:type="dxa"/>
            <w:tcBorders>
              <w:left w:val="nil"/>
              <w:bottom w:val="nil"/>
              <w:right w:val="single" w:sz="8" w:space="0" w:color="auto"/>
            </w:tcBorders>
            <w:shd w:val="clear" w:color="auto" w:fill="auto"/>
            <w:noWrap/>
            <w:vAlign w:val="bottom"/>
          </w:tcPr>
          <w:p w:rsidR="00921588" w:rsidRPr="00456B43" w:rsidRDefault="00921588" w:rsidP="00C3675D">
            <w:pPr>
              <w:rPr>
                <w:color w:val="4F81BD" w:themeColor="accent1"/>
                <w:sz w:val="18"/>
                <w:szCs w:val="18"/>
              </w:rPr>
            </w:pPr>
            <w:r w:rsidRPr="00456B43">
              <w:rPr>
                <w:color w:val="4F81BD" w:themeColor="accent1"/>
                <w:sz w:val="18"/>
                <w:szCs w:val="18"/>
              </w:rPr>
              <w:t> </w:t>
            </w:r>
          </w:p>
        </w:tc>
      </w:tr>
      <w:tr w:rsidR="00921588" w:rsidRPr="000613BA" w:rsidTr="00324DD1">
        <w:trPr>
          <w:trHeight w:val="199"/>
          <w:jc w:val="center"/>
        </w:trPr>
        <w:tc>
          <w:tcPr>
            <w:tcW w:w="4853" w:type="dxa"/>
            <w:tcBorders>
              <w:top w:val="single" w:sz="4" w:space="0" w:color="auto"/>
              <w:left w:val="single" w:sz="4" w:space="0" w:color="auto"/>
              <w:bottom w:val="nil"/>
              <w:right w:val="single" w:sz="4" w:space="0" w:color="auto"/>
            </w:tcBorders>
            <w:shd w:val="clear" w:color="auto" w:fill="auto"/>
            <w:noWrap/>
            <w:vAlign w:val="bottom"/>
          </w:tcPr>
          <w:p w:rsidR="00921588" w:rsidRPr="00364563" w:rsidRDefault="00921588" w:rsidP="00F521AA">
            <w:pPr>
              <w:rPr>
                <w:b/>
                <w:bCs/>
                <w:sz w:val="18"/>
                <w:szCs w:val="18"/>
              </w:rPr>
            </w:pPr>
            <w:r w:rsidRPr="00364563">
              <w:rPr>
                <w:b/>
                <w:bCs/>
                <w:sz w:val="18"/>
                <w:szCs w:val="18"/>
              </w:rPr>
              <w:t xml:space="preserve"> Разходи,трансфери и вноска в бюджета на ЕС</w:t>
            </w:r>
          </w:p>
        </w:tc>
        <w:tc>
          <w:tcPr>
            <w:tcW w:w="1276" w:type="dxa"/>
            <w:tcBorders>
              <w:top w:val="single" w:sz="4" w:space="0" w:color="auto"/>
              <w:left w:val="nil"/>
              <w:bottom w:val="nil"/>
              <w:right w:val="nil"/>
            </w:tcBorders>
            <w:shd w:val="clear" w:color="auto" w:fill="auto"/>
            <w:noWrap/>
            <w:vAlign w:val="bottom"/>
          </w:tcPr>
          <w:p w:rsidR="00921588" w:rsidRPr="00F14315" w:rsidRDefault="00921588" w:rsidP="00C3675D">
            <w:pPr>
              <w:jc w:val="right"/>
              <w:rPr>
                <w:b/>
                <w:bCs/>
                <w:sz w:val="18"/>
                <w:szCs w:val="18"/>
              </w:rPr>
            </w:pPr>
            <w:r w:rsidRPr="00F14315">
              <w:rPr>
                <w:b/>
                <w:bCs/>
                <w:sz w:val="18"/>
                <w:szCs w:val="18"/>
              </w:rPr>
              <w:t>26 092,6</w:t>
            </w:r>
          </w:p>
        </w:tc>
        <w:tc>
          <w:tcPr>
            <w:tcW w:w="1209" w:type="dxa"/>
            <w:tcBorders>
              <w:top w:val="single" w:sz="4" w:space="0" w:color="auto"/>
              <w:left w:val="nil"/>
              <w:bottom w:val="nil"/>
              <w:right w:val="nil"/>
            </w:tcBorders>
            <w:shd w:val="clear" w:color="auto" w:fill="auto"/>
            <w:noWrap/>
            <w:vAlign w:val="bottom"/>
          </w:tcPr>
          <w:p w:rsidR="00921588" w:rsidRPr="00F14315" w:rsidRDefault="00921588" w:rsidP="00C3675D">
            <w:pPr>
              <w:jc w:val="right"/>
              <w:rPr>
                <w:b/>
                <w:bCs/>
                <w:sz w:val="18"/>
                <w:szCs w:val="18"/>
                <w:lang w:val="en-US"/>
              </w:rPr>
            </w:pPr>
            <w:r w:rsidRPr="00F14315">
              <w:rPr>
                <w:b/>
                <w:bCs/>
                <w:sz w:val="18"/>
                <w:szCs w:val="18"/>
                <w:lang w:val="en-US"/>
              </w:rPr>
              <w:t>5 662,1</w:t>
            </w:r>
          </w:p>
        </w:tc>
        <w:tc>
          <w:tcPr>
            <w:tcW w:w="1304" w:type="dxa"/>
            <w:tcBorders>
              <w:top w:val="single" w:sz="4" w:space="0" w:color="auto"/>
              <w:left w:val="nil"/>
              <w:bottom w:val="nil"/>
              <w:right w:val="single" w:sz="8" w:space="0" w:color="auto"/>
            </w:tcBorders>
            <w:shd w:val="clear" w:color="auto" w:fill="auto"/>
            <w:noWrap/>
            <w:vAlign w:val="bottom"/>
          </w:tcPr>
          <w:p w:rsidR="00921588" w:rsidRPr="00F14315" w:rsidRDefault="00921588" w:rsidP="00C3675D">
            <w:pPr>
              <w:jc w:val="right"/>
              <w:rPr>
                <w:b/>
                <w:bCs/>
                <w:sz w:val="18"/>
                <w:szCs w:val="18"/>
                <w:lang w:val="en-US"/>
              </w:rPr>
            </w:pPr>
            <w:r w:rsidRPr="00F14315">
              <w:rPr>
                <w:b/>
                <w:bCs/>
                <w:sz w:val="18"/>
                <w:szCs w:val="18"/>
                <w:lang w:val="en-US"/>
              </w:rPr>
              <w:t>21,7%</w:t>
            </w:r>
          </w:p>
        </w:tc>
      </w:tr>
      <w:tr w:rsidR="00921588" w:rsidRPr="000613BA" w:rsidTr="00324DD1">
        <w:trPr>
          <w:trHeight w:val="101"/>
          <w:jc w:val="center"/>
        </w:trPr>
        <w:tc>
          <w:tcPr>
            <w:tcW w:w="4853" w:type="dxa"/>
            <w:tcBorders>
              <w:top w:val="nil"/>
              <w:left w:val="single" w:sz="4" w:space="0" w:color="auto"/>
              <w:bottom w:val="nil"/>
              <w:right w:val="single" w:sz="4" w:space="0" w:color="auto"/>
            </w:tcBorders>
            <w:shd w:val="clear" w:color="auto" w:fill="auto"/>
            <w:noWrap/>
            <w:vAlign w:val="bottom"/>
          </w:tcPr>
          <w:p w:rsidR="00921588" w:rsidRPr="00364563" w:rsidRDefault="00921588" w:rsidP="00F521AA">
            <w:pPr>
              <w:rPr>
                <w:b/>
                <w:i/>
                <w:sz w:val="18"/>
                <w:szCs w:val="18"/>
              </w:rPr>
            </w:pPr>
            <w:r w:rsidRPr="00364563">
              <w:rPr>
                <w:b/>
                <w:i/>
                <w:sz w:val="18"/>
                <w:szCs w:val="18"/>
              </w:rPr>
              <w:t xml:space="preserve">   -Нелихвени разходи</w:t>
            </w:r>
          </w:p>
        </w:tc>
        <w:tc>
          <w:tcPr>
            <w:tcW w:w="1276"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rPr>
            </w:pPr>
            <w:r w:rsidRPr="00F14315">
              <w:rPr>
                <w:sz w:val="18"/>
                <w:szCs w:val="18"/>
              </w:rPr>
              <w:t>12 609,3</w:t>
            </w:r>
          </w:p>
        </w:tc>
        <w:tc>
          <w:tcPr>
            <w:tcW w:w="1209"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2 081,5</w:t>
            </w:r>
          </w:p>
        </w:tc>
        <w:tc>
          <w:tcPr>
            <w:tcW w:w="1304" w:type="dxa"/>
            <w:tcBorders>
              <w:top w:val="nil"/>
              <w:left w:val="nil"/>
              <w:bottom w:val="nil"/>
              <w:right w:val="single" w:sz="8" w:space="0" w:color="auto"/>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16,5%</w:t>
            </w:r>
          </w:p>
        </w:tc>
      </w:tr>
      <w:tr w:rsidR="00921588" w:rsidRPr="000613BA" w:rsidTr="00324DD1">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Текущи </w:t>
            </w:r>
          </w:p>
        </w:tc>
        <w:tc>
          <w:tcPr>
            <w:tcW w:w="1276"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rPr>
            </w:pPr>
            <w:r w:rsidRPr="00F14315">
              <w:rPr>
                <w:sz w:val="18"/>
                <w:szCs w:val="18"/>
              </w:rPr>
              <w:t>9 811,5</w:t>
            </w:r>
          </w:p>
        </w:tc>
        <w:tc>
          <w:tcPr>
            <w:tcW w:w="1209"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2 035,6</w:t>
            </w:r>
          </w:p>
        </w:tc>
        <w:tc>
          <w:tcPr>
            <w:tcW w:w="1304" w:type="dxa"/>
            <w:tcBorders>
              <w:top w:val="nil"/>
              <w:left w:val="nil"/>
              <w:bottom w:val="nil"/>
              <w:right w:val="single" w:sz="8" w:space="0" w:color="auto"/>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20,7%</w:t>
            </w:r>
          </w:p>
        </w:tc>
      </w:tr>
      <w:tr w:rsidR="00921588" w:rsidRPr="000613BA" w:rsidTr="00324DD1">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Предоставени </w:t>
            </w:r>
            <w:proofErr w:type="spellStart"/>
            <w:r w:rsidRPr="00364563">
              <w:rPr>
                <w:sz w:val="18"/>
                <w:szCs w:val="18"/>
              </w:rPr>
              <w:t>тек</w:t>
            </w:r>
            <w:proofErr w:type="spellEnd"/>
            <w:r w:rsidRPr="00364563">
              <w:rPr>
                <w:sz w:val="18"/>
                <w:szCs w:val="18"/>
              </w:rPr>
              <w:t xml:space="preserve">. и </w:t>
            </w:r>
            <w:proofErr w:type="spellStart"/>
            <w:r w:rsidRPr="00364563">
              <w:rPr>
                <w:sz w:val="18"/>
                <w:szCs w:val="18"/>
              </w:rPr>
              <w:t>капит</w:t>
            </w:r>
            <w:proofErr w:type="spellEnd"/>
            <w:r w:rsidRPr="00364563">
              <w:rPr>
                <w:sz w:val="18"/>
                <w:szCs w:val="18"/>
              </w:rPr>
              <w:t>. трансфери за чужбина</w:t>
            </w:r>
          </w:p>
        </w:tc>
        <w:tc>
          <w:tcPr>
            <w:tcW w:w="1276"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rPr>
            </w:pPr>
            <w:r w:rsidRPr="00F14315">
              <w:rPr>
                <w:sz w:val="18"/>
                <w:szCs w:val="18"/>
              </w:rPr>
              <w:t>14,4</w:t>
            </w:r>
          </w:p>
        </w:tc>
        <w:tc>
          <w:tcPr>
            <w:tcW w:w="1209"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0,5</w:t>
            </w:r>
          </w:p>
        </w:tc>
        <w:tc>
          <w:tcPr>
            <w:tcW w:w="1304" w:type="dxa"/>
            <w:tcBorders>
              <w:top w:val="nil"/>
              <w:left w:val="nil"/>
              <w:bottom w:val="nil"/>
              <w:right w:val="single" w:sz="8" w:space="0" w:color="auto"/>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3,4%</w:t>
            </w:r>
          </w:p>
        </w:tc>
      </w:tr>
      <w:tr w:rsidR="00921588" w:rsidRPr="000613BA" w:rsidTr="00324DD1">
        <w:trPr>
          <w:trHeight w:val="179"/>
          <w:jc w:val="center"/>
        </w:trPr>
        <w:tc>
          <w:tcPr>
            <w:tcW w:w="4853" w:type="dxa"/>
            <w:tcBorders>
              <w:top w:val="nil"/>
              <w:left w:val="single" w:sz="4" w:space="0" w:color="auto"/>
              <w:bottom w:val="nil"/>
              <w:right w:val="single" w:sz="4"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Капиталови</w:t>
            </w:r>
          </w:p>
        </w:tc>
        <w:tc>
          <w:tcPr>
            <w:tcW w:w="1276"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rPr>
            </w:pPr>
            <w:r w:rsidRPr="00F14315">
              <w:rPr>
                <w:sz w:val="18"/>
                <w:szCs w:val="18"/>
              </w:rPr>
              <w:t>2 783,5</w:t>
            </w:r>
          </w:p>
        </w:tc>
        <w:tc>
          <w:tcPr>
            <w:tcW w:w="1209"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45,4</w:t>
            </w:r>
          </w:p>
        </w:tc>
        <w:tc>
          <w:tcPr>
            <w:tcW w:w="1304" w:type="dxa"/>
            <w:tcBorders>
              <w:top w:val="nil"/>
              <w:left w:val="nil"/>
              <w:bottom w:val="nil"/>
              <w:right w:val="single" w:sz="8" w:space="0" w:color="auto"/>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1,6%</w:t>
            </w:r>
          </w:p>
        </w:tc>
      </w:tr>
      <w:tr w:rsidR="00921588" w:rsidRPr="000613BA" w:rsidTr="00324DD1">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921588" w:rsidRPr="00364563" w:rsidRDefault="00921588" w:rsidP="00F521AA">
            <w:pPr>
              <w:rPr>
                <w:b/>
                <w:i/>
                <w:sz w:val="18"/>
                <w:szCs w:val="18"/>
              </w:rPr>
            </w:pPr>
            <w:r w:rsidRPr="00364563">
              <w:rPr>
                <w:b/>
                <w:i/>
                <w:sz w:val="18"/>
                <w:szCs w:val="18"/>
              </w:rPr>
              <w:t xml:space="preserve">   -Лихви</w:t>
            </w:r>
          </w:p>
        </w:tc>
        <w:tc>
          <w:tcPr>
            <w:tcW w:w="1276"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rPr>
            </w:pPr>
            <w:r w:rsidRPr="00F14315">
              <w:rPr>
                <w:sz w:val="18"/>
                <w:szCs w:val="18"/>
              </w:rPr>
              <w:t>633,3</w:t>
            </w:r>
          </w:p>
        </w:tc>
        <w:tc>
          <w:tcPr>
            <w:tcW w:w="1209"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367,5</w:t>
            </w:r>
          </w:p>
        </w:tc>
        <w:tc>
          <w:tcPr>
            <w:tcW w:w="1304" w:type="dxa"/>
            <w:tcBorders>
              <w:top w:val="nil"/>
              <w:left w:val="nil"/>
              <w:bottom w:val="nil"/>
              <w:right w:val="single" w:sz="8" w:space="0" w:color="auto"/>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58,0%</w:t>
            </w:r>
          </w:p>
        </w:tc>
      </w:tr>
      <w:tr w:rsidR="00921588" w:rsidRPr="000613BA" w:rsidTr="00324DD1">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rPr>
            </w:pPr>
            <w:r w:rsidRPr="00F14315">
              <w:rPr>
                <w:sz w:val="18"/>
                <w:szCs w:val="18"/>
              </w:rPr>
              <w:t>436,3</w:t>
            </w:r>
          </w:p>
        </w:tc>
        <w:tc>
          <w:tcPr>
            <w:tcW w:w="1209"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255,3</w:t>
            </w:r>
          </w:p>
        </w:tc>
        <w:tc>
          <w:tcPr>
            <w:tcW w:w="1304" w:type="dxa"/>
            <w:tcBorders>
              <w:top w:val="nil"/>
              <w:left w:val="nil"/>
              <w:bottom w:val="nil"/>
              <w:right w:val="single" w:sz="8" w:space="0" w:color="auto"/>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58,5%</w:t>
            </w:r>
          </w:p>
        </w:tc>
      </w:tr>
      <w:tr w:rsidR="00921588" w:rsidRPr="000613BA" w:rsidTr="00324DD1">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921588" w:rsidRPr="00364563" w:rsidRDefault="00921588" w:rsidP="00F521AA">
            <w:pPr>
              <w:rPr>
                <w:sz w:val="18"/>
                <w:szCs w:val="18"/>
              </w:rPr>
            </w:pPr>
            <w:r w:rsidRPr="00364563">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rPr>
            </w:pPr>
            <w:r w:rsidRPr="00F14315">
              <w:rPr>
                <w:sz w:val="18"/>
                <w:szCs w:val="18"/>
              </w:rPr>
              <w:t>197,0</w:t>
            </w:r>
          </w:p>
        </w:tc>
        <w:tc>
          <w:tcPr>
            <w:tcW w:w="1209" w:type="dxa"/>
            <w:tcBorders>
              <w:top w:val="nil"/>
              <w:left w:val="nil"/>
              <w:bottom w:val="nil"/>
              <w:right w:val="nil"/>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112,2</w:t>
            </w:r>
          </w:p>
        </w:tc>
        <w:tc>
          <w:tcPr>
            <w:tcW w:w="1304" w:type="dxa"/>
            <w:tcBorders>
              <w:top w:val="nil"/>
              <w:left w:val="nil"/>
              <w:bottom w:val="nil"/>
              <w:right w:val="single" w:sz="8" w:space="0" w:color="auto"/>
            </w:tcBorders>
            <w:shd w:val="clear" w:color="auto" w:fill="auto"/>
            <w:noWrap/>
            <w:vAlign w:val="bottom"/>
          </w:tcPr>
          <w:p w:rsidR="00921588" w:rsidRPr="00F14315" w:rsidRDefault="00921588" w:rsidP="00C3675D">
            <w:pPr>
              <w:jc w:val="right"/>
              <w:rPr>
                <w:sz w:val="18"/>
                <w:szCs w:val="18"/>
                <w:lang w:val="en-US"/>
              </w:rPr>
            </w:pPr>
            <w:r w:rsidRPr="00F14315">
              <w:rPr>
                <w:sz w:val="18"/>
                <w:szCs w:val="18"/>
                <w:lang w:val="en-US"/>
              </w:rPr>
              <w:t>56,9%</w:t>
            </w:r>
          </w:p>
        </w:tc>
      </w:tr>
      <w:tr w:rsidR="00921588" w:rsidRPr="000613BA" w:rsidTr="00324DD1">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921588" w:rsidRPr="00364563" w:rsidRDefault="00921588" w:rsidP="00F521AA">
            <w:pPr>
              <w:rPr>
                <w:b/>
                <w:i/>
                <w:sz w:val="18"/>
                <w:szCs w:val="18"/>
              </w:rPr>
            </w:pPr>
            <w:r w:rsidRPr="00364563">
              <w:rPr>
                <w:b/>
                <w:i/>
                <w:sz w:val="18"/>
                <w:szCs w:val="18"/>
              </w:rPr>
              <w:t xml:space="preserve"> - Резерв за непредвидени и неотложни разходи</w:t>
            </w:r>
            <w:r w:rsidRPr="00364563">
              <w:rPr>
                <w:rStyle w:val="FootnoteReference"/>
                <w:b/>
                <w:bCs/>
                <w:sz w:val="20"/>
                <w:szCs w:val="20"/>
              </w:rPr>
              <w:footnoteReference w:id="8"/>
            </w:r>
            <w:r w:rsidRPr="00364563">
              <w:rPr>
                <w:b/>
                <w:i/>
                <w:sz w:val="18"/>
                <w:szCs w:val="18"/>
              </w:rPr>
              <w:tab/>
            </w:r>
          </w:p>
        </w:tc>
        <w:tc>
          <w:tcPr>
            <w:tcW w:w="1276" w:type="dxa"/>
            <w:tcBorders>
              <w:top w:val="nil"/>
              <w:left w:val="nil"/>
              <w:bottom w:val="nil"/>
              <w:right w:val="nil"/>
            </w:tcBorders>
            <w:shd w:val="clear" w:color="auto" w:fill="auto"/>
            <w:noWrap/>
            <w:vAlign w:val="bottom"/>
          </w:tcPr>
          <w:p w:rsidR="00921588" w:rsidRPr="00911270" w:rsidRDefault="00921588" w:rsidP="00C3675D">
            <w:pPr>
              <w:jc w:val="right"/>
              <w:rPr>
                <w:sz w:val="18"/>
                <w:szCs w:val="18"/>
              </w:rPr>
            </w:pPr>
            <w:r w:rsidRPr="00911270">
              <w:rPr>
                <w:sz w:val="18"/>
                <w:szCs w:val="18"/>
              </w:rPr>
              <w:t>81,1</w:t>
            </w:r>
          </w:p>
        </w:tc>
        <w:tc>
          <w:tcPr>
            <w:tcW w:w="1209" w:type="dxa"/>
            <w:tcBorders>
              <w:top w:val="nil"/>
              <w:left w:val="nil"/>
              <w:bottom w:val="nil"/>
              <w:right w:val="nil"/>
            </w:tcBorders>
            <w:shd w:val="clear" w:color="auto" w:fill="auto"/>
            <w:noWrap/>
            <w:vAlign w:val="bottom"/>
          </w:tcPr>
          <w:p w:rsidR="00921588" w:rsidRPr="00911270" w:rsidRDefault="00921588" w:rsidP="00C3675D">
            <w:pPr>
              <w:jc w:val="right"/>
              <w:rPr>
                <w:sz w:val="18"/>
                <w:szCs w:val="18"/>
              </w:rPr>
            </w:pPr>
          </w:p>
        </w:tc>
        <w:tc>
          <w:tcPr>
            <w:tcW w:w="1304" w:type="dxa"/>
            <w:tcBorders>
              <w:top w:val="nil"/>
              <w:left w:val="nil"/>
              <w:bottom w:val="nil"/>
              <w:right w:val="single" w:sz="8" w:space="0" w:color="auto"/>
            </w:tcBorders>
            <w:shd w:val="clear" w:color="auto" w:fill="auto"/>
            <w:noWrap/>
            <w:vAlign w:val="bottom"/>
          </w:tcPr>
          <w:p w:rsidR="00921588" w:rsidRPr="00911270" w:rsidRDefault="00921588" w:rsidP="00C3675D">
            <w:pPr>
              <w:jc w:val="right"/>
              <w:rPr>
                <w:sz w:val="18"/>
                <w:szCs w:val="18"/>
              </w:rPr>
            </w:pPr>
          </w:p>
        </w:tc>
      </w:tr>
      <w:tr w:rsidR="00921588" w:rsidRPr="000613BA" w:rsidTr="00324DD1">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921588" w:rsidRPr="00364563" w:rsidRDefault="00921588" w:rsidP="00F521AA">
            <w:pPr>
              <w:rPr>
                <w:b/>
                <w:i/>
                <w:sz w:val="18"/>
                <w:szCs w:val="18"/>
              </w:rPr>
            </w:pPr>
            <w:r w:rsidRPr="00364563">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rsidR="00921588" w:rsidRPr="00911270" w:rsidRDefault="00921588" w:rsidP="00C3675D">
            <w:pPr>
              <w:jc w:val="right"/>
              <w:rPr>
                <w:sz w:val="18"/>
                <w:szCs w:val="18"/>
              </w:rPr>
            </w:pPr>
            <w:r w:rsidRPr="00911270">
              <w:rPr>
                <w:sz w:val="18"/>
                <w:szCs w:val="18"/>
              </w:rPr>
              <w:t>11 486,8</w:t>
            </w:r>
          </w:p>
        </w:tc>
        <w:tc>
          <w:tcPr>
            <w:tcW w:w="1209" w:type="dxa"/>
            <w:tcBorders>
              <w:top w:val="nil"/>
              <w:left w:val="nil"/>
              <w:bottom w:val="nil"/>
              <w:right w:val="nil"/>
            </w:tcBorders>
            <w:shd w:val="clear" w:color="auto" w:fill="auto"/>
            <w:noWrap/>
            <w:vAlign w:val="bottom"/>
          </w:tcPr>
          <w:p w:rsidR="00921588" w:rsidRPr="00911270" w:rsidRDefault="00921588" w:rsidP="00C3675D">
            <w:pPr>
              <w:jc w:val="right"/>
              <w:rPr>
                <w:sz w:val="18"/>
                <w:szCs w:val="18"/>
              </w:rPr>
            </w:pPr>
            <w:r w:rsidRPr="00911270">
              <w:rPr>
                <w:sz w:val="18"/>
                <w:szCs w:val="18"/>
              </w:rPr>
              <w:t>2 747,1</w:t>
            </w:r>
          </w:p>
        </w:tc>
        <w:tc>
          <w:tcPr>
            <w:tcW w:w="1304" w:type="dxa"/>
            <w:tcBorders>
              <w:top w:val="nil"/>
              <w:left w:val="nil"/>
              <w:bottom w:val="nil"/>
              <w:right w:val="single" w:sz="8" w:space="0" w:color="auto"/>
            </w:tcBorders>
            <w:shd w:val="clear" w:color="auto" w:fill="auto"/>
            <w:noWrap/>
            <w:vAlign w:val="bottom"/>
          </w:tcPr>
          <w:p w:rsidR="00921588" w:rsidRPr="00911270" w:rsidRDefault="00921588" w:rsidP="00C3675D">
            <w:pPr>
              <w:jc w:val="right"/>
              <w:rPr>
                <w:sz w:val="18"/>
                <w:szCs w:val="18"/>
                <w:lang w:val="en-US"/>
              </w:rPr>
            </w:pPr>
            <w:r w:rsidRPr="00911270">
              <w:rPr>
                <w:sz w:val="18"/>
                <w:szCs w:val="18"/>
                <w:lang w:val="en-US"/>
              </w:rPr>
              <w:t>23,9%</w:t>
            </w:r>
          </w:p>
        </w:tc>
      </w:tr>
      <w:tr w:rsidR="00921588" w:rsidRPr="000613BA" w:rsidTr="00324DD1">
        <w:trPr>
          <w:trHeight w:val="80"/>
          <w:jc w:val="center"/>
        </w:trPr>
        <w:tc>
          <w:tcPr>
            <w:tcW w:w="4853" w:type="dxa"/>
            <w:tcBorders>
              <w:top w:val="nil"/>
              <w:left w:val="single" w:sz="4" w:space="0" w:color="auto"/>
              <w:bottom w:val="single" w:sz="4" w:space="0" w:color="auto"/>
              <w:right w:val="single" w:sz="4" w:space="0" w:color="auto"/>
            </w:tcBorders>
            <w:shd w:val="clear" w:color="auto" w:fill="auto"/>
            <w:noWrap/>
            <w:vAlign w:val="bottom"/>
          </w:tcPr>
          <w:p w:rsidR="00921588" w:rsidRPr="00364563" w:rsidRDefault="00921588" w:rsidP="00F521AA">
            <w:pPr>
              <w:rPr>
                <w:b/>
                <w:bCs/>
                <w:i/>
                <w:sz w:val="18"/>
                <w:szCs w:val="18"/>
              </w:rPr>
            </w:pPr>
            <w:r w:rsidRPr="00364563">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rsidR="00921588" w:rsidRPr="00911270" w:rsidRDefault="00921588" w:rsidP="00C3675D">
            <w:pPr>
              <w:jc w:val="right"/>
              <w:rPr>
                <w:sz w:val="18"/>
                <w:szCs w:val="18"/>
              </w:rPr>
            </w:pPr>
            <w:r w:rsidRPr="00911270">
              <w:rPr>
                <w:sz w:val="18"/>
                <w:szCs w:val="18"/>
              </w:rPr>
              <w:t>1 282,1</w:t>
            </w:r>
          </w:p>
        </w:tc>
        <w:tc>
          <w:tcPr>
            <w:tcW w:w="1209" w:type="dxa"/>
            <w:tcBorders>
              <w:top w:val="nil"/>
              <w:left w:val="nil"/>
              <w:bottom w:val="single" w:sz="4" w:space="0" w:color="auto"/>
              <w:right w:val="nil"/>
            </w:tcBorders>
            <w:shd w:val="clear" w:color="auto" w:fill="auto"/>
            <w:noWrap/>
            <w:vAlign w:val="bottom"/>
          </w:tcPr>
          <w:p w:rsidR="00921588" w:rsidRPr="00911270" w:rsidRDefault="00921588" w:rsidP="00C3675D">
            <w:pPr>
              <w:jc w:val="right"/>
              <w:rPr>
                <w:sz w:val="18"/>
                <w:szCs w:val="18"/>
              </w:rPr>
            </w:pPr>
            <w:r w:rsidRPr="00911270">
              <w:rPr>
                <w:sz w:val="18"/>
                <w:szCs w:val="18"/>
              </w:rPr>
              <w:t>466,1</w:t>
            </w:r>
          </w:p>
        </w:tc>
        <w:tc>
          <w:tcPr>
            <w:tcW w:w="1304" w:type="dxa"/>
            <w:tcBorders>
              <w:top w:val="nil"/>
              <w:left w:val="nil"/>
              <w:bottom w:val="single" w:sz="4" w:space="0" w:color="auto"/>
              <w:right w:val="single" w:sz="8" w:space="0" w:color="auto"/>
            </w:tcBorders>
            <w:shd w:val="clear" w:color="auto" w:fill="auto"/>
            <w:noWrap/>
            <w:vAlign w:val="bottom"/>
          </w:tcPr>
          <w:p w:rsidR="00921588" w:rsidRPr="00911270" w:rsidRDefault="00921588" w:rsidP="00C3675D">
            <w:pPr>
              <w:jc w:val="right"/>
              <w:rPr>
                <w:sz w:val="18"/>
                <w:szCs w:val="18"/>
                <w:lang w:val="en-US"/>
              </w:rPr>
            </w:pPr>
            <w:r w:rsidRPr="00911270">
              <w:rPr>
                <w:sz w:val="18"/>
                <w:szCs w:val="18"/>
                <w:lang w:val="en-US"/>
              </w:rPr>
              <w:t>36,4%</w:t>
            </w:r>
          </w:p>
        </w:tc>
      </w:tr>
      <w:tr w:rsidR="00921588" w:rsidRPr="000613BA" w:rsidTr="00324DD1">
        <w:trPr>
          <w:trHeight w:val="70"/>
          <w:jc w:val="center"/>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21588" w:rsidRPr="00364563" w:rsidRDefault="00921588" w:rsidP="00F521AA">
            <w:pPr>
              <w:rPr>
                <w:b/>
                <w:bCs/>
                <w:sz w:val="18"/>
                <w:szCs w:val="18"/>
              </w:rPr>
            </w:pPr>
            <w:r w:rsidRPr="00364563">
              <w:rPr>
                <w:b/>
                <w:bCs/>
                <w:sz w:val="18"/>
                <w:szCs w:val="18"/>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rsidR="00921588" w:rsidRPr="00911270" w:rsidRDefault="00921588" w:rsidP="00C3675D">
            <w:pPr>
              <w:jc w:val="right"/>
              <w:rPr>
                <w:b/>
                <w:bCs/>
                <w:sz w:val="18"/>
                <w:szCs w:val="18"/>
              </w:rPr>
            </w:pPr>
            <w:r w:rsidRPr="00911270">
              <w:rPr>
                <w:b/>
                <w:bCs/>
                <w:sz w:val="18"/>
                <w:szCs w:val="18"/>
              </w:rPr>
              <w:t>-399,3</w:t>
            </w:r>
          </w:p>
        </w:tc>
        <w:tc>
          <w:tcPr>
            <w:tcW w:w="1209" w:type="dxa"/>
            <w:tcBorders>
              <w:top w:val="single" w:sz="4" w:space="0" w:color="auto"/>
              <w:left w:val="nil"/>
              <w:bottom w:val="single" w:sz="8" w:space="0" w:color="auto"/>
              <w:right w:val="nil"/>
            </w:tcBorders>
            <w:shd w:val="clear" w:color="auto" w:fill="auto"/>
            <w:noWrap/>
            <w:vAlign w:val="bottom"/>
          </w:tcPr>
          <w:p w:rsidR="00921588" w:rsidRPr="00911270" w:rsidRDefault="00921588" w:rsidP="00C3675D">
            <w:pPr>
              <w:jc w:val="right"/>
              <w:rPr>
                <w:b/>
                <w:bCs/>
                <w:sz w:val="18"/>
                <w:szCs w:val="18"/>
                <w:lang w:val="en-US"/>
              </w:rPr>
            </w:pPr>
            <w:r w:rsidRPr="00911270">
              <w:rPr>
                <w:b/>
                <w:bCs/>
                <w:sz w:val="18"/>
                <w:szCs w:val="18"/>
                <w:lang w:val="en-US"/>
              </w:rPr>
              <w:t>762,9</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921588" w:rsidRPr="00456B43" w:rsidRDefault="00921588" w:rsidP="00C3675D">
            <w:pPr>
              <w:jc w:val="right"/>
              <w:rPr>
                <w:b/>
                <w:bCs/>
                <w:color w:val="4F81BD" w:themeColor="accent1"/>
                <w:sz w:val="18"/>
                <w:szCs w:val="18"/>
              </w:rPr>
            </w:pPr>
          </w:p>
        </w:tc>
      </w:tr>
    </w:tbl>
    <w:p w:rsidR="004B5DC2" w:rsidRPr="000613BA" w:rsidRDefault="004B5DC2" w:rsidP="004B5DC2">
      <w:pPr>
        <w:spacing w:after="120"/>
        <w:ind w:left="360"/>
        <w:jc w:val="both"/>
        <w:rPr>
          <w:b/>
          <w:color w:val="0070C0"/>
          <w:sz w:val="6"/>
          <w:lang w:val="en-US"/>
        </w:rPr>
      </w:pPr>
    </w:p>
    <w:p w:rsidR="004C6EDF" w:rsidRPr="000613BA" w:rsidRDefault="004C6EDF" w:rsidP="004B5DC2">
      <w:pPr>
        <w:spacing w:after="120"/>
        <w:ind w:left="360"/>
        <w:jc w:val="both"/>
        <w:rPr>
          <w:b/>
          <w:color w:val="0070C0"/>
          <w:sz w:val="6"/>
          <w:lang w:val="en-US"/>
        </w:rPr>
      </w:pPr>
    </w:p>
    <w:p w:rsidR="007238A9" w:rsidRPr="000D23F8" w:rsidRDefault="007238A9" w:rsidP="00724FD0">
      <w:pPr>
        <w:numPr>
          <w:ilvl w:val="0"/>
          <w:numId w:val="6"/>
        </w:numPr>
        <w:tabs>
          <w:tab w:val="clear" w:pos="700"/>
          <w:tab w:val="num" w:pos="426"/>
        </w:tabs>
        <w:spacing w:before="240" w:after="120"/>
        <w:ind w:left="0" w:firstLine="0"/>
        <w:jc w:val="both"/>
        <w:rPr>
          <w:b/>
          <w:bCs/>
        </w:rPr>
      </w:pPr>
      <w:r w:rsidRPr="000D23F8">
        <w:rPr>
          <w:b/>
          <w:bCs/>
        </w:rPr>
        <w:t xml:space="preserve">Приходи по държавния бюджет </w:t>
      </w:r>
    </w:p>
    <w:p w:rsidR="000D23F8" w:rsidRPr="00430CB2" w:rsidRDefault="000D23F8" w:rsidP="000D23F8">
      <w:pPr>
        <w:spacing w:after="120"/>
        <w:jc w:val="both"/>
        <w:rPr>
          <w:bCs/>
        </w:rPr>
      </w:pPr>
      <w:r w:rsidRPr="00430CB2">
        <w:rPr>
          <w:bCs/>
        </w:rPr>
        <w:t>Общият размер на</w:t>
      </w:r>
      <w:r w:rsidRPr="00430CB2">
        <w:rPr>
          <w:b/>
          <w:bCs/>
        </w:rPr>
        <w:t xml:space="preserve"> приходите и помощите по държавния бюджет</w:t>
      </w:r>
      <w:r w:rsidRPr="00430CB2">
        <w:rPr>
          <w:bCs/>
        </w:rPr>
        <w:t xml:space="preserve"> към март</w:t>
      </w:r>
      <w:r w:rsidRPr="00430CB2">
        <w:t xml:space="preserve"> </w:t>
      </w:r>
      <w:r w:rsidRPr="00430CB2">
        <w:rPr>
          <w:bCs/>
        </w:rPr>
        <w:t>2019 г. е</w:t>
      </w:r>
      <w:r w:rsidRPr="00430CB2">
        <w:rPr>
          <w:b/>
          <w:bCs/>
        </w:rPr>
        <w:t xml:space="preserve"> </w:t>
      </w:r>
      <w:r w:rsidRPr="00430CB2">
        <w:rPr>
          <w:b/>
          <w:bCs/>
          <w:lang w:val="en-US"/>
        </w:rPr>
        <w:t>6</w:t>
      </w:r>
      <w:r w:rsidRPr="00430CB2">
        <w:rPr>
          <w:b/>
          <w:bCs/>
        </w:rPr>
        <w:t> </w:t>
      </w:r>
      <w:r w:rsidRPr="00430CB2">
        <w:rPr>
          <w:b/>
          <w:bCs/>
          <w:lang w:val="en-US"/>
        </w:rPr>
        <w:t>425</w:t>
      </w:r>
      <w:r w:rsidRPr="00430CB2">
        <w:rPr>
          <w:b/>
          <w:bCs/>
        </w:rPr>
        <w:t>,</w:t>
      </w:r>
      <w:r w:rsidRPr="00430CB2">
        <w:rPr>
          <w:b/>
          <w:bCs/>
          <w:lang w:val="en-US"/>
        </w:rPr>
        <w:t xml:space="preserve">0 </w:t>
      </w:r>
      <w:r w:rsidRPr="00430CB2">
        <w:rPr>
          <w:b/>
          <w:bCs/>
        </w:rPr>
        <w:t>млн. лв.</w:t>
      </w:r>
      <w:r w:rsidRPr="00430CB2">
        <w:rPr>
          <w:bCs/>
        </w:rPr>
        <w:t xml:space="preserve">, което представлява </w:t>
      </w:r>
      <w:r w:rsidRPr="00430CB2">
        <w:rPr>
          <w:bCs/>
          <w:lang w:val="en-US"/>
        </w:rPr>
        <w:t>25</w:t>
      </w:r>
      <w:r w:rsidRPr="00430CB2">
        <w:rPr>
          <w:bCs/>
        </w:rPr>
        <w:t>,</w:t>
      </w:r>
      <w:r w:rsidRPr="00430CB2">
        <w:rPr>
          <w:bCs/>
          <w:lang w:val="en-US"/>
        </w:rPr>
        <w:t>0</w:t>
      </w:r>
      <w:r w:rsidRPr="00430CB2">
        <w:rPr>
          <w:bCs/>
        </w:rPr>
        <w:t> % изпълнение на разчетите по ЗДБРБ за 2019 година.</w:t>
      </w:r>
    </w:p>
    <w:p w:rsidR="000D23F8" w:rsidRPr="00E83617" w:rsidRDefault="000D23F8" w:rsidP="000D23F8">
      <w:pPr>
        <w:numPr>
          <w:ilvl w:val="0"/>
          <w:numId w:val="3"/>
        </w:numPr>
        <w:tabs>
          <w:tab w:val="num" w:pos="720"/>
        </w:tabs>
        <w:ind w:left="0" w:firstLine="180"/>
        <w:jc w:val="both"/>
        <w:rPr>
          <w:b/>
          <w:bCs/>
        </w:rPr>
      </w:pPr>
      <w:r w:rsidRPr="00E83617">
        <w:rPr>
          <w:bCs/>
        </w:rPr>
        <w:t xml:space="preserve"> </w:t>
      </w:r>
      <w:r w:rsidRPr="00E83617">
        <w:rPr>
          <w:b/>
          <w:bCs/>
        </w:rPr>
        <w:t>Данъчни приходи</w:t>
      </w:r>
    </w:p>
    <w:p w:rsidR="000D23F8" w:rsidRPr="00E83617" w:rsidRDefault="000D23F8" w:rsidP="000D23F8">
      <w:pPr>
        <w:jc w:val="both"/>
        <w:rPr>
          <w:bCs/>
          <w:sz w:val="4"/>
          <w:szCs w:val="4"/>
        </w:rPr>
      </w:pPr>
    </w:p>
    <w:p w:rsidR="000D23F8" w:rsidRDefault="000D23F8" w:rsidP="000D23F8">
      <w:pPr>
        <w:jc w:val="both"/>
      </w:pPr>
      <w:r w:rsidRPr="00E83617">
        <w:rPr>
          <w:bCs/>
        </w:rPr>
        <w:t>Размерът на</w:t>
      </w:r>
      <w:r w:rsidRPr="00E83617">
        <w:rPr>
          <w:b/>
          <w:bCs/>
        </w:rPr>
        <w:t xml:space="preserve"> данъчните постъпления по държавния бюджет</w:t>
      </w:r>
      <w:r w:rsidRPr="00E83617">
        <w:rPr>
          <w:bCs/>
        </w:rPr>
        <w:t xml:space="preserve"> към март</w:t>
      </w:r>
      <w:r w:rsidRPr="00E83617">
        <w:t xml:space="preserve"> </w:t>
      </w:r>
      <w:r w:rsidRPr="00E83617">
        <w:rPr>
          <w:bCs/>
        </w:rPr>
        <w:t xml:space="preserve">2019 г. </w:t>
      </w:r>
      <w:r w:rsidRPr="00E83617">
        <w:t xml:space="preserve">е </w:t>
      </w:r>
      <w:r w:rsidRPr="00E83617">
        <w:rPr>
          <w:b/>
          <w:lang w:val="en-US"/>
        </w:rPr>
        <w:t>5</w:t>
      </w:r>
      <w:r w:rsidRPr="00E83617">
        <w:rPr>
          <w:b/>
        </w:rPr>
        <w:t> 8</w:t>
      </w:r>
      <w:r w:rsidRPr="00E83617">
        <w:rPr>
          <w:b/>
          <w:lang w:val="en-US"/>
        </w:rPr>
        <w:t>12</w:t>
      </w:r>
      <w:r w:rsidRPr="00E83617">
        <w:rPr>
          <w:b/>
        </w:rPr>
        <w:t>,</w:t>
      </w:r>
      <w:r w:rsidRPr="00E83617">
        <w:rPr>
          <w:b/>
          <w:lang w:val="en-US"/>
        </w:rPr>
        <w:t>9</w:t>
      </w:r>
      <w:r w:rsidRPr="00E83617">
        <w:rPr>
          <w:b/>
        </w:rPr>
        <w:t xml:space="preserve"> млн. лв</w:t>
      </w:r>
      <w:r w:rsidRPr="00E83617">
        <w:t xml:space="preserve">., което представлява </w:t>
      </w:r>
      <w:r w:rsidRPr="00E83617">
        <w:rPr>
          <w:lang w:val="en-US"/>
        </w:rPr>
        <w:t>25</w:t>
      </w:r>
      <w:r w:rsidRPr="00E83617">
        <w:t>,</w:t>
      </w:r>
      <w:r w:rsidRPr="00E83617">
        <w:rPr>
          <w:lang w:val="en-US"/>
        </w:rPr>
        <w:t>1</w:t>
      </w:r>
      <w:r w:rsidRPr="00E83617">
        <w:t xml:space="preserve"> % изпълнение на годишните разчети. В сравнение с първото тримесечие на 2018 г. постъпленията се повишават с 457,3 млн. лв. (8,5 %). </w:t>
      </w:r>
    </w:p>
    <w:p w:rsidR="000D23F8" w:rsidRDefault="000D23F8" w:rsidP="000D23F8">
      <w:pPr>
        <w:jc w:val="both"/>
        <w:rPr>
          <w:iCs/>
          <w:color w:val="4F81BD" w:themeColor="accent1"/>
          <w:lang w:val="en-US"/>
        </w:rPr>
      </w:pPr>
    </w:p>
    <w:p w:rsidR="00AF3241" w:rsidRDefault="00AF3241" w:rsidP="000D23F8">
      <w:pPr>
        <w:jc w:val="both"/>
        <w:rPr>
          <w:iCs/>
          <w:color w:val="4F81BD" w:themeColor="accent1"/>
          <w:lang w:val="en-US"/>
        </w:rPr>
      </w:pPr>
    </w:p>
    <w:p w:rsidR="00AF3241" w:rsidRPr="00AF3241" w:rsidRDefault="00AF3241" w:rsidP="000D23F8">
      <w:pPr>
        <w:jc w:val="both"/>
        <w:rPr>
          <w:iCs/>
          <w:color w:val="4F81BD" w:themeColor="accent1"/>
          <w:lang w:val="en-US"/>
        </w:rPr>
      </w:pPr>
    </w:p>
    <w:p w:rsidR="000D23F8" w:rsidRPr="00456B43" w:rsidRDefault="000D23F8" w:rsidP="000D23F8">
      <w:pPr>
        <w:jc w:val="both"/>
        <w:rPr>
          <w:color w:val="4F81BD" w:themeColor="accent1"/>
          <w:sz w:val="8"/>
          <w:szCs w:val="8"/>
        </w:rPr>
      </w:pPr>
      <w:r w:rsidRPr="00456B43">
        <w:rPr>
          <w:color w:val="4F81BD" w:themeColor="accent1"/>
          <w:sz w:val="8"/>
          <w:szCs w:val="8"/>
        </w:rPr>
        <w:t xml:space="preserve"> </w:t>
      </w:r>
    </w:p>
    <w:p w:rsidR="000D23F8" w:rsidRPr="00E83617" w:rsidRDefault="000D23F8" w:rsidP="000D23F8">
      <w:pPr>
        <w:numPr>
          <w:ilvl w:val="0"/>
          <w:numId w:val="4"/>
        </w:numPr>
        <w:tabs>
          <w:tab w:val="clear" w:pos="1440"/>
          <w:tab w:val="num" w:pos="540"/>
        </w:tabs>
        <w:spacing w:after="120"/>
        <w:ind w:left="0" w:firstLine="181"/>
        <w:jc w:val="both"/>
        <w:rPr>
          <w:b/>
          <w:bCs/>
        </w:rPr>
      </w:pPr>
      <w:r w:rsidRPr="00E83617">
        <w:rPr>
          <w:b/>
          <w:bCs/>
        </w:rPr>
        <w:lastRenderedPageBreak/>
        <w:t>Преки данъци</w:t>
      </w:r>
    </w:p>
    <w:p w:rsidR="000D23F8" w:rsidRPr="00E83617" w:rsidRDefault="000D23F8" w:rsidP="000D23F8">
      <w:pPr>
        <w:spacing w:after="120"/>
        <w:jc w:val="both"/>
      </w:pPr>
      <w:r w:rsidRPr="00E83617">
        <w:t>Приходите в групата на</w:t>
      </w:r>
      <w:r w:rsidRPr="00E83617">
        <w:rPr>
          <w:b/>
        </w:rPr>
        <w:t xml:space="preserve"> преките данъци</w:t>
      </w:r>
      <w:r w:rsidRPr="00E83617">
        <w:t xml:space="preserve"> са в размер на</w:t>
      </w:r>
      <w:r w:rsidRPr="00E83617">
        <w:rPr>
          <w:b/>
        </w:rPr>
        <w:t> </w:t>
      </w:r>
      <w:r w:rsidRPr="00E83617">
        <w:rPr>
          <w:b/>
          <w:lang w:val="en-US"/>
        </w:rPr>
        <w:t>1 439</w:t>
      </w:r>
      <w:r w:rsidRPr="00E83617">
        <w:rPr>
          <w:b/>
        </w:rPr>
        <w:t>,</w:t>
      </w:r>
      <w:r w:rsidRPr="00E83617">
        <w:rPr>
          <w:b/>
          <w:lang w:val="en-US"/>
        </w:rPr>
        <w:t xml:space="preserve">0 </w:t>
      </w:r>
      <w:r w:rsidRPr="00E83617">
        <w:rPr>
          <w:b/>
        </w:rPr>
        <w:t>млн. лв</w:t>
      </w:r>
      <w:r w:rsidRPr="00E83617">
        <w:t xml:space="preserve">. или </w:t>
      </w:r>
      <w:r w:rsidRPr="00E83617">
        <w:rPr>
          <w:lang w:val="en-US"/>
        </w:rPr>
        <w:t>22</w:t>
      </w:r>
      <w:r w:rsidRPr="00E83617">
        <w:t>,</w:t>
      </w:r>
      <w:r w:rsidRPr="00E83617">
        <w:rPr>
          <w:lang w:val="en-US"/>
        </w:rPr>
        <w:t>0</w:t>
      </w:r>
      <w:r w:rsidRPr="00E83617">
        <w:t xml:space="preserve"> % от </w:t>
      </w:r>
      <w:r w:rsidRPr="00F75F7E">
        <w:t>планираните за годината, като съпоставени със същия период на предходната година са близки по размер.</w:t>
      </w:r>
    </w:p>
    <w:p w:rsidR="000D23F8" w:rsidRPr="00E83617" w:rsidRDefault="000D23F8" w:rsidP="000D23F8">
      <w:pPr>
        <w:spacing w:after="120"/>
        <w:jc w:val="both"/>
      </w:pPr>
      <w:r w:rsidRPr="00E83617">
        <w:t>Приходите от</w:t>
      </w:r>
      <w:r w:rsidRPr="00E83617">
        <w:rPr>
          <w:b/>
        </w:rPr>
        <w:t xml:space="preserve"> </w:t>
      </w:r>
      <w:r w:rsidRPr="00E83617">
        <w:rPr>
          <w:b/>
          <w:bCs/>
        </w:rPr>
        <w:t>корпоративни данъци</w:t>
      </w:r>
      <w:r w:rsidRPr="00E83617">
        <w:t xml:space="preserve"> </w:t>
      </w:r>
      <w:r w:rsidRPr="00E83617">
        <w:rPr>
          <w:bCs/>
        </w:rPr>
        <w:t xml:space="preserve">към март </w:t>
      </w:r>
      <w:r w:rsidRPr="00E83617">
        <w:t xml:space="preserve">2019 г. са в размер на </w:t>
      </w:r>
      <w:r w:rsidRPr="00E83617">
        <w:rPr>
          <w:b/>
        </w:rPr>
        <w:t>522,0 млн. лв.</w:t>
      </w:r>
      <w:r w:rsidRPr="00E83617">
        <w:t xml:space="preserve"> или 19,5 % от годишния план. Приходите от </w:t>
      </w:r>
      <w:r w:rsidRPr="00E83617">
        <w:rPr>
          <w:b/>
          <w:i/>
        </w:rPr>
        <w:t>нефинансови предприятия</w:t>
      </w:r>
      <w:r w:rsidRPr="00E83617">
        <w:t xml:space="preserve"> формират основната част от постъпленията от корпоративен данък.</w:t>
      </w:r>
      <w:r w:rsidRPr="00E83617">
        <w:rPr>
          <w:lang w:val="en-US"/>
        </w:rPr>
        <w:t xml:space="preserve"> </w:t>
      </w:r>
    </w:p>
    <w:p w:rsidR="000D23F8" w:rsidRPr="00456B43" w:rsidRDefault="000D23F8" w:rsidP="000D23F8">
      <w:pPr>
        <w:spacing w:after="120"/>
        <w:jc w:val="both"/>
        <w:rPr>
          <w:color w:val="4F81BD" w:themeColor="accent1"/>
        </w:rPr>
      </w:pPr>
      <w:r w:rsidRPr="00C505B3">
        <w:t>Приходите от</w:t>
      </w:r>
      <w:r w:rsidRPr="00C505B3">
        <w:rPr>
          <w:b/>
        </w:rPr>
        <w:t xml:space="preserve"> данъци върху доходите на физически лица </w:t>
      </w:r>
      <w:r w:rsidRPr="00C505B3">
        <w:t xml:space="preserve">са в размер на </w:t>
      </w:r>
      <w:r w:rsidRPr="00C505B3">
        <w:rPr>
          <w:b/>
        </w:rPr>
        <w:t>917,0 млн. лв.</w:t>
      </w:r>
      <w:r w:rsidRPr="00C505B3">
        <w:t xml:space="preserve"> или 23,8 % от заложените в разчета за годината и нарастват с 64,2 млн. лв. (7,5 %) спрямо  същия период на 2018 година. Върху размера на данъчните постъпления от ДДФЛ основно влияние имат развитието на параметрите на пазара на труда и предприетите законодателни и административни мерки в областта на трудовото, социалното и данъчното законодателство. За повишаване на приходите от ДДФЛ влияние оказват и предприетите мерки за намаляване на недекларирания труд, мерките за повишаване на събираемостта на задължения за минали периоди и информационните кампании, провеждани от НАП за стимулиране на доброволното изпълнение.      </w:t>
      </w:r>
    </w:p>
    <w:p w:rsidR="000D23F8" w:rsidRPr="00456B43" w:rsidRDefault="000D23F8" w:rsidP="000D23F8">
      <w:pPr>
        <w:spacing w:after="120"/>
        <w:jc w:val="both"/>
        <w:rPr>
          <w:color w:val="4F81BD" w:themeColor="accent1"/>
        </w:rPr>
      </w:pPr>
      <w:r w:rsidRPr="0071678E">
        <w:rPr>
          <w:i/>
        </w:rPr>
        <w:t>По трудови правоотношения</w:t>
      </w:r>
      <w:r w:rsidRPr="0071678E">
        <w:t xml:space="preserve"> приходите от данъка </w:t>
      </w:r>
      <w:r w:rsidRPr="0071678E">
        <w:rPr>
          <w:bCs/>
        </w:rPr>
        <w:t xml:space="preserve">към март </w:t>
      </w:r>
      <w:r w:rsidRPr="0071678E">
        <w:t>2019 г. са 750,2 млн. лв., 24,0 % от годишните разчети. Върху размера на постъпленията влияние оказват</w:t>
      </w:r>
      <w:r w:rsidRPr="0071678E">
        <w:rPr>
          <w:lang w:val="en-US"/>
        </w:rPr>
        <w:t xml:space="preserve">: </w:t>
      </w:r>
      <w:r w:rsidRPr="0071678E">
        <w:t>увеличението на минималната работна заплата за страната от 01.</w:t>
      </w:r>
      <w:proofErr w:type="spellStart"/>
      <w:r w:rsidRPr="0071678E">
        <w:t>01</w:t>
      </w:r>
      <w:proofErr w:type="spellEnd"/>
      <w:r w:rsidRPr="0071678E">
        <w:t>.2019 г.</w:t>
      </w:r>
      <w:r w:rsidRPr="0071678E">
        <w:rPr>
          <w:lang w:val="en-US"/>
        </w:rPr>
        <w:t xml:space="preserve">; </w:t>
      </w:r>
      <w:r w:rsidRPr="0071678E">
        <w:t>увеличението на минималните осигурителни прагове за 2019 г.</w:t>
      </w:r>
      <w:r w:rsidRPr="0071678E">
        <w:rPr>
          <w:lang w:val="en-US"/>
        </w:rPr>
        <w:t xml:space="preserve">; </w:t>
      </w:r>
      <w:r w:rsidRPr="0071678E">
        <w:t>промените в броя на наетите лица и заплащането на труда,</w:t>
      </w:r>
      <w:r w:rsidRPr="0071678E">
        <w:rPr>
          <w:lang w:val="en-US"/>
        </w:rPr>
        <w:t xml:space="preserve"> </w:t>
      </w:r>
      <w:r w:rsidRPr="0071678E">
        <w:t>и промените в нивото на безработица.</w:t>
      </w:r>
    </w:p>
    <w:p w:rsidR="000D23F8" w:rsidRPr="00456B43" w:rsidRDefault="000D23F8" w:rsidP="000D23F8">
      <w:pPr>
        <w:spacing w:after="120"/>
        <w:jc w:val="both"/>
        <w:rPr>
          <w:color w:val="4F81BD" w:themeColor="accent1"/>
        </w:rPr>
      </w:pPr>
      <w:r w:rsidRPr="0071678E">
        <w:rPr>
          <w:i/>
        </w:rPr>
        <w:t xml:space="preserve">По </w:t>
      </w:r>
      <w:proofErr w:type="spellStart"/>
      <w:r w:rsidRPr="0071678E">
        <w:rPr>
          <w:i/>
        </w:rPr>
        <w:t>извънтрудови</w:t>
      </w:r>
      <w:proofErr w:type="spellEnd"/>
      <w:r w:rsidRPr="0071678E">
        <w:rPr>
          <w:i/>
        </w:rPr>
        <w:t xml:space="preserve"> правоотношения (свободни професии, граждански договори и др.)</w:t>
      </w:r>
      <w:r w:rsidRPr="0071678E">
        <w:t xml:space="preserve"> приходите от данъка </w:t>
      </w:r>
      <w:r w:rsidRPr="0071678E">
        <w:rPr>
          <w:bCs/>
        </w:rPr>
        <w:t xml:space="preserve">към март </w:t>
      </w:r>
      <w:r w:rsidRPr="0071678E">
        <w:t xml:space="preserve">2019 г. са в размер на 77,2 млн. лв., което е 21,0 % от годишния разчет. 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 Значителен принос за данъчните приходи от </w:t>
      </w:r>
      <w:proofErr w:type="spellStart"/>
      <w:r w:rsidRPr="0071678E">
        <w:t>извънтрудови</w:t>
      </w:r>
      <w:proofErr w:type="spellEnd"/>
      <w:r w:rsidRPr="0071678E">
        <w:t xml:space="preserve"> правоотношения имат и плащанията за минали години, които нарастват със 7,1 % на годишна основа.</w:t>
      </w:r>
    </w:p>
    <w:p w:rsidR="000D23F8" w:rsidRPr="0071678E" w:rsidRDefault="000D23F8" w:rsidP="000D23F8">
      <w:pPr>
        <w:spacing w:after="120"/>
        <w:jc w:val="both"/>
      </w:pPr>
      <w:r w:rsidRPr="0071678E">
        <w:rPr>
          <w:i/>
        </w:rPr>
        <w:t xml:space="preserve">Окончателен данък на местните и чуждестранни физически лица по чл. 37 и 38 от ЗДДФЛ </w:t>
      </w:r>
      <w:r w:rsidRPr="0071678E">
        <w:t xml:space="preserve">и </w:t>
      </w:r>
      <w:r w:rsidRPr="0071678E">
        <w:rPr>
          <w:i/>
        </w:rPr>
        <w:t>данък върху дивидентите и ликвидационните дялове на физически лица</w:t>
      </w:r>
      <w:r w:rsidRPr="0071678E">
        <w:t xml:space="preserve"> - постъпленията от тези данъци са в размер на 87,2 млн. лв., 24,4 % от годишния разчет. </w:t>
      </w:r>
    </w:p>
    <w:p w:rsidR="000D23F8" w:rsidRPr="0071678E" w:rsidRDefault="000D23F8" w:rsidP="000D23F8">
      <w:pPr>
        <w:spacing w:after="120"/>
        <w:jc w:val="both"/>
      </w:pPr>
      <w:r w:rsidRPr="0071678E">
        <w:t xml:space="preserve"> Постъпленията от </w:t>
      </w:r>
      <w:r w:rsidRPr="0071678E">
        <w:rPr>
          <w:i/>
        </w:rPr>
        <w:t xml:space="preserve">окончателния данък върху приходите от лихви от депозити на физическите лица </w:t>
      </w:r>
      <w:r w:rsidRPr="0071678E">
        <w:t>са в размер на 2,4 млн. лева.</w:t>
      </w:r>
    </w:p>
    <w:p w:rsidR="000D23F8" w:rsidRPr="00456B43" w:rsidRDefault="000D23F8" w:rsidP="000D23F8">
      <w:pPr>
        <w:jc w:val="both"/>
        <w:rPr>
          <w:color w:val="4F81BD" w:themeColor="accent1"/>
          <w:sz w:val="8"/>
          <w:szCs w:val="8"/>
        </w:rPr>
      </w:pPr>
    </w:p>
    <w:p w:rsidR="000D23F8" w:rsidRPr="0071678E" w:rsidRDefault="000D23F8" w:rsidP="000D23F8">
      <w:pPr>
        <w:numPr>
          <w:ilvl w:val="0"/>
          <w:numId w:val="4"/>
        </w:numPr>
        <w:tabs>
          <w:tab w:val="clear" w:pos="1440"/>
          <w:tab w:val="num" w:pos="540"/>
        </w:tabs>
        <w:ind w:left="0" w:firstLine="180"/>
        <w:jc w:val="both"/>
        <w:rPr>
          <w:b/>
          <w:bCs/>
        </w:rPr>
      </w:pPr>
      <w:r w:rsidRPr="0071678E">
        <w:rPr>
          <w:b/>
          <w:bCs/>
        </w:rPr>
        <w:t>Косвени данъци</w:t>
      </w:r>
    </w:p>
    <w:p w:rsidR="000D23F8" w:rsidRPr="0071678E" w:rsidRDefault="000D23F8" w:rsidP="000D23F8">
      <w:pPr>
        <w:jc w:val="both"/>
        <w:rPr>
          <w:b/>
          <w:bCs/>
          <w:sz w:val="4"/>
          <w:szCs w:val="4"/>
        </w:rPr>
      </w:pPr>
    </w:p>
    <w:p w:rsidR="000D23F8" w:rsidRPr="0071678E" w:rsidRDefault="000D23F8" w:rsidP="000D23F8">
      <w:pPr>
        <w:spacing w:after="120"/>
        <w:jc w:val="both"/>
      </w:pPr>
      <w:r w:rsidRPr="0071678E">
        <w:t xml:space="preserve">Приходите от </w:t>
      </w:r>
      <w:r w:rsidRPr="0071678E">
        <w:rPr>
          <w:b/>
        </w:rPr>
        <w:t>косвени данъци</w:t>
      </w:r>
      <w:r w:rsidRPr="0071678E">
        <w:t xml:space="preserve"> </w:t>
      </w:r>
      <w:r w:rsidRPr="0071678E">
        <w:rPr>
          <w:bCs/>
        </w:rPr>
        <w:t xml:space="preserve">към март </w:t>
      </w:r>
      <w:r w:rsidRPr="0071678E">
        <w:t xml:space="preserve">2019 г. са в размер на </w:t>
      </w:r>
      <w:r w:rsidRPr="0071678E">
        <w:rPr>
          <w:b/>
        </w:rPr>
        <w:t>4 286,9 млн. лв</w:t>
      </w:r>
      <w:r w:rsidRPr="0071678E">
        <w:t xml:space="preserve">. или 26,1 % от годишния разчет. </w:t>
      </w:r>
    </w:p>
    <w:p w:rsidR="000D23F8" w:rsidRPr="0071678E" w:rsidRDefault="000D23F8" w:rsidP="000D23F8">
      <w:pPr>
        <w:spacing w:after="120"/>
        <w:jc w:val="both"/>
        <w:rPr>
          <w:lang w:val="en-US"/>
        </w:rPr>
      </w:pPr>
      <w:r w:rsidRPr="0071678E">
        <w:rPr>
          <w:b/>
        </w:rPr>
        <w:t>Приходите от ДДС</w:t>
      </w:r>
      <w:r w:rsidRPr="0071678E">
        <w:t xml:space="preserve"> са в размер на </w:t>
      </w:r>
      <w:r w:rsidRPr="0071678E">
        <w:rPr>
          <w:b/>
        </w:rPr>
        <w:t>2 940,6</w:t>
      </w:r>
      <w:r w:rsidRPr="0071678E">
        <w:t xml:space="preserve"> </w:t>
      </w:r>
      <w:r w:rsidRPr="0071678E">
        <w:rPr>
          <w:b/>
        </w:rPr>
        <w:t>млн. лв.,</w:t>
      </w:r>
      <w:r w:rsidRPr="0071678E">
        <w:t xml:space="preserve"> което представлява 27,2 % от планираните със ЗДБРБ за 2019 година. Постъпленията от ДДС нарастват с 379,4 млн. лв. (14,8 %) спрямо отчетените за същия период на предходната година. </w:t>
      </w:r>
    </w:p>
    <w:p w:rsidR="000D23F8" w:rsidRPr="0071678E" w:rsidRDefault="000D23F8" w:rsidP="000D23F8">
      <w:pPr>
        <w:spacing w:after="120"/>
        <w:jc w:val="both"/>
      </w:pPr>
      <w:r w:rsidRPr="0071678E">
        <w:t xml:space="preserve">Нетният размер на приходите от </w:t>
      </w:r>
      <w:r w:rsidRPr="0071678E">
        <w:rPr>
          <w:i/>
        </w:rPr>
        <w:t>ДДС от внос</w:t>
      </w:r>
      <w:r w:rsidRPr="0071678E">
        <w:t xml:space="preserve"> </w:t>
      </w:r>
      <w:r w:rsidRPr="0071678E">
        <w:rPr>
          <w:bCs/>
        </w:rPr>
        <w:t xml:space="preserve">към март </w:t>
      </w:r>
      <w:r w:rsidRPr="0071678E">
        <w:t>2019 г. е 1 070,6 млн. лева. Влияние върху постъпленията от ДДС от внос оказват цената на суровия петрол, количествата на внасяните стоки за междинно потребление (черни, цветни метали и др.), курса на щатския долар спрямо еврото и други.</w:t>
      </w:r>
    </w:p>
    <w:p w:rsidR="000D23F8" w:rsidRPr="00456B43" w:rsidRDefault="000D23F8" w:rsidP="000D23F8">
      <w:pPr>
        <w:spacing w:after="120"/>
        <w:jc w:val="both"/>
        <w:rPr>
          <w:b/>
          <w:color w:val="4F81BD" w:themeColor="accent1"/>
        </w:rPr>
      </w:pPr>
      <w:r w:rsidRPr="0071678E">
        <w:t xml:space="preserve">Постъпленията </w:t>
      </w:r>
      <w:r w:rsidRPr="00236998">
        <w:t>от</w:t>
      </w:r>
      <w:r w:rsidRPr="00236998">
        <w:rPr>
          <w:i/>
        </w:rPr>
        <w:t xml:space="preserve"> ДДС при сделки в страната (нето)</w:t>
      </w:r>
      <w:r w:rsidRPr="00236998">
        <w:t xml:space="preserve"> </w:t>
      </w:r>
      <w:r w:rsidRPr="00236998">
        <w:rPr>
          <w:bCs/>
        </w:rPr>
        <w:t xml:space="preserve">към март </w:t>
      </w:r>
      <w:r w:rsidRPr="00236998">
        <w:t>2019 г. възлизат на 1</w:t>
      </w:r>
      <w:r w:rsidRPr="00236998">
        <w:rPr>
          <w:rFonts w:eastAsia="Calibri"/>
          <w:b/>
        </w:rPr>
        <w:t> </w:t>
      </w:r>
      <w:r w:rsidRPr="00236998">
        <w:t>870,1</w:t>
      </w:r>
      <w:r w:rsidRPr="00236998">
        <w:rPr>
          <w:rFonts w:eastAsia="Calibri"/>
          <w:b/>
        </w:rPr>
        <w:t> </w:t>
      </w:r>
      <w:r w:rsidRPr="00236998">
        <w:t xml:space="preserve">млн. лева. </w:t>
      </w:r>
      <w:r w:rsidRPr="00236998">
        <w:rPr>
          <w:bCs/>
        </w:rPr>
        <w:t>Невъзстановеният данъчен кредит на фирми към 31.03.2019 г. е в размер на 74,4 млн. лева.</w:t>
      </w:r>
    </w:p>
    <w:p w:rsidR="000D23F8" w:rsidRPr="00456B43" w:rsidRDefault="000D23F8" w:rsidP="000D23F8">
      <w:pPr>
        <w:spacing w:after="120"/>
        <w:jc w:val="both"/>
        <w:rPr>
          <w:rStyle w:val="Strong"/>
          <w:b w:val="0"/>
          <w:color w:val="4F81BD" w:themeColor="accent1"/>
        </w:rPr>
      </w:pPr>
      <w:r w:rsidRPr="005E29C7">
        <w:rPr>
          <w:b/>
        </w:rPr>
        <w:t xml:space="preserve">Приходите от акцизи (нето) </w:t>
      </w:r>
      <w:r w:rsidRPr="005E29C7">
        <w:t xml:space="preserve">от внос, вътрешно производство и въведени в страната от други държави-членки на ЕС акцизни стоки са в размер на </w:t>
      </w:r>
      <w:r w:rsidRPr="005E29C7">
        <w:rPr>
          <w:b/>
        </w:rPr>
        <w:t>1 276,5 млн. лв</w:t>
      </w:r>
      <w:r w:rsidRPr="005E29C7">
        <w:t xml:space="preserve">., което е 23,9 % от </w:t>
      </w:r>
      <w:r w:rsidRPr="005E29C7">
        <w:lastRenderedPageBreak/>
        <w:t xml:space="preserve">планираните със ЗДБРБ за 2019 г. Съпоставено със същия период на 2018 г. постъпленията се увеличават с 80,9 млн. лв. </w:t>
      </w:r>
    </w:p>
    <w:p w:rsidR="000D23F8" w:rsidRPr="00456B43" w:rsidRDefault="000D23F8" w:rsidP="000D23F8">
      <w:pPr>
        <w:spacing w:after="120"/>
        <w:jc w:val="both"/>
        <w:rPr>
          <w:color w:val="4F81BD" w:themeColor="accent1"/>
          <w:lang w:val="en-US"/>
        </w:rPr>
      </w:pPr>
      <w:r w:rsidRPr="004F231C">
        <w:t>Нетните постъпления от акциз са от следните основни стокови групи: тютюневи изделия (51,2 %);</w:t>
      </w:r>
      <w:r w:rsidRPr="004F231C">
        <w:rPr>
          <w:lang w:val="en-US"/>
        </w:rPr>
        <w:t xml:space="preserve"> </w:t>
      </w:r>
      <w:r w:rsidRPr="004F231C">
        <w:t>горива (42,4 %); алкохолни напитки и пиво (4,9 %) и други акцизни стоки – електрическа енергия, въглища и кокс (1,6 %). Постъпления от акциз към март 2019 г. по основни стокови групи, са както следва:</w:t>
      </w:r>
    </w:p>
    <w:p w:rsidR="000D23F8" w:rsidRPr="004F231C" w:rsidRDefault="000D23F8" w:rsidP="000D23F8">
      <w:pPr>
        <w:numPr>
          <w:ilvl w:val="0"/>
          <w:numId w:val="19"/>
        </w:numPr>
        <w:jc w:val="both"/>
      </w:pPr>
      <w:r w:rsidRPr="004F231C">
        <w:rPr>
          <w:i/>
        </w:rPr>
        <w:t>Акцизите от тютюневи изделия</w:t>
      </w:r>
      <w:r w:rsidRPr="004F231C">
        <w:t xml:space="preserve">  възлизат на 653,4 млн. лева; </w:t>
      </w:r>
    </w:p>
    <w:p w:rsidR="000D23F8" w:rsidRPr="004F231C" w:rsidRDefault="000D23F8" w:rsidP="000D23F8">
      <w:pPr>
        <w:numPr>
          <w:ilvl w:val="0"/>
          <w:numId w:val="19"/>
        </w:numPr>
        <w:jc w:val="both"/>
      </w:pPr>
      <w:r w:rsidRPr="004F231C">
        <w:rPr>
          <w:i/>
        </w:rPr>
        <w:t>Акцизите от горив</w:t>
      </w:r>
      <w:r w:rsidRPr="004F231C">
        <w:t xml:space="preserve">а са в размер на 540,9 млн. лева; </w:t>
      </w:r>
    </w:p>
    <w:p w:rsidR="000D23F8" w:rsidRPr="004F231C" w:rsidRDefault="000D23F8" w:rsidP="000D23F8">
      <w:pPr>
        <w:numPr>
          <w:ilvl w:val="0"/>
          <w:numId w:val="19"/>
        </w:numPr>
        <w:jc w:val="both"/>
      </w:pPr>
      <w:r w:rsidRPr="004F231C">
        <w:rPr>
          <w:i/>
        </w:rPr>
        <w:t xml:space="preserve">Акцизите от алкохолни напитки и пиво </w:t>
      </w:r>
      <w:r w:rsidRPr="004F231C">
        <w:t xml:space="preserve"> възлизат на 62,1 млн. лева; </w:t>
      </w:r>
    </w:p>
    <w:p w:rsidR="000D23F8" w:rsidRPr="004F231C" w:rsidRDefault="000D23F8" w:rsidP="000D23F8">
      <w:pPr>
        <w:numPr>
          <w:ilvl w:val="0"/>
          <w:numId w:val="19"/>
        </w:numPr>
        <w:jc w:val="both"/>
      </w:pPr>
      <w:r w:rsidRPr="004F231C">
        <w:rPr>
          <w:i/>
        </w:rPr>
        <w:t xml:space="preserve">Приходите от други акцизни стоки - електрическа енергия, въглища и кокс </w:t>
      </w:r>
      <w:r w:rsidRPr="004F231C">
        <w:t>– възлизат на 20,2 млн. лева.</w:t>
      </w:r>
    </w:p>
    <w:p w:rsidR="000D23F8" w:rsidRPr="00456B43" w:rsidRDefault="000D23F8" w:rsidP="000D23F8">
      <w:pPr>
        <w:ind w:left="360"/>
        <w:jc w:val="both"/>
        <w:rPr>
          <w:color w:val="4F81BD" w:themeColor="accent1"/>
          <w:sz w:val="8"/>
          <w:szCs w:val="8"/>
        </w:rPr>
      </w:pPr>
    </w:p>
    <w:p w:rsidR="000D23F8" w:rsidRPr="00456B43" w:rsidRDefault="000D23F8" w:rsidP="000D23F8">
      <w:pPr>
        <w:spacing w:after="120"/>
        <w:jc w:val="both"/>
        <w:rPr>
          <w:color w:val="4F81BD" w:themeColor="accent1"/>
        </w:rPr>
      </w:pPr>
      <w:r w:rsidRPr="004F231C">
        <w:rPr>
          <w:b/>
        </w:rPr>
        <w:t>Приходите от данък върху застрахователните премии</w:t>
      </w:r>
      <w:r w:rsidRPr="004F231C">
        <w:t xml:space="preserve"> по облагаеми застрахователни договори (рисковете, по които са поети от застрахователи) са в размер на </w:t>
      </w:r>
      <w:r w:rsidRPr="004F231C">
        <w:rPr>
          <w:b/>
        </w:rPr>
        <w:t>10,7 млн. лв</w:t>
      </w:r>
      <w:r w:rsidRPr="004F231C">
        <w:t>., при планирани за годината 39,7 млн. лева.</w:t>
      </w:r>
    </w:p>
    <w:p w:rsidR="000D23F8" w:rsidRDefault="000D23F8" w:rsidP="000D23F8">
      <w:pPr>
        <w:tabs>
          <w:tab w:val="right" w:pos="9072"/>
        </w:tabs>
        <w:ind w:right="-2"/>
        <w:jc w:val="both"/>
      </w:pPr>
      <w:r w:rsidRPr="004F231C">
        <w:rPr>
          <w:b/>
        </w:rPr>
        <w:t>Постъпленията от</w:t>
      </w:r>
      <w:r w:rsidRPr="004F231C">
        <w:t xml:space="preserve"> </w:t>
      </w:r>
      <w:r w:rsidRPr="004F231C">
        <w:rPr>
          <w:b/>
          <w:bCs/>
        </w:rPr>
        <w:t xml:space="preserve">мита </w:t>
      </w:r>
      <w:r w:rsidRPr="004F231C">
        <w:t xml:space="preserve">възлизат на </w:t>
      </w:r>
      <w:r w:rsidRPr="004F231C">
        <w:rPr>
          <w:b/>
        </w:rPr>
        <w:t>59,0 млн. лв</w:t>
      </w:r>
      <w:r w:rsidRPr="004F231C">
        <w:t>. или 24,9 % от планираните със ЗДБРБ за 2019 г., като заемат 1,0 % относителен дял в общия размер на данъчните приходи по държавния бюджет. В сравнение със същия период на предходната година събраните мита са с 4,7 млн. лв. (7,4 %) по-малко. По-високи постъпленията от мита за отчетния период, спрямо предходната година има в приходите при следните стокови групи: „Продукти на химическата промишленост и други свързани с нея промишлености“ – постъпленията нарастват с 1,6 млн. лв.</w:t>
      </w:r>
      <w:r w:rsidRPr="004F231C">
        <w:rPr>
          <w:lang w:val="en-US"/>
        </w:rPr>
        <w:t xml:space="preserve"> </w:t>
      </w:r>
      <w:r w:rsidRPr="004F231C">
        <w:t>спрямо март</w:t>
      </w:r>
      <w:r w:rsidRPr="00B435AC">
        <w:t xml:space="preserve"> 2018 г.; „Торове“ - постъпленията са с 1,6 млн. лв. повече спрямо края на март 2018 г.; „Пластмаси и пластмасови изделия, каучук и каучукови изделия“ – към март  2019 г. постъпленията са с 0,9 млн. лв. (20,8 %) повече спрямо март 2018 г.</w:t>
      </w:r>
      <w:r w:rsidRPr="00B435AC">
        <w:rPr>
          <w:lang w:val="en-US"/>
        </w:rPr>
        <w:t>;</w:t>
      </w:r>
      <w:r w:rsidRPr="00B435AC">
        <w:t xml:space="preserve"> </w:t>
      </w:r>
      <w:r w:rsidRPr="000D23F8">
        <w:t xml:space="preserve">„Автомобилни превозни средства, трактори, мотоциклети и велосипеди, и други сухопътни превозни средства, техните части и принадлежности“ – постъпленията са с 0,8 млн. лв. (18,8 %) повече от тези за същия период на 2018 г. и „Алуминий и изделия от алуминий“ – постъпленията </w:t>
      </w:r>
      <w:r w:rsidRPr="00B435AC">
        <w:t>към 31.03.2019 г. се увеличават с 0,8 млн. лв. (27,8 %), в сравнение със същия период на 2018 г</w:t>
      </w:r>
      <w:r>
        <w:t>.</w:t>
      </w:r>
      <w:r w:rsidRPr="00B435AC">
        <w:t xml:space="preserve"> Намаление в приходите от мита към края на март  2019 г. се наблюдава при вноса на стоки по глава „Различни видове продукти на химическата промишленост“ – постъпленията намаляват с 9,8 млн. лв. (94,1 %) на годишна база (основна роля за този спад имат намалените приходи от мита при внос на стоки от вид „</w:t>
      </w:r>
      <w:proofErr w:type="spellStart"/>
      <w:r w:rsidRPr="00B435AC">
        <w:t>Биодизел</w:t>
      </w:r>
      <w:proofErr w:type="spellEnd"/>
      <w:r w:rsidRPr="00B435AC">
        <w:t xml:space="preserve"> и смеси от </w:t>
      </w:r>
      <w:proofErr w:type="spellStart"/>
      <w:r w:rsidRPr="00B435AC">
        <w:t>би</w:t>
      </w:r>
      <w:r>
        <w:t>одизел</w:t>
      </w:r>
      <w:proofErr w:type="spellEnd"/>
      <w:r>
        <w:t>“).</w:t>
      </w:r>
      <w:r w:rsidRPr="00B435AC">
        <w:t xml:space="preserve"> При други две групи стоки също се наблюдава намаление</w:t>
      </w:r>
      <w:r>
        <w:t>: стоки от глава</w:t>
      </w:r>
      <w:r w:rsidRPr="00B435AC">
        <w:t xml:space="preserve"> „Обувки, шапки, чадъри за дъжд и слънце, бастуни, камшици, бичове и техни части; </w:t>
      </w:r>
      <w:proofErr w:type="spellStart"/>
      <w:r w:rsidRPr="00B435AC">
        <w:t>апретирани</w:t>
      </w:r>
      <w:proofErr w:type="spellEnd"/>
      <w:r w:rsidRPr="00B435AC">
        <w:t xml:space="preserve"> пера и артикули от пера; изкуствени цветя; изделия от коси“ – спад с 0,7 млн. лв.</w:t>
      </w:r>
      <w:r w:rsidRPr="00B435AC">
        <w:rPr>
          <w:lang w:val="en-US"/>
        </w:rPr>
        <w:t xml:space="preserve"> (</w:t>
      </w:r>
      <w:r w:rsidRPr="00B435AC">
        <w:t>19</w:t>
      </w:r>
      <w:proofErr w:type="gramStart"/>
      <w:r w:rsidRPr="00B435AC">
        <w:t>,8</w:t>
      </w:r>
      <w:proofErr w:type="gramEnd"/>
      <w:r w:rsidRPr="00B435AC">
        <w:rPr>
          <w:b/>
        </w:rPr>
        <w:t> </w:t>
      </w:r>
      <w:r w:rsidRPr="00B435AC">
        <w:t>%</w:t>
      </w:r>
      <w:r w:rsidRPr="00B435AC">
        <w:rPr>
          <w:lang w:val="en-US"/>
        </w:rPr>
        <w:t>)</w:t>
      </w:r>
      <w:r w:rsidRPr="00B435AC">
        <w:t xml:space="preserve"> спрямо март на 2018 г.</w:t>
      </w:r>
      <w:r>
        <w:t>,</w:t>
      </w:r>
      <w:r w:rsidRPr="00B435AC">
        <w:t xml:space="preserve"> както и при вноса на стоки по глава </w:t>
      </w:r>
      <w:r>
        <w:t>„</w:t>
      </w:r>
      <w:r w:rsidRPr="00B435AC">
        <w:t>Машини и апарати, електрооборудване и техните части; апарати за записване или възпроизвеждане на звук, апарати за записване или възпроизвеждане на телевизионен образ и звук и части, и</w:t>
      </w:r>
      <w:r>
        <w:t xml:space="preserve"> принадлежности за тези апарати</w:t>
      </w:r>
      <w:r w:rsidRPr="00B435AC">
        <w:t>“, които спадат с 0,3 млн. лв. (7,2 %).</w:t>
      </w:r>
      <w:r>
        <w:t xml:space="preserve"> </w:t>
      </w:r>
      <w:r w:rsidRPr="00B435AC">
        <w:t xml:space="preserve">В зависимост от произхода на внасяните стоки, най-голям е делът на приходите от мита при внос на стоки от Китай, като към края на март  2019 г. постъпленията възлизат на 29,8 млн. лв. и са с 18,4 % повече спрямо същия период на 2018 година. Те формират 50,5 % от общия обем на митата за периода. </w:t>
      </w:r>
      <w:r w:rsidRPr="006D227B">
        <w:t>На второ място са приходите от мита за внос на стоки с произход Русия, които са в размер на 7,1</w:t>
      </w:r>
      <w:r w:rsidRPr="006D227B">
        <w:rPr>
          <w:b/>
        </w:rPr>
        <w:t> </w:t>
      </w:r>
      <w:r w:rsidRPr="006D227B">
        <w:t>млн. лв. и отчитат увеличение с</w:t>
      </w:r>
      <w:r>
        <w:t xml:space="preserve"> </w:t>
      </w:r>
      <w:r w:rsidRPr="006D227B">
        <w:t xml:space="preserve">65,6 % на годишна база. Тези постъпления имат относителен дял от 12,1 % от всички мита. Следват приходите от мита при внос на стоки с произход от САЩ, които са в размер на 2,5 млн. лв., като отчитат повишение с 4,3 % на годишна база и формират 4,2 % от всички мита. Постъпленията от внос на стоки с произход Япония възлизат на 2,1 млн. лв., като отчитат намаление с 13,6 % спрямо март 2018 г. и представляват 3,6 % от всички мита. Постъпленията от мита за стоки от </w:t>
      </w:r>
      <w:r>
        <w:t>Еквадор</w:t>
      </w:r>
      <w:r w:rsidRPr="006D227B">
        <w:t xml:space="preserve"> са в размер на 1,9 млн. лв. и отчитат увеличение с 13,3 % на годишна база. Тези постъпления имат относителен дял от 3,2 % от всички мита. </w:t>
      </w:r>
    </w:p>
    <w:p w:rsidR="000D23F8" w:rsidRDefault="000D23F8" w:rsidP="000D23F8">
      <w:pPr>
        <w:tabs>
          <w:tab w:val="right" w:pos="9072"/>
        </w:tabs>
        <w:ind w:right="-2"/>
        <w:jc w:val="both"/>
        <w:rPr>
          <w:color w:val="4F81BD" w:themeColor="accent1"/>
          <w:lang w:val="en-US"/>
        </w:rPr>
      </w:pPr>
    </w:p>
    <w:p w:rsidR="0087488B" w:rsidRPr="0087488B" w:rsidRDefault="0087488B" w:rsidP="000D23F8">
      <w:pPr>
        <w:tabs>
          <w:tab w:val="right" w:pos="9072"/>
        </w:tabs>
        <w:ind w:right="-2"/>
        <w:jc w:val="both"/>
        <w:rPr>
          <w:color w:val="4F81BD" w:themeColor="accent1"/>
          <w:lang w:val="en-US"/>
        </w:rPr>
      </w:pPr>
    </w:p>
    <w:p w:rsidR="000D23F8" w:rsidRPr="00456B43" w:rsidRDefault="000D23F8" w:rsidP="000D23F8">
      <w:pPr>
        <w:shd w:val="clear" w:color="auto" w:fill="FFFFFF"/>
        <w:ind w:right="113"/>
        <w:jc w:val="both"/>
        <w:rPr>
          <w:i/>
          <w:color w:val="4F81BD" w:themeColor="accent1"/>
          <w:sz w:val="8"/>
          <w:szCs w:val="8"/>
        </w:rPr>
      </w:pPr>
    </w:p>
    <w:p w:rsidR="000D23F8" w:rsidRPr="006D227B" w:rsidRDefault="000D23F8" w:rsidP="000D23F8">
      <w:pPr>
        <w:numPr>
          <w:ilvl w:val="0"/>
          <w:numId w:val="4"/>
        </w:numPr>
        <w:tabs>
          <w:tab w:val="clear" w:pos="1440"/>
          <w:tab w:val="num" w:pos="540"/>
        </w:tabs>
        <w:ind w:left="0" w:firstLine="180"/>
        <w:jc w:val="both"/>
        <w:rPr>
          <w:b/>
          <w:bCs/>
        </w:rPr>
      </w:pPr>
      <w:r w:rsidRPr="006D227B">
        <w:rPr>
          <w:b/>
          <w:bCs/>
        </w:rPr>
        <w:lastRenderedPageBreak/>
        <w:t>Други данъци</w:t>
      </w:r>
    </w:p>
    <w:p w:rsidR="000D23F8" w:rsidRPr="006D227B" w:rsidRDefault="000D23F8" w:rsidP="000D23F8">
      <w:pPr>
        <w:jc w:val="both"/>
        <w:rPr>
          <w:b/>
          <w:bCs/>
          <w:sz w:val="8"/>
          <w:szCs w:val="8"/>
        </w:rPr>
      </w:pPr>
    </w:p>
    <w:p w:rsidR="000D23F8" w:rsidRDefault="000D23F8" w:rsidP="000D23F8">
      <w:pPr>
        <w:spacing w:after="120"/>
        <w:ind w:right="-110"/>
        <w:jc w:val="both"/>
      </w:pPr>
      <w:r w:rsidRPr="006D227B">
        <w:t xml:space="preserve">Постъпленията от </w:t>
      </w:r>
      <w:r w:rsidRPr="006D227B">
        <w:rPr>
          <w:b/>
        </w:rPr>
        <w:t>други данъци</w:t>
      </w:r>
      <w:r w:rsidRPr="006D227B">
        <w:t xml:space="preserve"> по държавния бюджет </w:t>
      </w:r>
      <w:r w:rsidRPr="006D227B">
        <w:rPr>
          <w:bCs/>
        </w:rPr>
        <w:t xml:space="preserve">към края на март </w:t>
      </w:r>
      <w:r w:rsidRPr="006D227B">
        <w:t xml:space="preserve">2019 г. са в размер на </w:t>
      </w:r>
      <w:r w:rsidRPr="006D227B">
        <w:rPr>
          <w:b/>
        </w:rPr>
        <w:t xml:space="preserve">87,0 млн. лв. </w:t>
      </w:r>
      <w:r w:rsidRPr="006D227B">
        <w:t xml:space="preserve">или 54,7 % от планираните със ЗДБРБ за 2019 година. </w:t>
      </w:r>
    </w:p>
    <w:p w:rsidR="000D23F8" w:rsidRPr="006D227B" w:rsidRDefault="000D23F8" w:rsidP="000D23F8">
      <w:pPr>
        <w:spacing w:after="120"/>
        <w:ind w:right="-110"/>
        <w:jc w:val="both"/>
      </w:pPr>
    </w:p>
    <w:p w:rsidR="000D23F8" w:rsidRPr="00AC559A" w:rsidRDefault="000D23F8" w:rsidP="000D23F8">
      <w:pPr>
        <w:numPr>
          <w:ilvl w:val="0"/>
          <w:numId w:val="3"/>
        </w:numPr>
        <w:tabs>
          <w:tab w:val="num" w:pos="720"/>
        </w:tabs>
        <w:ind w:left="0" w:firstLine="180"/>
        <w:jc w:val="both"/>
      </w:pPr>
      <w:r w:rsidRPr="00AC559A">
        <w:rPr>
          <w:b/>
          <w:bCs/>
        </w:rPr>
        <w:t>Неданъчни приходи</w:t>
      </w:r>
    </w:p>
    <w:p w:rsidR="000D23F8" w:rsidRPr="00456B43" w:rsidRDefault="000D23F8" w:rsidP="000D23F8">
      <w:pPr>
        <w:tabs>
          <w:tab w:val="left" w:pos="900"/>
        </w:tabs>
        <w:jc w:val="both"/>
        <w:rPr>
          <w:color w:val="4F81BD" w:themeColor="accent1"/>
          <w:sz w:val="8"/>
          <w:szCs w:val="8"/>
        </w:rPr>
      </w:pPr>
    </w:p>
    <w:p w:rsidR="000D23F8" w:rsidRPr="00456B43" w:rsidRDefault="000D23F8" w:rsidP="000D23F8">
      <w:pPr>
        <w:tabs>
          <w:tab w:val="left" w:pos="900"/>
        </w:tabs>
        <w:spacing w:after="120"/>
        <w:jc w:val="both"/>
        <w:rPr>
          <w:color w:val="4F81BD" w:themeColor="accent1"/>
          <w:lang w:val="en-US"/>
        </w:rPr>
      </w:pPr>
      <w:r w:rsidRPr="00AC559A">
        <w:t>Отчетените</w:t>
      </w:r>
      <w:r w:rsidRPr="00AC559A">
        <w:rPr>
          <w:b/>
          <w:bCs/>
        </w:rPr>
        <w:t xml:space="preserve"> неданъчни приходи</w:t>
      </w:r>
      <w:r w:rsidRPr="00AC559A">
        <w:t xml:space="preserve"> по държавния бюджет </w:t>
      </w:r>
      <w:r w:rsidRPr="00AC559A">
        <w:rPr>
          <w:bCs/>
        </w:rPr>
        <w:t xml:space="preserve">към март  </w:t>
      </w:r>
      <w:r w:rsidRPr="00AC559A">
        <w:t xml:space="preserve">2019 г. са в размер на </w:t>
      </w:r>
      <w:r w:rsidRPr="00AC559A">
        <w:rPr>
          <w:b/>
        </w:rPr>
        <w:t>611,2</w:t>
      </w:r>
      <w:r w:rsidR="002413A5" w:rsidRPr="00AC559A">
        <w:rPr>
          <w:b/>
        </w:rPr>
        <w:t> </w:t>
      </w:r>
      <w:r w:rsidRPr="00AC559A">
        <w:rPr>
          <w:b/>
        </w:rPr>
        <w:t>млн. лв</w:t>
      </w:r>
      <w:r w:rsidRPr="00AC559A">
        <w:t xml:space="preserve">. и се формират основно от приходи от държавни такси, приходи и доходи от собственост, приходи от концесии и други. </w:t>
      </w:r>
    </w:p>
    <w:p w:rsidR="000D23F8" w:rsidRPr="00AC559A" w:rsidRDefault="000D23F8" w:rsidP="000D23F8">
      <w:pPr>
        <w:numPr>
          <w:ilvl w:val="0"/>
          <w:numId w:val="3"/>
        </w:numPr>
        <w:tabs>
          <w:tab w:val="num" w:pos="720"/>
        </w:tabs>
        <w:spacing w:after="120"/>
        <w:ind w:left="0" w:firstLine="180"/>
        <w:jc w:val="both"/>
        <w:rPr>
          <w:b/>
          <w:bCs/>
        </w:rPr>
      </w:pPr>
      <w:r w:rsidRPr="00AC559A">
        <w:rPr>
          <w:b/>
          <w:bCs/>
        </w:rPr>
        <w:t xml:space="preserve">Помощи </w:t>
      </w:r>
    </w:p>
    <w:p w:rsidR="000D23F8" w:rsidRPr="00AC559A" w:rsidRDefault="000D23F8" w:rsidP="000D23F8">
      <w:pPr>
        <w:spacing w:after="120"/>
        <w:jc w:val="both"/>
      </w:pPr>
      <w:r w:rsidRPr="00AC559A">
        <w:t xml:space="preserve">Постъпилите </w:t>
      </w:r>
      <w:r w:rsidRPr="00AC559A">
        <w:rPr>
          <w:b/>
        </w:rPr>
        <w:t>помощи</w:t>
      </w:r>
      <w:r w:rsidRPr="00AC559A">
        <w:t xml:space="preserve"> по държавния бюджет към март  2019 г. са в размер на </w:t>
      </w:r>
      <w:r w:rsidRPr="00AC559A">
        <w:rPr>
          <w:b/>
        </w:rPr>
        <w:t>1,0 млн. лв.</w:t>
      </w:r>
      <w:r w:rsidRPr="00AC559A">
        <w:t xml:space="preserve"> и са по бюджетите на министерствата и ведомствата.</w:t>
      </w:r>
    </w:p>
    <w:p w:rsidR="009B50FB" w:rsidRPr="00EA2D29" w:rsidRDefault="009B50FB" w:rsidP="000E6968">
      <w:pPr>
        <w:numPr>
          <w:ilvl w:val="0"/>
          <w:numId w:val="6"/>
        </w:numPr>
        <w:tabs>
          <w:tab w:val="clear" w:pos="700"/>
          <w:tab w:val="num" w:pos="426"/>
        </w:tabs>
        <w:spacing w:before="240"/>
        <w:ind w:left="0" w:firstLine="0"/>
        <w:jc w:val="both"/>
        <w:rPr>
          <w:b/>
          <w:bCs/>
        </w:rPr>
      </w:pPr>
      <w:r w:rsidRPr="00EA2D29">
        <w:rPr>
          <w:b/>
          <w:bCs/>
        </w:rPr>
        <w:t>Разходи по държавния бюджет</w:t>
      </w:r>
    </w:p>
    <w:p w:rsidR="009B50FB" w:rsidRPr="000613BA" w:rsidRDefault="009B50FB" w:rsidP="009B50FB">
      <w:pPr>
        <w:jc w:val="both"/>
        <w:rPr>
          <w:b/>
          <w:bCs/>
          <w:color w:val="0070C0"/>
          <w:sz w:val="4"/>
          <w:szCs w:val="4"/>
        </w:rPr>
      </w:pPr>
    </w:p>
    <w:p w:rsidR="009B50FB" w:rsidRPr="000613BA" w:rsidRDefault="009B50FB" w:rsidP="009B50FB">
      <w:pPr>
        <w:pStyle w:val="BodyTextIndent"/>
        <w:spacing w:after="0"/>
        <w:ind w:left="0"/>
        <w:jc w:val="both"/>
        <w:rPr>
          <w:color w:val="0070C0"/>
          <w:sz w:val="8"/>
          <w:szCs w:val="8"/>
        </w:rPr>
      </w:pPr>
    </w:p>
    <w:p w:rsidR="00EA2D29" w:rsidRPr="00AC559A" w:rsidRDefault="00EA2D29" w:rsidP="00EA2D29">
      <w:pPr>
        <w:pStyle w:val="BodyTextIndent"/>
        <w:ind w:left="0"/>
        <w:jc w:val="both"/>
      </w:pPr>
      <w:r w:rsidRPr="00AC559A">
        <w:t xml:space="preserve">Общият размер на </w:t>
      </w:r>
      <w:r w:rsidRPr="00AC559A">
        <w:rPr>
          <w:b/>
        </w:rPr>
        <w:t>разходите по държавния бюджет</w:t>
      </w:r>
      <w:r w:rsidRPr="00AC559A">
        <w:t xml:space="preserve"> (вкл. трансферите за др. бюджети и вноската в бюджета на ЕС) </w:t>
      </w:r>
      <w:r w:rsidRPr="00AC559A">
        <w:rPr>
          <w:bCs/>
        </w:rPr>
        <w:t xml:space="preserve">към март </w:t>
      </w:r>
      <w:r w:rsidRPr="00AC559A">
        <w:t xml:space="preserve">2019 г. е </w:t>
      </w:r>
      <w:r w:rsidRPr="00AC559A">
        <w:rPr>
          <w:b/>
        </w:rPr>
        <w:t>5 662,1 млн. лв</w:t>
      </w:r>
      <w:r w:rsidRPr="00AC559A">
        <w:t>. или 21,7 % от предвидените със ЗДБРБ за 2019 година.</w:t>
      </w:r>
    </w:p>
    <w:p w:rsidR="00EA2D29" w:rsidRPr="00456B43" w:rsidRDefault="00EA2D29" w:rsidP="00EA2D29">
      <w:pPr>
        <w:pStyle w:val="BodyTextIndent"/>
        <w:spacing w:after="0"/>
        <w:ind w:left="0"/>
        <w:jc w:val="center"/>
        <w:rPr>
          <w:b/>
          <w:color w:val="4F81BD" w:themeColor="accent1"/>
          <w:sz w:val="4"/>
          <w:szCs w:val="4"/>
          <w:u w:val="single"/>
        </w:rPr>
      </w:pPr>
    </w:p>
    <w:p w:rsidR="00EA2D29" w:rsidRPr="00AC559A" w:rsidRDefault="00EA2D29" w:rsidP="00EA2D29">
      <w:pPr>
        <w:pStyle w:val="BodyTextIndent"/>
        <w:spacing w:after="0"/>
        <w:ind w:left="0"/>
        <w:jc w:val="center"/>
        <w:rPr>
          <w:b/>
          <w:u w:val="single"/>
        </w:rPr>
      </w:pPr>
      <w:r w:rsidRPr="00AC559A">
        <w:rPr>
          <w:b/>
          <w:u w:val="single"/>
        </w:rPr>
        <w:t xml:space="preserve">Разходи, трансфери за други бюджети и вноска в бюджета на ЕС </w:t>
      </w:r>
    </w:p>
    <w:p w:rsidR="00EA2D29" w:rsidRPr="00AC559A" w:rsidRDefault="00EA2D29" w:rsidP="00EA2D29">
      <w:pPr>
        <w:pStyle w:val="BodyTextIndent"/>
        <w:spacing w:after="0"/>
        <w:ind w:left="0"/>
        <w:jc w:val="center"/>
        <w:rPr>
          <w:b/>
          <w:u w:val="single"/>
        </w:rPr>
      </w:pPr>
      <w:r w:rsidRPr="00AC559A">
        <w:rPr>
          <w:b/>
          <w:u w:val="single"/>
        </w:rPr>
        <w:t>към март 2018 г. и 2019 г.</w:t>
      </w:r>
    </w:p>
    <w:p w:rsidR="00EA2D29" w:rsidRPr="00456B43" w:rsidRDefault="00EA2D29" w:rsidP="00EA2D29">
      <w:pPr>
        <w:pStyle w:val="BodyTextIndent"/>
        <w:spacing w:after="0"/>
        <w:ind w:left="0"/>
        <w:jc w:val="center"/>
        <w:rPr>
          <w:b/>
          <w:color w:val="4F81BD" w:themeColor="accent1"/>
          <w:sz w:val="8"/>
          <w:szCs w:val="8"/>
          <w:u w:val="single"/>
        </w:rPr>
      </w:pPr>
    </w:p>
    <w:p w:rsidR="00EA2D29" w:rsidRPr="00456B43" w:rsidRDefault="00EA2D29" w:rsidP="00EA2D29">
      <w:pPr>
        <w:pStyle w:val="BodyTextIndent"/>
        <w:spacing w:after="0"/>
        <w:ind w:left="0"/>
        <w:jc w:val="center"/>
        <w:rPr>
          <w:b/>
          <w:color w:val="4F81BD" w:themeColor="accent1"/>
          <w:u w:val="single"/>
        </w:rPr>
      </w:pPr>
      <w:bookmarkStart w:id="0" w:name="_MON_1562146415"/>
      <w:bookmarkStart w:id="1" w:name="_MON_1562146493"/>
      <w:bookmarkStart w:id="2" w:name="_MON_1562146700"/>
      <w:bookmarkStart w:id="3" w:name="_MON_1562146782"/>
      <w:bookmarkStart w:id="4" w:name="_MON_1562146967"/>
      <w:bookmarkStart w:id="5" w:name="_MON_1562147372"/>
      <w:bookmarkStart w:id="6" w:name="_MON_1562147473"/>
      <w:bookmarkStart w:id="7" w:name="_MON_1562147677"/>
      <w:bookmarkStart w:id="8" w:name="_MON_1562147743"/>
      <w:bookmarkStart w:id="9" w:name="_MON_1562147867"/>
      <w:bookmarkStart w:id="10" w:name="_MON_1562147934"/>
      <w:bookmarkStart w:id="11" w:name="_MON_1562148056"/>
      <w:bookmarkStart w:id="12" w:name="_MON_1562148171"/>
      <w:bookmarkStart w:id="13" w:name="_MON_1562148229"/>
      <w:bookmarkStart w:id="14" w:name="_MON_1562148307"/>
      <w:bookmarkStart w:id="15" w:name="_MON_1562148447"/>
      <w:bookmarkStart w:id="16" w:name="_MON_1562148558"/>
      <w:bookmarkStart w:id="17" w:name="_MON_1562152805"/>
      <w:bookmarkStart w:id="18" w:name="_MON_1562152984"/>
      <w:bookmarkStart w:id="19" w:name="_MON_1562153459"/>
      <w:bookmarkStart w:id="20" w:name="_MON_1562153503"/>
      <w:bookmarkStart w:id="21" w:name="_MON_1562153559"/>
      <w:bookmarkStart w:id="22" w:name="_MON_1562153646"/>
      <w:bookmarkStart w:id="23" w:name="_MON_1562153939"/>
      <w:bookmarkStart w:id="24" w:name="_MON_1562154053"/>
      <w:bookmarkStart w:id="25" w:name="_MON_1562154282"/>
      <w:bookmarkStart w:id="26" w:name="_MON_1562146286"/>
      <w:bookmarkStart w:id="27" w:name="_MON_1562154881"/>
      <w:bookmarkStart w:id="28" w:name="_MON_1562154973"/>
      <w:bookmarkStart w:id="29" w:name="_MON_1562155194"/>
      <w:bookmarkStart w:id="30" w:name="_MON_1562155231"/>
      <w:bookmarkStart w:id="31" w:name="_MON_1562155321"/>
      <w:bookmarkStart w:id="32" w:name="_MON_156215539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456B43">
        <w:rPr>
          <w:noProof/>
          <w:color w:val="4F81BD" w:themeColor="accent1"/>
          <w:lang w:eastAsia="bg-BG"/>
        </w:rPr>
        <w:drawing>
          <wp:inline distT="0" distB="0" distL="0" distR="0" wp14:anchorId="4D44BDB2" wp14:editId="612E2131">
            <wp:extent cx="5745480" cy="3093720"/>
            <wp:effectExtent l="0" t="0" r="26670" b="11430"/>
            <wp:docPr id="2"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2D29" w:rsidRPr="00456B43" w:rsidRDefault="00EA2D29" w:rsidP="00EA2D29">
      <w:pPr>
        <w:ind w:firstLine="360"/>
        <w:rPr>
          <w:color w:val="4F81BD" w:themeColor="accent1"/>
          <w:sz w:val="6"/>
          <w:szCs w:val="18"/>
        </w:rPr>
      </w:pPr>
    </w:p>
    <w:p w:rsidR="00EA2D29" w:rsidRPr="00AC559A" w:rsidRDefault="00EA2D29" w:rsidP="00EA2D29">
      <w:pPr>
        <w:ind w:firstLine="360"/>
        <w:rPr>
          <w:sz w:val="18"/>
          <w:szCs w:val="18"/>
        </w:rPr>
      </w:pPr>
      <w:r w:rsidRPr="00AC559A">
        <w:rPr>
          <w:sz w:val="18"/>
          <w:szCs w:val="18"/>
        </w:rPr>
        <w:t>*</w:t>
      </w:r>
      <w:r w:rsidRPr="00AC559A">
        <w:t xml:space="preserve"> </w:t>
      </w:r>
      <w:r w:rsidRPr="00AC559A">
        <w:rPr>
          <w:sz w:val="18"/>
          <w:szCs w:val="18"/>
        </w:rPr>
        <w:t>Вкл. нетния прираст на държавния резерв</w:t>
      </w:r>
    </w:p>
    <w:p w:rsidR="00EA2D29" w:rsidRPr="00456B43" w:rsidRDefault="00EA2D29" w:rsidP="00EA2D29">
      <w:pPr>
        <w:rPr>
          <w:b/>
          <w:color w:val="4F81BD" w:themeColor="accent1"/>
          <w:sz w:val="8"/>
          <w:szCs w:val="8"/>
          <w:u w:val="single"/>
        </w:rPr>
      </w:pPr>
    </w:p>
    <w:p w:rsidR="00EA2D29" w:rsidRPr="009B2B82" w:rsidRDefault="00EA2D29" w:rsidP="00EA2D29">
      <w:pPr>
        <w:pStyle w:val="BodyTextIndent"/>
        <w:numPr>
          <w:ilvl w:val="0"/>
          <w:numId w:val="22"/>
        </w:numPr>
        <w:spacing w:before="120" w:after="0"/>
        <w:jc w:val="both"/>
        <w:rPr>
          <w:b/>
          <w:bCs/>
        </w:rPr>
      </w:pPr>
      <w:r w:rsidRPr="009B2B82">
        <w:rPr>
          <w:b/>
          <w:bCs/>
        </w:rPr>
        <w:t>Нелихвени разходи</w:t>
      </w:r>
    </w:p>
    <w:p w:rsidR="00EA2D29" w:rsidRPr="00456B43" w:rsidRDefault="00EA2D29" w:rsidP="00EA2D29">
      <w:pPr>
        <w:spacing w:before="120"/>
        <w:jc w:val="both"/>
        <w:rPr>
          <w:bCs/>
          <w:color w:val="4F81BD" w:themeColor="accent1"/>
        </w:rPr>
      </w:pPr>
      <w:r w:rsidRPr="009B2B82">
        <w:rPr>
          <w:b/>
          <w:bCs/>
        </w:rPr>
        <w:t>Нелихвените разходи</w:t>
      </w:r>
      <w:r w:rsidRPr="009B2B82">
        <w:rPr>
          <w:bCs/>
        </w:rPr>
        <w:t xml:space="preserve"> по държавния бюджет (без трансферите за др. бюджети) към март  </w:t>
      </w:r>
      <w:r w:rsidRPr="009B2B82">
        <w:t xml:space="preserve">2019 г. </w:t>
      </w:r>
      <w:r w:rsidRPr="009B2B82">
        <w:rPr>
          <w:bCs/>
        </w:rPr>
        <w:t xml:space="preserve">са в размер на </w:t>
      </w:r>
      <w:r w:rsidRPr="009B2B82">
        <w:rPr>
          <w:b/>
          <w:bCs/>
        </w:rPr>
        <w:t>2 081,5 млн. лв</w:t>
      </w:r>
      <w:r w:rsidRPr="009B2B82">
        <w:rPr>
          <w:bCs/>
        </w:rPr>
        <w:t>., което представлява 16,</w:t>
      </w:r>
      <w:r>
        <w:rPr>
          <w:bCs/>
        </w:rPr>
        <w:t>5</w:t>
      </w:r>
      <w:r w:rsidRPr="009B2B82">
        <w:rPr>
          <w:bCs/>
        </w:rPr>
        <w:t xml:space="preserve"> % от годишния разчет. Съпоставени с данните към март  2018 г., нелихвените разходи нарастват с 27,9 млн. лв. </w:t>
      </w:r>
      <w:r w:rsidRPr="009B2B82">
        <w:rPr>
          <w:bCs/>
          <w:lang w:val="en-US"/>
        </w:rPr>
        <w:t>(</w:t>
      </w:r>
      <w:r w:rsidRPr="009B2B82">
        <w:rPr>
          <w:bCs/>
        </w:rPr>
        <w:t>1</w:t>
      </w:r>
      <w:proofErr w:type="gramStart"/>
      <w:r w:rsidRPr="009B2B82">
        <w:rPr>
          <w:bCs/>
        </w:rPr>
        <w:t>,4</w:t>
      </w:r>
      <w:proofErr w:type="gramEnd"/>
      <w:r w:rsidRPr="009B2B82">
        <w:rPr>
          <w:bCs/>
        </w:rPr>
        <w:t> </w:t>
      </w:r>
      <w:r w:rsidRPr="009B2B82">
        <w:rPr>
          <w:bCs/>
          <w:lang w:val="en-US"/>
        </w:rPr>
        <w:t>%)</w:t>
      </w:r>
      <w:r w:rsidRPr="009B2B82">
        <w:rPr>
          <w:bCs/>
        </w:rPr>
        <w:t xml:space="preserve">. </w:t>
      </w:r>
    </w:p>
    <w:p w:rsidR="00EA2D29" w:rsidRPr="00456B43" w:rsidRDefault="00EA2D29" w:rsidP="00EA2D29">
      <w:pPr>
        <w:spacing w:after="120"/>
        <w:jc w:val="both"/>
        <w:rPr>
          <w:bCs/>
          <w:color w:val="4F81BD" w:themeColor="accent1"/>
        </w:rPr>
      </w:pPr>
      <w:r w:rsidRPr="009B2B82">
        <w:rPr>
          <w:bCs/>
        </w:rPr>
        <w:t xml:space="preserve">Разходите за персонал (заплати и </w:t>
      </w:r>
      <w:r w:rsidRPr="009B2B82">
        <w:rPr>
          <w:bCs/>
          <w:noProof/>
        </w:rPr>
        <w:t>възнаграждения</w:t>
      </w:r>
      <w:r w:rsidRPr="009B2B82">
        <w:rPr>
          <w:bCs/>
        </w:rPr>
        <w:t xml:space="preserve">, други възнаграждения и плащания за персонала и осигурителни вноски) са в общ размер на 1 265,5 млн. лв. или 24,6 % от планираните </w:t>
      </w:r>
      <w:r w:rsidRPr="009B2B82">
        <w:t xml:space="preserve">за 2019 </w:t>
      </w:r>
      <w:r w:rsidRPr="009B2B82">
        <w:rPr>
          <w:bCs/>
        </w:rPr>
        <w:t xml:space="preserve">г. </w:t>
      </w:r>
      <w:r w:rsidRPr="00BA1E1E">
        <w:rPr>
          <w:bCs/>
        </w:rPr>
        <w:t xml:space="preserve">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344,3 млн. лв. или 14,3 % от планираните </w:t>
      </w:r>
      <w:r w:rsidRPr="00BA1E1E">
        <w:t>за годината</w:t>
      </w:r>
      <w:r w:rsidRPr="00BA1E1E">
        <w:rPr>
          <w:bCs/>
        </w:rPr>
        <w:t xml:space="preserve">. Социалните разходи (вкл. разходите за стипендии) са в размер на 249,8 млн. лв. или 19,2 % от предвидените </w:t>
      </w:r>
      <w:r w:rsidRPr="00BA1E1E">
        <w:t>за годината</w:t>
      </w:r>
      <w:r w:rsidRPr="00BA1E1E">
        <w:rPr>
          <w:bCs/>
        </w:rPr>
        <w:t xml:space="preserve"> и са основно разходи по бюджета на МТСП за помощи и добавки по Закона за социално </w:t>
      </w:r>
      <w:r w:rsidRPr="00BA1E1E">
        <w:rPr>
          <w:bCs/>
        </w:rPr>
        <w:lastRenderedPageBreak/>
        <w:t>подпомагане, Закона за хората с увреждания, Закона за семейните помощи за деца и др. Предоставените текущи и капиталови трансфери за чужбина са в размер на 0,5</w:t>
      </w:r>
      <w:r w:rsidRPr="00BA1E1E">
        <w:rPr>
          <w:rFonts w:eastAsia="Calibri"/>
          <w:b/>
        </w:rPr>
        <w:t> </w:t>
      </w:r>
      <w:r w:rsidRPr="00BA1E1E">
        <w:rPr>
          <w:bCs/>
        </w:rPr>
        <w:t xml:space="preserve">млн. лв. Разходите за субсидии са в размер на 176,0 млн. лв. или 18,4 % от планираните за годината. От тях </w:t>
      </w:r>
      <w:r>
        <w:rPr>
          <w:bCs/>
          <w:lang w:val="en-US"/>
        </w:rPr>
        <w:t>4</w:t>
      </w:r>
      <w:r>
        <w:rPr>
          <w:bCs/>
        </w:rPr>
        <w:t>3,4</w:t>
      </w:r>
      <w:r w:rsidRPr="007338CE">
        <w:t xml:space="preserve"> </w:t>
      </w:r>
      <w:r w:rsidRPr="007338CE">
        <w:rPr>
          <w:bCs/>
        </w:rPr>
        <w:t xml:space="preserve">млн. лв. са субсидиите за </w:t>
      </w:r>
      <w:r w:rsidRPr="007338CE">
        <w:t>„БДЖ – Пътнически превози” ЕОО</w:t>
      </w:r>
      <w:r w:rsidRPr="00BA1E1E">
        <w:t>Д; 36,0</w:t>
      </w:r>
      <w:r w:rsidRPr="00BA1E1E">
        <w:rPr>
          <w:rFonts w:eastAsia="Calibri"/>
          <w:b/>
        </w:rPr>
        <w:t> </w:t>
      </w:r>
      <w:r w:rsidRPr="00BA1E1E">
        <w:rPr>
          <w:bCs/>
        </w:rPr>
        <w:t xml:space="preserve">млн. лв. са субсидиите за </w:t>
      </w:r>
      <w:r w:rsidRPr="00BA1E1E">
        <w:t>Национална компания „Железопътна инфраструктура”</w:t>
      </w:r>
      <w:r w:rsidRPr="00BA1E1E">
        <w:rPr>
          <w:bCs/>
        </w:rPr>
        <w:t xml:space="preserve"> </w:t>
      </w:r>
      <w:r w:rsidRPr="007338CE">
        <w:t xml:space="preserve">и </w:t>
      </w:r>
      <w:r>
        <w:t>6,1</w:t>
      </w:r>
      <w:r w:rsidRPr="007338CE">
        <w:rPr>
          <w:rFonts w:eastAsia="Calibri"/>
          <w:b/>
        </w:rPr>
        <w:t> </w:t>
      </w:r>
      <w:r w:rsidRPr="007338CE">
        <w:t xml:space="preserve">млн. лв. за „Български пощи” ЕАД. </w:t>
      </w:r>
      <w:r w:rsidRPr="00744755">
        <w:t xml:space="preserve">Към </w:t>
      </w:r>
      <w:r w:rsidRPr="000860F5">
        <w:t xml:space="preserve">края на месец март </w:t>
      </w:r>
      <w:r w:rsidRPr="000860F5">
        <w:rPr>
          <w:bCs/>
        </w:rPr>
        <w:t>2019</w:t>
      </w:r>
      <w:r w:rsidRPr="000860F5">
        <w:rPr>
          <w:rFonts w:eastAsia="Calibri"/>
          <w:b/>
        </w:rPr>
        <w:t> </w:t>
      </w:r>
      <w:r w:rsidRPr="000860F5">
        <w:rPr>
          <w:bCs/>
        </w:rPr>
        <w:t xml:space="preserve">г. ДФ „Земеделие“ e изплатил субсидии в общ размер на 39,2 млн. лв., от които 3,5 млн. лв. държавна помощ, 34,7 млн. лв. преходна национална помощ </w:t>
      </w:r>
      <w:r w:rsidRPr="00574790">
        <w:rPr>
          <w:bCs/>
        </w:rPr>
        <w:t>за сектор „Животновъдство“ и 0,9 млн. лв. средства за ДДС по схеми „Училищен плод“ и „Училищно мляко</w:t>
      </w:r>
      <w:r w:rsidRPr="00BA1E1E">
        <w:rPr>
          <w:bCs/>
        </w:rPr>
        <w:t xml:space="preserve">“. Капиталовите разходи </w:t>
      </w:r>
      <w:r w:rsidRPr="00BA1E1E">
        <w:t xml:space="preserve">(вкл. нетния прираст на държавния резерв) </w:t>
      </w:r>
      <w:r w:rsidRPr="00BA1E1E">
        <w:rPr>
          <w:bCs/>
        </w:rPr>
        <w:t xml:space="preserve">възлизат на 45,4 млн. лева. </w:t>
      </w:r>
    </w:p>
    <w:p w:rsidR="00E918B7" w:rsidRPr="003D13D8" w:rsidRDefault="00E918B7" w:rsidP="00003489">
      <w:pPr>
        <w:pStyle w:val="BodyTextIndent"/>
        <w:numPr>
          <w:ilvl w:val="1"/>
          <w:numId w:val="14"/>
        </w:numPr>
        <w:tabs>
          <w:tab w:val="clear" w:pos="2160"/>
          <w:tab w:val="num" w:pos="720"/>
          <w:tab w:val="num" w:pos="900"/>
        </w:tabs>
        <w:spacing w:before="120"/>
        <w:ind w:left="720"/>
        <w:jc w:val="both"/>
        <w:rPr>
          <w:b/>
          <w:bCs/>
          <w:color w:val="000000" w:themeColor="text1"/>
        </w:rPr>
      </w:pPr>
      <w:r w:rsidRPr="003D13D8">
        <w:rPr>
          <w:b/>
          <w:color w:val="000000" w:themeColor="text1"/>
        </w:rPr>
        <w:t>Просрочени задължения</w:t>
      </w:r>
    </w:p>
    <w:p w:rsidR="009C721E" w:rsidRPr="003D13D8" w:rsidRDefault="009C721E" w:rsidP="00003489">
      <w:pPr>
        <w:spacing w:after="120"/>
        <w:jc w:val="both"/>
        <w:rPr>
          <w:color w:val="000000" w:themeColor="text1"/>
        </w:rPr>
      </w:pPr>
      <w:r w:rsidRPr="003D13D8">
        <w:rPr>
          <w:color w:val="000000" w:themeColor="text1"/>
        </w:rPr>
        <w:t>Към 3</w:t>
      </w:r>
      <w:r w:rsidR="00542F7E" w:rsidRPr="003D13D8">
        <w:rPr>
          <w:color w:val="000000" w:themeColor="text1"/>
          <w:lang w:val="en-US"/>
        </w:rPr>
        <w:t>1</w:t>
      </w:r>
      <w:r w:rsidRPr="003D13D8">
        <w:rPr>
          <w:color w:val="000000" w:themeColor="text1"/>
        </w:rPr>
        <w:t>.</w:t>
      </w:r>
      <w:r w:rsidR="00542F7E" w:rsidRPr="003D13D8">
        <w:rPr>
          <w:color w:val="000000" w:themeColor="text1"/>
          <w:lang w:val="en-US"/>
        </w:rPr>
        <w:t>03</w:t>
      </w:r>
      <w:r w:rsidRPr="003D13D8">
        <w:rPr>
          <w:color w:val="000000" w:themeColor="text1"/>
        </w:rPr>
        <w:t>.201</w:t>
      </w:r>
      <w:r w:rsidR="00542F7E" w:rsidRPr="003D13D8">
        <w:rPr>
          <w:color w:val="000000" w:themeColor="text1"/>
          <w:lang w:val="en-US"/>
        </w:rPr>
        <w:t>9</w:t>
      </w:r>
      <w:r w:rsidRPr="003D13D8">
        <w:rPr>
          <w:color w:val="000000" w:themeColor="text1"/>
        </w:rPr>
        <w:t xml:space="preserve"> г. просрочените задължения на централно и местно правителство</w:t>
      </w:r>
      <w:r w:rsidR="00927E90" w:rsidRPr="003D13D8">
        <w:rPr>
          <w:color w:val="000000" w:themeColor="text1"/>
        </w:rPr>
        <w:t xml:space="preserve"> и социалноосигурителните фондове</w:t>
      </w:r>
      <w:r w:rsidRPr="003D13D8">
        <w:rPr>
          <w:color w:val="000000" w:themeColor="text1"/>
        </w:rPr>
        <w:t xml:space="preserve"> са в размер на </w:t>
      </w:r>
      <w:r w:rsidR="00A91A56" w:rsidRPr="003D13D8">
        <w:rPr>
          <w:b/>
          <w:color w:val="000000" w:themeColor="text1"/>
        </w:rPr>
        <w:t>3</w:t>
      </w:r>
      <w:r w:rsidR="003D13D8" w:rsidRPr="003D13D8">
        <w:rPr>
          <w:b/>
          <w:color w:val="000000" w:themeColor="text1"/>
        </w:rPr>
        <w:t>03</w:t>
      </w:r>
      <w:r w:rsidR="00967BB9" w:rsidRPr="003D13D8">
        <w:rPr>
          <w:b/>
          <w:color w:val="000000" w:themeColor="text1"/>
        </w:rPr>
        <w:t>,</w:t>
      </w:r>
      <w:r w:rsidR="003D13D8" w:rsidRPr="003D13D8">
        <w:rPr>
          <w:b/>
          <w:color w:val="000000" w:themeColor="text1"/>
        </w:rPr>
        <w:t>3</w:t>
      </w:r>
      <w:r w:rsidRPr="003D13D8">
        <w:rPr>
          <w:b/>
          <w:color w:val="000000" w:themeColor="text1"/>
        </w:rPr>
        <w:t xml:space="preserve"> млн. лева.</w:t>
      </w:r>
      <w:r w:rsidRPr="003D13D8">
        <w:rPr>
          <w:color w:val="000000" w:themeColor="text1"/>
        </w:rPr>
        <w:t xml:space="preserve"> </w:t>
      </w:r>
    </w:p>
    <w:p w:rsidR="009C721E" w:rsidRPr="008D4678" w:rsidRDefault="009C721E" w:rsidP="00927E90">
      <w:pPr>
        <w:spacing w:before="120"/>
        <w:jc w:val="both"/>
        <w:rPr>
          <w:noProof/>
          <w:color w:val="000000" w:themeColor="text1"/>
        </w:rPr>
      </w:pPr>
      <w:r w:rsidRPr="008D4678">
        <w:rPr>
          <w:color w:val="000000" w:themeColor="text1"/>
        </w:rPr>
        <w:t xml:space="preserve">Размерът на просрочените задължения на </w:t>
      </w:r>
      <w:r w:rsidRPr="008D4678">
        <w:rPr>
          <w:b/>
          <w:color w:val="000000" w:themeColor="text1"/>
        </w:rPr>
        <w:t>централно правителство</w:t>
      </w:r>
      <w:r w:rsidRPr="008D4678">
        <w:rPr>
          <w:color w:val="000000" w:themeColor="text1"/>
        </w:rPr>
        <w:t xml:space="preserve"> (министерства, ведомства и разпоредителите с бюджет по чл. 13, ал. 3 и ал. 4 на ЗПФ) е</w:t>
      </w:r>
      <w:r w:rsidRPr="008D4678">
        <w:rPr>
          <w:b/>
          <w:color w:val="000000" w:themeColor="text1"/>
        </w:rPr>
        <w:t xml:space="preserve"> </w:t>
      </w:r>
      <w:r w:rsidR="003D13D8" w:rsidRPr="008D4678">
        <w:rPr>
          <w:b/>
          <w:color w:val="000000" w:themeColor="text1"/>
        </w:rPr>
        <w:t>70</w:t>
      </w:r>
      <w:r w:rsidR="000320C8" w:rsidRPr="008D4678">
        <w:rPr>
          <w:b/>
          <w:color w:val="000000" w:themeColor="text1"/>
        </w:rPr>
        <w:t>,</w:t>
      </w:r>
      <w:r w:rsidR="003D13D8" w:rsidRPr="008D4678">
        <w:rPr>
          <w:b/>
          <w:color w:val="000000" w:themeColor="text1"/>
        </w:rPr>
        <w:t>0</w:t>
      </w:r>
      <w:r w:rsidRPr="008D4678">
        <w:rPr>
          <w:b/>
          <w:color w:val="000000" w:themeColor="text1"/>
        </w:rPr>
        <w:t xml:space="preserve"> млн. лв</w:t>
      </w:r>
      <w:r w:rsidR="00BA1E27" w:rsidRPr="008D4678">
        <w:rPr>
          <w:b/>
          <w:color w:val="000000" w:themeColor="text1"/>
        </w:rPr>
        <w:t>.</w:t>
      </w:r>
      <w:r w:rsidR="000320C8" w:rsidRPr="008D4678">
        <w:rPr>
          <w:b/>
          <w:color w:val="000000" w:themeColor="text1"/>
        </w:rPr>
        <w:t xml:space="preserve">, </w:t>
      </w:r>
      <w:r w:rsidR="000320C8" w:rsidRPr="008D4678">
        <w:rPr>
          <w:color w:val="000000" w:themeColor="text1"/>
        </w:rPr>
        <w:t>като</w:t>
      </w:r>
      <w:r w:rsidR="000320C8" w:rsidRPr="008D4678">
        <w:rPr>
          <w:b/>
          <w:color w:val="000000" w:themeColor="text1"/>
        </w:rPr>
        <w:t xml:space="preserve"> </w:t>
      </w:r>
      <w:r w:rsidR="00BA1E27" w:rsidRPr="008D4678">
        <w:rPr>
          <w:b/>
          <w:color w:val="000000" w:themeColor="text1"/>
        </w:rPr>
        <w:t xml:space="preserve"> </w:t>
      </w:r>
      <w:r w:rsidR="000320C8" w:rsidRPr="008D4678">
        <w:rPr>
          <w:color w:val="000000" w:themeColor="text1"/>
        </w:rPr>
        <w:t xml:space="preserve">спрямо отчетените в </w:t>
      </w:r>
      <w:r w:rsidR="00542F7E" w:rsidRPr="008D4678">
        <w:rPr>
          <w:color w:val="000000" w:themeColor="text1"/>
        </w:rPr>
        <w:t>края на 201</w:t>
      </w:r>
      <w:r w:rsidR="00542F7E" w:rsidRPr="008D4678">
        <w:rPr>
          <w:color w:val="000000" w:themeColor="text1"/>
          <w:lang w:val="en-US"/>
        </w:rPr>
        <w:t>8</w:t>
      </w:r>
      <w:r w:rsidR="00542F7E" w:rsidRPr="008D4678">
        <w:rPr>
          <w:color w:val="000000" w:themeColor="text1"/>
        </w:rPr>
        <w:t xml:space="preserve"> г. </w:t>
      </w:r>
      <w:r w:rsidR="0072166A" w:rsidRPr="008D4678">
        <w:rPr>
          <w:color w:val="000000" w:themeColor="text1"/>
        </w:rPr>
        <w:t>има</w:t>
      </w:r>
      <w:r w:rsidR="000320C8" w:rsidRPr="008D4678">
        <w:rPr>
          <w:color w:val="000000" w:themeColor="text1"/>
        </w:rPr>
        <w:t xml:space="preserve"> нарастване с </w:t>
      </w:r>
      <w:r w:rsidR="008D4678" w:rsidRPr="008D4678">
        <w:rPr>
          <w:color w:val="000000" w:themeColor="text1"/>
        </w:rPr>
        <w:t>14</w:t>
      </w:r>
      <w:r w:rsidR="000320C8" w:rsidRPr="008D4678">
        <w:rPr>
          <w:color w:val="000000" w:themeColor="text1"/>
        </w:rPr>
        <w:t>,</w:t>
      </w:r>
      <w:r w:rsidR="008D4678" w:rsidRPr="008D4678">
        <w:rPr>
          <w:color w:val="000000" w:themeColor="text1"/>
        </w:rPr>
        <w:t>2</w:t>
      </w:r>
      <w:r w:rsidR="000320C8" w:rsidRPr="008D4678">
        <w:rPr>
          <w:color w:val="000000" w:themeColor="text1"/>
        </w:rPr>
        <w:t xml:space="preserve"> млн. лева. </w:t>
      </w:r>
      <w:r w:rsidRPr="008D4678">
        <w:rPr>
          <w:color w:val="000000" w:themeColor="text1"/>
        </w:rPr>
        <w:t xml:space="preserve">В обхвата на държавния бюджет по-значими проблеми с наличие на просрочени задължения съществуват </w:t>
      </w:r>
      <w:r w:rsidRPr="008D4678">
        <w:rPr>
          <w:bCs/>
          <w:color w:val="000000" w:themeColor="text1"/>
        </w:rPr>
        <w:t xml:space="preserve">при няколко министерства, което изисква активни мерки от тези първостепенни разпоредители с бюджет </w:t>
      </w:r>
      <w:r w:rsidRPr="00B417F7">
        <w:rPr>
          <w:bCs/>
          <w:color w:val="000000" w:themeColor="text1"/>
        </w:rPr>
        <w:t>за редуцирането им. С най-значими</w:t>
      </w:r>
      <w:r w:rsidRPr="00B417F7">
        <w:rPr>
          <w:color w:val="000000" w:themeColor="text1"/>
        </w:rPr>
        <w:t xml:space="preserve"> просрочени задължения по държавния бюджет </w:t>
      </w:r>
      <w:r w:rsidR="0067642C" w:rsidRPr="00B417F7">
        <w:rPr>
          <w:color w:val="000000" w:themeColor="text1"/>
        </w:rPr>
        <w:t>са</w:t>
      </w:r>
      <w:r w:rsidR="0067642C" w:rsidRPr="00B417F7">
        <w:rPr>
          <w:color w:val="000000" w:themeColor="text1"/>
          <w:lang w:val="en-US"/>
        </w:rPr>
        <w:t xml:space="preserve">: </w:t>
      </w:r>
      <w:r w:rsidR="0090737E" w:rsidRPr="00B417F7">
        <w:rPr>
          <w:color w:val="000000" w:themeColor="text1"/>
        </w:rPr>
        <w:t>Министерски съвет</w:t>
      </w:r>
      <w:r w:rsidRPr="00B417F7">
        <w:rPr>
          <w:color w:val="000000" w:themeColor="text1"/>
        </w:rPr>
        <w:t xml:space="preserve"> - </w:t>
      </w:r>
      <w:r w:rsidR="008D4678" w:rsidRPr="00B417F7">
        <w:rPr>
          <w:bCs/>
          <w:noProof/>
          <w:color w:val="000000" w:themeColor="text1"/>
        </w:rPr>
        <w:t>19,6</w:t>
      </w:r>
      <w:r w:rsidRPr="00B417F7">
        <w:rPr>
          <w:noProof/>
          <w:color w:val="000000" w:themeColor="text1"/>
        </w:rPr>
        <w:t xml:space="preserve"> млн. лв. (</w:t>
      </w:r>
      <w:r w:rsidR="0090737E" w:rsidRPr="00B417F7">
        <w:rPr>
          <w:noProof/>
          <w:color w:val="000000" w:themeColor="text1"/>
        </w:rPr>
        <w:t>увеличение</w:t>
      </w:r>
      <w:r w:rsidRPr="00B417F7">
        <w:rPr>
          <w:noProof/>
          <w:color w:val="000000" w:themeColor="text1"/>
        </w:rPr>
        <w:t xml:space="preserve"> с </w:t>
      </w:r>
      <w:r w:rsidR="008D4678" w:rsidRPr="00B417F7">
        <w:rPr>
          <w:noProof/>
          <w:color w:val="000000" w:themeColor="text1"/>
        </w:rPr>
        <w:t>4</w:t>
      </w:r>
      <w:r w:rsidR="0090737E" w:rsidRPr="00B417F7">
        <w:rPr>
          <w:noProof/>
          <w:color w:val="000000" w:themeColor="text1"/>
        </w:rPr>
        <w:t>,</w:t>
      </w:r>
      <w:r w:rsidR="00055DD1" w:rsidRPr="00B417F7">
        <w:rPr>
          <w:noProof/>
          <w:color w:val="000000" w:themeColor="text1"/>
        </w:rPr>
        <w:t>8</w:t>
      </w:r>
      <w:r w:rsidRPr="00B417F7">
        <w:rPr>
          <w:noProof/>
          <w:color w:val="000000" w:themeColor="text1"/>
        </w:rPr>
        <w:t xml:space="preserve"> млн. лв. </w:t>
      </w:r>
      <w:r w:rsidRPr="00B417F7">
        <w:rPr>
          <w:color w:val="000000" w:themeColor="text1"/>
        </w:rPr>
        <w:t xml:space="preserve">спрямо </w:t>
      </w:r>
      <w:r w:rsidR="008D3DDA" w:rsidRPr="00B417F7">
        <w:rPr>
          <w:color w:val="000000" w:themeColor="text1"/>
        </w:rPr>
        <w:t>отчетените в края на 201</w:t>
      </w:r>
      <w:r w:rsidR="008D3DDA" w:rsidRPr="00B417F7">
        <w:rPr>
          <w:color w:val="000000" w:themeColor="text1"/>
          <w:lang w:val="en-US"/>
        </w:rPr>
        <w:t>8</w:t>
      </w:r>
      <w:r w:rsidR="008D3DDA" w:rsidRPr="00B417F7">
        <w:rPr>
          <w:color w:val="000000" w:themeColor="text1"/>
        </w:rPr>
        <w:t xml:space="preserve"> г.</w:t>
      </w:r>
      <w:r w:rsidR="0090737E" w:rsidRPr="00B417F7">
        <w:rPr>
          <w:noProof/>
          <w:color w:val="000000" w:themeColor="text1"/>
        </w:rPr>
        <w:t>)</w:t>
      </w:r>
      <w:r w:rsidR="008D196A" w:rsidRPr="00B417F7">
        <w:rPr>
          <w:noProof/>
          <w:color w:val="000000" w:themeColor="text1"/>
        </w:rPr>
        <w:t>,</w:t>
      </w:r>
      <w:r w:rsidR="008D196A" w:rsidRPr="00B417F7">
        <w:rPr>
          <w:lang w:eastAsia="bg-BG"/>
        </w:rPr>
        <w:t xml:space="preserve"> </w:t>
      </w:r>
      <w:r w:rsidR="008D196A" w:rsidRPr="00B417F7">
        <w:rPr>
          <w:noProof/>
          <w:color w:val="000000" w:themeColor="text1"/>
        </w:rPr>
        <w:t xml:space="preserve">от които </w:t>
      </w:r>
      <w:r w:rsidR="00651FFE" w:rsidRPr="00B417F7">
        <w:rPr>
          <w:noProof/>
          <w:color w:val="000000" w:themeColor="text1"/>
          <w:lang w:val="en-US"/>
        </w:rPr>
        <w:t>19</w:t>
      </w:r>
      <w:r w:rsidR="00651FFE" w:rsidRPr="00B417F7">
        <w:rPr>
          <w:noProof/>
          <w:color w:val="000000" w:themeColor="text1"/>
        </w:rPr>
        <w:t xml:space="preserve">,3 млн. лв. </w:t>
      </w:r>
      <w:r w:rsidR="008D196A" w:rsidRPr="00B417F7">
        <w:rPr>
          <w:noProof/>
          <w:color w:val="000000" w:themeColor="text1"/>
        </w:rPr>
        <w:t>са на Болница „Лозенец”</w:t>
      </w:r>
      <w:r w:rsidR="0067642C" w:rsidRPr="00B417F7">
        <w:rPr>
          <w:noProof/>
          <w:color w:val="000000" w:themeColor="text1"/>
          <w:lang w:val="en-US"/>
        </w:rPr>
        <w:t xml:space="preserve">; </w:t>
      </w:r>
      <w:r w:rsidR="0067642C" w:rsidRPr="00B417F7">
        <w:rPr>
          <w:noProof/>
          <w:color w:val="000000" w:themeColor="text1"/>
        </w:rPr>
        <w:t>Министерство на земеделието</w:t>
      </w:r>
      <w:r w:rsidR="00971C40" w:rsidRPr="00B417F7">
        <w:rPr>
          <w:noProof/>
          <w:color w:val="000000" w:themeColor="text1"/>
        </w:rPr>
        <w:t>,</w:t>
      </w:r>
      <w:r w:rsidR="00971C40" w:rsidRPr="008D4678">
        <w:rPr>
          <w:noProof/>
          <w:color w:val="000000" w:themeColor="text1"/>
        </w:rPr>
        <w:t xml:space="preserve"> </w:t>
      </w:r>
      <w:r w:rsidR="0067642C" w:rsidRPr="008D4678">
        <w:rPr>
          <w:noProof/>
          <w:color w:val="000000" w:themeColor="text1"/>
        </w:rPr>
        <w:t>храните</w:t>
      </w:r>
      <w:r w:rsidR="00971C40" w:rsidRPr="008D4678">
        <w:rPr>
          <w:noProof/>
          <w:color w:val="000000" w:themeColor="text1"/>
        </w:rPr>
        <w:t xml:space="preserve"> и горите</w:t>
      </w:r>
      <w:r w:rsidR="0067642C" w:rsidRPr="008D4678">
        <w:rPr>
          <w:noProof/>
          <w:color w:val="000000" w:themeColor="text1"/>
        </w:rPr>
        <w:t xml:space="preserve"> (просрочията са 1</w:t>
      </w:r>
      <w:r w:rsidR="008D4678" w:rsidRPr="008D4678">
        <w:rPr>
          <w:noProof/>
          <w:color w:val="000000" w:themeColor="text1"/>
        </w:rPr>
        <w:t>1</w:t>
      </w:r>
      <w:r w:rsidR="0067642C" w:rsidRPr="008D4678">
        <w:rPr>
          <w:noProof/>
          <w:color w:val="000000" w:themeColor="text1"/>
        </w:rPr>
        <w:t>,</w:t>
      </w:r>
      <w:r w:rsidR="008D4678" w:rsidRPr="008D4678">
        <w:rPr>
          <w:noProof/>
          <w:color w:val="000000" w:themeColor="text1"/>
        </w:rPr>
        <w:t>9</w:t>
      </w:r>
      <w:r w:rsidR="0067642C" w:rsidRPr="008D4678">
        <w:rPr>
          <w:noProof/>
          <w:color w:val="000000" w:themeColor="text1"/>
        </w:rPr>
        <w:t xml:space="preserve"> млн. лв. и са </w:t>
      </w:r>
      <w:r w:rsidR="00F860D8" w:rsidRPr="008D4678">
        <w:rPr>
          <w:noProof/>
          <w:color w:val="000000" w:themeColor="text1"/>
        </w:rPr>
        <w:t>на</w:t>
      </w:r>
      <w:r w:rsidR="00011383" w:rsidRPr="008D4678">
        <w:rPr>
          <w:noProof/>
          <w:color w:val="000000" w:themeColor="text1"/>
        </w:rPr>
        <w:t>раснали</w:t>
      </w:r>
      <w:r w:rsidR="008D4678">
        <w:rPr>
          <w:noProof/>
          <w:color w:val="000000" w:themeColor="text1"/>
        </w:rPr>
        <w:t xml:space="preserve"> минимално</w:t>
      </w:r>
      <w:r w:rsidR="0067642C" w:rsidRPr="008D4678">
        <w:rPr>
          <w:noProof/>
          <w:color w:val="000000" w:themeColor="text1"/>
        </w:rPr>
        <w:t xml:space="preserve"> с </w:t>
      </w:r>
      <w:r w:rsidR="008D4678" w:rsidRPr="008D4678">
        <w:rPr>
          <w:noProof/>
          <w:color w:val="000000" w:themeColor="text1"/>
        </w:rPr>
        <w:t>0</w:t>
      </w:r>
      <w:r w:rsidR="0067642C" w:rsidRPr="008D4678">
        <w:rPr>
          <w:noProof/>
          <w:color w:val="000000" w:themeColor="text1"/>
        </w:rPr>
        <w:t>,</w:t>
      </w:r>
      <w:r w:rsidR="008D4678" w:rsidRPr="008D4678">
        <w:rPr>
          <w:noProof/>
          <w:color w:val="000000" w:themeColor="text1"/>
        </w:rPr>
        <w:t>4</w:t>
      </w:r>
      <w:r w:rsidR="0067642C" w:rsidRPr="008D4678">
        <w:rPr>
          <w:noProof/>
          <w:color w:val="000000" w:themeColor="text1"/>
        </w:rPr>
        <w:t xml:space="preserve"> млн. лв. спрямо </w:t>
      </w:r>
      <w:r w:rsidR="002642FC" w:rsidRPr="008D4678">
        <w:rPr>
          <w:color w:val="000000" w:themeColor="text1"/>
        </w:rPr>
        <w:t>отчетените в края на 201</w:t>
      </w:r>
      <w:r w:rsidR="002642FC" w:rsidRPr="008D4678">
        <w:rPr>
          <w:color w:val="000000" w:themeColor="text1"/>
          <w:lang w:val="en-US"/>
        </w:rPr>
        <w:t>8</w:t>
      </w:r>
      <w:r w:rsidR="002642FC" w:rsidRPr="008D4678">
        <w:rPr>
          <w:color w:val="000000" w:themeColor="text1"/>
        </w:rPr>
        <w:t xml:space="preserve"> г.</w:t>
      </w:r>
      <w:r w:rsidR="0067642C" w:rsidRPr="008D4678">
        <w:rPr>
          <w:noProof/>
          <w:color w:val="000000" w:themeColor="text1"/>
        </w:rPr>
        <w:t xml:space="preserve">) </w:t>
      </w:r>
      <w:r w:rsidRPr="008D4678">
        <w:rPr>
          <w:noProof/>
          <w:color w:val="000000" w:themeColor="text1"/>
        </w:rPr>
        <w:t xml:space="preserve">и други. От разпоредителите с бюджет по чл. 13, ал. 3 на Закона за публичните финанси проблеми с наличието на просрочени задължения имат </w:t>
      </w:r>
      <w:r w:rsidR="003748CB" w:rsidRPr="008D4678">
        <w:rPr>
          <w:noProof/>
          <w:color w:val="000000" w:themeColor="text1"/>
        </w:rPr>
        <w:t xml:space="preserve">основно </w:t>
      </w:r>
      <w:r w:rsidR="0076230C" w:rsidRPr="008D4678">
        <w:rPr>
          <w:noProof/>
          <w:color w:val="000000" w:themeColor="text1"/>
        </w:rPr>
        <w:t>държавните висши училища (</w:t>
      </w:r>
      <w:r w:rsidR="00B9621C" w:rsidRPr="008D4678">
        <w:rPr>
          <w:noProof/>
          <w:color w:val="000000" w:themeColor="text1"/>
        </w:rPr>
        <w:t>8</w:t>
      </w:r>
      <w:r w:rsidR="0076230C" w:rsidRPr="008D4678">
        <w:rPr>
          <w:noProof/>
          <w:color w:val="000000" w:themeColor="text1"/>
        </w:rPr>
        <w:t>,</w:t>
      </w:r>
      <w:r w:rsidR="008D4678" w:rsidRPr="008D4678">
        <w:rPr>
          <w:noProof/>
          <w:color w:val="000000" w:themeColor="text1"/>
        </w:rPr>
        <w:t>4</w:t>
      </w:r>
      <w:r w:rsidR="000215BD" w:rsidRPr="008D4678">
        <w:rPr>
          <w:noProof/>
          <w:color w:val="000000" w:themeColor="text1"/>
        </w:rPr>
        <w:t xml:space="preserve"> млн.</w:t>
      </w:r>
      <w:r w:rsidR="00C74DAC" w:rsidRPr="008D4678">
        <w:rPr>
          <w:noProof/>
          <w:color w:val="000000" w:themeColor="text1"/>
        </w:rPr>
        <w:t> </w:t>
      </w:r>
      <w:r w:rsidR="000215BD" w:rsidRPr="008D4678">
        <w:rPr>
          <w:noProof/>
          <w:color w:val="000000" w:themeColor="text1"/>
        </w:rPr>
        <w:t xml:space="preserve">лв.) и </w:t>
      </w:r>
      <w:r w:rsidR="00911B8C" w:rsidRPr="008D4678">
        <w:rPr>
          <w:noProof/>
          <w:color w:val="000000" w:themeColor="text1"/>
        </w:rPr>
        <w:t>Българската национална телевизия (</w:t>
      </w:r>
      <w:r w:rsidR="008D4678" w:rsidRPr="008D4678">
        <w:rPr>
          <w:noProof/>
          <w:color w:val="000000" w:themeColor="text1"/>
        </w:rPr>
        <w:t>21</w:t>
      </w:r>
      <w:r w:rsidR="000215BD" w:rsidRPr="008D4678">
        <w:rPr>
          <w:noProof/>
          <w:color w:val="000000" w:themeColor="text1"/>
        </w:rPr>
        <w:t>,</w:t>
      </w:r>
      <w:r w:rsidR="008D4678" w:rsidRPr="008D4678">
        <w:rPr>
          <w:noProof/>
          <w:color w:val="000000" w:themeColor="text1"/>
        </w:rPr>
        <w:t>9</w:t>
      </w:r>
      <w:r w:rsidR="00911B8C" w:rsidRPr="008D4678">
        <w:rPr>
          <w:noProof/>
          <w:color w:val="000000" w:themeColor="text1"/>
        </w:rPr>
        <w:t xml:space="preserve"> млн. лв.)</w:t>
      </w:r>
      <w:r w:rsidR="000215BD" w:rsidRPr="008D4678">
        <w:rPr>
          <w:noProof/>
          <w:color w:val="000000" w:themeColor="text1"/>
        </w:rPr>
        <w:t>.</w:t>
      </w:r>
    </w:p>
    <w:p w:rsidR="00927E90" w:rsidRPr="008D4678" w:rsidRDefault="00927E90" w:rsidP="00927E90">
      <w:pPr>
        <w:spacing w:before="120"/>
        <w:jc w:val="both"/>
        <w:rPr>
          <w:color w:val="000000" w:themeColor="text1"/>
        </w:rPr>
      </w:pPr>
      <w:r w:rsidRPr="008D4678">
        <w:rPr>
          <w:color w:val="000000" w:themeColor="text1"/>
        </w:rPr>
        <w:t xml:space="preserve">Просрочените задължения на </w:t>
      </w:r>
      <w:r w:rsidRPr="008D4678">
        <w:rPr>
          <w:b/>
          <w:color w:val="000000" w:themeColor="text1"/>
        </w:rPr>
        <w:t>НЗОК</w:t>
      </w:r>
      <w:r w:rsidRPr="008D4678">
        <w:rPr>
          <w:color w:val="000000" w:themeColor="text1"/>
        </w:rPr>
        <w:t xml:space="preserve"> </w:t>
      </w:r>
      <w:r w:rsidR="00F66A6E" w:rsidRPr="008D4678">
        <w:rPr>
          <w:color w:val="000000" w:themeColor="text1"/>
        </w:rPr>
        <w:t>към 3</w:t>
      </w:r>
      <w:r w:rsidR="008D4678" w:rsidRPr="008D4678">
        <w:rPr>
          <w:color w:val="000000" w:themeColor="text1"/>
        </w:rPr>
        <w:t>1</w:t>
      </w:r>
      <w:r w:rsidR="00F66A6E" w:rsidRPr="008D4678">
        <w:rPr>
          <w:color w:val="000000" w:themeColor="text1"/>
        </w:rPr>
        <w:t>.0</w:t>
      </w:r>
      <w:r w:rsidR="008D4678" w:rsidRPr="008D4678">
        <w:rPr>
          <w:color w:val="000000" w:themeColor="text1"/>
        </w:rPr>
        <w:t>3</w:t>
      </w:r>
      <w:r w:rsidR="00F66A6E" w:rsidRPr="008D4678">
        <w:rPr>
          <w:color w:val="000000" w:themeColor="text1"/>
        </w:rPr>
        <w:t>.</w:t>
      </w:r>
      <w:r w:rsidR="00D756D2" w:rsidRPr="008D4678">
        <w:rPr>
          <w:color w:val="000000" w:themeColor="text1"/>
        </w:rPr>
        <w:t>201</w:t>
      </w:r>
      <w:r w:rsidR="008D4678" w:rsidRPr="008D4678">
        <w:rPr>
          <w:color w:val="000000" w:themeColor="text1"/>
        </w:rPr>
        <w:t>9</w:t>
      </w:r>
      <w:r w:rsidR="00D756D2" w:rsidRPr="008D4678">
        <w:rPr>
          <w:color w:val="000000" w:themeColor="text1"/>
        </w:rPr>
        <w:t xml:space="preserve"> г. </w:t>
      </w:r>
      <w:r w:rsidRPr="008D4678">
        <w:rPr>
          <w:color w:val="000000" w:themeColor="text1"/>
        </w:rPr>
        <w:t xml:space="preserve">са в размер на </w:t>
      </w:r>
      <w:r w:rsidR="00367850" w:rsidRPr="008D4678">
        <w:rPr>
          <w:b/>
          <w:color w:val="000000" w:themeColor="text1"/>
        </w:rPr>
        <w:t>12</w:t>
      </w:r>
      <w:r w:rsidR="008D4678" w:rsidRPr="008D4678">
        <w:rPr>
          <w:b/>
          <w:color w:val="000000" w:themeColor="text1"/>
        </w:rPr>
        <w:t>2</w:t>
      </w:r>
      <w:r w:rsidRPr="008D4678">
        <w:rPr>
          <w:b/>
          <w:color w:val="000000" w:themeColor="text1"/>
        </w:rPr>
        <w:t>,</w:t>
      </w:r>
      <w:r w:rsidR="008D4678" w:rsidRPr="008D4678">
        <w:rPr>
          <w:b/>
          <w:color w:val="000000" w:themeColor="text1"/>
        </w:rPr>
        <w:t>3</w:t>
      </w:r>
      <w:r w:rsidRPr="008D4678">
        <w:rPr>
          <w:b/>
          <w:color w:val="000000" w:themeColor="text1"/>
        </w:rPr>
        <w:t xml:space="preserve"> млн. лв.</w:t>
      </w:r>
      <w:r w:rsidRPr="008D4678">
        <w:rPr>
          <w:color w:val="000000" w:themeColor="text1"/>
        </w:rPr>
        <w:t xml:space="preserve">, като се отчита </w:t>
      </w:r>
      <w:r w:rsidR="008D4678" w:rsidRPr="008D4678">
        <w:rPr>
          <w:color w:val="000000" w:themeColor="text1"/>
        </w:rPr>
        <w:t>намаление</w:t>
      </w:r>
      <w:r w:rsidRPr="008D4678">
        <w:rPr>
          <w:color w:val="000000" w:themeColor="text1"/>
        </w:rPr>
        <w:t xml:space="preserve"> с </w:t>
      </w:r>
      <w:r w:rsidR="008D4678" w:rsidRPr="008D4678">
        <w:rPr>
          <w:color w:val="000000" w:themeColor="text1"/>
        </w:rPr>
        <w:t>13</w:t>
      </w:r>
      <w:r w:rsidRPr="008D4678">
        <w:rPr>
          <w:color w:val="000000" w:themeColor="text1"/>
        </w:rPr>
        <w:t>,</w:t>
      </w:r>
      <w:r w:rsidR="008D4678" w:rsidRPr="008D4678">
        <w:rPr>
          <w:color w:val="000000" w:themeColor="text1"/>
        </w:rPr>
        <w:t>0</w:t>
      </w:r>
      <w:r w:rsidRPr="008D4678">
        <w:rPr>
          <w:color w:val="000000" w:themeColor="text1"/>
        </w:rPr>
        <w:t xml:space="preserve"> млн. лв. спрямо края на</w:t>
      </w:r>
      <w:r w:rsidR="00011383" w:rsidRPr="008D4678">
        <w:rPr>
          <w:color w:val="000000" w:themeColor="text1"/>
        </w:rPr>
        <w:t xml:space="preserve"> </w:t>
      </w:r>
      <w:r w:rsidRPr="008D4678">
        <w:rPr>
          <w:color w:val="000000" w:themeColor="text1"/>
        </w:rPr>
        <w:t>201</w:t>
      </w:r>
      <w:r w:rsidR="00011383" w:rsidRPr="008D4678">
        <w:rPr>
          <w:color w:val="000000" w:themeColor="text1"/>
        </w:rPr>
        <w:t>8</w:t>
      </w:r>
      <w:r w:rsidRPr="008D4678">
        <w:rPr>
          <w:color w:val="000000" w:themeColor="text1"/>
        </w:rPr>
        <w:t xml:space="preserve"> година.</w:t>
      </w:r>
    </w:p>
    <w:p w:rsidR="009C721E" w:rsidRPr="000613BA" w:rsidRDefault="009C721E" w:rsidP="009C721E">
      <w:pPr>
        <w:ind w:firstLine="567"/>
        <w:jc w:val="both"/>
        <w:rPr>
          <w:bCs/>
          <w:color w:val="0070C0"/>
          <w:sz w:val="6"/>
          <w:szCs w:val="12"/>
        </w:rPr>
      </w:pPr>
    </w:p>
    <w:p w:rsidR="00BB059C" w:rsidRPr="00515C6E" w:rsidRDefault="009C721E" w:rsidP="002D2DC4">
      <w:pPr>
        <w:spacing w:after="120"/>
        <w:jc w:val="both"/>
        <w:rPr>
          <w:noProof/>
          <w:color w:val="000000" w:themeColor="text1"/>
        </w:rPr>
      </w:pPr>
      <w:r w:rsidRPr="008D4678">
        <w:rPr>
          <w:noProof/>
          <w:color w:val="000000" w:themeColor="text1"/>
          <w:lang w:val="en-US"/>
        </w:rPr>
        <w:t xml:space="preserve">Просрочените задължения по </w:t>
      </w:r>
      <w:r w:rsidRPr="008D4678">
        <w:rPr>
          <w:b/>
          <w:noProof/>
          <w:color w:val="000000" w:themeColor="text1"/>
        </w:rPr>
        <w:t>бюджетите на общините</w:t>
      </w:r>
      <w:r w:rsidRPr="008D4678">
        <w:rPr>
          <w:noProof/>
          <w:color w:val="000000" w:themeColor="text1"/>
          <w:lang w:val="en-US"/>
        </w:rPr>
        <w:t xml:space="preserve"> </w:t>
      </w:r>
      <w:r w:rsidR="007C1790" w:rsidRPr="008D4678">
        <w:rPr>
          <w:noProof/>
          <w:color w:val="000000" w:themeColor="text1"/>
        </w:rPr>
        <w:t>към 3</w:t>
      </w:r>
      <w:r w:rsidR="008D4678" w:rsidRPr="008D4678">
        <w:rPr>
          <w:noProof/>
          <w:color w:val="000000" w:themeColor="text1"/>
        </w:rPr>
        <w:t>1</w:t>
      </w:r>
      <w:r w:rsidR="007C1790" w:rsidRPr="008D4678">
        <w:rPr>
          <w:noProof/>
          <w:color w:val="000000" w:themeColor="text1"/>
        </w:rPr>
        <w:t>.0</w:t>
      </w:r>
      <w:r w:rsidR="008D4678" w:rsidRPr="008D4678">
        <w:rPr>
          <w:noProof/>
          <w:color w:val="000000" w:themeColor="text1"/>
        </w:rPr>
        <w:t>3</w:t>
      </w:r>
      <w:r w:rsidR="007C1790" w:rsidRPr="008D4678">
        <w:rPr>
          <w:noProof/>
          <w:color w:val="000000" w:themeColor="text1"/>
        </w:rPr>
        <w:t>.201</w:t>
      </w:r>
      <w:r w:rsidR="008D4678" w:rsidRPr="008D4678">
        <w:rPr>
          <w:noProof/>
          <w:color w:val="000000" w:themeColor="text1"/>
        </w:rPr>
        <w:t>9</w:t>
      </w:r>
      <w:r w:rsidR="007C1790" w:rsidRPr="008D4678">
        <w:rPr>
          <w:noProof/>
          <w:color w:val="000000" w:themeColor="text1"/>
        </w:rPr>
        <w:t xml:space="preserve"> г. </w:t>
      </w:r>
      <w:r w:rsidRPr="008D4678">
        <w:rPr>
          <w:noProof/>
          <w:color w:val="000000" w:themeColor="text1"/>
          <w:lang w:val="en-US"/>
        </w:rPr>
        <w:t xml:space="preserve">са в размер на </w:t>
      </w:r>
      <w:r w:rsidR="00B03D11" w:rsidRPr="008D4678">
        <w:rPr>
          <w:b/>
          <w:noProof/>
          <w:color w:val="000000" w:themeColor="text1"/>
        </w:rPr>
        <w:t>1</w:t>
      </w:r>
      <w:r w:rsidR="008D4678" w:rsidRPr="008D4678">
        <w:rPr>
          <w:b/>
          <w:noProof/>
          <w:color w:val="000000" w:themeColor="text1"/>
        </w:rPr>
        <w:t>11</w:t>
      </w:r>
      <w:r w:rsidR="00B03D11" w:rsidRPr="008D4678">
        <w:rPr>
          <w:b/>
          <w:noProof/>
          <w:color w:val="000000" w:themeColor="text1"/>
        </w:rPr>
        <w:t>,</w:t>
      </w:r>
      <w:r w:rsidR="008D4678" w:rsidRPr="008D4678">
        <w:rPr>
          <w:b/>
          <w:noProof/>
          <w:color w:val="000000" w:themeColor="text1"/>
        </w:rPr>
        <w:t>0</w:t>
      </w:r>
      <w:r w:rsidRPr="008D4678">
        <w:rPr>
          <w:b/>
          <w:noProof/>
          <w:color w:val="000000" w:themeColor="text1"/>
          <w:lang w:val="en-US"/>
        </w:rPr>
        <w:t xml:space="preserve"> млн. лв.,</w:t>
      </w:r>
      <w:r w:rsidR="00BB059C" w:rsidRPr="008D4678">
        <w:rPr>
          <w:noProof/>
          <w:color w:val="000000" w:themeColor="text1"/>
          <w:lang w:val="en-US"/>
        </w:rPr>
        <w:t xml:space="preserve"> като спрямо </w:t>
      </w:r>
      <w:r w:rsidR="00466E1F" w:rsidRPr="008D4678">
        <w:rPr>
          <w:noProof/>
          <w:color w:val="000000" w:themeColor="text1"/>
        </w:rPr>
        <w:t>края</w:t>
      </w:r>
      <w:r w:rsidR="00011383" w:rsidRPr="008D4678">
        <w:rPr>
          <w:noProof/>
          <w:color w:val="000000" w:themeColor="text1"/>
        </w:rPr>
        <w:t xml:space="preserve"> </w:t>
      </w:r>
      <w:r w:rsidR="00E86555" w:rsidRPr="008D4678">
        <w:rPr>
          <w:noProof/>
          <w:color w:val="000000" w:themeColor="text1"/>
        </w:rPr>
        <w:t xml:space="preserve">на </w:t>
      </w:r>
      <w:r w:rsidR="00BB059C" w:rsidRPr="008D4678">
        <w:rPr>
          <w:noProof/>
          <w:color w:val="000000" w:themeColor="text1"/>
          <w:lang w:val="en-US"/>
        </w:rPr>
        <w:t>201</w:t>
      </w:r>
      <w:r w:rsidR="00466E1F" w:rsidRPr="008D4678">
        <w:rPr>
          <w:noProof/>
          <w:color w:val="000000" w:themeColor="text1"/>
        </w:rPr>
        <w:t>8</w:t>
      </w:r>
      <w:r w:rsidR="00BB059C" w:rsidRPr="008D4678">
        <w:rPr>
          <w:noProof/>
          <w:color w:val="000000" w:themeColor="text1"/>
          <w:lang w:val="en-US"/>
        </w:rPr>
        <w:t xml:space="preserve"> г. се отчита </w:t>
      </w:r>
      <w:r w:rsidR="00753B48" w:rsidRPr="008D4678">
        <w:rPr>
          <w:noProof/>
          <w:color w:val="000000" w:themeColor="text1"/>
        </w:rPr>
        <w:t>намаление от</w:t>
      </w:r>
      <w:r w:rsidR="00BB059C" w:rsidRPr="008D4678">
        <w:rPr>
          <w:noProof/>
          <w:color w:val="000000" w:themeColor="text1"/>
          <w:lang w:val="en-US"/>
        </w:rPr>
        <w:t xml:space="preserve"> </w:t>
      </w:r>
      <w:r w:rsidR="00367850" w:rsidRPr="008D4678">
        <w:rPr>
          <w:noProof/>
          <w:color w:val="000000" w:themeColor="text1"/>
        </w:rPr>
        <w:t>1</w:t>
      </w:r>
      <w:r w:rsidR="008D4678" w:rsidRPr="008D4678">
        <w:rPr>
          <w:noProof/>
          <w:color w:val="000000" w:themeColor="text1"/>
        </w:rPr>
        <w:t>1</w:t>
      </w:r>
      <w:r w:rsidR="002C2CAC" w:rsidRPr="008D4678">
        <w:rPr>
          <w:noProof/>
          <w:color w:val="000000" w:themeColor="text1"/>
          <w:lang w:val="en-US"/>
        </w:rPr>
        <w:t>,</w:t>
      </w:r>
      <w:r w:rsidR="008D4678" w:rsidRPr="008D4678">
        <w:rPr>
          <w:noProof/>
          <w:color w:val="000000" w:themeColor="text1"/>
        </w:rPr>
        <w:t>2</w:t>
      </w:r>
      <w:r w:rsidR="00BB059C" w:rsidRPr="008D4678">
        <w:rPr>
          <w:noProof/>
          <w:color w:val="000000" w:themeColor="text1"/>
          <w:lang w:val="en-US"/>
        </w:rPr>
        <w:t xml:space="preserve"> млн. лева. </w:t>
      </w:r>
      <w:r w:rsidR="00BB059C" w:rsidRPr="00515C6E">
        <w:rPr>
          <w:noProof/>
          <w:color w:val="000000" w:themeColor="text1"/>
          <w:lang w:val="en-US"/>
        </w:rPr>
        <w:t xml:space="preserve">В делегираните от държавата дейности просрочените задължения са в размер на </w:t>
      </w:r>
      <w:r w:rsidR="005C3FEE" w:rsidRPr="00515C6E">
        <w:rPr>
          <w:noProof/>
          <w:color w:val="000000" w:themeColor="text1"/>
        </w:rPr>
        <w:t>3,</w:t>
      </w:r>
      <w:r w:rsidR="00011383" w:rsidRPr="00515C6E">
        <w:rPr>
          <w:noProof/>
          <w:color w:val="000000" w:themeColor="text1"/>
        </w:rPr>
        <w:t>1</w:t>
      </w:r>
      <w:r w:rsidR="00BB059C" w:rsidRPr="00515C6E">
        <w:rPr>
          <w:noProof/>
          <w:color w:val="000000" w:themeColor="text1"/>
          <w:lang w:val="en-US"/>
        </w:rPr>
        <w:t xml:space="preserve"> млн. лева. С най-голям относителен дял в просрочените задължения по бюджета на общините </w:t>
      </w:r>
      <w:r w:rsidR="00515C6E" w:rsidRPr="00515C6E">
        <w:rPr>
          <w:noProof/>
          <w:color w:val="000000" w:themeColor="text1"/>
        </w:rPr>
        <w:t xml:space="preserve">към края на месец март 2019 г. </w:t>
      </w:r>
      <w:r w:rsidR="00BB059C" w:rsidRPr="00515C6E">
        <w:rPr>
          <w:noProof/>
          <w:color w:val="000000" w:themeColor="text1"/>
          <w:lang w:val="en-US"/>
        </w:rPr>
        <w:t xml:space="preserve">са </w:t>
      </w:r>
      <w:r w:rsidR="00BB059C" w:rsidRPr="00515C6E">
        <w:rPr>
          <w:noProof/>
          <w:color w:val="000000" w:themeColor="text1"/>
        </w:rPr>
        <w:t xml:space="preserve">просрочените задължения към доставчици, </w:t>
      </w:r>
      <w:r w:rsidR="00E86555" w:rsidRPr="00515C6E">
        <w:rPr>
          <w:noProof/>
          <w:color w:val="000000" w:themeColor="text1"/>
        </w:rPr>
        <w:t xml:space="preserve">които са </w:t>
      </w:r>
      <w:r w:rsidR="00BB059C" w:rsidRPr="00515C6E">
        <w:rPr>
          <w:noProof/>
          <w:color w:val="000000" w:themeColor="text1"/>
        </w:rPr>
        <w:t xml:space="preserve">в размер на </w:t>
      </w:r>
      <w:r w:rsidR="00515C6E" w:rsidRPr="00515C6E">
        <w:rPr>
          <w:noProof/>
          <w:color w:val="000000" w:themeColor="text1"/>
        </w:rPr>
        <w:t>92</w:t>
      </w:r>
      <w:r w:rsidR="00C9048F" w:rsidRPr="00515C6E">
        <w:rPr>
          <w:noProof/>
          <w:color w:val="000000" w:themeColor="text1"/>
        </w:rPr>
        <w:t>,</w:t>
      </w:r>
      <w:r w:rsidR="00515C6E" w:rsidRPr="00515C6E">
        <w:rPr>
          <w:noProof/>
          <w:color w:val="000000" w:themeColor="text1"/>
        </w:rPr>
        <w:t>4</w:t>
      </w:r>
      <w:r w:rsidR="00BB059C" w:rsidRPr="00515C6E">
        <w:rPr>
          <w:noProof/>
          <w:color w:val="000000" w:themeColor="text1"/>
        </w:rPr>
        <w:t xml:space="preserve"> млн. лева.</w:t>
      </w:r>
    </w:p>
    <w:p w:rsidR="009039C4" w:rsidRPr="009039C4" w:rsidRDefault="00D4646A" w:rsidP="009039C4">
      <w:pPr>
        <w:spacing w:after="120"/>
        <w:jc w:val="both"/>
        <w:rPr>
          <w:noProof/>
          <w:lang w:val="en-US"/>
        </w:rPr>
      </w:pPr>
      <w:r w:rsidRPr="009D1FAB">
        <w:rPr>
          <w:noProof/>
        </w:rPr>
        <w:t>Извън обхвата на консолидираната фискална програма, сериозен продължава да бъде</w:t>
      </w:r>
      <w:r w:rsidRPr="009D1FAB">
        <w:t xml:space="preserve"> проблемът с просрочията на лечебните заведения за болнична помощ (държавни и общински </w:t>
      </w:r>
      <w:r w:rsidRPr="009039C4">
        <w:t xml:space="preserve">болници – търговски дружества). </w:t>
      </w:r>
      <w:r w:rsidR="009039C4" w:rsidRPr="009039C4">
        <w:t>Към 31.</w:t>
      </w:r>
      <w:r w:rsidR="009039C4" w:rsidRPr="009039C4">
        <w:rPr>
          <w:lang w:val="en-US"/>
        </w:rPr>
        <w:t>0</w:t>
      </w:r>
      <w:r w:rsidR="009039C4" w:rsidRPr="009039C4">
        <w:t>3.2019 г. размерът на просрочените задължения е 171,6 млн. лв., от които 129,9</w:t>
      </w:r>
      <w:r w:rsidR="009039C4" w:rsidRPr="009039C4">
        <w:rPr>
          <w:lang w:val="en-US"/>
        </w:rPr>
        <w:t xml:space="preserve"> </w:t>
      </w:r>
      <w:r w:rsidR="009039C4" w:rsidRPr="009039C4">
        <w:t>млн. лв. са на държавните болници и 41,7</w:t>
      </w:r>
      <w:r w:rsidR="009039C4" w:rsidRPr="009039C4">
        <w:rPr>
          <w:lang w:val="en-US"/>
        </w:rPr>
        <w:t xml:space="preserve"> </w:t>
      </w:r>
      <w:r w:rsidR="009039C4" w:rsidRPr="009039C4">
        <w:t>млн. лв. са на общинските болници. Спрямо отчетените просрочени задължения към 31.12.2018 г. се отчита увеличение с 10,6 млн. лв. (с 6,2 на сто).</w:t>
      </w:r>
    </w:p>
    <w:p w:rsidR="00BB059C" w:rsidRPr="000613BA" w:rsidRDefault="00BB059C" w:rsidP="00BB059C">
      <w:pPr>
        <w:ind w:firstLine="567"/>
        <w:jc w:val="both"/>
        <w:rPr>
          <w:noProof/>
          <w:color w:val="0070C0"/>
          <w:sz w:val="2"/>
          <w:szCs w:val="12"/>
          <w:lang w:val="en-US"/>
        </w:rPr>
      </w:pPr>
    </w:p>
    <w:p w:rsidR="009C2594" w:rsidRPr="00D87322" w:rsidRDefault="009C2594" w:rsidP="00337CA7">
      <w:pPr>
        <w:pStyle w:val="BodyTextIndent"/>
        <w:numPr>
          <w:ilvl w:val="1"/>
          <w:numId w:val="14"/>
        </w:numPr>
        <w:tabs>
          <w:tab w:val="clear" w:pos="2160"/>
          <w:tab w:val="num" w:pos="720"/>
          <w:tab w:val="num" w:pos="900"/>
        </w:tabs>
        <w:spacing w:before="120" w:after="0"/>
        <w:ind w:left="720"/>
        <w:jc w:val="both"/>
        <w:rPr>
          <w:b/>
          <w:bCs/>
          <w:color w:val="000000" w:themeColor="text1"/>
        </w:rPr>
      </w:pPr>
      <w:r w:rsidRPr="00D87322">
        <w:rPr>
          <w:b/>
          <w:bCs/>
          <w:color w:val="000000" w:themeColor="text1"/>
        </w:rPr>
        <w:t xml:space="preserve">Разходи по </w:t>
      </w:r>
      <w:r w:rsidRPr="00D87322">
        <w:rPr>
          <w:b/>
          <w:bCs/>
          <w:color w:val="000000" w:themeColor="text1"/>
          <w:szCs w:val="26"/>
        </w:rPr>
        <w:t xml:space="preserve">централния бюджет </w:t>
      </w:r>
      <w:r w:rsidRPr="00D87322">
        <w:rPr>
          <w:b/>
          <w:bCs/>
          <w:color w:val="000000" w:themeColor="text1"/>
        </w:rPr>
        <w:t>за субсидии</w:t>
      </w:r>
      <w:r w:rsidR="00F202DD" w:rsidRPr="00D87322">
        <w:rPr>
          <w:b/>
          <w:bCs/>
          <w:color w:val="000000" w:themeColor="text1"/>
        </w:rPr>
        <w:t>,</w:t>
      </w:r>
      <w:r w:rsidR="0091667E" w:rsidRPr="00D87322">
        <w:rPr>
          <w:b/>
          <w:bCs/>
          <w:color w:val="000000" w:themeColor="text1"/>
        </w:rPr>
        <w:t xml:space="preserve"> </w:t>
      </w:r>
      <w:r w:rsidR="00F202DD" w:rsidRPr="00D87322">
        <w:rPr>
          <w:b/>
          <w:bCs/>
          <w:color w:val="000000" w:themeColor="text1"/>
        </w:rPr>
        <w:t xml:space="preserve">капиталови </w:t>
      </w:r>
      <w:r w:rsidR="00AF1CA0" w:rsidRPr="00D87322">
        <w:rPr>
          <w:b/>
          <w:bCs/>
          <w:color w:val="000000" w:themeColor="text1"/>
        </w:rPr>
        <w:t>трансфери</w:t>
      </w:r>
      <w:r w:rsidR="00AF1CA0" w:rsidRPr="00D87322">
        <w:rPr>
          <w:bCs/>
          <w:color w:val="000000" w:themeColor="text1"/>
        </w:rPr>
        <w:t xml:space="preserve"> </w:t>
      </w:r>
      <w:r w:rsidRPr="00D87322">
        <w:rPr>
          <w:b/>
          <w:bCs/>
          <w:color w:val="000000" w:themeColor="text1"/>
        </w:rPr>
        <w:t xml:space="preserve">и други разходи, свързани с дейността на реалния сектор </w:t>
      </w:r>
    </w:p>
    <w:p w:rsidR="009C2594" w:rsidRPr="000613BA" w:rsidRDefault="009C2594" w:rsidP="009C2594">
      <w:pPr>
        <w:pStyle w:val="Header"/>
        <w:jc w:val="both"/>
        <w:rPr>
          <w:color w:val="0070C0"/>
          <w:sz w:val="8"/>
          <w:szCs w:val="8"/>
        </w:rPr>
      </w:pPr>
    </w:p>
    <w:p w:rsidR="00157673" w:rsidRPr="00A77462" w:rsidRDefault="009C2594" w:rsidP="009975EC">
      <w:pPr>
        <w:pStyle w:val="Header"/>
        <w:ind w:firstLine="567"/>
        <w:jc w:val="both"/>
        <w:rPr>
          <w:color w:val="000000" w:themeColor="text1"/>
        </w:rPr>
      </w:pPr>
      <w:r w:rsidRPr="00A77462">
        <w:rPr>
          <w:color w:val="000000" w:themeColor="text1"/>
        </w:rPr>
        <w:t>Със ЗДБРБ за 201</w:t>
      </w:r>
      <w:r w:rsidR="00D87322" w:rsidRPr="00A77462">
        <w:rPr>
          <w:color w:val="000000" w:themeColor="text1"/>
          <w:lang w:val="en-US"/>
        </w:rPr>
        <w:t>9</w:t>
      </w:r>
      <w:r w:rsidRPr="00A77462">
        <w:rPr>
          <w:color w:val="000000" w:themeColor="text1"/>
        </w:rPr>
        <w:t xml:space="preserve"> г. са утвърдени </w:t>
      </w:r>
      <w:r w:rsidR="00B95110" w:rsidRPr="00A77462">
        <w:rPr>
          <w:color w:val="000000" w:themeColor="text1"/>
        </w:rPr>
        <w:t>17</w:t>
      </w:r>
      <w:r w:rsidR="00A77462" w:rsidRPr="00A77462">
        <w:rPr>
          <w:color w:val="000000" w:themeColor="text1"/>
        </w:rPr>
        <w:t>3</w:t>
      </w:r>
      <w:r w:rsidR="00B95110" w:rsidRPr="00A77462">
        <w:rPr>
          <w:color w:val="000000" w:themeColor="text1"/>
        </w:rPr>
        <w:t>,</w:t>
      </w:r>
      <w:r w:rsidR="00A77462" w:rsidRPr="00A77462">
        <w:rPr>
          <w:color w:val="000000" w:themeColor="text1"/>
        </w:rPr>
        <w:t>0</w:t>
      </w:r>
      <w:r w:rsidRPr="00A77462">
        <w:rPr>
          <w:color w:val="000000" w:themeColor="text1"/>
        </w:rPr>
        <w:t xml:space="preserve"> млн. лв</w:t>
      </w:r>
      <w:r w:rsidRPr="00A77462">
        <w:rPr>
          <w:b/>
          <w:color w:val="000000" w:themeColor="text1"/>
        </w:rPr>
        <w:t>.</w:t>
      </w:r>
      <w:r w:rsidRPr="00A77462">
        <w:rPr>
          <w:color w:val="000000" w:themeColor="text1"/>
        </w:rPr>
        <w:t xml:space="preserve"> </w:t>
      </w:r>
      <w:r w:rsidRPr="00A77462">
        <w:rPr>
          <w:b/>
          <w:color w:val="000000" w:themeColor="text1"/>
        </w:rPr>
        <w:t>субсидии</w:t>
      </w:r>
      <w:r w:rsidRPr="00A77462">
        <w:rPr>
          <w:color w:val="000000" w:themeColor="text1"/>
        </w:rPr>
        <w:t xml:space="preserve"> за нефинансови предприятия</w:t>
      </w:r>
      <w:r w:rsidR="00B34F16" w:rsidRPr="00A77462">
        <w:rPr>
          <w:color w:val="000000" w:themeColor="text1"/>
        </w:rPr>
        <w:t xml:space="preserve"> от централния бюджет.</w:t>
      </w:r>
    </w:p>
    <w:p w:rsidR="00B34F16" w:rsidRPr="000613BA" w:rsidRDefault="00B34F16" w:rsidP="009975EC">
      <w:pPr>
        <w:pStyle w:val="Header"/>
        <w:ind w:firstLine="567"/>
        <w:jc w:val="both"/>
        <w:rPr>
          <w:color w:val="0070C0"/>
          <w:sz w:val="4"/>
          <w:szCs w:val="4"/>
        </w:rPr>
      </w:pPr>
    </w:p>
    <w:p w:rsidR="008360FD" w:rsidRPr="00A77462" w:rsidRDefault="008360FD" w:rsidP="008360FD">
      <w:pPr>
        <w:pStyle w:val="BodyText2"/>
        <w:spacing w:after="0" w:line="240" w:lineRule="auto"/>
        <w:ind w:firstLine="567"/>
        <w:jc w:val="both"/>
        <w:rPr>
          <w:color w:val="000000" w:themeColor="text1"/>
        </w:rPr>
      </w:pPr>
      <w:r w:rsidRPr="00A77462">
        <w:rPr>
          <w:color w:val="000000" w:themeColor="text1"/>
        </w:rPr>
        <w:t xml:space="preserve">Средствата за </w:t>
      </w:r>
      <w:r w:rsidRPr="00A77462">
        <w:rPr>
          <w:bCs/>
          <w:color w:val="000000" w:themeColor="text1"/>
        </w:rPr>
        <w:t>субсидии</w:t>
      </w:r>
      <w:r w:rsidRPr="00A77462">
        <w:rPr>
          <w:color w:val="000000" w:themeColor="text1"/>
        </w:rPr>
        <w:t xml:space="preserve"> са предназначени за търговски дружества</w:t>
      </w:r>
      <w:r w:rsidR="00A77462" w:rsidRPr="00A77462">
        <w:rPr>
          <w:color w:val="000000" w:themeColor="text1"/>
        </w:rPr>
        <w:t>, осъществяващи превоза на пътниците по нерентабилни линии във вътрешноградския транспорт и транспорта в планински и други райони,</w:t>
      </w:r>
      <w:r w:rsidRPr="00A77462">
        <w:rPr>
          <w:color w:val="000000" w:themeColor="text1"/>
        </w:rPr>
        <w:t xml:space="preserve"> за текущо поддържане и експлоатация на железопътната инфраструктура и </w:t>
      </w:r>
      <w:r w:rsidR="00844985" w:rsidRPr="00A77462">
        <w:rPr>
          <w:color w:val="000000" w:themeColor="text1"/>
        </w:rPr>
        <w:t>др.</w:t>
      </w:r>
    </w:p>
    <w:p w:rsidR="008360FD" w:rsidRPr="00A77462" w:rsidRDefault="008360FD" w:rsidP="008360FD">
      <w:pPr>
        <w:pStyle w:val="BodyText2"/>
        <w:spacing w:after="0" w:line="240" w:lineRule="auto"/>
        <w:jc w:val="both"/>
        <w:rPr>
          <w:color w:val="000000" w:themeColor="text1"/>
          <w:sz w:val="12"/>
          <w:szCs w:val="12"/>
        </w:rPr>
      </w:pPr>
    </w:p>
    <w:p w:rsidR="008360FD" w:rsidRPr="002A1772" w:rsidRDefault="008360FD" w:rsidP="008360FD">
      <w:pPr>
        <w:pStyle w:val="BodyTextIndent"/>
        <w:ind w:left="0" w:firstLine="357"/>
        <w:jc w:val="both"/>
        <w:rPr>
          <w:color w:val="000000" w:themeColor="text1"/>
        </w:rPr>
      </w:pPr>
      <w:r w:rsidRPr="00A77462">
        <w:rPr>
          <w:color w:val="000000" w:themeColor="text1"/>
        </w:rPr>
        <w:t>- Със ЗДБРБ за 201</w:t>
      </w:r>
      <w:r w:rsidR="00A77462" w:rsidRPr="00A77462">
        <w:rPr>
          <w:color w:val="000000" w:themeColor="text1"/>
        </w:rPr>
        <w:t>9</w:t>
      </w:r>
      <w:r w:rsidRPr="00A77462">
        <w:rPr>
          <w:color w:val="000000" w:themeColor="text1"/>
        </w:rPr>
        <w:t xml:space="preserve"> г. за Национална компания </w:t>
      </w:r>
      <w:r w:rsidR="00D60B43" w:rsidRPr="00A77462">
        <w:rPr>
          <w:color w:val="000000" w:themeColor="text1"/>
        </w:rPr>
        <w:t>„</w:t>
      </w:r>
      <w:r w:rsidRPr="00A77462">
        <w:rPr>
          <w:color w:val="000000" w:themeColor="text1"/>
        </w:rPr>
        <w:t xml:space="preserve">Железопътна инфраструктура” са предвидени средства под формата на субсидии, предназначени за поддържане и експлоатация </w:t>
      </w:r>
      <w:r w:rsidRPr="00A77462">
        <w:rPr>
          <w:color w:val="000000" w:themeColor="text1"/>
        </w:rPr>
        <w:lastRenderedPageBreak/>
        <w:t>на железопътната инфраструктура, в размер на 1</w:t>
      </w:r>
      <w:r w:rsidR="003C199E" w:rsidRPr="00A77462">
        <w:rPr>
          <w:color w:val="000000" w:themeColor="text1"/>
        </w:rPr>
        <w:t>4</w:t>
      </w:r>
      <w:r w:rsidRPr="00A77462">
        <w:rPr>
          <w:color w:val="000000" w:themeColor="text1"/>
        </w:rPr>
        <w:t xml:space="preserve">5,0 млн. лева. </w:t>
      </w:r>
      <w:r w:rsidR="006C1B63" w:rsidRPr="002A1772">
        <w:rPr>
          <w:color w:val="000000" w:themeColor="text1"/>
        </w:rPr>
        <w:t>Усвоените средства за първ</w:t>
      </w:r>
      <w:r w:rsidR="00A77462" w:rsidRPr="002A1772">
        <w:rPr>
          <w:color w:val="000000" w:themeColor="text1"/>
        </w:rPr>
        <w:t>ото</w:t>
      </w:r>
      <w:r w:rsidR="006C1B63" w:rsidRPr="002A1772">
        <w:rPr>
          <w:color w:val="000000" w:themeColor="text1"/>
        </w:rPr>
        <w:t xml:space="preserve"> </w:t>
      </w:r>
      <w:r w:rsidR="00A77462" w:rsidRPr="002A1772">
        <w:rPr>
          <w:color w:val="000000" w:themeColor="text1"/>
        </w:rPr>
        <w:t>тримесечие</w:t>
      </w:r>
      <w:r w:rsidR="006C1B63" w:rsidRPr="002A1772">
        <w:rPr>
          <w:color w:val="000000" w:themeColor="text1"/>
        </w:rPr>
        <w:t xml:space="preserve"> на 201</w:t>
      </w:r>
      <w:r w:rsidR="00A77462" w:rsidRPr="002A1772">
        <w:rPr>
          <w:color w:val="000000" w:themeColor="text1"/>
        </w:rPr>
        <w:t>9</w:t>
      </w:r>
      <w:r w:rsidR="006C1B63" w:rsidRPr="002A1772">
        <w:rPr>
          <w:color w:val="000000" w:themeColor="text1"/>
        </w:rPr>
        <w:t xml:space="preserve"> г. са в размер на </w:t>
      </w:r>
      <w:r w:rsidR="002A1772" w:rsidRPr="002A1772">
        <w:rPr>
          <w:color w:val="000000" w:themeColor="text1"/>
        </w:rPr>
        <w:t>36</w:t>
      </w:r>
      <w:r w:rsidR="00DB7BF9" w:rsidRPr="002A1772">
        <w:rPr>
          <w:color w:val="000000" w:themeColor="text1"/>
        </w:rPr>
        <w:t>,0</w:t>
      </w:r>
      <w:r w:rsidR="006C1B63" w:rsidRPr="002A1772">
        <w:rPr>
          <w:color w:val="000000" w:themeColor="text1"/>
        </w:rPr>
        <w:t xml:space="preserve"> млн. лв. или </w:t>
      </w:r>
      <w:r w:rsidR="002A1772" w:rsidRPr="002A1772">
        <w:rPr>
          <w:color w:val="000000" w:themeColor="text1"/>
        </w:rPr>
        <w:t>24</w:t>
      </w:r>
      <w:r w:rsidR="00DB7BF9" w:rsidRPr="002A1772">
        <w:rPr>
          <w:color w:val="000000" w:themeColor="text1"/>
        </w:rPr>
        <w:t>,</w:t>
      </w:r>
      <w:r w:rsidR="002A1772" w:rsidRPr="002A1772">
        <w:rPr>
          <w:color w:val="000000" w:themeColor="text1"/>
        </w:rPr>
        <w:t>8 на сто от</w:t>
      </w:r>
      <w:r w:rsidR="006C1B63" w:rsidRPr="002A1772">
        <w:rPr>
          <w:color w:val="000000" w:themeColor="text1"/>
        </w:rPr>
        <w:t xml:space="preserve"> годишн</w:t>
      </w:r>
      <w:r w:rsidR="002A1772" w:rsidRPr="002A1772">
        <w:rPr>
          <w:color w:val="000000" w:themeColor="text1"/>
        </w:rPr>
        <w:t>ия</w:t>
      </w:r>
      <w:r w:rsidR="006C1B63" w:rsidRPr="002A1772">
        <w:rPr>
          <w:color w:val="000000" w:themeColor="text1"/>
        </w:rPr>
        <w:t xml:space="preserve"> план. </w:t>
      </w:r>
      <w:r w:rsidR="005830F2" w:rsidRPr="002A1772">
        <w:rPr>
          <w:color w:val="000000" w:themeColor="text1"/>
        </w:rPr>
        <w:t>Същите са предоставени в съответствие с утвърдения от министъра на транспорта, информационните технологии и съобщенията График за превеждане на субсидиите, съобразен с необходимостта от средства за финансиране на текущите дейности на предприятието</w:t>
      </w:r>
      <w:r w:rsidR="006C1B63" w:rsidRPr="002A1772">
        <w:rPr>
          <w:color w:val="000000" w:themeColor="text1"/>
        </w:rPr>
        <w:t>.</w:t>
      </w:r>
      <w:r w:rsidR="00526B74" w:rsidRPr="002A1772">
        <w:rPr>
          <w:color w:val="000000" w:themeColor="text1"/>
          <w:lang w:val="en-US"/>
        </w:rPr>
        <w:t xml:space="preserve"> </w:t>
      </w:r>
    </w:p>
    <w:p w:rsidR="008360FD" w:rsidRPr="006D341F" w:rsidRDefault="008360FD" w:rsidP="00C83494">
      <w:pPr>
        <w:pStyle w:val="BodyTextIndent2"/>
        <w:spacing w:line="240" w:lineRule="auto"/>
        <w:ind w:left="0" w:firstLine="357"/>
        <w:jc w:val="both"/>
        <w:rPr>
          <w:noProof/>
          <w:color w:val="000000" w:themeColor="text1"/>
        </w:rPr>
      </w:pPr>
      <w:r w:rsidRPr="006D341F">
        <w:rPr>
          <w:color w:val="000000" w:themeColor="text1"/>
        </w:rPr>
        <w:t>- Предвидените със ЗДБРБ за 201</w:t>
      </w:r>
      <w:r w:rsidR="006D341F" w:rsidRPr="006D341F">
        <w:rPr>
          <w:color w:val="000000" w:themeColor="text1"/>
        </w:rPr>
        <w:t>9</w:t>
      </w:r>
      <w:r w:rsidRPr="006D341F">
        <w:rPr>
          <w:color w:val="000000" w:themeColor="text1"/>
        </w:rPr>
        <w:t xml:space="preserve"> г. средства за субсидиране на превоза на пътниците по нерентабилни линии във вътрешноградския транспорт и транспорт</w:t>
      </w:r>
      <w:r w:rsidR="00B77876" w:rsidRPr="006D341F">
        <w:rPr>
          <w:color w:val="000000" w:themeColor="text1"/>
        </w:rPr>
        <w:t>а</w:t>
      </w:r>
      <w:r w:rsidRPr="006D341F">
        <w:rPr>
          <w:color w:val="000000" w:themeColor="text1"/>
        </w:rPr>
        <w:t xml:space="preserve"> в планински и други райони са в размер на </w:t>
      </w:r>
      <w:r w:rsidR="002A1277" w:rsidRPr="006D341F">
        <w:rPr>
          <w:color w:val="000000" w:themeColor="text1"/>
        </w:rPr>
        <w:t>2</w:t>
      </w:r>
      <w:r w:rsidR="006D341F" w:rsidRPr="006D341F">
        <w:rPr>
          <w:color w:val="000000" w:themeColor="text1"/>
        </w:rPr>
        <w:t>8</w:t>
      </w:r>
      <w:r w:rsidR="002A1277" w:rsidRPr="006D341F">
        <w:rPr>
          <w:color w:val="000000" w:themeColor="text1"/>
        </w:rPr>
        <w:t>,</w:t>
      </w:r>
      <w:r w:rsidR="006D341F" w:rsidRPr="006D341F">
        <w:rPr>
          <w:color w:val="000000" w:themeColor="text1"/>
        </w:rPr>
        <w:t>0</w:t>
      </w:r>
      <w:r w:rsidRPr="006D341F">
        <w:rPr>
          <w:color w:val="000000" w:themeColor="text1"/>
        </w:rPr>
        <w:t xml:space="preserve"> млн. лева. По своя характер те са обществени превозни услуги от общ икономически интерес</w:t>
      </w:r>
      <w:r w:rsidR="00352F76" w:rsidRPr="006D341F">
        <w:rPr>
          <w:color w:val="000000" w:themeColor="text1"/>
        </w:rPr>
        <w:t xml:space="preserve"> и</w:t>
      </w:r>
      <w:r w:rsidRPr="006D341F">
        <w:rPr>
          <w:color w:val="000000" w:themeColor="text1"/>
        </w:rPr>
        <w:t xml:space="preserve"> имат предимно социална насоченост – масови превози до и от работните места в рамките на града и превози до малки отдалечени селища, осигуря</w:t>
      </w:r>
      <w:r w:rsidR="003F1222" w:rsidRPr="006D341F">
        <w:rPr>
          <w:color w:val="000000" w:themeColor="text1"/>
        </w:rPr>
        <w:t xml:space="preserve">ващи връзка с общинския център. </w:t>
      </w:r>
      <w:r w:rsidR="008625C0" w:rsidRPr="006D341F">
        <w:rPr>
          <w:color w:val="000000" w:themeColor="text1"/>
        </w:rPr>
        <w:t>П</w:t>
      </w:r>
      <w:r w:rsidR="006C1B63" w:rsidRPr="006D341F">
        <w:rPr>
          <w:noProof/>
          <w:color w:val="000000" w:themeColor="text1"/>
        </w:rPr>
        <w:t>рез първ</w:t>
      </w:r>
      <w:r w:rsidR="00856D8A" w:rsidRPr="006D341F">
        <w:rPr>
          <w:noProof/>
          <w:color w:val="000000" w:themeColor="text1"/>
        </w:rPr>
        <w:t>ите</w:t>
      </w:r>
      <w:r w:rsidR="006C1B63" w:rsidRPr="006D341F">
        <w:rPr>
          <w:noProof/>
          <w:color w:val="000000" w:themeColor="text1"/>
        </w:rPr>
        <w:t xml:space="preserve"> </w:t>
      </w:r>
      <w:r w:rsidR="00856D8A" w:rsidRPr="006D341F">
        <w:rPr>
          <w:noProof/>
          <w:color w:val="000000" w:themeColor="text1"/>
        </w:rPr>
        <w:t>т</w:t>
      </w:r>
      <w:r w:rsidR="006D341F" w:rsidRPr="006D341F">
        <w:rPr>
          <w:noProof/>
          <w:color w:val="000000" w:themeColor="text1"/>
        </w:rPr>
        <w:t>ри</w:t>
      </w:r>
      <w:r w:rsidR="00856D8A" w:rsidRPr="006D341F">
        <w:rPr>
          <w:noProof/>
          <w:color w:val="000000" w:themeColor="text1"/>
        </w:rPr>
        <w:t xml:space="preserve"> месеца</w:t>
      </w:r>
      <w:r w:rsidR="006C1B63" w:rsidRPr="006D341F">
        <w:rPr>
          <w:noProof/>
          <w:color w:val="000000" w:themeColor="text1"/>
        </w:rPr>
        <w:t xml:space="preserve"> на 201</w:t>
      </w:r>
      <w:r w:rsidR="006D341F" w:rsidRPr="006D341F">
        <w:rPr>
          <w:noProof/>
          <w:color w:val="000000" w:themeColor="text1"/>
        </w:rPr>
        <w:t>9</w:t>
      </w:r>
      <w:r w:rsidR="009B4DFD" w:rsidRPr="006D341F">
        <w:rPr>
          <w:noProof/>
          <w:color w:val="000000" w:themeColor="text1"/>
        </w:rPr>
        <w:t xml:space="preserve"> г.</w:t>
      </w:r>
      <w:r w:rsidR="006C1B63" w:rsidRPr="006D341F">
        <w:rPr>
          <w:noProof/>
          <w:color w:val="000000" w:themeColor="text1"/>
        </w:rPr>
        <w:t xml:space="preserve"> усвоените средства са в размер на </w:t>
      </w:r>
      <w:r w:rsidR="006D341F" w:rsidRPr="006D341F">
        <w:rPr>
          <w:noProof/>
          <w:color w:val="000000" w:themeColor="text1"/>
        </w:rPr>
        <w:t>6</w:t>
      </w:r>
      <w:r w:rsidR="003F1222" w:rsidRPr="006D341F">
        <w:rPr>
          <w:noProof/>
          <w:color w:val="000000" w:themeColor="text1"/>
        </w:rPr>
        <w:t>,</w:t>
      </w:r>
      <w:r w:rsidR="006D341F" w:rsidRPr="006D341F">
        <w:rPr>
          <w:noProof/>
          <w:color w:val="000000" w:themeColor="text1"/>
        </w:rPr>
        <w:t>6</w:t>
      </w:r>
      <w:r w:rsidR="006C1B63" w:rsidRPr="006D341F">
        <w:rPr>
          <w:noProof/>
          <w:color w:val="000000" w:themeColor="text1"/>
        </w:rPr>
        <w:t xml:space="preserve"> млн. лв. или </w:t>
      </w:r>
      <w:r w:rsidR="006D341F" w:rsidRPr="006D341F">
        <w:rPr>
          <w:noProof/>
          <w:color w:val="000000" w:themeColor="text1"/>
        </w:rPr>
        <w:t>23</w:t>
      </w:r>
      <w:r w:rsidR="003F1222" w:rsidRPr="006D341F">
        <w:rPr>
          <w:noProof/>
          <w:color w:val="000000" w:themeColor="text1"/>
        </w:rPr>
        <w:t>,</w:t>
      </w:r>
      <w:r w:rsidR="006D341F" w:rsidRPr="006D341F">
        <w:rPr>
          <w:noProof/>
          <w:color w:val="000000" w:themeColor="text1"/>
        </w:rPr>
        <w:t>7</w:t>
      </w:r>
      <w:r w:rsidR="006C1B63" w:rsidRPr="006D341F">
        <w:rPr>
          <w:noProof/>
          <w:color w:val="000000" w:themeColor="text1"/>
        </w:rPr>
        <w:t xml:space="preserve"> на сто от </w:t>
      </w:r>
      <w:r w:rsidR="006D341F">
        <w:rPr>
          <w:noProof/>
          <w:color w:val="000000" w:themeColor="text1"/>
        </w:rPr>
        <w:t>разчета за годината</w:t>
      </w:r>
      <w:r w:rsidR="006C1B63" w:rsidRPr="006D341F">
        <w:rPr>
          <w:noProof/>
          <w:color w:val="000000" w:themeColor="text1"/>
        </w:rPr>
        <w:t>.</w:t>
      </w:r>
      <w:r w:rsidRPr="006D341F">
        <w:rPr>
          <w:noProof/>
          <w:color w:val="000000" w:themeColor="text1"/>
        </w:rPr>
        <w:t xml:space="preserve"> </w:t>
      </w:r>
    </w:p>
    <w:p w:rsidR="008360FD" w:rsidRPr="006D341F" w:rsidRDefault="008360FD" w:rsidP="008360FD">
      <w:pPr>
        <w:ind w:firstLine="567"/>
        <w:jc w:val="both"/>
        <w:rPr>
          <w:bCs/>
          <w:color w:val="000000" w:themeColor="text1"/>
        </w:rPr>
      </w:pPr>
      <w:r w:rsidRPr="006D341F">
        <w:rPr>
          <w:bCs/>
          <w:color w:val="000000" w:themeColor="text1"/>
        </w:rPr>
        <w:t xml:space="preserve">За </w:t>
      </w:r>
      <w:r w:rsidRPr="006D341F">
        <w:rPr>
          <w:b/>
          <w:bCs/>
          <w:color w:val="000000" w:themeColor="text1"/>
        </w:rPr>
        <w:t xml:space="preserve">капиталови </w:t>
      </w:r>
      <w:r w:rsidR="000A301B" w:rsidRPr="006D341F">
        <w:rPr>
          <w:b/>
          <w:bCs/>
          <w:color w:val="000000" w:themeColor="text1"/>
        </w:rPr>
        <w:t xml:space="preserve">трансфери </w:t>
      </w:r>
      <w:r w:rsidRPr="006D341F">
        <w:rPr>
          <w:bCs/>
          <w:color w:val="000000" w:themeColor="text1"/>
        </w:rPr>
        <w:t>от централния бюджет за нефинансови предприятия със ЗДБРБ за 201</w:t>
      </w:r>
      <w:r w:rsidR="006D341F" w:rsidRPr="006D341F">
        <w:rPr>
          <w:bCs/>
          <w:color w:val="000000" w:themeColor="text1"/>
        </w:rPr>
        <w:t>9</w:t>
      </w:r>
      <w:r w:rsidRPr="006D341F">
        <w:rPr>
          <w:bCs/>
          <w:color w:val="000000" w:themeColor="text1"/>
        </w:rPr>
        <w:t xml:space="preserve"> г. са предвидени </w:t>
      </w:r>
      <w:r w:rsidR="006D341F" w:rsidRPr="006D341F">
        <w:rPr>
          <w:b/>
          <w:bCs/>
          <w:color w:val="000000" w:themeColor="text1"/>
        </w:rPr>
        <w:t>380</w:t>
      </w:r>
      <w:r w:rsidRPr="006D341F">
        <w:rPr>
          <w:b/>
          <w:bCs/>
          <w:color w:val="000000" w:themeColor="text1"/>
        </w:rPr>
        <w:t>,0 млн. лева.</w:t>
      </w:r>
      <w:r w:rsidRPr="006D341F">
        <w:rPr>
          <w:bCs/>
          <w:color w:val="000000" w:themeColor="text1"/>
        </w:rPr>
        <w:t xml:space="preserve"> Преведените и усвоени средства </w:t>
      </w:r>
      <w:r w:rsidR="005061E5" w:rsidRPr="006D341F">
        <w:rPr>
          <w:bCs/>
          <w:color w:val="000000" w:themeColor="text1"/>
        </w:rPr>
        <w:t>към 3</w:t>
      </w:r>
      <w:r w:rsidR="006D341F" w:rsidRPr="006D341F">
        <w:rPr>
          <w:bCs/>
          <w:color w:val="000000" w:themeColor="text1"/>
        </w:rPr>
        <w:t>1</w:t>
      </w:r>
      <w:r w:rsidR="005061E5" w:rsidRPr="006D341F">
        <w:rPr>
          <w:bCs/>
          <w:color w:val="000000" w:themeColor="text1"/>
        </w:rPr>
        <w:t>.0</w:t>
      </w:r>
      <w:r w:rsidR="006D341F" w:rsidRPr="006D341F">
        <w:rPr>
          <w:bCs/>
          <w:color w:val="000000" w:themeColor="text1"/>
        </w:rPr>
        <w:t>3</w:t>
      </w:r>
      <w:r w:rsidR="005061E5" w:rsidRPr="006D341F">
        <w:rPr>
          <w:bCs/>
          <w:color w:val="000000" w:themeColor="text1"/>
        </w:rPr>
        <w:t>.201</w:t>
      </w:r>
      <w:r w:rsidR="006D341F" w:rsidRPr="006D341F">
        <w:rPr>
          <w:bCs/>
          <w:color w:val="000000" w:themeColor="text1"/>
        </w:rPr>
        <w:t>9</w:t>
      </w:r>
      <w:r w:rsidR="005061E5" w:rsidRPr="006D341F">
        <w:rPr>
          <w:bCs/>
          <w:color w:val="000000" w:themeColor="text1"/>
        </w:rPr>
        <w:t xml:space="preserve"> г.</w:t>
      </w:r>
      <w:r w:rsidRPr="006D341F">
        <w:rPr>
          <w:bCs/>
          <w:color w:val="000000" w:themeColor="text1"/>
        </w:rPr>
        <w:t xml:space="preserve"> са в размер на </w:t>
      </w:r>
      <w:r w:rsidR="00856D8A" w:rsidRPr="006D341F">
        <w:rPr>
          <w:b/>
          <w:bCs/>
          <w:color w:val="000000" w:themeColor="text1"/>
        </w:rPr>
        <w:t>29</w:t>
      </w:r>
      <w:r w:rsidR="00810D7B" w:rsidRPr="006D341F">
        <w:rPr>
          <w:b/>
          <w:bCs/>
          <w:color w:val="000000" w:themeColor="text1"/>
        </w:rPr>
        <w:t>,</w:t>
      </w:r>
      <w:r w:rsidR="00856D8A" w:rsidRPr="006D341F">
        <w:rPr>
          <w:b/>
          <w:bCs/>
          <w:color w:val="000000" w:themeColor="text1"/>
        </w:rPr>
        <w:t>5</w:t>
      </w:r>
      <w:r w:rsidRPr="006D341F">
        <w:rPr>
          <w:b/>
          <w:bCs/>
          <w:color w:val="000000" w:themeColor="text1"/>
        </w:rPr>
        <w:t xml:space="preserve"> млн. лв.</w:t>
      </w:r>
      <w:r w:rsidRPr="006D341F">
        <w:rPr>
          <w:bCs/>
          <w:color w:val="000000" w:themeColor="text1"/>
        </w:rPr>
        <w:t xml:space="preserve"> или </w:t>
      </w:r>
      <w:r w:rsidR="00856D8A" w:rsidRPr="006D341F">
        <w:rPr>
          <w:bCs/>
          <w:color w:val="000000" w:themeColor="text1"/>
        </w:rPr>
        <w:t>7</w:t>
      </w:r>
      <w:r w:rsidR="00810D7B" w:rsidRPr="006D341F">
        <w:rPr>
          <w:bCs/>
          <w:color w:val="000000" w:themeColor="text1"/>
        </w:rPr>
        <w:t>,</w:t>
      </w:r>
      <w:r w:rsidR="006D341F" w:rsidRPr="006D341F">
        <w:rPr>
          <w:bCs/>
          <w:color w:val="000000" w:themeColor="text1"/>
        </w:rPr>
        <w:t>8</w:t>
      </w:r>
      <w:r w:rsidRPr="006D341F">
        <w:rPr>
          <w:bCs/>
          <w:color w:val="000000" w:themeColor="text1"/>
        </w:rPr>
        <w:t xml:space="preserve"> % от годишния размер, както следва:</w:t>
      </w:r>
    </w:p>
    <w:p w:rsidR="008360FD" w:rsidRPr="006D341F" w:rsidRDefault="008360FD" w:rsidP="00337CA7">
      <w:pPr>
        <w:numPr>
          <w:ilvl w:val="0"/>
          <w:numId w:val="5"/>
        </w:numPr>
        <w:tabs>
          <w:tab w:val="clear" w:pos="1440"/>
          <w:tab w:val="left" w:pos="851"/>
          <w:tab w:val="left" w:pos="1134"/>
        </w:tabs>
        <w:ind w:left="0" w:firstLine="567"/>
        <w:jc w:val="both"/>
        <w:rPr>
          <w:i/>
          <w:color w:val="000000" w:themeColor="text1"/>
        </w:rPr>
      </w:pPr>
      <w:r w:rsidRPr="006D341F">
        <w:rPr>
          <w:i/>
          <w:color w:val="000000" w:themeColor="text1"/>
        </w:rPr>
        <w:t xml:space="preserve">капиталови трансфери за  Национална компания </w:t>
      </w:r>
      <w:r w:rsidR="00B77876" w:rsidRPr="006D341F">
        <w:rPr>
          <w:i/>
          <w:color w:val="000000" w:themeColor="text1"/>
        </w:rPr>
        <w:t>„</w:t>
      </w:r>
      <w:r w:rsidRPr="006D341F">
        <w:rPr>
          <w:i/>
          <w:color w:val="000000" w:themeColor="text1"/>
        </w:rPr>
        <w:t>Железопътна инфраструктура</w:t>
      </w:r>
      <w:r w:rsidRPr="006D341F">
        <w:rPr>
          <w:color w:val="000000" w:themeColor="text1"/>
        </w:rPr>
        <w:t xml:space="preserve">” - </w:t>
      </w:r>
      <w:r w:rsidR="003D664F" w:rsidRPr="006D341F">
        <w:rPr>
          <w:color w:val="000000" w:themeColor="text1"/>
        </w:rPr>
        <w:t>ф</w:t>
      </w:r>
      <w:r w:rsidRPr="006D341F">
        <w:rPr>
          <w:noProof/>
          <w:color w:val="000000" w:themeColor="text1"/>
        </w:rPr>
        <w:t>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6D341F">
        <w:rPr>
          <w:color w:val="000000" w:themeColor="text1"/>
        </w:rPr>
        <w:t xml:space="preserve">. </w:t>
      </w:r>
      <w:r w:rsidRPr="006D341F">
        <w:rPr>
          <w:noProof/>
          <w:color w:val="000000" w:themeColor="text1"/>
        </w:rPr>
        <w:t>За 201</w:t>
      </w:r>
      <w:r w:rsidR="006D341F" w:rsidRPr="006D341F">
        <w:rPr>
          <w:noProof/>
          <w:color w:val="000000" w:themeColor="text1"/>
        </w:rPr>
        <w:t>9</w:t>
      </w:r>
      <w:r w:rsidRPr="006D341F">
        <w:rPr>
          <w:noProof/>
          <w:color w:val="000000" w:themeColor="text1"/>
        </w:rPr>
        <w:t xml:space="preserve"> г. от държавния бюджет за компанията е предвиден капиталов трансфер в размер на 1</w:t>
      </w:r>
      <w:r w:rsidR="006D341F" w:rsidRPr="006D341F">
        <w:rPr>
          <w:noProof/>
          <w:color w:val="000000" w:themeColor="text1"/>
        </w:rPr>
        <w:t>20</w:t>
      </w:r>
      <w:r w:rsidRPr="006D341F">
        <w:rPr>
          <w:noProof/>
          <w:color w:val="000000" w:themeColor="text1"/>
        </w:rPr>
        <w:t xml:space="preserve">,0 млн. лева. </w:t>
      </w:r>
      <w:r w:rsidR="00E5271E" w:rsidRPr="006D341F">
        <w:rPr>
          <w:noProof/>
          <w:color w:val="000000" w:themeColor="text1"/>
        </w:rPr>
        <w:t>Усвоените средства за първ</w:t>
      </w:r>
      <w:r w:rsidR="006D341F" w:rsidRPr="006D341F">
        <w:rPr>
          <w:noProof/>
          <w:color w:val="000000" w:themeColor="text1"/>
        </w:rPr>
        <w:t>ото тримесечие</w:t>
      </w:r>
      <w:r w:rsidR="00E5271E" w:rsidRPr="006D341F">
        <w:rPr>
          <w:noProof/>
          <w:color w:val="000000" w:themeColor="text1"/>
        </w:rPr>
        <w:t xml:space="preserve"> на 201</w:t>
      </w:r>
      <w:r w:rsidR="006D341F" w:rsidRPr="006D341F">
        <w:rPr>
          <w:noProof/>
          <w:color w:val="000000" w:themeColor="text1"/>
        </w:rPr>
        <w:t>9</w:t>
      </w:r>
      <w:r w:rsidR="00E5271E" w:rsidRPr="006D341F">
        <w:rPr>
          <w:noProof/>
          <w:color w:val="000000" w:themeColor="text1"/>
        </w:rPr>
        <w:t xml:space="preserve"> г. са в размер на </w:t>
      </w:r>
      <w:r w:rsidR="006D341F" w:rsidRPr="006D341F">
        <w:rPr>
          <w:noProof/>
          <w:color w:val="000000" w:themeColor="text1"/>
        </w:rPr>
        <w:t>5</w:t>
      </w:r>
      <w:r w:rsidR="00F939B6" w:rsidRPr="006D341F">
        <w:rPr>
          <w:noProof/>
          <w:color w:val="000000" w:themeColor="text1"/>
        </w:rPr>
        <w:t>,</w:t>
      </w:r>
      <w:r w:rsidR="006D341F" w:rsidRPr="006D341F">
        <w:rPr>
          <w:noProof/>
          <w:color w:val="000000" w:themeColor="text1"/>
        </w:rPr>
        <w:t>0</w:t>
      </w:r>
      <w:r w:rsidR="00E5271E" w:rsidRPr="006D341F">
        <w:rPr>
          <w:noProof/>
          <w:color w:val="000000" w:themeColor="text1"/>
        </w:rPr>
        <w:t xml:space="preserve"> млн. лв. или </w:t>
      </w:r>
      <w:r w:rsidR="006D341F" w:rsidRPr="006D341F">
        <w:rPr>
          <w:noProof/>
          <w:color w:val="000000" w:themeColor="text1"/>
        </w:rPr>
        <w:t>4</w:t>
      </w:r>
      <w:r w:rsidR="00F939B6" w:rsidRPr="006D341F">
        <w:rPr>
          <w:noProof/>
          <w:color w:val="000000" w:themeColor="text1"/>
        </w:rPr>
        <w:t>,</w:t>
      </w:r>
      <w:r w:rsidR="006D341F" w:rsidRPr="006D341F">
        <w:rPr>
          <w:noProof/>
          <w:color w:val="000000" w:themeColor="text1"/>
        </w:rPr>
        <w:t>2</w:t>
      </w:r>
      <w:r w:rsidR="00E5271E" w:rsidRPr="006D341F">
        <w:rPr>
          <w:noProof/>
          <w:color w:val="000000" w:themeColor="text1"/>
        </w:rPr>
        <w:t xml:space="preserve"> на сто от годишн</w:t>
      </w:r>
      <w:r w:rsidR="006D341F" w:rsidRPr="006D341F">
        <w:rPr>
          <w:noProof/>
          <w:color w:val="000000" w:themeColor="text1"/>
        </w:rPr>
        <w:t>ия</w:t>
      </w:r>
      <w:r w:rsidR="00E5271E" w:rsidRPr="006D341F">
        <w:rPr>
          <w:noProof/>
          <w:color w:val="000000" w:themeColor="text1"/>
        </w:rPr>
        <w:t xml:space="preserve"> </w:t>
      </w:r>
      <w:r w:rsidR="006D341F" w:rsidRPr="006D341F">
        <w:rPr>
          <w:noProof/>
          <w:color w:val="000000" w:themeColor="text1"/>
        </w:rPr>
        <w:t>разчет</w:t>
      </w:r>
      <w:r w:rsidR="00E5271E" w:rsidRPr="006D341F">
        <w:rPr>
          <w:noProof/>
          <w:color w:val="000000" w:themeColor="text1"/>
        </w:rPr>
        <w:t>.</w:t>
      </w:r>
      <w:r w:rsidR="00222228" w:rsidRPr="006D341F">
        <w:rPr>
          <w:noProof/>
          <w:color w:val="000000" w:themeColor="text1"/>
        </w:rPr>
        <w:t xml:space="preserve"> Изпълняват се проекти за ремонт и придобиване на дълготрайни материални активи</w:t>
      </w:r>
      <w:r w:rsidR="00EF5667" w:rsidRPr="006D341F">
        <w:rPr>
          <w:noProof/>
          <w:color w:val="000000" w:themeColor="text1"/>
        </w:rPr>
        <w:t>,</w:t>
      </w:r>
      <w:r w:rsidR="00222228" w:rsidRPr="006D341F">
        <w:rPr>
          <w:noProof/>
          <w:color w:val="000000" w:themeColor="text1"/>
        </w:rPr>
        <w:t xml:space="preserve"> за възстановяване и подобряване на експлоатационното състояние на железния път и съор</w:t>
      </w:r>
      <w:r w:rsidR="001A5350" w:rsidRPr="006D341F">
        <w:rPr>
          <w:noProof/>
          <w:color w:val="000000" w:themeColor="text1"/>
        </w:rPr>
        <w:t>ъ</w:t>
      </w:r>
      <w:r w:rsidR="00222228" w:rsidRPr="006D341F">
        <w:rPr>
          <w:noProof/>
          <w:color w:val="000000" w:themeColor="text1"/>
        </w:rPr>
        <w:t>женията, както и ремонт и преустройство на възлови жп гари в съответствие с европейските изисквания</w:t>
      </w:r>
      <w:r w:rsidRPr="006D341F">
        <w:rPr>
          <w:noProof/>
          <w:color w:val="000000" w:themeColor="text1"/>
        </w:rPr>
        <w:t>;</w:t>
      </w:r>
    </w:p>
    <w:p w:rsidR="008360FD" w:rsidRPr="006D341F" w:rsidRDefault="008360FD" w:rsidP="00337CA7">
      <w:pPr>
        <w:numPr>
          <w:ilvl w:val="0"/>
          <w:numId w:val="5"/>
        </w:numPr>
        <w:tabs>
          <w:tab w:val="clear" w:pos="1440"/>
          <w:tab w:val="num" w:pos="360"/>
          <w:tab w:val="left" w:pos="851"/>
        </w:tabs>
        <w:ind w:left="0" w:firstLine="567"/>
        <w:jc w:val="both"/>
        <w:rPr>
          <w:i/>
          <w:color w:val="000000" w:themeColor="text1"/>
        </w:rPr>
      </w:pPr>
      <w:r w:rsidRPr="006D341F">
        <w:rPr>
          <w:i/>
          <w:color w:val="000000" w:themeColor="text1"/>
        </w:rPr>
        <w:t xml:space="preserve">капиталови трансфери за „БДЖ – Пътнически превози” - ЕООД – </w:t>
      </w:r>
      <w:r w:rsidR="003D664F" w:rsidRPr="006D341F">
        <w:rPr>
          <w:color w:val="000000" w:themeColor="text1"/>
        </w:rPr>
        <w:t>п</w:t>
      </w:r>
      <w:r w:rsidRPr="006D341F">
        <w:rPr>
          <w:color w:val="000000" w:themeColor="text1"/>
        </w:rPr>
        <w:t>редвидените средства със ЗДБРБ за 201</w:t>
      </w:r>
      <w:r w:rsidR="006D341F" w:rsidRPr="006D341F">
        <w:rPr>
          <w:color w:val="000000" w:themeColor="text1"/>
        </w:rPr>
        <w:t>9</w:t>
      </w:r>
      <w:r w:rsidRPr="006D341F">
        <w:rPr>
          <w:color w:val="000000" w:themeColor="text1"/>
        </w:rPr>
        <w:t> г. са в размер на 3</w:t>
      </w:r>
      <w:r w:rsidR="006D341F" w:rsidRPr="006D341F">
        <w:rPr>
          <w:color w:val="000000" w:themeColor="text1"/>
        </w:rPr>
        <w:t>9</w:t>
      </w:r>
      <w:r w:rsidRPr="006D341F">
        <w:rPr>
          <w:color w:val="000000" w:themeColor="text1"/>
        </w:rPr>
        <w:t>,0 млн. л</w:t>
      </w:r>
      <w:r w:rsidR="00EF5667" w:rsidRPr="006D341F">
        <w:rPr>
          <w:color w:val="000000" w:themeColor="text1"/>
        </w:rPr>
        <w:t>е</w:t>
      </w:r>
      <w:r w:rsidRPr="006D341F">
        <w:rPr>
          <w:color w:val="000000" w:themeColor="text1"/>
        </w:rPr>
        <w:t>в</w:t>
      </w:r>
      <w:r w:rsidR="00EF5667" w:rsidRPr="006D341F">
        <w:rPr>
          <w:color w:val="000000" w:themeColor="text1"/>
        </w:rPr>
        <w:t>а</w:t>
      </w:r>
      <w:r w:rsidRPr="006D341F">
        <w:rPr>
          <w:color w:val="000000" w:themeColor="text1"/>
        </w:rPr>
        <w:t xml:space="preserve">. </w:t>
      </w:r>
      <w:r w:rsidR="006D341F" w:rsidRPr="006D341F">
        <w:rPr>
          <w:noProof/>
          <w:color w:val="000000" w:themeColor="text1"/>
        </w:rPr>
        <w:t>Усвоените средства за първото тримесечие на 2019 г. са в размер на 23,5 млн. лв. или 60,3 на сто от утвърдения годишен план.</w:t>
      </w:r>
      <w:r w:rsidR="006D341F" w:rsidRPr="006D341F">
        <w:rPr>
          <w:color w:val="000000" w:themeColor="text1"/>
        </w:rPr>
        <w:t xml:space="preserve"> Средствата са предназначени за планов заводски (среден и капитален) ремонт на пътнически вагони</w:t>
      </w:r>
      <w:r w:rsidRPr="006D341F">
        <w:rPr>
          <w:color w:val="000000" w:themeColor="text1"/>
        </w:rPr>
        <w:t>;</w:t>
      </w:r>
    </w:p>
    <w:p w:rsidR="008360FD" w:rsidRPr="000613BA" w:rsidRDefault="008360FD" w:rsidP="00337CA7">
      <w:pPr>
        <w:numPr>
          <w:ilvl w:val="1"/>
          <w:numId w:val="15"/>
        </w:numPr>
        <w:tabs>
          <w:tab w:val="clear" w:pos="1440"/>
          <w:tab w:val="num" w:pos="360"/>
          <w:tab w:val="left" w:pos="851"/>
        </w:tabs>
        <w:ind w:left="0" w:firstLine="567"/>
        <w:jc w:val="both"/>
        <w:rPr>
          <w:color w:val="0070C0"/>
        </w:rPr>
      </w:pPr>
      <w:r w:rsidRPr="00790251">
        <w:rPr>
          <w:i/>
          <w:color w:val="000000" w:themeColor="text1"/>
        </w:rPr>
        <w:t>капиталови трансфери за ДП „Пристанищна инфраструктура”</w:t>
      </w:r>
      <w:r w:rsidRPr="00790251">
        <w:rPr>
          <w:b/>
          <w:i/>
          <w:color w:val="000000" w:themeColor="text1"/>
        </w:rPr>
        <w:t xml:space="preserve"> </w:t>
      </w:r>
      <w:r w:rsidRPr="00790251">
        <w:rPr>
          <w:color w:val="000000" w:themeColor="text1"/>
        </w:rPr>
        <w:t xml:space="preserve">- </w:t>
      </w:r>
      <w:r w:rsidR="003D664F" w:rsidRPr="00790251">
        <w:rPr>
          <w:color w:val="000000" w:themeColor="text1"/>
        </w:rPr>
        <w:t>и</w:t>
      </w:r>
      <w:r w:rsidRPr="00790251">
        <w:rPr>
          <w:color w:val="000000" w:themeColor="text1"/>
        </w:rPr>
        <w:t>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w:t>
      </w:r>
      <w:r w:rsidR="00CC51BE" w:rsidRPr="00790251">
        <w:rPr>
          <w:color w:val="000000" w:themeColor="text1"/>
        </w:rPr>
        <w:t>и</w:t>
      </w:r>
      <w:r w:rsidRPr="00790251">
        <w:rPr>
          <w:color w:val="000000" w:themeColor="text1"/>
        </w:rPr>
        <w:t xml:space="preserve"> трансфер</w:t>
      </w:r>
      <w:r w:rsidR="00CC51BE" w:rsidRPr="00790251">
        <w:rPr>
          <w:color w:val="000000" w:themeColor="text1"/>
        </w:rPr>
        <w:t>и</w:t>
      </w:r>
      <w:r w:rsidRPr="00790251">
        <w:rPr>
          <w:color w:val="000000" w:themeColor="text1"/>
        </w:rPr>
        <w:t xml:space="preserve"> от </w:t>
      </w:r>
      <w:r w:rsidR="00CC51BE" w:rsidRPr="00790251">
        <w:rPr>
          <w:color w:val="000000" w:themeColor="text1"/>
        </w:rPr>
        <w:t>държавния бюджет</w:t>
      </w:r>
      <w:r w:rsidR="00CC51BE" w:rsidRPr="00790251">
        <w:rPr>
          <w:noProof/>
          <w:color w:val="000000" w:themeColor="text1"/>
        </w:rPr>
        <w:t xml:space="preserve">. </w:t>
      </w:r>
      <w:r w:rsidR="00D466A8" w:rsidRPr="00790251">
        <w:rPr>
          <w:noProof/>
          <w:color w:val="000000" w:themeColor="text1"/>
        </w:rPr>
        <w:t xml:space="preserve">Предвидените със </w:t>
      </w:r>
      <w:r w:rsidR="00CC51BE" w:rsidRPr="00790251">
        <w:rPr>
          <w:noProof/>
          <w:color w:val="000000" w:themeColor="text1"/>
        </w:rPr>
        <w:t xml:space="preserve">ЗДБРБ </w:t>
      </w:r>
      <w:r w:rsidR="00D466A8" w:rsidRPr="00790251">
        <w:rPr>
          <w:noProof/>
          <w:color w:val="000000" w:themeColor="text1"/>
        </w:rPr>
        <w:t>за  201</w:t>
      </w:r>
      <w:r w:rsidR="006D341F" w:rsidRPr="00790251">
        <w:rPr>
          <w:noProof/>
          <w:color w:val="000000" w:themeColor="text1"/>
        </w:rPr>
        <w:t>9</w:t>
      </w:r>
      <w:r w:rsidR="00D466A8" w:rsidRPr="00790251">
        <w:rPr>
          <w:noProof/>
          <w:color w:val="000000" w:themeColor="text1"/>
        </w:rPr>
        <w:t xml:space="preserve"> г. средства са в размер на </w:t>
      </w:r>
      <w:r w:rsidR="006D341F" w:rsidRPr="00790251">
        <w:rPr>
          <w:noProof/>
          <w:color w:val="000000" w:themeColor="text1"/>
        </w:rPr>
        <w:t>2</w:t>
      </w:r>
      <w:r w:rsidR="00D466A8" w:rsidRPr="00790251">
        <w:rPr>
          <w:noProof/>
          <w:color w:val="000000" w:themeColor="text1"/>
        </w:rPr>
        <w:t>11</w:t>
      </w:r>
      <w:r w:rsidR="000411D9" w:rsidRPr="00790251">
        <w:rPr>
          <w:noProof/>
          <w:color w:val="000000" w:themeColor="text1"/>
        </w:rPr>
        <w:t>,0</w:t>
      </w:r>
      <w:r w:rsidR="00D466A8" w:rsidRPr="00790251">
        <w:rPr>
          <w:noProof/>
          <w:color w:val="000000" w:themeColor="text1"/>
        </w:rPr>
        <w:t xml:space="preserve"> млн. лева. </w:t>
      </w:r>
      <w:r w:rsidR="006D341F" w:rsidRPr="00790251">
        <w:rPr>
          <w:noProof/>
          <w:color w:val="000000" w:themeColor="text1"/>
        </w:rPr>
        <w:t>За първото тримесечие на 2019 г. са усвоени средства в размер на 0,7 млн. лв. или 0,3 на сто от годишн</w:t>
      </w:r>
      <w:r w:rsidR="00790251" w:rsidRPr="00790251">
        <w:rPr>
          <w:noProof/>
          <w:color w:val="000000" w:themeColor="text1"/>
        </w:rPr>
        <w:t>ия</w:t>
      </w:r>
      <w:r w:rsidR="006D341F" w:rsidRPr="00790251">
        <w:rPr>
          <w:noProof/>
          <w:color w:val="000000" w:themeColor="text1"/>
        </w:rPr>
        <w:t xml:space="preserve"> </w:t>
      </w:r>
      <w:r w:rsidR="006D341F" w:rsidRPr="002D3AA3">
        <w:rPr>
          <w:noProof/>
        </w:rPr>
        <w:t>план</w:t>
      </w:r>
      <w:r w:rsidRPr="000613BA">
        <w:rPr>
          <w:color w:val="0070C0"/>
        </w:rPr>
        <w:t>;</w:t>
      </w:r>
    </w:p>
    <w:p w:rsidR="008360FD" w:rsidRPr="000613BA" w:rsidRDefault="008360FD" w:rsidP="00337CA7">
      <w:pPr>
        <w:numPr>
          <w:ilvl w:val="0"/>
          <w:numId w:val="16"/>
        </w:numPr>
        <w:tabs>
          <w:tab w:val="clear" w:pos="2157"/>
          <w:tab w:val="left" w:pos="360"/>
          <w:tab w:val="left" w:pos="851"/>
        </w:tabs>
        <w:ind w:left="0" w:firstLine="567"/>
        <w:jc w:val="both"/>
        <w:rPr>
          <w:color w:val="0070C0"/>
        </w:rPr>
      </w:pPr>
      <w:r w:rsidRPr="00B721C7">
        <w:rPr>
          <w:color w:val="000000" w:themeColor="text1"/>
        </w:rPr>
        <w:t>През 201</w:t>
      </w:r>
      <w:r w:rsidR="00B721C7" w:rsidRPr="00B721C7">
        <w:rPr>
          <w:color w:val="000000" w:themeColor="text1"/>
        </w:rPr>
        <w:t>9</w:t>
      </w:r>
      <w:r w:rsidRPr="00B721C7">
        <w:rPr>
          <w:color w:val="000000" w:themeColor="text1"/>
        </w:rPr>
        <w:t xml:space="preserve"> г. продължава изпълнението на Програмите </w:t>
      </w:r>
      <w:r w:rsidR="00601E59" w:rsidRPr="00B721C7">
        <w:rPr>
          <w:color w:val="000000" w:themeColor="text1"/>
        </w:rPr>
        <w:t xml:space="preserve">за отстраняване на нанесени щети </w:t>
      </w:r>
      <w:r w:rsidR="00601E59" w:rsidRPr="00B721C7">
        <w:rPr>
          <w:noProof/>
          <w:color w:val="000000" w:themeColor="text1"/>
        </w:rPr>
        <w:t>върху околната среда</w:t>
      </w:r>
      <w:r w:rsidR="00601E59" w:rsidRPr="00B721C7">
        <w:rPr>
          <w:color w:val="000000" w:themeColor="text1"/>
        </w:rPr>
        <w:t>, настъпили от минали действия или бездействия, при приватизация</w:t>
      </w:r>
      <w:r w:rsidRPr="00B721C7">
        <w:rPr>
          <w:color w:val="000000" w:themeColor="text1"/>
        </w:rPr>
        <w:t>. В ЗДБРБ за 201</w:t>
      </w:r>
      <w:r w:rsidR="00B721C7" w:rsidRPr="00B721C7">
        <w:rPr>
          <w:color w:val="000000" w:themeColor="text1"/>
        </w:rPr>
        <w:t>9</w:t>
      </w:r>
      <w:r w:rsidRPr="00B721C7">
        <w:rPr>
          <w:color w:val="000000" w:themeColor="text1"/>
        </w:rPr>
        <w:t xml:space="preserve"> г. за тези програми са предвидени </w:t>
      </w:r>
      <w:r w:rsidR="00B721C7" w:rsidRPr="00B721C7">
        <w:rPr>
          <w:color w:val="000000" w:themeColor="text1"/>
        </w:rPr>
        <w:t>10</w:t>
      </w:r>
      <w:r w:rsidRPr="00B721C7">
        <w:rPr>
          <w:color w:val="000000" w:themeColor="text1"/>
        </w:rPr>
        <w:t>,0 млн. л</w:t>
      </w:r>
      <w:r w:rsidR="000411D9" w:rsidRPr="00B721C7">
        <w:rPr>
          <w:color w:val="000000" w:themeColor="text1"/>
        </w:rPr>
        <w:t>е</w:t>
      </w:r>
      <w:r w:rsidRPr="00B721C7">
        <w:rPr>
          <w:color w:val="000000" w:themeColor="text1"/>
        </w:rPr>
        <w:t>в</w:t>
      </w:r>
      <w:r w:rsidR="000411D9" w:rsidRPr="00B721C7">
        <w:rPr>
          <w:color w:val="000000" w:themeColor="text1"/>
        </w:rPr>
        <w:t xml:space="preserve">а. </w:t>
      </w:r>
      <w:r w:rsidR="00B721C7" w:rsidRPr="002D3AA3">
        <w:rPr>
          <w:noProof/>
        </w:rPr>
        <w:t>За</w:t>
      </w:r>
      <w:r w:rsidR="00B721C7">
        <w:rPr>
          <w:noProof/>
        </w:rPr>
        <w:t xml:space="preserve"> първото тримесечие на 2019 г.</w:t>
      </w:r>
      <w:r w:rsidR="00B721C7" w:rsidRPr="002D3AA3">
        <w:rPr>
          <w:noProof/>
        </w:rPr>
        <w:t xml:space="preserve"> са усвоени </w:t>
      </w:r>
      <w:r w:rsidR="00B721C7">
        <w:rPr>
          <w:noProof/>
        </w:rPr>
        <w:t xml:space="preserve">0,4 </w:t>
      </w:r>
      <w:r w:rsidR="00B721C7" w:rsidRPr="002D3AA3">
        <w:rPr>
          <w:noProof/>
        </w:rPr>
        <w:t xml:space="preserve">млн. лв. или </w:t>
      </w:r>
      <w:r w:rsidR="00B721C7">
        <w:rPr>
          <w:noProof/>
        </w:rPr>
        <w:t>3,8</w:t>
      </w:r>
      <w:r w:rsidR="00B721C7" w:rsidRPr="002D3AA3">
        <w:rPr>
          <w:noProof/>
        </w:rPr>
        <w:t xml:space="preserve"> на сто от годишния план</w:t>
      </w:r>
      <w:r w:rsidR="000411D9" w:rsidRPr="000613BA">
        <w:rPr>
          <w:noProof/>
          <w:color w:val="0070C0"/>
        </w:rPr>
        <w:t>.</w:t>
      </w:r>
      <w:r w:rsidRPr="000613BA">
        <w:rPr>
          <w:color w:val="0070C0"/>
        </w:rPr>
        <w:t xml:space="preserve">  </w:t>
      </w:r>
    </w:p>
    <w:p w:rsidR="008360FD" w:rsidRPr="000613BA" w:rsidRDefault="008360FD" w:rsidP="008360FD">
      <w:pPr>
        <w:jc w:val="both"/>
        <w:rPr>
          <w:color w:val="0070C0"/>
          <w:sz w:val="8"/>
          <w:szCs w:val="8"/>
        </w:rPr>
      </w:pPr>
    </w:p>
    <w:p w:rsidR="008360FD" w:rsidRPr="000613BA" w:rsidRDefault="008360FD" w:rsidP="008360FD">
      <w:pPr>
        <w:jc w:val="both"/>
        <w:rPr>
          <w:color w:val="0070C0"/>
          <w:sz w:val="8"/>
          <w:szCs w:val="8"/>
          <w:highlight w:val="yellow"/>
        </w:rPr>
      </w:pPr>
    </w:p>
    <w:p w:rsidR="008360FD" w:rsidRPr="00B721C7" w:rsidRDefault="008360FD" w:rsidP="008360FD">
      <w:pPr>
        <w:ind w:firstLine="567"/>
        <w:jc w:val="both"/>
        <w:rPr>
          <w:color w:val="000000" w:themeColor="text1"/>
        </w:rPr>
      </w:pPr>
      <w:r w:rsidRPr="00B721C7">
        <w:rPr>
          <w:b/>
          <w:bCs/>
          <w:color w:val="000000" w:themeColor="text1"/>
        </w:rPr>
        <w:t>Други разходи по централния бюджет</w:t>
      </w:r>
      <w:r w:rsidRPr="00B721C7">
        <w:rPr>
          <w:color w:val="000000" w:themeColor="text1"/>
        </w:rPr>
        <w:t xml:space="preserve"> предназначени за: </w:t>
      </w:r>
    </w:p>
    <w:p w:rsidR="008360FD" w:rsidRPr="000613BA" w:rsidRDefault="008360FD" w:rsidP="008360FD">
      <w:pPr>
        <w:jc w:val="both"/>
        <w:rPr>
          <w:color w:val="0070C0"/>
          <w:sz w:val="8"/>
          <w:szCs w:val="8"/>
        </w:rPr>
      </w:pPr>
    </w:p>
    <w:p w:rsidR="00E7455D" w:rsidRPr="00140F18" w:rsidRDefault="008360FD" w:rsidP="00E7455D">
      <w:pPr>
        <w:numPr>
          <w:ilvl w:val="0"/>
          <w:numId w:val="5"/>
        </w:numPr>
        <w:tabs>
          <w:tab w:val="clear" w:pos="1440"/>
          <w:tab w:val="num" w:pos="360"/>
          <w:tab w:val="left" w:pos="851"/>
        </w:tabs>
        <w:ind w:left="0" w:firstLine="567"/>
        <w:jc w:val="both"/>
        <w:rPr>
          <w:color w:val="000000" w:themeColor="text1"/>
          <w:sz w:val="8"/>
          <w:szCs w:val="8"/>
        </w:rPr>
      </w:pPr>
      <w:r w:rsidRPr="00B721C7">
        <w:rPr>
          <w:i/>
          <w:color w:val="000000" w:themeColor="text1"/>
        </w:rPr>
        <w:t>Компенсиране на стойността на</w:t>
      </w:r>
      <w:r w:rsidR="007607CE" w:rsidRPr="00B721C7">
        <w:rPr>
          <w:i/>
          <w:color w:val="000000" w:themeColor="text1"/>
        </w:rPr>
        <w:t xml:space="preserve"> </w:t>
      </w:r>
      <w:r w:rsidR="007607CE" w:rsidRPr="00B721C7">
        <w:rPr>
          <w:bCs/>
          <w:i/>
          <w:color w:val="000000" w:themeColor="text1"/>
        </w:rPr>
        <w:t>намалените приходи от прилагането на цени за пътуване, предвидени в нормативни актове за определени категории пътници</w:t>
      </w:r>
      <w:r w:rsidRPr="00B721C7">
        <w:rPr>
          <w:i/>
          <w:color w:val="000000" w:themeColor="text1"/>
        </w:rPr>
        <w:t xml:space="preserve"> по железопътния и автомобилния транспорт със средства от държавния бюджет</w:t>
      </w:r>
      <w:r w:rsidRPr="00B721C7">
        <w:rPr>
          <w:color w:val="000000" w:themeColor="text1"/>
        </w:rPr>
        <w:t xml:space="preserve"> - </w:t>
      </w:r>
      <w:r w:rsidR="00FF7965" w:rsidRPr="00140F18">
        <w:rPr>
          <w:color w:val="000000" w:themeColor="text1"/>
        </w:rPr>
        <w:t xml:space="preserve">предвидените средства са общо в размер на </w:t>
      </w:r>
      <w:r w:rsidR="00AB44CD" w:rsidRPr="00140F18">
        <w:rPr>
          <w:color w:val="000000" w:themeColor="text1"/>
        </w:rPr>
        <w:t>10</w:t>
      </w:r>
      <w:r w:rsidR="00B721C7" w:rsidRPr="00140F18">
        <w:rPr>
          <w:color w:val="000000" w:themeColor="text1"/>
        </w:rPr>
        <w:t>9</w:t>
      </w:r>
      <w:r w:rsidR="00AB44CD" w:rsidRPr="00140F18">
        <w:rPr>
          <w:color w:val="000000" w:themeColor="text1"/>
        </w:rPr>
        <w:t>,</w:t>
      </w:r>
      <w:r w:rsidR="00B721C7" w:rsidRPr="00140F18">
        <w:rPr>
          <w:color w:val="000000" w:themeColor="text1"/>
        </w:rPr>
        <w:t>5</w:t>
      </w:r>
      <w:r w:rsidR="00FF7965" w:rsidRPr="00140F18">
        <w:rPr>
          <w:color w:val="000000" w:themeColor="text1"/>
        </w:rPr>
        <w:t xml:space="preserve"> млн. лв., от които </w:t>
      </w:r>
      <w:r w:rsidR="00140F18" w:rsidRPr="00140F18">
        <w:rPr>
          <w:color w:val="000000" w:themeColor="text1"/>
        </w:rPr>
        <w:t>40</w:t>
      </w:r>
      <w:r w:rsidR="00FF7965" w:rsidRPr="00140F18">
        <w:rPr>
          <w:color w:val="000000" w:themeColor="text1"/>
          <w:lang w:val="en-US"/>
        </w:rPr>
        <w:t>,</w:t>
      </w:r>
      <w:r w:rsidR="00140F18" w:rsidRPr="00140F18">
        <w:rPr>
          <w:color w:val="000000" w:themeColor="text1"/>
        </w:rPr>
        <w:t>0</w:t>
      </w:r>
      <w:r w:rsidR="00FF7965" w:rsidRPr="00140F18">
        <w:rPr>
          <w:color w:val="000000" w:themeColor="text1"/>
          <w:lang w:val="en-US"/>
        </w:rPr>
        <w:t xml:space="preserve"> </w:t>
      </w:r>
      <w:r w:rsidR="00FF7965" w:rsidRPr="00140F18">
        <w:rPr>
          <w:color w:val="000000" w:themeColor="text1"/>
        </w:rPr>
        <w:t xml:space="preserve">млн. лв. </w:t>
      </w:r>
      <w:r w:rsidR="00FF7965" w:rsidRPr="00140F18">
        <w:rPr>
          <w:noProof/>
          <w:color w:val="000000" w:themeColor="text1"/>
        </w:rPr>
        <w:t xml:space="preserve">за пътувания с вътрешноградския транспорт и междуселищния автомобилен транспорт, </w:t>
      </w:r>
      <w:r w:rsidR="00FE44CB">
        <w:rPr>
          <w:noProof/>
          <w:color w:val="000000" w:themeColor="text1"/>
        </w:rPr>
        <w:t>40</w:t>
      </w:r>
      <w:r w:rsidR="0010026D" w:rsidRPr="00140F18">
        <w:rPr>
          <w:noProof/>
          <w:color w:val="000000" w:themeColor="text1"/>
        </w:rPr>
        <w:t>,0</w:t>
      </w:r>
      <w:r w:rsidR="00FF7965" w:rsidRPr="00140F18">
        <w:rPr>
          <w:noProof/>
          <w:color w:val="000000" w:themeColor="text1"/>
        </w:rPr>
        <w:t xml:space="preserve"> млн. лв. за транспорт на деца и ученици по чл. 283, ал. 2 от Закона за предучилищното и училищното образование, 16,5 млн. лв. за превоз на служители, ползващи право на безплатно пътуване при изпълнение на служебните си задължения в съответствие със Закона за Министерството на вътрешните работи, </w:t>
      </w:r>
      <w:r w:rsidR="008575D8" w:rsidRPr="00140F18">
        <w:rPr>
          <w:noProof/>
          <w:color w:val="000000" w:themeColor="text1"/>
        </w:rPr>
        <w:t>Закона за изпълнение на наказанията и задържането под стража</w:t>
      </w:r>
      <w:r w:rsidR="008575D8">
        <w:rPr>
          <w:noProof/>
        </w:rPr>
        <w:t xml:space="preserve">, Закона </w:t>
      </w:r>
      <w:r w:rsidR="008575D8">
        <w:rPr>
          <w:noProof/>
        </w:rPr>
        <w:lastRenderedPageBreak/>
        <w:t xml:space="preserve">за съдебната власт, </w:t>
      </w:r>
      <w:r w:rsidR="008575D8" w:rsidRPr="00140F18">
        <w:rPr>
          <w:noProof/>
          <w:color w:val="000000" w:themeColor="text1"/>
        </w:rPr>
        <w:t>Закона за Държавна агенция „Национална сигурност“</w:t>
      </w:r>
      <w:r w:rsidR="008575D8">
        <w:rPr>
          <w:noProof/>
          <w:color w:val="000000" w:themeColor="text1"/>
        </w:rPr>
        <w:t xml:space="preserve">, </w:t>
      </w:r>
      <w:r w:rsidR="008575D8">
        <w:rPr>
          <w:noProof/>
        </w:rPr>
        <w:t>Закона за специалните разузнавателни средства, Закона за защита на класифицираната информация и Закона за противодействие на корупцията и за отнемане на незаконно придобитото имущество,</w:t>
      </w:r>
      <w:r w:rsidR="008575D8" w:rsidRPr="00140F18">
        <w:rPr>
          <w:noProof/>
          <w:color w:val="000000" w:themeColor="text1"/>
        </w:rPr>
        <w:t xml:space="preserve"> </w:t>
      </w:r>
      <w:r w:rsidR="00FF7965" w:rsidRPr="00140F18">
        <w:rPr>
          <w:noProof/>
          <w:color w:val="000000" w:themeColor="text1"/>
        </w:rPr>
        <w:t>и 1</w:t>
      </w:r>
      <w:r w:rsidR="00B721C7" w:rsidRPr="00140F18">
        <w:rPr>
          <w:noProof/>
          <w:color w:val="000000" w:themeColor="text1"/>
        </w:rPr>
        <w:t>3</w:t>
      </w:r>
      <w:r w:rsidR="00FF7965" w:rsidRPr="00140F18">
        <w:rPr>
          <w:noProof/>
          <w:color w:val="000000" w:themeColor="text1"/>
        </w:rPr>
        <w:t>,0 млн. лв. за пътувания с железопътния транспорт.</w:t>
      </w:r>
      <w:r w:rsidR="007B7497" w:rsidRPr="00140F18">
        <w:rPr>
          <w:color w:val="000000" w:themeColor="text1"/>
        </w:rPr>
        <w:t xml:space="preserve"> </w:t>
      </w:r>
      <w:r w:rsidR="00FF7965" w:rsidRPr="00140F18">
        <w:rPr>
          <w:noProof/>
          <w:color w:val="000000" w:themeColor="text1"/>
        </w:rPr>
        <w:t xml:space="preserve">Усвоените средства за </w:t>
      </w:r>
      <w:r w:rsidR="00BD3834" w:rsidRPr="00140F18">
        <w:rPr>
          <w:color w:val="000000" w:themeColor="text1"/>
        </w:rPr>
        <w:t>първ</w:t>
      </w:r>
      <w:r w:rsidR="00140F18" w:rsidRPr="00140F18">
        <w:rPr>
          <w:color w:val="000000" w:themeColor="text1"/>
        </w:rPr>
        <w:t xml:space="preserve">ото тримесечие на </w:t>
      </w:r>
      <w:r w:rsidR="00FF7965" w:rsidRPr="00140F18">
        <w:rPr>
          <w:noProof/>
          <w:color w:val="000000" w:themeColor="text1"/>
        </w:rPr>
        <w:t>201</w:t>
      </w:r>
      <w:r w:rsidR="00140F18" w:rsidRPr="00140F18">
        <w:rPr>
          <w:noProof/>
          <w:color w:val="000000" w:themeColor="text1"/>
        </w:rPr>
        <w:t>9</w:t>
      </w:r>
      <w:r w:rsidR="00FF7965" w:rsidRPr="00140F18">
        <w:rPr>
          <w:noProof/>
          <w:color w:val="000000" w:themeColor="text1"/>
        </w:rPr>
        <w:t xml:space="preserve"> г. са общо в размер на </w:t>
      </w:r>
      <w:r w:rsidR="00140F18" w:rsidRPr="00140F18">
        <w:rPr>
          <w:noProof/>
          <w:color w:val="000000" w:themeColor="text1"/>
        </w:rPr>
        <w:t>27</w:t>
      </w:r>
      <w:r w:rsidR="007B7497" w:rsidRPr="00140F18">
        <w:rPr>
          <w:noProof/>
          <w:color w:val="000000" w:themeColor="text1"/>
        </w:rPr>
        <w:t>,</w:t>
      </w:r>
      <w:r w:rsidR="00140F18" w:rsidRPr="00140F18">
        <w:rPr>
          <w:noProof/>
          <w:color w:val="000000" w:themeColor="text1"/>
        </w:rPr>
        <w:t>8</w:t>
      </w:r>
      <w:r w:rsidR="00FD3816" w:rsidRPr="00140F18">
        <w:rPr>
          <w:noProof/>
          <w:color w:val="000000" w:themeColor="text1"/>
        </w:rPr>
        <w:t xml:space="preserve"> млн. лв.</w:t>
      </w:r>
      <w:r w:rsidR="00FF7965" w:rsidRPr="00140F18">
        <w:rPr>
          <w:noProof/>
          <w:color w:val="000000" w:themeColor="text1"/>
        </w:rPr>
        <w:t xml:space="preserve"> или </w:t>
      </w:r>
      <w:r w:rsidR="00140F18" w:rsidRPr="00140F18">
        <w:rPr>
          <w:noProof/>
          <w:color w:val="000000" w:themeColor="text1"/>
        </w:rPr>
        <w:t>25</w:t>
      </w:r>
      <w:r w:rsidR="007B7497" w:rsidRPr="00140F18">
        <w:rPr>
          <w:noProof/>
          <w:color w:val="000000" w:themeColor="text1"/>
        </w:rPr>
        <w:t>,</w:t>
      </w:r>
      <w:r w:rsidR="00140F18" w:rsidRPr="00140F18">
        <w:rPr>
          <w:noProof/>
          <w:color w:val="000000" w:themeColor="text1"/>
        </w:rPr>
        <w:t>4</w:t>
      </w:r>
      <w:r w:rsidR="00FF7965" w:rsidRPr="00140F18">
        <w:rPr>
          <w:noProof/>
          <w:color w:val="000000" w:themeColor="text1"/>
        </w:rPr>
        <w:t xml:space="preserve"> на сто от годишн</w:t>
      </w:r>
      <w:r w:rsidR="00140F18" w:rsidRPr="00140F18">
        <w:rPr>
          <w:noProof/>
          <w:color w:val="000000" w:themeColor="text1"/>
        </w:rPr>
        <w:t>ия</w:t>
      </w:r>
      <w:r w:rsidR="00FF7965" w:rsidRPr="00140F18">
        <w:rPr>
          <w:noProof/>
          <w:color w:val="000000" w:themeColor="text1"/>
        </w:rPr>
        <w:t xml:space="preserve"> </w:t>
      </w:r>
      <w:r w:rsidR="00140F18" w:rsidRPr="00140F18">
        <w:rPr>
          <w:noProof/>
          <w:color w:val="000000" w:themeColor="text1"/>
        </w:rPr>
        <w:t>разчет</w:t>
      </w:r>
      <w:r w:rsidR="00FF7965" w:rsidRPr="00140F18">
        <w:rPr>
          <w:noProof/>
          <w:color w:val="000000" w:themeColor="text1"/>
        </w:rPr>
        <w:t>.</w:t>
      </w:r>
      <w:r w:rsidR="00E7455D" w:rsidRPr="00140F18">
        <w:rPr>
          <w:color w:val="000000" w:themeColor="text1"/>
        </w:rPr>
        <w:t xml:space="preserve"> </w:t>
      </w:r>
    </w:p>
    <w:p w:rsidR="00E7455D" w:rsidRPr="00140F18" w:rsidRDefault="00E7455D" w:rsidP="00E7455D">
      <w:pPr>
        <w:tabs>
          <w:tab w:val="left" w:pos="851"/>
        </w:tabs>
        <w:ind w:firstLine="567"/>
        <w:jc w:val="both"/>
        <w:rPr>
          <w:color w:val="000000" w:themeColor="text1"/>
        </w:rPr>
      </w:pPr>
      <w:r w:rsidRPr="00140F18">
        <w:rPr>
          <w:color w:val="000000" w:themeColor="text1"/>
        </w:rPr>
        <w:t xml:space="preserve">Усвоените средства </w:t>
      </w:r>
      <w:r w:rsidR="00410E96" w:rsidRPr="00140F18">
        <w:rPr>
          <w:color w:val="000000" w:themeColor="text1"/>
        </w:rPr>
        <w:t>към 3</w:t>
      </w:r>
      <w:r w:rsidR="00140F18" w:rsidRPr="00140F18">
        <w:rPr>
          <w:color w:val="000000" w:themeColor="text1"/>
        </w:rPr>
        <w:t>1</w:t>
      </w:r>
      <w:r w:rsidR="00410E96" w:rsidRPr="00140F18">
        <w:rPr>
          <w:color w:val="000000" w:themeColor="text1"/>
        </w:rPr>
        <w:t>.0</w:t>
      </w:r>
      <w:r w:rsidR="00140F18" w:rsidRPr="00140F18">
        <w:rPr>
          <w:color w:val="000000" w:themeColor="text1"/>
        </w:rPr>
        <w:t>3</w:t>
      </w:r>
      <w:r w:rsidR="00410E96" w:rsidRPr="00140F18">
        <w:rPr>
          <w:color w:val="000000" w:themeColor="text1"/>
        </w:rPr>
        <w:t>.201</w:t>
      </w:r>
      <w:r w:rsidR="00140F18" w:rsidRPr="00140F18">
        <w:rPr>
          <w:color w:val="000000" w:themeColor="text1"/>
        </w:rPr>
        <w:t>9</w:t>
      </w:r>
      <w:r w:rsidR="00410E96" w:rsidRPr="00140F18">
        <w:rPr>
          <w:color w:val="000000" w:themeColor="text1"/>
        </w:rPr>
        <w:t xml:space="preserve"> </w:t>
      </w:r>
      <w:r w:rsidRPr="00140F18">
        <w:rPr>
          <w:color w:val="000000" w:themeColor="text1"/>
        </w:rPr>
        <w:t xml:space="preserve">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140F18">
        <w:rPr>
          <w:noProof/>
          <w:color w:val="000000" w:themeColor="text1"/>
        </w:rPr>
        <w:t xml:space="preserve">вътрешноградски транспорт и междуселищен </w:t>
      </w:r>
      <w:r w:rsidRPr="00140F18">
        <w:rPr>
          <w:color w:val="000000" w:themeColor="text1"/>
        </w:rPr>
        <w:t xml:space="preserve">автомобилен транспорт или железопътен транспорт, съгласно ПМС № </w:t>
      </w:r>
      <w:r w:rsidR="00140F18" w:rsidRPr="00140F18">
        <w:rPr>
          <w:color w:val="000000" w:themeColor="text1"/>
        </w:rPr>
        <w:t>344</w:t>
      </w:r>
      <w:r w:rsidRPr="00140F18">
        <w:rPr>
          <w:color w:val="000000" w:themeColor="text1"/>
        </w:rPr>
        <w:t>/201</w:t>
      </w:r>
      <w:r w:rsidR="00140F18" w:rsidRPr="00140F18">
        <w:rPr>
          <w:color w:val="000000" w:themeColor="text1"/>
        </w:rPr>
        <w:t>8</w:t>
      </w:r>
      <w:r w:rsidRPr="00140F18">
        <w:rPr>
          <w:color w:val="000000" w:themeColor="text1"/>
        </w:rPr>
        <w:t xml:space="preserve"> г. за изпълнението на държавния бюджет на Република България за 201</w:t>
      </w:r>
      <w:r w:rsidR="00140F18" w:rsidRPr="00140F18">
        <w:rPr>
          <w:color w:val="000000" w:themeColor="text1"/>
        </w:rPr>
        <w:t>9</w:t>
      </w:r>
      <w:r w:rsidRPr="00140F18">
        <w:rPr>
          <w:color w:val="000000" w:themeColor="text1"/>
        </w:rPr>
        <w:t xml:space="preserve"> г., са както следва:</w:t>
      </w:r>
    </w:p>
    <w:p w:rsidR="00E7455D" w:rsidRPr="00140F18" w:rsidRDefault="00E7455D" w:rsidP="00E7455D">
      <w:pPr>
        <w:ind w:firstLine="567"/>
        <w:jc w:val="both"/>
        <w:rPr>
          <w:color w:val="000000" w:themeColor="text1"/>
        </w:rPr>
      </w:pPr>
      <w:r w:rsidRPr="00140F18">
        <w:rPr>
          <w:color w:val="000000" w:themeColor="text1"/>
        </w:rPr>
        <w:t xml:space="preserve">- компенсации за </w:t>
      </w:r>
      <w:r w:rsidR="009E6012" w:rsidRPr="00140F18">
        <w:rPr>
          <w:color w:val="000000" w:themeColor="text1"/>
        </w:rPr>
        <w:t xml:space="preserve">пътувания с </w:t>
      </w:r>
      <w:r w:rsidRPr="00140F18">
        <w:rPr>
          <w:color w:val="000000" w:themeColor="text1"/>
        </w:rPr>
        <w:t xml:space="preserve">железопътния транспорт в размер на </w:t>
      </w:r>
      <w:r w:rsidR="00140F18" w:rsidRPr="00140F18">
        <w:rPr>
          <w:color w:val="000000" w:themeColor="text1"/>
        </w:rPr>
        <w:t>1</w:t>
      </w:r>
      <w:r w:rsidRPr="00140F18">
        <w:rPr>
          <w:color w:val="000000" w:themeColor="text1"/>
        </w:rPr>
        <w:t>,</w:t>
      </w:r>
      <w:r w:rsidR="00140F18" w:rsidRPr="00140F18">
        <w:rPr>
          <w:color w:val="000000" w:themeColor="text1"/>
        </w:rPr>
        <w:t>3</w:t>
      </w:r>
      <w:r w:rsidRPr="00140F18">
        <w:rPr>
          <w:color w:val="000000" w:themeColor="text1"/>
        </w:rPr>
        <w:t xml:space="preserve"> млн. лв.,  </w:t>
      </w:r>
      <w:r w:rsidR="00085704">
        <w:rPr>
          <w:color w:val="000000" w:themeColor="text1"/>
        </w:rPr>
        <w:t>което е</w:t>
      </w:r>
      <w:r w:rsidR="00085704" w:rsidRPr="00140F18">
        <w:rPr>
          <w:color w:val="000000" w:themeColor="text1"/>
        </w:rPr>
        <w:t xml:space="preserve"> </w:t>
      </w:r>
      <w:r w:rsidR="00140F18" w:rsidRPr="00140F18">
        <w:rPr>
          <w:color w:val="000000" w:themeColor="text1"/>
        </w:rPr>
        <w:t>10</w:t>
      </w:r>
      <w:r w:rsidRPr="00140F18">
        <w:rPr>
          <w:color w:val="000000" w:themeColor="text1"/>
        </w:rPr>
        <w:t>,</w:t>
      </w:r>
      <w:r w:rsidR="00140F18" w:rsidRPr="00140F18">
        <w:rPr>
          <w:color w:val="000000" w:themeColor="text1"/>
        </w:rPr>
        <w:t>1</w:t>
      </w:r>
      <w:r w:rsidRPr="00140F18">
        <w:rPr>
          <w:color w:val="000000" w:themeColor="text1"/>
        </w:rPr>
        <w:t xml:space="preserve"> на сто от утвърдения годишен план; </w:t>
      </w:r>
    </w:p>
    <w:p w:rsidR="00E7455D" w:rsidRPr="00140F18" w:rsidRDefault="00E7455D" w:rsidP="00E7455D">
      <w:pPr>
        <w:tabs>
          <w:tab w:val="left" w:pos="540"/>
          <w:tab w:val="left" w:pos="709"/>
        </w:tabs>
        <w:ind w:firstLine="567"/>
        <w:jc w:val="both"/>
        <w:rPr>
          <w:noProof/>
          <w:color w:val="000000" w:themeColor="text1"/>
        </w:rPr>
      </w:pPr>
      <w:r w:rsidRPr="00140F18">
        <w:rPr>
          <w:noProof/>
          <w:color w:val="000000" w:themeColor="text1"/>
        </w:rPr>
        <w:t xml:space="preserve">- компенсации за </w:t>
      </w:r>
      <w:r w:rsidR="00FD1298" w:rsidRPr="00140F18">
        <w:rPr>
          <w:noProof/>
          <w:color w:val="000000" w:themeColor="text1"/>
        </w:rPr>
        <w:t>пътувания с</w:t>
      </w:r>
      <w:r w:rsidRPr="00140F18">
        <w:rPr>
          <w:noProof/>
          <w:color w:val="000000" w:themeColor="text1"/>
        </w:rPr>
        <w:t xml:space="preserve"> вътрешноградски транспорт и междуселищния автомобилен транспорт в страната, предоставени чрез Системата за електронни бюджетни разплащания – </w:t>
      </w:r>
      <w:r w:rsidR="00140F18" w:rsidRPr="00140F18">
        <w:rPr>
          <w:noProof/>
          <w:color w:val="000000" w:themeColor="text1"/>
        </w:rPr>
        <w:t>26</w:t>
      </w:r>
      <w:r w:rsidR="00F14FD5" w:rsidRPr="00140F18">
        <w:rPr>
          <w:noProof/>
          <w:color w:val="000000" w:themeColor="text1"/>
        </w:rPr>
        <w:t>,</w:t>
      </w:r>
      <w:r w:rsidR="00140F18" w:rsidRPr="00140F18">
        <w:rPr>
          <w:noProof/>
          <w:color w:val="000000" w:themeColor="text1"/>
        </w:rPr>
        <w:t>5</w:t>
      </w:r>
      <w:r w:rsidRPr="00140F18">
        <w:rPr>
          <w:noProof/>
          <w:color w:val="000000" w:themeColor="text1"/>
        </w:rPr>
        <w:t xml:space="preserve"> млн. лв., което е </w:t>
      </w:r>
      <w:r w:rsidR="00140F18" w:rsidRPr="00140F18">
        <w:rPr>
          <w:noProof/>
          <w:color w:val="000000" w:themeColor="text1"/>
        </w:rPr>
        <w:t>2</w:t>
      </w:r>
      <w:r w:rsidR="00AF5E98" w:rsidRPr="00140F18">
        <w:rPr>
          <w:noProof/>
          <w:color w:val="000000" w:themeColor="text1"/>
        </w:rPr>
        <w:t>7</w:t>
      </w:r>
      <w:r w:rsidR="009463C3" w:rsidRPr="00140F18">
        <w:rPr>
          <w:noProof/>
          <w:color w:val="000000" w:themeColor="text1"/>
        </w:rPr>
        <w:t>,</w:t>
      </w:r>
      <w:r w:rsidR="00140F18" w:rsidRPr="00140F18">
        <w:rPr>
          <w:noProof/>
          <w:color w:val="000000" w:themeColor="text1"/>
        </w:rPr>
        <w:t>5</w:t>
      </w:r>
      <w:r w:rsidRPr="00140F18">
        <w:rPr>
          <w:noProof/>
          <w:color w:val="000000" w:themeColor="text1"/>
        </w:rPr>
        <w:t xml:space="preserve"> на сто от </w:t>
      </w:r>
      <w:r w:rsidR="00140F18" w:rsidRPr="00140F18">
        <w:rPr>
          <w:color w:val="000000" w:themeColor="text1"/>
        </w:rPr>
        <w:t>утвърдения</w:t>
      </w:r>
      <w:r w:rsidR="00140F18" w:rsidRPr="00140F18">
        <w:rPr>
          <w:noProof/>
          <w:color w:val="000000" w:themeColor="text1"/>
        </w:rPr>
        <w:t xml:space="preserve"> </w:t>
      </w:r>
      <w:r w:rsidRPr="00140F18">
        <w:rPr>
          <w:noProof/>
          <w:color w:val="000000" w:themeColor="text1"/>
        </w:rPr>
        <w:t xml:space="preserve">годишен план. </w:t>
      </w:r>
    </w:p>
    <w:p w:rsidR="00E7455D" w:rsidRPr="00140F18" w:rsidRDefault="00E7455D" w:rsidP="00E7455D">
      <w:pPr>
        <w:ind w:firstLine="567"/>
        <w:jc w:val="both"/>
        <w:rPr>
          <w:noProof/>
          <w:color w:val="000000" w:themeColor="text1"/>
        </w:rPr>
      </w:pPr>
      <w:r w:rsidRPr="00140F18">
        <w:rPr>
          <w:noProof/>
          <w:color w:val="000000" w:themeColor="text1"/>
        </w:rPr>
        <w:t xml:space="preserve">Усвоените средства за </w:t>
      </w:r>
      <w:r w:rsidRPr="00140F18">
        <w:rPr>
          <w:color w:val="000000" w:themeColor="text1"/>
        </w:rPr>
        <w:t>компенсиране на намалените приходи от прилагането на цени за пътуване, предвидени в нормативни актове за определени категории пътници,</w:t>
      </w:r>
      <w:r w:rsidRPr="00140F18">
        <w:rPr>
          <w:noProof/>
          <w:color w:val="000000" w:themeColor="text1"/>
        </w:rPr>
        <w:t xml:space="preserve"> по вътрешноградския транспорт и междуселищния автомобилен транспорт за </w:t>
      </w:r>
      <w:r w:rsidR="00140F18" w:rsidRPr="00140F18">
        <w:rPr>
          <w:noProof/>
          <w:color w:val="000000" w:themeColor="text1"/>
        </w:rPr>
        <w:t xml:space="preserve">първото тримисечие </w:t>
      </w:r>
      <w:r w:rsidRPr="00140F18">
        <w:rPr>
          <w:noProof/>
          <w:color w:val="000000" w:themeColor="text1"/>
        </w:rPr>
        <w:t>на 201</w:t>
      </w:r>
      <w:r w:rsidR="00140F18" w:rsidRPr="00140F18">
        <w:rPr>
          <w:noProof/>
          <w:color w:val="000000" w:themeColor="text1"/>
        </w:rPr>
        <w:t>9</w:t>
      </w:r>
      <w:r w:rsidRPr="00140F18">
        <w:rPr>
          <w:noProof/>
          <w:color w:val="000000" w:themeColor="text1"/>
        </w:rPr>
        <w:t xml:space="preserve"> г., диференцирани по групи правоимащи лица и размер на намалението спрямо редовната цена, са както следва:</w:t>
      </w:r>
    </w:p>
    <w:p w:rsidR="00E7455D" w:rsidRPr="00140F18" w:rsidRDefault="00E7455D" w:rsidP="00E7455D">
      <w:pPr>
        <w:pStyle w:val="BodyTextIndent"/>
        <w:spacing w:after="0"/>
        <w:ind w:left="0" w:firstLine="567"/>
        <w:jc w:val="both"/>
        <w:rPr>
          <w:color w:val="000000" w:themeColor="text1"/>
        </w:rPr>
      </w:pPr>
      <w:r w:rsidRPr="00140F18">
        <w:rPr>
          <w:color w:val="000000" w:themeColor="text1"/>
        </w:rPr>
        <w:t xml:space="preserve">- </w:t>
      </w:r>
      <w:r w:rsidR="00140F18" w:rsidRPr="00140F18">
        <w:rPr>
          <w:color w:val="000000" w:themeColor="text1"/>
        </w:rPr>
        <w:t>1</w:t>
      </w:r>
      <w:r w:rsidR="0059381A" w:rsidRPr="00140F18">
        <w:rPr>
          <w:color w:val="000000" w:themeColor="text1"/>
        </w:rPr>
        <w:t>2,</w:t>
      </w:r>
      <w:r w:rsidR="00140F18" w:rsidRPr="00140F18">
        <w:rPr>
          <w:color w:val="000000" w:themeColor="text1"/>
        </w:rPr>
        <w:t>9</w:t>
      </w:r>
      <w:r w:rsidRPr="00140F18">
        <w:rPr>
          <w:color w:val="000000" w:themeColor="text1"/>
          <w:lang w:val="en-US"/>
        </w:rPr>
        <w:t xml:space="preserve"> </w:t>
      </w:r>
      <w:r w:rsidRPr="00140F18">
        <w:rPr>
          <w:color w:val="000000" w:themeColor="text1"/>
        </w:rPr>
        <w:t xml:space="preserve">млн. лв. за транспорт на деца и ученици в съответствие с чл. 283, ал. 2 от Закона за предучилищното и училищното образование, което е </w:t>
      </w:r>
      <w:r w:rsidR="00140F18" w:rsidRPr="00140F18">
        <w:rPr>
          <w:color w:val="000000" w:themeColor="text1"/>
        </w:rPr>
        <w:t>32</w:t>
      </w:r>
      <w:r w:rsidR="0059381A" w:rsidRPr="00140F18">
        <w:rPr>
          <w:color w:val="000000" w:themeColor="text1"/>
        </w:rPr>
        <w:t>,</w:t>
      </w:r>
      <w:r w:rsidR="00140F18" w:rsidRPr="00140F18">
        <w:rPr>
          <w:color w:val="000000" w:themeColor="text1"/>
        </w:rPr>
        <w:t>3</w:t>
      </w:r>
      <w:r w:rsidRPr="00140F18">
        <w:rPr>
          <w:color w:val="000000" w:themeColor="text1"/>
        </w:rPr>
        <w:t xml:space="preserve"> на сто от ут</w:t>
      </w:r>
      <w:r w:rsidR="00140F18" w:rsidRPr="00140F18">
        <w:rPr>
          <w:color w:val="000000" w:themeColor="text1"/>
        </w:rPr>
        <w:t>върдения</w:t>
      </w:r>
      <w:r w:rsidRPr="00140F18">
        <w:rPr>
          <w:color w:val="000000" w:themeColor="text1"/>
        </w:rPr>
        <w:t xml:space="preserve"> годишен план; </w:t>
      </w:r>
    </w:p>
    <w:p w:rsidR="00E7455D" w:rsidRPr="00140F18" w:rsidRDefault="00E7455D" w:rsidP="00E7455D">
      <w:pPr>
        <w:pStyle w:val="BodyTextIndent"/>
        <w:tabs>
          <w:tab w:val="left" w:pos="1026"/>
        </w:tabs>
        <w:spacing w:after="0"/>
        <w:ind w:left="0" w:firstLine="567"/>
        <w:jc w:val="both"/>
        <w:rPr>
          <w:color w:val="000000" w:themeColor="text1"/>
        </w:rPr>
      </w:pPr>
      <w:r w:rsidRPr="00140F18">
        <w:rPr>
          <w:color w:val="000000" w:themeColor="text1"/>
        </w:rPr>
        <w:t xml:space="preserve">- </w:t>
      </w:r>
      <w:r w:rsidR="00140F18" w:rsidRPr="00140F18">
        <w:rPr>
          <w:color w:val="000000" w:themeColor="text1"/>
        </w:rPr>
        <w:t>13</w:t>
      </w:r>
      <w:r w:rsidR="006A2C78" w:rsidRPr="00140F18">
        <w:rPr>
          <w:color w:val="000000" w:themeColor="text1"/>
        </w:rPr>
        <w:t>,</w:t>
      </w:r>
      <w:r w:rsidR="00140F18" w:rsidRPr="00140F18">
        <w:rPr>
          <w:color w:val="000000" w:themeColor="text1"/>
        </w:rPr>
        <w:t>6</w:t>
      </w:r>
      <w:r w:rsidRPr="00140F18">
        <w:rPr>
          <w:color w:val="000000" w:themeColor="text1"/>
        </w:rPr>
        <w:t xml:space="preserve"> млн. лв. за безплатни и по намалени цени пътувания</w:t>
      </w:r>
      <w:r w:rsidR="00140F18" w:rsidRPr="00140F18">
        <w:rPr>
          <w:color w:val="000000" w:themeColor="text1"/>
        </w:rPr>
        <w:t xml:space="preserve"> по общини</w:t>
      </w:r>
      <w:r w:rsidRPr="00140F18">
        <w:rPr>
          <w:color w:val="000000" w:themeColor="text1"/>
        </w:rPr>
        <w:t xml:space="preserve">. Следва да се има предвид, че по пътя на изпълнението тези разходи се отчитат като текущи трансфери, обезщетения и помощи за домакинствата по бюджетите на общините. Изпълнението спрямо годишния план е </w:t>
      </w:r>
      <w:r w:rsidR="00140F18" w:rsidRPr="00140F18">
        <w:rPr>
          <w:color w:val="000000" w:themeColor="text1"/>
        </w:rPr>
        <w:t>24</w:t>
      </w:r>
      <w:r w:rsidR="006A2C78" w:rsidRPr="00140F18">
        <w:rPr>
          <w:color w:val="000000" w:themeColor="text1"/>
        </w:rPr>
        <w:t>,</w:t>
      </w:r>
      <w:r w:rsidR="00140F18" w:rsidRPr="00140F18">
        <w:rPr>
          <w:color w:val="000000" w:themeColor="text1"/>
        </w:rPr>
        <w:t>0</w:t>
      </w:r>
      <w:r w:rsidRPr="00140F18">
        <w:rPr>
          <w:color w:val="000000" w:themeColor="text1"/>
        </w:rPr>
        <w:t xml:space="preserve"> на сто, в това число:</w:t>
      </w:r>
    </w:p>
    <w:p w:rsidR="00E7455D" w:rsidRPr="00202CDB" w:rsidRDefault="00140F18" w:rsidP="00E7455D">
      <w:pPr>
        <w:numPr>
          <w:ilvl w:val="0"/>
          <w:numId w:val="20"/>
        </w:numPr>
        <w:tabs>
          <w:tab w:val="left" w:pos="993"/>
        </w:tabs>
        <w:ind w:hanging="275"/>
        <w:jc w:val="both"/>
        <w:rPr>
          <w:color w:val="000000" w:themeColor="text1"/>
        </w:rPr>
      </w:pPr>
      <w:r w:rsidRPr="00202CDB">
        <w:rPr>
          <w:color w:val="000000" w:themeColor="text1"/>
        </w:rPr>
        <w:t>10</w:t>
      </w:r>
      <w:r w:rsidR="00ED79B4" w:rsidRPr="00202CDB">
        <w:rPr>
          <w:color w:val="000000" w:themeColor="text1"/>
        </w:rPr>
        <w:t>,</w:t>
      </w:r>
      <w:r w:rsidRPr="00202CDB">
        <w:rPr>
          <w:color w:val="000000" w:themeColor="text1"/>
        </w:rPr>
        <w:t>0</w:t>
      </w:r>
      <w:r w:rsidR="00E7455D" w:rsidRPr="00202CDB">
        <w:rPr>
          <w:color w:val="000000" w:themeColor="text1"/>
        </w:rPr>
        <w:t xml:space="preserve"> млн. лв. за безплатни пътувания на деца до седемгодишна възраст, ветерани от войните, военноинвалиди и военнопострадали,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w:t>
      </w:r>
      <w:r w:rsidRPr="00202CDB">
        <w:rPr>
          <w:color w:val="000000" w:themeColor="text1"/>
        </w:rPr>
        <w:t>2</w:t>
      </w:r>
      <w:r w:rsidR="00AF5E98" w:rsidRPr="00202CDB">
        <w:rPr>
          <w:color w:val="000000" w:themeColor="text1"/>
        </w:rPr>
        <w:t>5</w:t>
      </w:r>
      <w:r w:rsidR="00E7455D" w:rsidRPr="00202CDB">
        <w:rPr>
          <w:color w:val="000000" w:themeColor="text1"/>
        </w:rPr>
        <w:t>,</w:t>
      </w:r>
      <w:r w:rsidRPr="00202CDB">
        <w:rPr>
          <w:color w:val="000000" w:themeColor="text1"/>
        </w:rPr>
        <w:t>0</w:t>
      </w:r>
      <w:r w:rsidR="00E7455D" w:rsidRPr="00202CDB">
        <w:rPr>
          <w:color w:val="000000" w:themeColor="text1"/>
        </w:rPr>
        <w:t xml:space="preserve"> на сто спрямо утвърдения годишен план; </w:t>
      </w:r>
    </w:p>
    <w:p w:rsidR="008360FD" w:rsidRPr="00202CDB" w:rsidRDefault="00140F18" w:rsidP="00E7455D">
      <w:pPr>
        <w:numPr>
          <w:ilvl w:val="0"/>
          <w:numId w:val="20"/>
        </w:numPr>
        <w:tabs>
          <w:tab w:val="num" w:pos="360"/>
          <w:tab w:val="left" w:pos="993"/>
        </w:tabs>
        <w:ind w:hanging="275"/>
        <w:jc w:val="both"/>
        <w:rPr>
          <w:color w:val="000000" w:themeColor="text1"/>
        </w:rPr>
      </w:pPr>
      <w:r w:rsidRPr="00202CDB">
        <w:rPr>
          <w:color w:val="000000" w:themeColor="text1"/>
        </w:rPr>
        <w:t>3</w:t>
      </w:r>
      <w:r w:rsidR="0028636E" w:rsidRPr="00202CDB">
        <w:rPr>
          <w:color w:val="000000" w:themeColor="text1"/>
        </w:rPr>
        <w:t>,</w:t>
      </w:r>
      <w:r w:rsidRPr="00202CDB">
        <w:rPr>
          <w:color w:val="000000" w:themeColor="text1"/>
        </w:rPr>
        <w:t>6</w:t>
      </w:r>
      <w:r w:rsidR="00E7455D" w:rsidRPr="00202CDB">
        <w:rPr>
          <w:color w:val="000000" w:themeColor="text1"/>
        </w:rPr>
        <w:t xml:space="preserve"> млн. лв. за превоз на служители, ползващи право на безплатно пътуване при изпълнение на служебните си задължения в съответствие със Закона за Министерството на вътрешните работи, Закона за изпълнение на наказанията и задържането под </w:t>
      </w:r>
      <w:r w:rsidR="00202CDB" w:rsidRPr="00202CDB">
        <w:rPr>
          <w:color w:val="000000" w:themeColor="text1"/>
        </w:rPr>
        <w:t>стража</w:t>
      </w:r>
      <w:r w:rsidR="00202CDB" w:rsidRPr="00202CDB">
        <w:rPr>
          <w:noProof/>
          <w:color w:val="000000" w:themeColor="text1"/>
        </w:rPr>
        <w:t>, Закона за съдебната власт, Закона за Държавна агенция „Национална сигурност“, Закона за специалните разузнавателни средства, Закона за защита на класифицираната информация и Закона за противодействие на корупцията и за отнемане на незаконно придобитото имущество</w:t>
      </w:r>
      <w:r w:rsidR="00E7455D" w:rsidRPr="00202CDB">
        <w:rPr>
          <w:color w:val="000000" w:themeColor="text1"/>
        </w:rPr>
        <w:t xml:space="preserve">, което е </w:t>
      </w:r>
      <w:r w:rsidR="00202CDB" w:rsidRPr="00202CDB">
        <w:rPr>
          <w:color w:val="000000" w:themeColor="text1"/>
        </w:rPr>
        <w:t>21</w:t>
      </w:r>
      <w:r w:rsidR="00E7455D" w:rsidRPr="00202CDB">
        <w:rPr>
          <w:color w:val="000000" w:themeColor="text1"/>
        </w:rPr>
        <w:t>,</w:t>
      </w:r>
      <w:r w:rsidR="00202CDB" w:rsidRPr="00202CDB">
        <w:rPr>
          <w:color w:val="000000" w:themeColor="text1"/>
        </w:rPr>
        <w:t>7</w:t>
      </w:r>
      <w:r w:rsidR="00E7455D" w:rsidRPr="00202CDB">
        <w:rPr>
          <w:color w:val="000000" w:themeColor="text1"/>
        </w:rPr>
        <w:t xml:space="preserve"> от годишн</w:t>
      </w:r>
      <w:r w:rsidR="00202CDB" w:rsidRPr="00202CDB">
        <w:rPr>
          <w:color w:val="000000" w:themeColor="text1"/>
        </w:rPr>
        <w:t>ия</w:t>
      </w:r>
      <w:r w:rsidR="00E7455D" w:rsidRPr="00202CDB">
        <w:rPr>
          <w:color w:val="000000" w:themeColor="text1"/>
        </w:rPr>
        <w:t xml:space="preserve"> план.</w:t>
      </w:r>
    </w:p>
    <w:p w:rsidR="00333B5E" w:rsidRPr="000613BA" w:rsidRDefault="00333B5E" w:rsidP="00333B5E">
      <w:pPr>
        <w:jc w:val="both"/>
        <w:rPr>
          <w:color w:val="0070C0"/>
          <w:sz w:val="12"/>
          <w:szCs w:val="12"/>
        </w:rPr>
      </w:pPr>
    </w:p>
    <w:p w:rsidR="00994F58" w:rsidRPr="00303BB4" w:rsidRDefault="00994F58" w:rsidP="00994F58">
      <w:pPr>
        <w:numPr>
          <w:ilvl w:val="0"/>
          <w:numId w:val="7"/>
        </w:numPr>
        <w:spacing w:after="120"/>
        <w:ind w:left="0" w:firstLine="360"/>
        <w:jc w:val="both"/>
        <w:rPr>
          <w:b/>
        </w:rPr>
      </w:pPr>
      <w:r w:rsidRPr="00303BB4">
        <w:rPr>
          <w:b/>
        </w:rPr>
        <w:t xml:space="preserve">Разходи за лихви </w:t>
      </w:r>
    </w:p>
    <w:p w:rsidR="00303BB4" w:rsidRPr="00456B43" w:rsidRDefault="00303BB4" w:rsidP="00303BB4">
      <w:pPr>
        <w:spacing w:after="120"/>
        <w:jc w:val="both"/>
        <w:rPr>
          <w:color w:val="4F81BD" w:themeColor="accent1"/>
        </w:rPr>
      </w:pPr>
      <w:r w:rsidRPr="00BA1E1E">
        <w:rPr>
          <w:b/>
        </w:rPr>
        <w:t xml:space="preserve">Лихвените плащания </w:t>
      </w:r>
      <w:r w:rsidRPr="00BA1E1E">
        <w:t xml:space="preserve">по държавния бюджет към 31.03.2019 г. са в общ размер на </w:t>
      </w:r>
      <w:r w:rsidRPr="00BA1E1E">
        <w:rPr>
          <w:b/>
        </w:rPr>
        <w:t>367,5 млн. лв</w:t>
      </w:r>
      <w:r w:rsidRPr="00BA1E1E">
        <w:t>. или 58,0 % от предвидените в годишните разчети</w:t>
      </w:r>
      <w:r w:rsidRPr="00456B43">
        <w:rPr>
          <w:color w:val="4F81BD" w:themeColor="accent1"/>
        </w:rPr>
        <w:t xml:space="preserve">. </w:t>
      </w:r>
    </w:p>
    <w:p w:rsidR="00303BB4" w:rsidRPr="00456B43" w:rsidRDefault="00303BB4" w:rsidP="00303BB4">
      <w:pPr>
        <w:spacing w:after="120"/>
        <w:jc w:val="both"/>
        <w:rPr>
          <w:color w:val="4F81BD" w:themeColor="accent1"/>
        </w:rPr>
      </w:pPr>
      <w:r w:rsidRPr="00BA1E1E">
        <w:t xml:space="preserve">Разходите за </w:t>
      </w:r>
      <w:r w:rsidRPr="00BA1E1E">
        <w:rPr>
          <w:b/>
        </w:rPr>
        <w:t>лихви по външ</w:t>
      </w:r>
      <w:r w:rsidRPr="005D7F12">
        <w:rPr>
          <w:b/>
        </w:rPr>
        <w:t>ни заеми</w:t>
      </w:r>
      <w:r w:rsidRPr="005D7F12">
        <w:t xml:space="preserve"> са в размер на </w:t>
      </w:r>
      <w:r w:rsidRPr="005D7F12">
        <w:rPr>
          <w:b/>
        </w:rPr>
        <w:t>255,3 млн. лв.,</w:t>
      </w:r>
      <w:r w:rsidRPr="005D7F12">
        <w:t xml:space="preserve"> </w:t>
      </w:r>
      <w:r w:rsidRPr="00F9394B">
        <w:t xml:space="preserve">в т.ч. </w:t>
      </w:r>
      <w:r>
        <w:t>247,2</w:t>
      </w:r>
      <w:r w:rsidRPr="00F9394B">
        <w:t xml:space="preserve"> млн. лв. по </w:t>
      </w:r>
      <w:r w:rsidRPr="004F527D">
        <w:t xml:space="preserve">централния бюджет. Разходите за лихви по ДИЗ, управлявани от министерства и ведомства са в размер на </w:t>
      </w:r>
      <w:r>
        <w:t>8,0</w:t>
      </w:r>
      <w:r w:rsidRPr="004F527D">
        <w:t xml:space="preserve"> млн. лв.</w:t>
      </w:r>
      <w:r>
        <w:t xml:space="preserve"> </w:t>
      </w:r>
      <w:r w:rsidRPr="00D86074">
        <w:t>П</w:t>
      </w:r>
      <w:r>
        <w:t xml:space="preserve">о заемите с краен бенефициент </w:t>
      </w:r>
      <w:r w:rsidRPr="00D86074">
        <w:t>търговско дружество</w:t>
      </w:r>
      <w:r>
        <w:t xml:space="preserve"> </w:t>
      </w:r>
      <w:r w:rsidRPr="00D86074">
        <w:t xml:space="preserve">няма извършени </w:t>
      </w:r>
      <w:r>
        <w:t>плащания.</w:t>
      </w:r>
      <w:r w:rsidRPr="005D7F12">
        <w:t xml:space="preserve"> </w:t>
      </w:r>
    </w:p>
    <w:p w:rsidR="00303BB4" w:rsidRPr="00FC3C10" w:rsidRDefault="00303BB4" w:rsidP="00303BB4">
      <w:pPr>
        <w:spacing w:after="120"/>
        <w:jc w:val="both"/>
        <w:rPr>
          <w:b/>
        </w:rPr>
      </w:pPr>
      <w:r w:rsidRPr="00FC3C10">
        <w:t>През отчетния период не са използвани средства, предвидени за покриване на риска от активиране на държавни гаранции.</w:t>
      </w:r>
      <w:r w:rsidRPr="00FC3C10">
        <w:rPr>
          <w:b/>
        </w:rPr>
        <w:t xml:space="preserve"> </w:t>
      </w:r>
    </w:p>
    <w:p w:rsidR="00303BB4" w:rsidRPr="00FC3C10" w:rsidRDefault="00303BB4" w:rsidP="00303BB4">
      <w:pPr>
        <w:spacing w:after="120"/>
        <w:jc w:val="both"/>
        <w:rPr>
          <w:color w:val="4F81BD" w:themeColor="accent1"/>
        </w:rPr>
      </w:pPr>
      <w:r w:rsidRPr="00BA1E1E">
        <w:rPr>
          <w:b/>
        </w:rPr>
        <w:lastRenderedPageBreak/>
        <w:t>Лихвите по вътрешни заеми</w:t>
      </w:r>
      <w:r w:rsidRPr="00BA1E1E">
        <w:t xml:space="preserve"> по държавния бюджет </w:t>
      </w:r>
      <w:r w:rsidRPr="00BA1E1E">
        <w:rPr>
          <w:bCs/>
        </w:rPr>
        <w:t xml:space="preserve">към март </w:t>
      </w:r>
      <w:r w:rsidRPr="00BA1E1E">
        <w:t xml:space="preserve">2019 г. са в размер на </w:t>
      </w:r>
      <w:r w:rsidRPr="00BA1E1E">
        <w:rPr>
          <w:b/>
        </w:rPr>
        <w:t>112,2</w:t>
      </w:r>
      <w:r w:rsidRPr="00BA1E1E">
        <w:rPr>
          <w:rFonts w:eastAsia="Calibri"/>
          <w:b/>
        </w:rPr>
        <w:t> </w:t>
      </w:r>
      <w:r w:rsidRPr="00BA1E1E">
        <w:rPr>
          <w:b/>
        </w:rPr>
        <w:t>млн. лв.</w:t>
      </w:r>
      <w:r w:rsidRPr="00BA1E1E">
        <w:t xml:space="preserve"> </w:t>
      </w:r>
      <w:r w:rsidRPr="00FC3C10">
        <w:t xml:space="preserve">и представляват лихви по емисии на ДЦК на вътрешния пазар. Платените лихви и отстъпки по ДЦК, емитирани на </w:t>
      </w:r>
      <w:proofErr w:type="spellStart"/>
      <w:r w:rsidRPr="00FC3C10">
        <w:t>аукционен</w:t>
      </w:r>
      <w:proofErr w:type="spellEnd"/>
      <w:r w:rsidRPr="00FC3C10">
        <w:t xml:space="preserve"> принцип са в размер на 112,0 млн. лв., лихвите по ДЦК, емитирани за структурната реформа – 0,2 млн. лв</w:t>
      </w:r>
      <w:r w:rsidRPr="00FC3C10">
        <w:rPr>
          <w:color w:val="4F81BD" w:themeColor="accent1"/>
        </w:rPr>
        <w:t>.</w:t>
      </w:r>
    </w:p>
    <w:p w:rsidR="00994F58" w:rsidRPr="00AB1878" w:rsidRDefault="00994F58" w:rsidP="00994F58">
      <w:pPr>
        <w:numPr>
          <w:ilvl w:val="0"/>
          <w:numId w:val="6"/>
        </w:numPr>
        <w:tabs>
          <w:tab w:val="clear" w:pos="700"/>
          <w:tab w:val="num" w:pos="142"/>
          <w:tab w:val="left" w:pos="426"/>
        </w:tabs>
        <w:spacing w:before="120"/>
        <w:ind w:left="0" w:firstLine="0"/>
        <w:jc w:val="both"/>
        <w:rPr>
          <w:b/>
          <w:bCs/>
        </w:rPr>
      </w:pPr>
      <w:r w:rsidRPr="00AB1878">
        <w:rPr>
          <w:b/>
          <w:bCs/>
        </w:rPr>
        <w:t>Нетният размер на трансферите по държавния бюджет</w:t>
      </w:r>
      <w:r w:rsidRPr="00AB1878">
        <w:rPr>
          <w:bCs/>
        </w:rPr>
        <w:t xml:space="preserve"> към </w:t>
      </w:r>
      <w:r w:rsidR="00AB1878" w:rsidRPr="00AB1878">
        <w:rPr>
          <w:bCs/>
        </w:rPr>
        <w:t>март</w:t>
      </w:r>
      <w:r w:rsidRPr="00AB1878">
        <w:rPr>
          <w:bCs/>
        </w:rPr>
        <w:t xml:space="preserve"> </w:t>
      </w:r>
      <w:r w:rsidRPr="00AB1878">
        <w:t>201</w:t>
      </w:r>
      <w:r w:rsidR="00AB1878" w:rsidRPr="00AB1878">
        <w:t>9</w:t>
      </w:r>
      <w:r w:rsidRPr="00AB1878">
        <w:t xml:space="preserve"> г.</w:t>
      </w:r>
      <w:r w:rsidRPr="00AB1878">
        <w:rPr>
          <w:bCs/>
        </w:rPr>
        <w:t xml:space="preserve"> е</w:t>
      </w:r>
      <w:r w:rsidRPr="00AB1878">
        <w:rPr>
          <w:b/>
          <w:bCs/>
        </w:rPr>
        <w:t xml:space="preserve"> </w:t>
      </w:r>
      <w:r w:rsidR="00AB1878" w:rsidRPr="00AB1878">
        <w:rPr>
          <w:b/>
          <w:bCs/>
        </w:rPr>
        <w:t>2 747,1 </w:t>
      </w:r>
      <w:r w:rsidRPr="00AB1878">
        <w:rPr>
          <w:b/>
          <w:bCs/>
        </w:rPr>
        <w:t xml:space="preserve">млн. лв., </w:t>
      </w:r>
      <w:r w:rsidRPr="00AB1878">
        <w:rPr>
          <w:bCs/>
        </w:rPr>
        <w:t>в т.ч.:</w:t>
      </w:r>
      <w:r w:rsidRPr="00AB1878">
        <w:rPr>
          <w:b/>
          <w:bCs/>
        </w:rPr>
        <w:t xml:space="preserve"> </w:t>
      </w:r>
    </w:p>
    <w:p w:rsidR="00A40D9E" w:rsidRPr="001A4296" w:rsidRDefault="00A40D9E" w:rsidP="00A40D9E">
      <w:pPr>
        <w:numPr>
          <w:ilvl w:val="0"/>
          <w:numId w:val="24"/>
        </w:numPr>
        <w:tabs>
          <w:tab w:val="clear" w:pos="700"/>
          <w:tab w:val="left" w:pos="180"/>
          <w:tab w:val="num" w:pos="540"/>
          <w:tab w:val="num" w:pos="1495"/>
          <w:tab w:val="num" w:pos="9858"/>
        </w:tabs>
        <w:ind w:left="538" w:hanging="357"/>
        <w:jc w:val="both"/>
      </w:pPr>
      <w:r w:rsidRPr="001A4296">
        <w:t>бюджетните взаимоотношения с общините включват нето трансфери в размер на 1 153,6 млн. лв., от които субсидии от централния бюджет в размер на 1 121,4</w:t>
      </w:r>
      <w:r w:rsidRPr="001A4296">
        <w:rPr>
          <w:rFonts w:eastAsia="Calibri"/>
          <w:b/>
        </w:rPr>
        <w:t> </w:t>
      </w:r>
      <w:r w:rsidRPr="001A4296">
        <w:t>млн. лв., други целеви трансфери от централния бюджет в размер на 21,7 млн. лв., нетни трансфери от</w:t>
      </w:r>
      <w:r w:rsidRPr="001A4296">
        <w:rPr>
          <w:lang w:val="en-US"/>
        </w:rPr>
        <w:t>/</w:t>
      </w:r>
      <w:r w:rsidRPr="001A4296">
        <w:t>за други бюджети в размер на 11,7 млн. лв. и възстановени трансфери от предходни години в централния бюджет – 1,2 млн. лева;</w:t>
      </w:r>
    </w:p>
    <w:p w:rsidR="00A40D9E" w:rsidRPr="001A4296" w:rsidRDefault="00A40D9E" w:rsidP="00A40D9E">
      <w:pPr>
        <w:numPr>
          <w:ilvl w:val="0"/>
          <w:numId w:val="24"/>
        </w:numPr>
        <w:tabs>
          <w:tab w:val="clear" w:pos="700"/>
          <w:tab w:val="left" w:pos="180"/>
          <w:tab w:val="num" w:pos="540"/>
          <w:tab w:val="num" w:pos="1495"/>
          <w:tab w:val="num" w:pos="9858"/>
        </w:tabs>
        <w:ind w:left="538" w:hanging="357"/>
        <w:jc w:val="both"/>
      </w:pPr>
      <w:r w:rsidRPr="001A4296">
        <w:t xml:space="preserve">на </w:t>
      </w:r>
      <w:proofErr w:type="spellStart"/>
      <w:r w:rsidRPr="001A4296">
        <w:t>социалноосигурителните</w:t>
      </w:r>
      <w:proofErr w:type="spellEnd"/>
      <w:r w:rsidRPr="001A4296">
        <w:t xml:space="preserve"> фондове (нето) – 1 332,5 млн. лв.,</w:t>
      </w:r>
      <w:r w:rsidRPr="001A4296">
        <w:rPr>
          <w:b/>
        </w:rPr>
        <w:t xml:space="preserve"> </w:t>
      </w:r>
      <w:r w:rsidRPr="001A4296">
        <w:t>което представлява 23,6 % от годишния разчет;</w:t>
      </w:r>
    </w:p>
    <w:p w:rsidR="00A40D9E" w:rsidRPr="001A4296" w:rsidRDefault="00A40D9E" w:rsidP="00A40D9E">
      <w:pPr>
        <w:numPr>
          <w:ilvl w:val="0"/>
          <w:numId w:val="24"/>
        </w:numPr>
        <w:tabs>
          <w:tab w:val="clear" w:pos="700"/>
          <w:tab w:val="left" w:pos="180"/>
          <w:tab w:val="num" w:pos="540"/>
          <w:tab w:val="num" w:pos="1495"/>
          <w:tab w:val="num" w:pos="9858"/>
        </w:tabs>
        <w:ind w:left="538" w:hanging="357"/>
        <w:jc w:val="both"/>
      </w:pPr>
      <w:r w:rsidRPr="001A4296">
        <w:t>на други автономни бюджети (ДВУ, БАН, ССА, БНТ, БНР и БТА) – 180,4 млн. лв., 25,9 % от годишния разчет.</w:t>
      </w:r>
    </w:p>
    <w:p w:rsidR="00994F58" w:rsidRPr="00A3027C" w:rsidRDefault="00994F58" w:rsidP="00994F58">
      <w:pPr>
        <w:numPr>
          <w:ilvl w:val="0"/>
          <w:numId w:val="6"/>
        </w:numPr>
        <w:tabs>
          <w:tab w:val="clear" w:pos="700"/>
          <w:tab w:val="left" w:pos="426"/>
        </w:tabs>
        <w:spacing w:before="120"/>
        <w:ind w:left="0" w:firstLine="0"/>
        <w:jc w:val="both"/>
        <w:rPr>
          <w:bCs/>
        </w:rPr>
      </w:pPr>
      <w:r w:rsidRPr="00A3027C">
        <w:t>Частта от</w:t>
      </w:r>
      <w:r w:rsidRPr="00A3027C">
        <w:rPr>
          <w:b/>
        </w:rPr>
        <w:t xml:space="preserve"> вноската на Република България в общия бюджет на ЕС, </w:t>
      </w:r>
      <w:r w:rsidRPr="00A3027C">
        <w:t xml:space="preserve">изплатена към </w:t>
      </w:r>
      <w:r w:rsidR="00A3027C" w:rsidRPr="00A3027C">
        <w:t>31</w:t>
      </w:r>
      <w:r w:rsidRPr="00A3027C">
        <w:t>.</w:t>
      </w:r>
      <w:r w:rsidR="00A3027C" w:rsidRPr="00A3027C">
        <w:t>03</w:t>
      </w:r>
      <w:r w:rsidRPr="00A3027C">
        <w:t>.201</w:t>
      </w:r>
      <w:r w:rsidR="00A3027C" w:rsidRPr="00A3027C">
        <w:t>9</w:t>
      </w:r>
      <w:r w:rsidRPr="00A3027C">
        <w:t xml:space="preserve"> г. от централния бюджет</w:t>
      </w:r>
      <w:r w:rsidR="00D009E0" w:rsidRPr="00A3027C">
        <w:t>,</w:t>
      </w:r>
      <w:r w:rsidRPr="00A3027C">
        <w:t xml:space="preserve"> възлиза на</w:t>
      </w:r>
      <w:r w:rsidRPr="00A3027C">
        <w:rPr>
          <w:b/>
        </w:rPr>
        <w:t xml:space="preserve"> </w:t>
      </w:r>
      <w:r w:rsidR="00A3027C" w:rsidRPr="00A3027C">
        <w:rPr>
          <w:b/>
        </w:rPr>
        <w:t>466,1</w:t>
      </w:r>
      <w:r w:rsidRPr="00A3027C">
        <w:rPr>
          <w:b/>
        </w:rPr>
        <w:t xml:space="preserve"> млн. л</w:t>
      </w:r>
      <w:r w:rsidR="00FB274B" w:rsidRPr="00A3027C">
        <w:rPr>
          <w:b/>
        </w:rPr>
        <w:t>е</w:t>
      </w:r>
      <w:r w:rsidRPr="00A3027C">
        <w:rPr>
          <w:b/>
        </w:rPr>
        <w:t>в</w:t>
      </w:r>
      <w:r w:rsidR="00FB274B" w:rsidRPr="00A3027C">
        <w:rPr>
          <w:b/>
        </w:rPr>
        <w:t>а</w:t>
      </w:r>
      <w:r w:rsidRPr="00A3027C">
        <w:rPr>
          <w:b/>
        </w:rPr>
        <w:t>.</w:t>
      </w:r>
      <w:r w:rsidR="00FB274B" w:rsidRPr="00A3027C">
        <w:rPr>
          <w:b/>
        </w:rPr>
        <w:t xml:space="preserve"> </w:t>
      </w:r>
    </w:p>
    <w:p w:rsidR="00D87F7F" w:rsidRPr="00BA1E1E" w:rsidRDefault="00D87F7F" w:rsidP="00D87F7F">
      <w:pPr>
        <w:numPr>
          <w:ilvl w:val="0"/>
          <w:numId w:val="6"/>
        </w:numPr>
        <w:tabs>
          <w:tab w:val="clear" w:pos="700"/>
          <w:tab w:val="num" w:pos="426"/>
        </w:tabs>
        <w:spacing w:before="240" w:after="240"/>
        <w:ind w:left="0" w:firstLine="0"/>
        <w:jc w:val="both"/>
        <w:rPr>
          <w:sz w:val="16"/>
          <w:szCs w:val="16"/>
        </w:rPr>
      </w:pPr>
      <w:r w:rsidRPr="00BA1E1E">
        <w:rPr>
          <w:b/>
        </w:rPr>
        <w:t xml:space="preserve">Бюджетното салдо по държавния бюджет </w:t>
      </w:r>
      <w:r w:rsidRPr="00BA1E1E">
        <w:t>към 31.03.2019 г.</w:t>
      </w:r>
      <w:r w:rsidRPr="00BA1E1E">
        <w:rPr>
          <w:b/>
        </w:rPr>
        <w:t xml:space="preserve"> е положително </w:t>
      </w:r>
      <w:r w:rsidRPr="00BA1E1E">
        <w:t xml:space="preserve">в размер на </w:t>
      </w:r>
      <w:r w:rsidRPr="00BA1E1E">
        <w:rPr>
          <w:b/>
        </w:rPr>
        <w:t>762,9 млн. лева.</w:t>
      </w:r>
      <w:r w:rsidRPr="00BA1E1E">
        <w:t xml:space="preserve"> </w:t>
      </w:r>
    </w:p>
    <w:p w:rsidR="00C2409D" w:rsidRPr="001A4296" w:rsidRDefault="00C2409D" w:rsidP="00C2409D">
      <w:pPr>
        <w:numPr>
          <w:ilvl w:val="0"/>
          <w:numId w:val="6"/>
        </w:numPr>
        <w:tabs>
          <w:tab w:val="clear" w:pos="700"/>
          <w:tab w:val="num" w:pos="426"/>
        </w:tabs>
        <w:spacing w:before="240" w:after="240"/>
        <w:ind w:left="0" w:firstLine="0"/>
        <w:jc w:val="both"/>
        <w:rPr>
          <w:b/>
        </w:rPr>
      </w:pPr>
      <w:r w:rsidRPr="001A4296">
        <w:rPr>
          <w:b/>
        </w:rPr>
        <w:t>Финансиране на бюджета чрез операции по дълга</w:t>
      </w:r>
    </w:p>
    <w:p w:rsidR="00C2409D" w:rsidRPr="001A4296" w:rsidRDefault="00C2409D" w:rsidP="00C2409D">
      <w:pPr>
        <w:spacing w:after="120"/>
        <w:jc w:val="both"/>
      </w:pPr>
      <w:r w:rsidRPr="001A4296">
        <w:t>Към 31.03.2019 г. по централния бюджет няма усвоени средства и извършени погашения по заеми от чужбина.</w:t>
      </w:r>
    </w:p>
    <w:p w:rsidR="00C2409D" w:rsidRDefault="00C2409D" w:rsidP="00C2409D">
      <w:pPr>
        <w:spacing w:after="120"/>
        <w:jc w:val="both"/>
      </w:pPr>
      <w:r w:rsidRPr="00FC3C10">
        <w:t xml:space="preserve">По </w:t>
      </w:r>
      <w:r w:rsidRPr="00FC3C10">
        <w:rPr>
          <w:b/>
        </w:rPr>
        <w:t>държавните инвестиционни заеми</w:t>
      </w:r>
      <w:r w:rsidRPr="00FC3C10">
        <w:t xml:space="preserve">, управлявани от министерства и ведомства през периода са </w:t>
      </w:r>
      <w:r w:rsidRPr="007174C9">
        <w:rPr>
          <w:b/>
          <w:i/>
        </w:rPr>
        <w:t>усвоени</w:t>
      </w:r>
      <w:r w:rsidRPr="00FC3C10">
        <w:t xml:space="preserve"> 7,8 млн. лв. по заем „Проект за развитие на общинската и</w:t>
      </w:r>
      <w:r>
        <w:t>нфраструктура“ - Световна банка.</w:t>
      </w:r>
      <w:r w:rsidRPr="00FC3C10">
        <w:t xml:space="preserve"> </w:t>
      </w:r>
      <w:r>
        <w:t>П</w:t>
      </w:r>
      <w:r w:rsidRPr="00FC3C10">
        <w:t xml:space="preserve">о заеми с краен бенефициент търговско дружество </w:t>
      </w:r>
      <w:r w:rsidRPr="00FE22AB">
        <w:t xml:space="preserve">няма усвоявания. </w:t>
      </w:r>
      <w:r w:rsidRPr="00FE22AB">
        <w:rPr>
          <w:b/>
          <w:i/>
        </w:rPr>
        <w:t>Изплатените погашения</w:t>
      </w:r>
      <w:r w:rsidRPr="00FE22AB">
        <w:t xml:space="preserve"> по ДИЗ, управлявани от министерства и ведомства, са в размер на 9,0 млн. лева. По заемите с краен бенефициент търговско дружество са извършени погашения  в размер на 0,3 млн</w:t>
      </w:r>
      <w:r w:rsidR="0069106C">
        <w:t>.</w:t>
      </w:r>
      <w:r w:rsidRPr="00FE22AB">
        <w:t xml:space="preserve"> лева.</w:t>
      </w:r>
      <w:r w:rsidRPr="00FC3C10">
        <w:t xml:space="preserve"> </w:t>
      </w:r>
    </w:p>
    <w:p w:rsidR="00C2409D" w:rsidRPr="00EE133D" w:rsidRDefault="00C2409D" w:rsidP="00C2409D">
      <w:pPr>
        <w:spacing w:after="120"/>
        <w:jc w:val="both"/>
      </w:pPr>
      <w:r w:rsidRPr="00EE133D">
        <w:t>Не са използвани средства, предвидени за покриване на риска от активиране на държавни гаранции.</w:t>
      </w:r>
    </w:p>
    <w:p w:rsidR="00C2409D" w:rsidRPr="00EE133D" w:rsidRDefault="00C2409D" w:rsidP="00C2409D">
      <w:pPr>
        <w:spacing w:after="60"/>
        <w:jc w:val="both"/>
        <w:rPr>
          <w:rFonts w:ascii="Arial" w:hAnsi="Arial" w:cs="Arial"/>
        </w:rPr>
      </w:pPr>
      <w:r w:rsidRPr="00EE133D">
        <w:t xml:space="preserve">Операции с </w:t>
      </w:r>
      <w:r w:rsidRPr="00EE133D">
        <w:rPr>
          <w:b/>
        </w:rPr>
        <w:t xml:space="preserve">държавни ценни книжа </w:t>
      </w:r>
      <w:r w:rsidRPr="00EE133D">
        <w:t xml:space="preserve">по централния бюджет </w:t>
      </w:r>
      <w:r w:rsidRPr="00EE133D">
        <w:rPr>
          <w:b/>
        </w:rPr>
        <w:t>(позиция във вътрешното финансиране):</w:t>
      </w:r>
      <w:r w:rsidRPr="00EE133D">
        <w:t xml:space="preserve"> Към 31 март 2019 г. е реализирано отрицателно нетно вътрешно финансиране на бюджета с държавни ценни книжа (ДЦК) в размер на 920,3 млн. лв</w:t>
      </w:r>
      <w:r w:rsidR="00A4460E">
        <w:t>.</w:t>
      </w:r>
      <w:r w:rsidRPr="00EE133D">
        <w:t xml:space="preserve">, </w:t>
      </w:r>
      <w:r w:rsidRPr="00EE133D">
        <w:rPr>
          <w:rFonts w:eastAsia="Batang"/>
          <w:szCs w:val="22"/>
        </w:rPr>
        <w:t>което се дължи на извършените погашения по дълга без поемане на нов държавен дълг</w:t>
      </w:r>
      <w:r w:rsidRPr="00EE133D">
        <w:t xml:space="preserve">. </w:t>
      </w:r>
    </w:p>
    <w:p w:rsidR="00C2409D" w:rsidRPr="00EE133D" w:rsidRDefault="00C2409D" w:rsidP="00C2409D">
      <w:pPr>
        <w:spacing w:before="120" w:after="120"/>
        <w:jc w:val="both"/>
      </w:pPr>
      <w:r w:rsidRPr="00EE133D">
        <w:t>Отчетените погашения за периода са в размер на 920,3 млн. лв., в т.ч. 887,9 млн. лв. по ДЦК, емитирани за финансиране на дефицита и 32,4 млн. лв. по ДЦК, емитирани за структурната реформа.</w:t>
      </w:r>
    </w:p>
    <w:p w:rsidR="0004753C" w:rsidRPr="007E4B68" w:rsidRDefault="0004753C" w:rsidP="00C2409D">
      <w:pPr>
        <w:pStyle w:val="Heading1"/>
        <w:numPr>
          <w:ilvl w:val="1"/>
          <w:numId w:val="10"/>
        </w:numPr>
        <w:spacing w:before="240" w:after="120"/>
        <w:ind w:right="-108" w:hanging="357"/>
        <w:jc w:val="both"/>
        <w:rPr>
          <w:sz w:val="24"/>
        </w:rPr>
      </w:pPr>
      <w:r w:rsidRPr="007E4B68">
        <w:rPr>
          <w:sz w:val="24"/>
        </w:rPr>
        <w:t>Бюджет на съдебната власт</w:t>
      </w:r>
    </w:p>
    <w:p w:rsidR="007E4B68" w:rsidRPr="0062731C" w:rsidRDefault="007E4B68" w:rsidP="007E4B68">
      <w:pPr>
        <w:ind w:firstLine="567"/>
        <w:jc w:val="both"/>
      </w:pPr>
      <w:r w:rsidRPr="00E7487B">
        <w:t xml:space="preserve">Със ЗДБРБ за 2019 г. са предвидени общо </w:t>
      </w:r>
      <w:r w:rsidRPr="00E7487B">
        <w:rPr>
          <w:b/>
        </w:rPr>
        <w:t>приходи</w:t>
      </w:r>
      <w:r w:rsidRPr="00E7487B">
        <w:t xml:space="preserve"> по бюджета на съдебната власт в размер на 116,0 млн.</w:t>
      </w:r>
      <w:r w:rsidRPr="00E7487B">
        <w:rPr>
          <w:lang w:val="en-US"/>
        </w:rPr>
        <w:t xml:space="preserve"> </w:t>
      </w:r>
      <w:r w:rsidRPr="00E7487B">
        <w:t>лв., от тях 100,0 млн.</w:t>
      </w:r>
      <w:r w:rsidRPr="00E7487B">
        <w:rPr>
          <w:lang w:val="en-US"/>
        </w:rPr>
        <w:t xml:space="preserve"> </w:t>
      </w:r>
      <w:r w:rsidRPr="00E7487B">
        <w:t xml:space="preserve">лв. са приходи от съдебни такси. За </w:t>
      </w:r>
      <w:r>
        <w:t xml:space="preserve">първото </w:t>
      </w:r>
      <w:r w:rsidRPr="00EB07D9">
        <w:t xml:space="preserve">тримесечие на 2019 г. са отчетени приходи в размер на 27,7 млн. лв. (23,9 % от планираните), </w:t>
      </w:r>
      <w:r w:rsidRPr="0045513B">
        <w:t xml:space="preserve">от които 24,5 млн. лв. - приходи от съдебни такси. За сравнение, към 31.03.2018 г. са отчетени общо неданъчни приходи в размер на 33,4 млн. лв. (28,8 % от закона), от които 27,4 млн. лв. - приходи </w:t>
      </w:r>
      <w:r w:rsidRPr="0062731C">
        <w:t>от съдебни такси.</w:t>
      </w:r>
    </w:p>
    <w:p w:rsidR="0060764B" w:rsidRPr="003E12C9" w:rsidRDefault="00967BB9" w:rsidP="00967BB9">
      <w:pPr>
        <w:ind w:firstLine="567"/>
        <w:jc w:val="both"/>
        <w:rPr>
          <w:lang w:val="en-US"/>
        </w:rPr>
      </w:pPr>
      <w:r w:rsidRPr="003E12C9">
        <w:rPr>
          <w:b/>
        </w:rPr>
        <w:t xml:space="preserve">Разходите </w:t>
      </w:r>
      <w:r w:rsidRPr="003E12C9">
        <w:t>по бюджета на съдебната власт</w:t>
      </w:r>
      <w:r w:rsidRPr="003E12C9">
        <w:rPr>
          <w:b/>
        </w:rPr>
        <w:t xml:space="preserve"> </w:t>
      </w:r>
      <w:r w:rsidR="00C4733D" w:rsidRPr="003E12C9">
        <w:t xml:space="preserve">към </w:t>
      </w:r>
      <w:r w:rsidR="0062731C" w:rsidRPr="003E12C9">
        <w:t>31</w:t>
      </w:r>
      <w:r w:rsidR="00C4733D" w:rsidRPr="003E12C9">
        <w:t>.</w:t>
      </w:r>
      <w:r w:rsidR="0062731C" w:rsidRPr="003E12C9">
        <w:t>03</w:t>
      </w:r>
      <w:r w:rsidR="00C4733D" w:rsidRPr="003E12C9">
        <w:t>.</w:t>
      </w:r>
      <w:r w:rsidRPr="003E12C9">
        <w:t>201</w:t>
      </w:r>
      <w:r w:rsidR="0062731C" w:rsidRPr="003E12C9">
        <w:t>9</w:t>
      </w:r>
      <w:r w:rsidRPr="003E12C9">
        <w:t xml:space="preserve"> г.</w:t>
      </w:r>
      <w:r w:rsidRPr="003E12C9">
        <w:rPr>
          <w:b/>
        </w:rPr>
        <w:t xml:space="preserve"> </w:t>
      </w:r>
      <w:r w:rsidRPr="003E12C9">
        <w:t xml:space="preserve">са в размер на </w:t>
      </w:r>
      <w:r w:rsidR="0062731C" w:rsidRPr="003E12C9">
        <w:t>183,6</w:t>
      </w:r>
      <w:r w:rsidRPr="003E12C9">
        <w:t xml:space="preserve"> млн. лв. или </w:t>
      </w:r>
      <w:r w:rsidR="0062731C" w:rsidRPr="003E12C9">
        <w:t>26,1</w:t>
      </w:r>
      <w:r w:rsidRPr="003E12C9">
        <w:t> % от планираните за годината (</w:t>
      </w:r>
      <w:r w:rsidR="0062731C" w:rsidRPr="003E12C9">
        <w:t>704,3</w:t>
      </w:r>
      <w:r w:rsidRPr="003E12C9">
        <w:t xml:space="preserve"> млн. лв.). За сравнение, през същия период на </w:t>
      </w:r>
      <w:r w:rsidRPr="003E12C9">
        <w:lastRenderedPageBreak/>
        <w:t>201</w:t>
      </w:r>
      <w:r w:rsidR="003E12C9" w:rsidRPr="003E12C9">
        <w:t>8</w:t>
      </w:r>
      <w:r w:rsidRPr="003E12C9">
        <w:t xml:space="preserve"> г. са отчетени разходи в размер </w:t>
      </w:r>
      <w:r w:rsidR="003E12C9" w:rsidRPr="003E12C9">
        <w:t>162,5</w:t>
      </w:r>
      <w:r w:rsidRPr="003E12C9">
        <w:t xml:space="preserve"> млн. лв., които представляват </w:t>
      </w:r>
      <w:r w:rsidR="003E12C9" w:rsidRPr="003E12C9">
        <w:t>27,5</w:t>
      </w:r>
      <w:r w:rsidRPr="003E12C9">
        <w:t xml:space="preserve"> % от определените с годишния закон </w:t>
      </w:r>
      <w:r w:rsidR="003E12C9" w:rsidRPr="003E12C9">
        <w:t>591,1</w:t>
      </w:r>
      <w:r w:rsidRPr="003E12C9">
        <w:t xml:space="preserve"> млн. лева.</w:t>
      </w:r>
    </w:p>
    <w:p w:rsidR="00F521AA" w:rsidRPr="00063CF1" w:rsidRDefault="00F521AA" w:rsidP="00F521AA">
      <w:pPr>
        <w:pStyle w:val="Heading1"/>
        <w:numPr>
          <w:ilvl w:val="0"/>
          <w:numId w:val="10"/>
        </w:numPr>
        <w:spacing w:before="240" w:after="120"/>
        <w:ind w:left="748" w:right="-108" w:hanging="391"/>
        <w:jc w:val="both"/>
        <w:rPr>
          <w:sz w:val="24"/>
        </w:rPr>
      </w:pPr>
      <w:r w:rsidRPr="00063CF1">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rsidR="00F521AA" w:rsidRDefault="00F521AA" w:rsidP="00F521AA">
      <w:pPr>
        <w:pStyle w:val="Heading1"/>
        <w:numPr>
          <w:ilvl w:val="1"/>
          <w:numId w:val="10"/>
        </w:numPr>
        <w:spacing w:after="120"/>
        <w:ind w:left="788" w:right="-108" w:hanging="431"/>
        <w:jc w:val="both"/>
        <w:rPr>
          <w:sz w:val="24"/>
          <w:lang w:val="en-US"/>
        </w:rPr>
      </w:pPr>
      <w:r w:rsidRPr="00063CF1">
        <w:rPr>
          <w:sz w:val="24"/>
        </w:rPr>
        <w:t xml:space="preserve"> Сметка за Европейски средства на Разплащателна агенция към Държавен фонд „Земеделие” </w:t>
      </w:r>
    </w:p>
    <w:p w:rsidR="00063CF1" w:rsidRPr="00063CF1" w:rsidRDefault="00063CF1" w:rsidP="00063CF1">
      <w:pPr>
        <w:numPr>
          <w:ilvl w:val="0"/>
          <w:numId w:val="28"/>
        </w:numPr>
        <w:tabs>
          <w:tab w:val="num" w:pos="540"/>
        </w:tabs>
        <w:spacing w:before="120" w:after="120" w:line="276" w:lineRule="auto"/>
        <w:contextualSpacing/>
        <w:jc w:val="both"/>
        <w:rPr>
          <w:b/>
          <w:lang w:eastAsia="bg-BG"/>
        </w:rPr>
      </w:pPr>
      <w:r w:rsidRPr="00063CF1">
        <w:rPr>
          <w:b/>
          <w:lang w:eastAsia="bg-BG"/>
        </w:rPr>
        <w:t>Приходи</w:t>
      </w:r>
    </w:p>
    <w:p w:rsidR="00063CF1" w:rsidRPr="00063CF1" w:rsidRDefault="00063CF1" w:rsidP="00063CF1">
      <w:pPr>
        <w:ind w:firstLine="708"/>
        <w:jc w:val="both"/>
        <w:rPr>
          <w:color w:val="0070C0"/>
        </w:rPr>
      </w:pPr>
      <w:r w:rsidRPr="00063CF1">
        <w:t>За 2019 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863,0 млн. лева. Към 31.03.2019 г. постъпленията са в размер на 111,2 млн. лв., което представлява 12,9 % от годишния план, при 4,6 % изпълнение на годишния план за същия период на предходната година.</w:t>
      </w:r>
      <w:r w:rsidRPr="00063CF1">
        <w:rPr>
          <w:lang w:val="en-US"/>
        </w:rPr>
        <w:t xml:space="preserve"> </w:t>
      </w:r>
      <w:r w:rsidRPr="00063CF1">
        <w:rPr>
          <w:rFonts w:eastAsiaTheme="minorHAnsi"/>
        </w:rPr>
        <w:t>Приходната част е формирана почти изцяло от помощи и дарения от чужбина, разпределени както следва:</w:t>
      </w:r>
    </w:p>
    <w:p w:rsidR="00063CF1" w:rsidRPr="00063CF1" w:rsidRDefault="00063CF1" w:rsidP="00063CF1">
      <w:pPr>
        <w:numPr>
          <w:ilvl w:val="0"/>
          <w:numId w:val="25"/>
        </w:numPr>
        <w:tabs>
          <w:tab w:val="left" w:pos="993"/>
        </w:tabs>
        <w:spacing w:before="120" w:after="120" w:line="276" w:lineRule="auto"/>
        <w:ind w:left="1321" w:hanging="612"/>
        <w:jc w:val="both"/>
        <w:rPr>
          <w:b/>
          <w:i/>
        </w:rPr>
      </w:pPr>
      <w:r w:rsidRPr="00063CF1">
        <w:rPr>
          <w:b/>
          <w:i/>
        </w:rPr>
        <w:t>Текущи помощи и дарения от Европейския съюз</w:t>
      </w:r>
    </w:p>
    <w:p w:rsidR="00063CF1" w:rsidRPr="00063CF1" w:rsidRDefault="00063CF1" w:rsidP="00063CF1">
      <w:pPr>
        <w:ind w:firstLine="708"/>
        <w:jc w:val="both"/>
      </w:pPr>
      <w:r w:rsidRPr="00063CF1">
        <w:t>Общият размер на получените приходи, отчетени в „Текущи помощи и дарения от Европейския съюз“ към края на първото тримесечие на 2019 г. е 24,6 млн. лв. при планирани за годината средства в размер на 200,6 млн. лева.</w:t>
      </w:r>
    </w:p>
    <w:p w:rsidR="009C0765" w:rsidRPr="00194F0D" w:rsidRDefault="009C0765" w:rsidP="009C0765">
      <w:pPr>
        <w:ind w:firstLine="708"/>
        <w:jc w:val="both"/>
        <w:rPr>
          <w:lang w:val="en-US"/>
        </w:rPr>
      </w:pPr>
      <w:r w:rsidRPr="00063CF1">
        <w:t>Получените текущи приходи от възстановяване на средства от Европейски земеделски фонд за развитие на селските райони (ЕЗФРСР) по линия на ПРСР, без директни плащания, към 31.03.2019 г. са 19,8 млн. лв., което е 10,7 % от планираните за годината 185,6 млн. л</w:t>
      </w:r>
      <w:r w:rsidR="00417E9B">
        <w:t>е</w:t>
      </w:r>
      <w:r w:rsidRPr="00063CF1">
        <w:t>в</w:t>
      </w:r>
      <w:r w:rsidR="00417E9B">
        <w:t>а</w:t>
      </w:r>
      <w:r>
        <w:t>.</w:t>
      </w:r>
      <w:r>
        <w:rPr>
          <w:lang w:val="en-US"/>
        </w:rPr>
        <w:t xml:space="preserve"> </w:t>
      </w:r>
      <w:r w:rsidR="00417E9B" w:rsidRPr="00CB5FC6">
        <w:t>Съпоставено</w:t>
      </w:r>
      <w:r w:rsidRPr="00CB5FC6">
        <w:t xml:space="preserve"> със същия период на предходната година, изпълнението на плана </w:t>
      </w:r>
      <w:r w:rsidR="00CB5FC6">
        <w:t xml:space="preserve">за първото тримесечие на 2019 г. </w:t>
      </w:r>
      <w:r w:rsidRPr="00CB5FC6">
        <w:t>е нараснало с 1,8 %.</w:t>
      </w:r>
    </w:p>
    <w:p w:rsidR="009C0765" w:rsidRPr="00063CF1" w:rsidRDefault="009C0765" w:rsidP="009C0765">
      <w:pPr>
        <w:ind w:firstLine="708"/>
        <w:jc w:val="both"/>
        <w:rPr>
          <w:color w:val="0070C0"/>
        </w:rPr>
      </w:pPr>
      <w:r w:rsidRPr="00063CF1">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(EФГЗ) към 31.03.201</w:t>
      </w:r>
      <w:r>
        <w:rPr>
          <w:lang w:val="en-US"/>
        </w:rPr>
        <w:t>9</w:t>
      </w:r>
      <w:r w:rsidRPr="00063CF1">
        <w:t xml:space="preserve"> г. са 0,1 млн. лв., което представлява 1,3 % от планираните за годината 7,8 млн. лева.</w:t>
      </w:r>
      <w:r>
        <w:t xml:space="preserve"> </w:t>
      </w:r>
      <w:r w:rsidR="00CB5FC6">
        <w:t xml:space="preserve">За сравнение, </w:t>
      </w:r>
      <w:r w:rsidR="00CB5FC6" w:rsidRPr="00CB5FC6">
        <w:t>за</w:t>
      </w:r>
      <w:r w:rsidRPr="00CB5FC6">
        <w:t xml:space="preserve"> същ</w:t>
      </w:r>
      <w:r w:rsidR="00CB5FC6">
        <w:t>ия период на предходната година</w:t>
      </w:r>
      <w:r w:rsidRPr="00CB5FC6">
        <w:t xml:space="preserve"> възстановените суми по това направление са 16 %</w:t>
      </w:r>
      <w:r w:rsidR="00CB5FC6" w:rsidRPr="00CB5FC6">
        <w:t xml:space="preserve"> от годи</w:t>
      </w:r>
      <w:r w:rsidR="00CB5FC6">
        <w:t>шния план</w:t>
      </w:r>
      <w:r w:rsidRPr="00CB5FC6">
        <w:t>.</w:t>
      </w:r>
      <w:r w:rsidRPr="00063CF1">
        <w:t xml:space="preserve"> </w:t>
      </w:r>
    </w:p>
    <w:p w:rsidR="009C0765" w:rsidRPr="00026767" w:rsidRDefault="009C0765" w:rsidP="00963799">
      <w:pPr>
        <w:ind w:firstLine="708"/>
        <w:jc w:val="both"/>
      </w:pPr>
      <w:r w:rsidRPr="00063CF1">
        <w:t xml:space="preserve">През първото тримесечие на 2019 г. са получени 4,7 млн. лв. текущи приходи от възстановяване от Европейския фонд за морско дело и рибарство (ЕФМДР), което представлява 64,4 % от планираните за годината 7,3 млн. лева. </w:t>
      </w:r>
      <w:r w:rsidR="00963799">
        <w:t>За</w:t>
      </w:r>
      <w:r w:rsidRPr="00963799">
        <w:t xml:space="preserve"> същия период на предходната година </w:t>
      </w:r>
      <w:r w:rsidR="00963799" w:rsidRPr="00963799">
        <w:t>няма</w:t>
      </w:r>
      <w:r w:rsidRPr="00963799">
        <w:t xml:space="preserve"> постъп</w:t>
      </w:r>
      <w:r w:rsidR="00963799" w:rsidRPr="00963799">
        <w:t>и</w:t>
      </w:r>
      <w:r w:rsidRPr="00963799">
        <w:t>л</w:t>
      </w:r>
      <w:r w:rsidR="00963799" w:rsidRPr="00963799">
        <w:t>и</w:t>
      </w:r>
      <w:r w:rsidRPr="00963799">
        <w:t xml:space="preserve"> </w:t>
      </w:r>
      <w:r w:rsidR="00963799" w:rsidRPr="00963799">
        <w:t xml:space="preserve">средства </w:t>
      </w:r>
      <w:r w:rsidRPr="00963799">
        <w:t>по това направление.</w:t>
      </w:r>
      <w:r w:rsidRPr="00026767">
        <w:t xml:space="preserve"> </w:t>
      </w:r>
    </w:p>
    <w:p w:rsidR="00063CF1" w:rsidRPr="00063CF1" w:rsidRDefault="00063CF1" w:rsidP="00063CF1">
      <w:pPr>
        <w:numPr>
          <w:ilvl w:val="0"/>
          <w:numId w:val="25"/>
        </w:numPr>
        <w:tabs>
          <w:tab w:val="left" w:pos="993"/>
        </w:tabs>
        <w:spacing w:before="120" w:after="120" w:line="276" w:lineRule="auto"/>
        <w:ind w:left="1321" w:hanging="612"/>
        <w:jc w:val="both"/>
        <w:rPr>
          <w:b/>
          <w:i/>
        </w:rPr>
      </w:pPr>
      <w:r w:rsidRPr="00063CF1">
        <w:rPr>
          <w:b/>
          <w:i/>
        </w:rPr>
        <w:t>Капиталови помощи и дарения от Европейския съюз</w:t>
      </w:r>
    </w:p>
    <w:p w:rsidR="00063CF1" w:rsidRPr="00063CF1" w:rsidRDefault="00063CF1" w:rsidP="00063CF1">
      <w:pPr>
        <w:ind w:firstLine="708"/>
        <w:jc w:val="both"/>
      </w:pPr>
      <w:r w:rsidRPr="00063CF1">
        <w:t>Общият размер на получените приходи, отчетени в „Капиталови помощи и дарения от Европейския съюз“ към 31.03.2019 г. е 86,5 млн. лв. при планирани за годината 662,4 млн. лева.</w:t>
      </w:r>
    </w:p>
    <w:p w:rsidR="00063CF1" w:rsidRPr="00963799" w:rsidRDefault="00063CF1" w:rsidP="00963799">
      <w:pPr>
        <w:ind w:firstLine="708"/>
        <w:jc w:val="both"/>
        <w:rPr>
          <w:color w:val="0070C0"/>
        </w:rPr>
      </w:pPr>
      <w:r w:rsidRPr="00063CF1">
        <w:t>Получените капиталови приходи от ЕЗФРСР по линия на ПРСР без директни плащания до 31.</w:t>
      </w:r>
      <w:r w:rsidRPr="00963799">
        <w:t xml:space="preserve">03.2019 г. са 83,0 млн. лева. Общото изпълнение е 13,0  % от годишния план </w:t>
      </w:r>
      <w:r w:rsidRPr="00963799">
        <w:rPr>
          <w:lang w:val="en-US"/>
        </w:rPr>
        <w:t>(</w:t>
      </w:r>
      <w:r w:rsidRPr="00963799">
        <w:t>639,7 млн. лв.</w:t>
      </w:r>
      <w:r w:rsidRPr="00963799">
        <w:rPr>
          <w:lang w:val="en-US"/>
        </w:rPr>
        <w:t>).</w:t>
      </w:r>
      <w:r w:rsidRPr="00963799">
        <w:t xml:space="preserve"> </w:t>
      </w:r>
      <w:r w:rsidR="005C1D42" w:rsidRPr="00963799">
        <w:t xml:space="preserve">За сравнение – изпълнението </w:t>
      </w:r>
      <w:r w:rsidR="00963799" w:rsidRPr="00963799">
        <w:t xml:space="preserve">на годишния план </w:t>
      </w:r>
      <w:r w:rsidR="005C1D42" w:rsidRPr="00963799">
        <w:t xml:space="preserve">за същия период </w:t>
      </w:r>
      <w:r w:rsidR="00963799" w:rsidRPr="00963799">
        <w:t>н</w:t>
      </w:r>
      <w:r w:rsidR="005C1D42" w:rsidRPr="00963799">
        <w:t xml:space="preserve">а предходната година е 4 </w:t>
      </w:r>
      <w:r w:rsidR="00963799" w:rsidRPr="00963799">
        <w:t>процента</w:t>
      </w:r>
      <w:r w:rsidR="005C1D42" w:rsidRPr="00963799">
        <w:t>.</w:t>
      </w:r>
    </w:p>
    <w:p w:rsidR="00063CF1" w:rsidRPr="00063CF1" w:rsidRDefault="00C3675D" w:rsidP="00063CF1">
      <w:pPr>
        <w:ind w:firstLine="708"/>
        <w:jc w:val="both"/>
        <w:rPr>
          <w:color w:val="0070C0"/>
        </w:rPr>
      </w:pPr>
      <w:r w:rsidRPr="00963799">
        <w:t xml:space="preserve">През първото тримесечие на </w:t>
      </w:r>
      <w:r w:rsidR="00063CF1" w:rsidRPr="00963799">
        <w:t>2019 г. са</w:t>
      </w:r>
      <w:r w:rsidR="00063CF1" w:rsidRPr="00063CF1">
        <w:t xml:space="preserve">  получени капиталови приходи в размер на 3,5 млн. лв. </w:t>
      </w:r>
      <w:r w:rsidR="00063CF1" w:rsidRPr="00063CF1">
        <w:rPr>
          <w:rFonts w:eastAsiaTheme="minorHAnsi"/>
        </w:rPr>
        <w:t>от фонд ЕФМДР</w:t>
      </w:r>
      <w:r w:rsidR="00063CF1" w:rsidRPr="00063CF1">
        <w:t xml:space="preserve"> при планирани за годината 22,6 млн. лв.</w:t>
      </w:r>
      <w:r>
        <w:t>, което е</w:t>
      </w:r>
      <w:r w:rsidR="00063CF1" w:rsidRPr="00063CF1">
        <w:t xml:space="preserve"> </w:t>
      </w:r>
      <w:r w:rsidR="00063CF1" w:rsidRPr="00063CF1">
        <w:rPr>
          <w:rFonts w:eastAsiaTheme="minorHAnsi"/>
        </w:rPr>
        <w:t>15,5 %</w:t>
      </w:r>
      <w:r>
        <w:rPr>
          <w:rFonts w:eastAsiaTheme="minorHAnsi"/>
        </w:rPr>
        <w:t xml:space="preserve"> изпълнение на плана за годината</w:t>
      </w:r>
      <w:r w:rsidR="00063CF1" w:rsidRPr="00063CF1">
        <w:rPr>
          <w:rFonts w:eastAsiaTheme="minorHAnsi"/>
        </w:rPr>
        <w:t>.</w:t>
      </w:r>
    </w:p>
    <w:p w:rsidR="00063CF1" w:rsidRPr="00063CF1" w:rsidRDefault="00063CF1" w:rsidP="00063CF1">
      <w:pPr>
        <w:jc w:val="both"/>
        <w:rPr>
          <w:sz w:val="10"/>
        </w:rPr>
      </w:pPr>
    </w:p>
    <w:p w:rsidR="00063CF1" w:rsidRPr="00063CF1" w:rsidRDefault="00063CF1" w:rsidP="00063CF1">
      <w:pPr>
        <w:numPr>
          <w:ilvl w:val="0"/>
          <w:numId w:val="28"/>
        </w:numPr>
        <w:tabs>
          <w:tab w:val="num" w:pos="540"/>
        </w:tabs>
        <w:spacing w:before="240" w:after="120" w:line="276" w:lineRule="auto"/>
        <w:ind w:left="777" w:hanging="357"/>
        <w:contextualSpacing/>
        <w:jc w:val="both"/>
        <w:rPr>
          <w:b/>
          <w:lang w:eastAsia="bg-BG"/>
        </w:rPr>
      </w:pPr>
      <w:r w:rsidRPr="00063CF1">
        <w:rPr>
          <w:b/>
          <w:lang w:eastAsia="bg-BG"/>
        </w:rPr>
        <w:t xml:space="preserve">Разходи </w:t>
      </w:r>
    </w:p>
    <w:p w:rsidR="00063CF1" w:rsidRPr="00063CF1" w:rsidRDefault="00063CF1" w:rsidP="00063CF1">
      <w:pPr>
        <w:ind w:firstLine="708"/>
        <w:jc w:val="both"/>
      </w:pPr>
      <w:r w:rsidRPr="00063CF1">
        <w:t xml:space="preserve">Общият размер на планираните за 2019 г. разходи по утвърдените годишни разчети на сметката за средства от Европейския съюз на Разплащателната агенция към ДФ „Земеделие” </w:t>
      </w:r>
      <w:r w:rsidR="00C3675D">
        <w:t>е</w:t>
      </w:r>
      <w:r w:rsidRPr="00063CF1">
        <w:t xml:space="preserve"> 1 156,8 млн. лева. </w:t>
      </w:r>
    </w:p>
    <w:p w:rsidR="00063CF1" w:rsidRPr="00063CF1" w:rsidRDefault="00063CF1" w:rsidP="00063CF1">
      <w:pPr>
        <w:ind w:firstLine="708"/>
        <w:jc w:val="both"/>
      </w:pPr>
      <w:r w:rsidRPr="00063CF1">
        <w:t>Уточненият план на субсидиите за текуща дейност и капиталовите трансфери за 2019 г. е 650,8 млн. лева. Изпълнението към 31.03.2019 г. възлиза на 9,</w:t>
      </w:r>
      <w:proofErr w:type="spellStart"/>
      <w:r w:rsidRPr="00063CF1">
        <w:t>9</w:t>
      </w:r>
      <w:proofErr w:type="spellEnd"/>
      <w:r w:rsidRPr="00063CF1">
        <w:t xml:space="preserve"> % от годишния план и е в размер на 64,7 млн. лева.</w:t>
      </w:r>
    </w:p>
    <w:p w:rsidR="00063CF1" w:rsidRPr="00063CF1" w:rsidRDefault="00063CF1" w:rsidP="00063CF1">
      <w:pPr>
        <w:ind w:firstLine="708"/>
        <w:jc w:val="both"/>
      </w:pPr>
      <w:r w:rsidRPr="00063CF1">
        <w:lastRenderedPageBreak/>
        <w:t>Разпределението на разходите е както следва:</w:t>
      </w:r>
    </w:p>
    <w:p w:rsidR="00063CF1" w:rsidRPr="00063CF1" w:rsidRDefault="00063CF1" w:rsidP="00063CF1">
      <w:pPr>
        <w:numPr>
          <w:ilvl w:val="0"/>
          <w:numId w:val="25"/>
        </w:numPr>
        <w:tabs>
          <w:tab w:val="left" w:pos="993"/>
        </w:tabs>
        <w:spacing w:before="120" w:after="120" w:line="276" w:lineRule="auto"/>
        <w:ind w:left="1321" w:hanging="612"/>
        <w:jc w:val="both"/>
        <w:rPr>
          <w:b/>
          <w:i/>
        </w:rPr>
      </w:pPr>
      <w:r w:rsidRPr="00063CF1">
        <w:rPr>
          <w:b/>
          <w:i/>
        </w:rPr>
        <w:t>Субсидии и други текущи трансфери за нефинансови предприятия</w:t>
      </w:r>
    </w:p>
    <w:p w:rsidR="00063CF1" w:rsidRPr="00063CF1" w:rsidRDefault="00063CF1" w:rsidP="00063CF1">
      <w:pPr>
        <w:ind w:firstLine="708"/>
        <w:jc w:val="both"/>
        <w:rPr>
          <w:color w:val="0070C0"/>
        </w:rPr>
      </w:pPr>
      <w:r w:rsidRPr="00063CF1">
        <w:t>За 201</w:t>
      </w:r>
      <w:r w:rsidRPr="00063CF1">
        <w:rPr>
          <w:lang w:val="en-US"/>
        </w:rPr>
        <w:t>9</w:t>
      </w:r>
      <w:r w:rsidRPr="00063CF1">
        <w:t xml:space="preserve"> г. са планирани средства в размер на 348,0 млн. лв. за субсидии и други текущи трансфери за нефинансови предприятия. Отчетените към края на първото тримесечие на 2019</w:t>
      </w:r>
      <w:r w:rsidR="00C3675D">
        <w:t> </w:t>
      </w:r>
      <w:r w:rsidRPr="00063CF1">
        <w:t>г. средства представляват 9,4 % от планираните за годината и са в размер на 32,8</w:t>
      </w:r>
      <w:r w:rsidR="002C4201">
        <w:t> </w:t>
      </w:r>
      <w:r w:rsidRPr="00063CF1">
        <w:t>млн.</w:t>
      </w:r>
      <w:r w:rsidR="00C3675D">
        <w:t> </w:t>
      </w:r>
      <w:r w:rsidRPr="00063CF1">
        <w:t>лева</w:t>
      </w:r>
      <w:r w:rsidRPr="00C90F2E">
        <w:t xml:space="preserve">. </w:t>
      </w:r>
      <w:r w:rsidR="002C4201" w:rsidRPr="00C90F2E">
        <w:t>Съпоставено със същия период на предходната година, изпълнението е с 4,8 млн.лв. по-малко.</w:t>
      </w:r>
    </w:p>
    <w:p w:rsidR="00063CF1" w:rsidRPr="00063CF1" w:rsidRDefault="00063CF1" w:rsidP="00063CF1">
      <w:pPr>
        <w:ind w:firstLine="708"/>
        <w:jc w:val="both"/>
      </w:pPr>
      <w:r w:rsidRPr="00063CF1">
        <w:t>Изпълнението по дейности е както следва:</w:t>
      </w:r>
    </w:p>
    <w:p w:rsidR="00063CF1" w:rsidRPr="00063CF1" w:rsidRDefault="00063CF1" w:rsidP="00063CF1">
      <w:pPr>
        <w:ind w:firstLine="709"/>
        <w:contextualSpacing/>
        <w:jc w:val="both"/>
      </w:pPr>
      <w:r w:rsidRPr="00063CF1">
        <w:t xml:space="preserve">- национално </w:t>
      </w:r>
      <w:proofErr w:type="spellStart"/>
      <w:r w:rsidRPr="00063CF1">
        <w:t>съфинансиране</w:t>
      </w:r>
      <w:proofErr w:type="spellEnd"/>
      <w:r w:rsidRPr="00063CF1">
        <w:t xml:space="preserve"> към ЕЗФРСР за директни плащания – 22,6 млн. лв., изпълнение 32,9 % на планираните за годината 68,7 млн. лева;</w:t>
      </w:r>
    </w:p>
    <w:p w:rsidR="00063CF1" w:rsidRPr="00063CF1" w:rsidRDefault="00063CF1" w:rsidP="00063CF1">
      <w:pPr>
        <w:ind w:firstLine="709"/>
        <w:contextualSpacing/>
        <w:jc w:val="both"/>
      </w:pPr>
      <w:r w:rsidRPr="00063CF1">
        <w:t xml:space="preserve">- текущи субсидии за сектор „Рибарство“ – планирани за годината средства са </w:t>
      </w:r>
      <w:r w:rsidR="00EE7A69">
        <w:t xml:space="preserve">в размер на </w:t>
      </w:r>
      <w:r w:rsidRPr="00063CF1">
        <w:t>5,4 млн.</w:t>
      </w:r>
      <w:r w:rsidR="00EE7A69">
        <w:t> </w:t>
      </w:r>
      <w:r w:rsidRPr="00063CF1">
        <w:t xml:space="preserve">лв., като </w:t>
      </w:r>
      <w:r w:rsidR="00EE7A69">
        <w:t>към</w:t>
      </w:r>
      <w:r w:rsidRPr="00063CF1">
        <w:t xml:space="preserve"> края на март 2019 г. няма </w:t>
      </w:r>
      <w:r w:rsidR="00EE7A69">
        <w:t>усвоени</w:t>
      </w:r>
      <w:r w:rsidRPr="00063CF1">
        <w:t xml:space="preserve"> суми;</w:t>
      </w:r>
    </w:p>
    <w:p w:rsidR="00063CF1" w:rsidRPr="00063CF1" w:rsidRDefault="00063CF1" w:rsidP="00063CF1">
      <w:pPr>
        <w:ind w:firstLine="720"/>
        <w:contextualSpacing/>
        <w:jc w:val="both"/>
      </w:pPr>
      <w:r w:rsidRPr="00063CF1">
        <w:t>- текущи субсидии по Програмата за развитие на селските райони – 5,4 млн. лв., изпълнение от  2,5 % на планираните за годината 216,3 млн. лева;</w:t>
      </w:r>
    </w:p>
    <w:p w:rsidR="00063CF1" w:rsidRPr="00063CF1" w:rsidRDefault="00063CF1" w:rsidP="00063CF1">
      <w:pPr>
        <w:tabs>
          <w:tab w:val="left" w:pos="851"/>
          <w:tab w:val="left" w:pos="1134"/>
        </w:tabs>
        <w:ind w:firstLine="720"/>
        <w:contextualSpacing/>
        <w:jc w:val="both"/>
      </w:pPr>
      <w:r w:rsidRPr="00063CF1">
        <w:t>- текущи субсидии за пазарни мерки – 4,7 млн. лв., изпълнение от 8,2 % на планираните за 2019 г. 57,6 млн. лева.</w:t>
      </w:r>
    </w:p>
    <w:p w:rsidR="00063CF1" w:rsidRPr="00063CF1" w:rsidRDefault="00063CF1" w:rsidP="00063CF1">
      <w:pPr>
        <w:numPr>
          <w:ilvl w:val="0"/>
          <w:numId w:val="25"/>
        </w:numPr>
        <w:tabs>
          <w:tab w:val="left" w:pos="993"/>
        </w:tabs>
        <w:spacing w:before="120" w:after="120" w:line="276" w:lineRule="auto"/>
        <w:ind w:left="1321" w:hanging="612"/>
        <w:jc w:val="both"/>
        <w:rPr>
          <w:b/>
          <w:i/>
        </w:rPr>
      </w:pPr>
      <w:r w:rsidRPr="00063CF1">
        <w:rPr>
          <w:b/>
          <w:i/>
        </w:rPr>
        <w:t>Субсидии и други текущи трансфери за юридически лица с нестопанска цел</w:t>
      </w:r>
    </w:p>
    <w:p w:rsidR="00063CF1" w:rsidRPr="00C90F2E" w:rsidRDefault="00063CF1" w:rsidP="00063CF1">
      <w:pPr>
        <w:contextualSpacing/>
        <w:jc w:val="both"/>
      </w:pPr>
      <w:r w:rsidRPr="00063CF1">
        <w:tab/>
        <w:t xml:space="preserve">За 2019 г. за субсидии и други текущи трансфери за юридически лица с нестопанска цел са планирани 0,8 млн. лева. </w:t>
      </w:r>
      <w:r w:rsidR="008D1112" w:rsidRPr="00C90F2E">
        <w:t>Към края на първото тримесечие на годината са отчетени разходи в размер на 2,8 млн. л</w:t>
      </w:r>
      <w:r w:rsidR="00C90F2E" w:rsidRPr="00C90F2E">
        <w:t>е</w:t>
      </w:r>
      <w:r w:rsidR="008D1112" w:rsidRPr="00C90F2E">
        <w:t>в</w:t>
      </w:r>
      <w:r w:rsidR="00C90F2E" w:rsidRPr="00C90F2E">
        <w:t>а</w:t>
      </w:r>
      <w:r w:rsidR="008D1112" w:rsidRPr="00C90F2E">
        <w:t>. За с</w:t>
      </w:r>
      <w:r w:rsidR="00C90F2E" w:rsidRPr="00C90F2E">
        <w:t>равнение</w:t>
      </w:r>
      <w:r w:rsidR="008D1112" w:rsidRPr="00C90F2E">
        <w:t xml:space="preserve"> – за същия период на предходната година, изпълнението </w:t>
      </w:r>
      <w:r w:rsidR="00C90F2E" w:rsidRPr="00C90F2E">
        <w:t xml:space="preserve">на годишния план </w:t>
      </w:r>
      <w:r w:rsidR="008D1112" w:rsidRPr="00C90F2E">
        <w:t>е 34,6 %.</w:t>
      </w:r>
      <w:r w:rsidRPr="00C90F2E">
        <w:t xml:space="preserve"> </w:t>
      </w:r>
    </w:p>
    <w:p w:rsidR="00063CF1" w:rsidRPr="00063CF1" w:rsidRDefault="00063CF1" w:rsidP="00063CF1">
      <w:pPr>
        <w:ind w:firstLine="708"/>
        <w:contextualSpacing/>
        <w:jc w:val="both"/>
      </w:pPr>
      <w:r w:rsidRPr="00C90F2E">
        <w:t>Разпределението по дейности е както следва</w:t>
      </w:r>
      <w:r w:rsidRPr="00063CF1">
        <w:t>:</w:t>
      </w:r>
    </w:p>
    <w:p w:rsidR="00063CF1" w:rsidRPr="00063CF1" w:rsidRDefault="00063CF1" w:rsidP="00063CF1">
      <w:pPr>
        <w:ind w:firstLine="708"/>
        <w:contextualSpacing/>
        <w:jc w:val="both"/>
      </w:pPr>
      <w:r w:rsidRPr="00063CF1">
        <w:t xml:space="preserve">-  национално </w:t>
      </w:r>
      <w:proofErr w:type="spellStart"/>
      <w:r w:rsidRPr="00063CF1">
        <w:t>съфинансиране</w:t>
      </w:r>
      <w:proofErr w:type="spellEnd"/>
      <w:r w:rsidRPr="00063CF1">
        <w:t xml:space="preserve"> към ЕЗФРСР за директни плащания  – 0,04 млн. лева; </w:t>
      </w:r>
    </w:p>
    <w:p w:rsidR="00063CF1" w:rsidRPr="00063CF1" w:rsidRDefault="00063CF1" w:rsidP="00063CF1">
      <w:pPr>
        <w:tabs>
          <w:tab w:val="left" w:pos="851"/>
        </w:tabs>
        <w:ind w:firstLine="720"/>
        <w:contextualSpacing/>
        <w:jc w:val="both"/>
      </w:pPr>
      <w:r w:rsidRPr="00063CF1">
        <w:t>-  текущи субсидии за сектор „Рибарство“ – 1,0 млн. лв. при планирани 0,8 млн. лева;</w:t>
      </w:r>
    </w:p>
    <w:p w:rsidR="00063CF1" w:rsidRPr="00063CF1" w:rsidRDefault="00063CF1" w:rsidP="00063CF1">
      <w:pPr>
        <w:ind w:firstLine="720"/>
        <w:contextualSpacing/>
        <w:jc w:val="both"/>
      </w:pPr>
      <w:r w:rsidRPr="00063CF1">
        <w:t>-  текущи субсидии по Програмата за развитие на селските райони – 0,5 млн. лева;</w:t>
      </w:r>
    </w:p>
    <w:p w:rsidR="00063CF1" w:rsidRPr="00063CF1" w:rsidRDefault="00063CF1" w:rsidP="00063CF1">
      <w:pPr>
        <w:ind w:firstLine="709"/>
        <w:contextualSpacing/>
        <w:jc w:val="both"/>
      </w:pPr>
      <w:r w:rsidRPr="00063CF1">
        <w:t>- текущи субсидии за пазарни мерки – 1,3 млн. лв. при годишен разчет 0,1 млн. лева.</w:t>
      </w:r>
    </w:p>
    <w:p w:rsidR="00063CF1" w:rsidRPr="00063CF1" w:rsidRDefault="00063CF1" w:rsidP="00063CF1">
      <w:pPr>
        <w:numPr>
          <w:ilvl w:val="0"/>
          <w:numId w:val="25"/>
        </w:numPr>
        <w:tabs>
          <w:tab w:val="left" w:pos="993"/>
        </w:tabs>
        <w:spacing w:before="120" w:after="120" w:line="276" w:lineRule="auto"/>
        <w:ind w:left="1321" w:hanging="612"/>
        <w:jc w:val="both"/>
        <w:rPr>
          <w:b/>
          <w:i/>
        </w:rPr>
      </w:pPr>
      <w:r w:rsidRPr="00063CF1">
        <w:rPr>
          <w:b/>
          <w:i/>
        </w:rPr>
        <w:t>Капиталови трансфери за нефинансови предприятия</w:t>
      </w:r>
    </w:p>
    <w:p w:rsidR="00063CF1" w:rsidRPr="00063CF1" w:rsidRDefault="00063CF1" w:rsidP="00063CF1">
      <w:pPr>
        <w:ind w:firstLine="708"/>
        <w:jc w:val="both"/>
      </w:pPr>
      <w:r w:rsidRPr="00063CF1">
        <w:t xml:space="preserve">За 2019 г. за капиталови трансфери за нефинансови предприятия са планирани 302,0 </w:t>
      </w:r>
      <w:r w:rsidRPr="00C90F2E">
        <w:t>млн. лева. Към 31.03.2019 г. са отчетени 26,7 млн. лв., което е 8,</w:t>
      </w:r>
      <w:proofErr w:type="spellStart"/>
      <w:r w:rsidRPr="00C90F2E">
        <w:t>8</w:t>
      </w:r>
      <w:proofErr w:type="spellEnd"/>
      <w:r w:rsidRPr="00C90F2E">
        <w:t xml:space="preserve"> % изпълнение на годишния план.</w:t>
      </w:r>
      <w:r w:rsidR="008D1A01" w:rsidRPr="00C90F2E">
        <w:t xml:space="preserve"> Процентът изпълнение </w:t>
      </w:r>
      <w:r w:rsidR="00C90F2E" w:rsidRPr="00C90F2E">
        <w:t xml:space="preserve">на годишния план </w:t>
      </w:r>
      <w:r w:rsidR="008D1A01" w:rsidRPr="00C90F2E">
        <w:t>за същия период на предходната година е 6,7</w:t>
      </w:r>
      <w:r w:rsidR="00C90F2E" w:rsidRPr="00C90F2E">
        <w:t xml:space="preserve"> процента</w:t>
      </w:r>
      <w:r w:rsidR="008D1A01" w:rsidRPr="00C90F2E">
        <w:t>.</w:t>
      </w:r>
    </w:p>
    <w:p w:rsidR="00063CF1" w:rsidRPr="00063CF1" w:rsidRDefault="00063CF1" w:rsidP="00063CF1">
      <w:pPr>
        <w:ind w:firstLine="708"/>
        <w:jc w:val="both"/>
      </w:pPr>
      <w:r w:rsidRPr="00063CF1">
        <w:t>Разпределението по дейности е както следва:</w:t>
      </w:r>
    </w:p>
    <w:p w:rsidR="00063CF1" w:rsidRPr="00063CF1" w:rsidRDefault="00063CF1" w:rsidP="00063CF1">
      <w:pPr>
        <w:ind w:firstLine="720"/>
        <w:contextualSpacing/>
        <w:jc w:val="both"/>
      </w:pPr>
      <w:r w:rsidRPr="00063CF1">
        <w:t>- капиталови трансфери за сектор „Рибарство“ – 0,6 млн. лв., което е 1,9 %  изпълнение на годишния план (31,3 млн. лева);</w:t>
      </w:r>
    </w:p>
    <w:p w:rsidR="00063CF1" w:rsidRPr="00063CF1" w:rsidRDefault="00063CF1" w:rsidP="00063CF1">
      <w:pPr>
        <w:ind w:firstLine="720"/>
        <w:contextualSpacing/>
        <w:jc w:val="both"/>
      </w:pPr>
      <w:r w:rsidRPr="00063CF1">
        <w:t>- капиталови трансфери по ПРСР – 26,1 млн. лв., 9,</w:t>
      </w:r>
      <w:proofErr w:type="spellStart"/>
      <w:r w:rsidRPr="00063CF1">
        <w:t>9</w:t>
      </w:r>
      <w:proofErr w:type="spellEnd"/>
      <w:r w:rsidRPr="00063CF1">
        <w:t xml:space="preserve"> %  изпълнение на годишния план (264,9 млн. лв.);</w:t>
      </w:r>
    </w:p>
    <w:p w:rsidR="00063CF1" w:rsidRPr="00063CF1" w:rsidRDefault="00063CF1" w:rsidP="00063CF1">
      <w:pPr>
        <w:ind w:firstLine="720"/>
        <w:contextualSpacing/>
        <w:jc w:val="both"/>
      </w:pPr>
      <w:r w:rsidRPr="00063CF1">
        <w:t xml:space="preserve">- капиталови трансфери за пазарни мерки – планирани за годината са 5,9 млн. лв., като към 31.03.2019 г. няма </w:t>
      </w:r>
      <w:r w:rsidR="00EE7A69">
        <w:t>усвоени</w:t>
      </w:r>
      <w:r w:rsidRPr="00063CF1">
        <w:t xml:space="preserve"> средства</w:t>
      </w:r>
      <w:r w:rsidR="00EE7A69">
        <w:t>.</w:t>
      </w:r>
      <w:r w:rsidRPr="00063CF1">
        <w:t xml:space="preserve"> </w:t>
      </w:r>
    </w:p>
    <w:p w:rsidR="00063CF1" w:rsidRPr="00063CF1" w:rsidRDefault="00063CF1" w:rsidP="00063CF1">
      <w:pPr>
        <w:numPr>
          <w:ilvl w:val="0"/>
          <w:numId w:val="25"/>
        </w:numPr>
        <w:tabs>
          <w:tab w:val="left" w:pos="993"/>
        </w:tabs>
        <w:spacing w:before="120" w:after="120" w:line="276" w:lineRule="auto"/>
        <w:ind w:left="1321" w:hanging="612"/>
        <w:jc w:val="both"/>
        <w:rPr>
          <w:b/>
          <w:i/>
        </w:rPr>
      </w:pPr>
      <w:r w:rsidRPr="00063CF1">
        <w:rPr>
          <w:b/>
          <w:i/>
        </w:rPr>
        <w:t>Капиталови трансфери за организации с нестопанска цел</w:t>
      </w:r>
    </w:p>
    <w:p w:rsidR="00063CF1" w:rsidRPr="00063CF1" w:rsidRDefault="00063CF1" w:rsidP="00063CF1">
      <w:pPr>
        <w:ind w:firstLine="708"/>
        <w:jc w:val="both"/>
      </w:pPr>
      <w:r w:rsidRPr="00063CF1">
        <w:t>За 2019 г. не са планирани капиталови трансфери за организации с нестопанска цел. Към 31.03.2019 г. са отчетени разходи по ПРСР в размер на 2,4 млн. л</w:t>
      </w:r>
      <w:r w:rsidR="00EE7A69">
        <w:t>е</w:t>
      </w:r>
      <w:r w:rsidRPr="00063CF1">
        <w:t>в</w:t>
      </w:r>
      <w:r w:rsidR="00EE7A69">
        <w:t>а</w:t>
      </w:r>
      <w:r w:rsidRPr="00063CF1">
        <w:t>.</w:t>
      </w:r>
    </w:p>
    <w:p w:rsidR="00063CF1" w:rsidRPr="00063CF1" w:rsidRDefault="00EE7A69" w:rsidP="00EE7A69">
      <w:pPr>
        <w:spacing w:before="120"/>
        <w:ind w:firstLine="709"/>
        <w:jc w:val="both"/>
      </w:pPr>
      <w:r>
        <w:t>Пл</w:t>
      </w:r>
      <w:r w:rsidR="00063CF1" w:rsidRPr="00063CF1">
        <w:t>анирани</w:t>
      </w:r>
      <w:r>
        <w:t>те</w:t>
      </w:r>
      <w:r w:rsidR="00063CF1" w:rsidRPr="00063CF1">
        <w:t xml:space="preserve"> разходи в размер 506,0 млн. лв., в т.ч.: за заплати и възнаграждения на персонала 9,1 млн. лв., задължителни осигурителни вноски от работодатели 2,6 млн. лв., издръжка 1,6 млн. лв. и придобиване на ДМА 492,7 млн. лв., подлежат на отчитане в § 63-00 „Трансфери между сметки за средствата от ЕС“.</w:t>
      </w:r>
    </w:p>
    <w:p w:rsidR="00063CF1" w:rsidRPr="00063CF1" w:rsidRDefault="00063CF1" w:rsidP="00063CF1">
      <w:pPr>
        <w:jc w:val="both"/>
        <w:rPr>
          <w:b/>
          <w:color w:val="0070C0"/>
          <w:sz w:val="12"/>
          <w:u w:val="single"/>
        </w:rPr>
      </w:pPr>
    </w:p>
    <w:p w:rsidR="00063CF1" w:rsidRPr="00063CF1" w:rsidRDefault="00063CF1" w:rsidP="00063CF1">
      <w:pPr>
        <w:numPr>
          <w:ilvl w:val="0"/>
          <w:numId w:val="28"/>
        </w:numPr>
        <w:tabs>
          <w:tab w:val="num" w:pos="540"/>
        </w:tabs>
        <w:spacing w:before="240" w:after="120" w:line="276" w:lineRule="auto"/>
        <w:ind w:left="777" w:hanging="357"/>
        <w:contextualSpacing/>
        <w:jc w:val="both"/>
        <w:rPr>
          <w:b/>
          <w:lang w:eastAsia="bg-BG"/>
        </w:rPr>
      </w:pPr>
      <w:r w:rsidRPr="00063CF1">
        <w:rPr>
          <w:b/>
          <w:lang w:eastAsia="bg-BG"/>
        </w:rPr>
        <w:t xml:space="preserve">Трансфери </w:t>
      </w:r>
    </w:p>
    <w:p w:rsidR="00063CF1" w:rsidRPr="00063CF1" w:rsidRDefault="00063CF1" w:rsidP="00063CF1">
      <w:pPr>
        <w:ind w:firstLine="708"/>
        <w:jc w:val="both"/>
      </w:pPr>
      <w:r w:rsidRPr="00063CF1">
        <w:t>В частта на трансферите, в касовия отчет на ДФЗ-РА към 31.03.2019 г. са отразени следните касови потоци:</w:t>
      </w:r>
    </w:p>
    <w:p w:rsidR="00063CF1" w:rsidRPr="00063CF1" w:rsidRDefault="00063CF1" w:rsidP="00063CF1">
      <w:pPr>
        <w:numPr>
          <w:ilvl w:val="0"/>
          <w:numId w:val="25"/>
        </w:numPr>
        <w:tabs>
          <w:tab w:val="left" w:pos="993"/>
        </w:tabs>
        <w:spacing w:before="120" w:after="120" w:line="276" w:lineRule="auto"/>
        <w:ind w:left="1321" w:hanging="612"/>
        <w:jc w:val="both"/>
        <w:rPr>
          <w:b/>
          <w:i/>
        </w:rPr>
      </w:pPr>
      <w:r w:rsidRPr="00063CF1">
        <w:rPr>
          <w:b/>
          <w:i/>
        </w:rPr>
        <w:lastRenderedPageBreak/>
        <w:t xml:space="preserve">Трансфери между бюджети и сметки за средства от Европейския съюз </w:t>
      </w:r>
    </w:p>
    <w:p w:rsidR="00063CF1" w:rsidRPr="00063CF1" w:rsidRDefault="00063CF1" w:rsidP="00063CF1">
      <w:pPr>
        <w:ind w:firstLine="708"/>
        <w:jc w:val="both"/>
        <w:rPr>
          <w:color w:val="0070C0"/>
        </w:rPr>
      </w:pPr>
      <w:r w:rsidRPr="00063CF1">
        <w:t>Към 31.03.2019 г. получените трансфери от бюджетни сметки на бюджетни организации и общини за възстановяване на вземания по ПРСР и ОПРСР са в размер на 1,0 млн. лева. Предоставените трансфери във връзка с чл. 14 от Закона за подпомагане на земеделските производители възлизат на 0,1 млн. лева.</w:t>
      </w:r>
    </w:p>
    <w:p w:rsidR="00063CF1" w:rsidRPr="00EE7A69" w:rsidRDefault="00063CF1" w:rsidP="00063CF1">
      <w:pPr>
        <w:numPr>
          <w:ilvl w:val="0"/>
          <w:numId w:val="25"/>
        </w:numPr>
        <w:tabs>
          <w:tab w:val="left" w:pos="993"/>
        </w:tabs>
        <w:spacing w:before="120" w:after="120" w:line="276" w:lineRule="auto"/>
        <w:ind w:left="1321" w:hanging="612"/>
        <w:jc w:val="both"/>
        <w:rPr>
          <w:b/>
          <w:i/>
        </w:rPr>
      </w:pPr>
      <w:r w:rsidRPr="00EE7A69">
        <w:rPr>
          <w:b/>
          <w:i/>
        </w:rPr>
        <w:t>Трансфери между сметки за средства от Европейския съюз:</w:t>
      </w:r>
    </w:p>
    <w:p w:rsidR="00063CF1" w:rsidRPr="00063CF1" w:rsidRDefault="00063CF1" w:rsidP="00063CF1">
      <w:pPr>
        <w:ind w:firstLine="708"/>
        <w:jc w:val="both"/>
        <w:rPr>
          <w:color w:val="0070C0"/>
        </w:rPr>
      </w:pPr>
      <w:r w:rsidRPr="00063CF1">
        <w:t xml:space="preserve">Предоставените трансфери са формирани от изплатените субсидии и възстановените суми от публични бенефициенти. За първото тримесечие на 2019 г. са отчетени 66,0 млн. лв., в т.ч.: по Програмата за развитие на селските райони - 63,4 млн. лв.; схеми „Училищен плод“ и „Училищно мляко“: 0,02 млн. лв.; национално </w:t>
      </w:r>
      <w:proofErr w:type="spellStart"/>
      <w:r w:rsidRPr="00063CF1">
        <w:t>съфинансиране</w:t>
      </w:r>
      <w:proofErr w:type="spellEnd"/>
      <w:r w:rsidRPr="00063CF1">
        <w:t xml:space="preserve"> към директни плащания: 0,04 млн. лв. и по Програмата за морско дело и рибарство: 2,5 млн. лева.</w:t>
      </w:r>
    </w:p>
    <w:p w:rsidR="00063CF1" w:rsidRDefault="00063CF1" w:rsidP="00063CF1">
      <w:pPr>
        <w:ind w:firstLine="708"/>
        <w:jc w:val="both"/>
        <w:rPr>
          <w:color w:val="0070C0"/>
        </w:rPr>
      </w:pPr>
      <w:r w:rsidRPr="00063CF1">
        <w:t xml:space="preserve">В сравнение със същия период на 2018 г. се наблюдава увеличение с 62,3 млн.лв. в размера на предоставените трансфери по ПРСР и с 1,7 млн. лв. </w:t>
      </w:r>
      <w:r w:rsidRPr="00063CF1">
        <w:rPr>
          <w:rFonts w:eastAsiaTheme="minorHAnsi"/>
        </w:rPr>
        <w:t>по ПМДР</w:t>
      </w:r>
      <w:r w:rsidRPr="00063CF1">
        <w:rPr>
          <w:color w:val="0070C0"/>
        </w:rPr>
        <w:t>.</w:t>
      </w:r>
    </w:p>
    <w:p w:rsidR="00063CF1" w:rsidRPr="00063CF1" w:rsidRDefault="00C43EE2" w:rsidP="00417E9B">
      <w:pPr>
        <w:tabs>
          <w:tab w:val="left" w:pos="540"/>
        </w:tabs>
        <w:jc w:val="both"/>
        <w:rPr>
          <w:color w:val="0070C0"/>
        </w:rPr>
      </w:pPr>
      <w:r w:rsidRPr="00417E9B">
        <w:rPr>
          <w:lang w:eastAsia="bg-BG"/>
        </w:rPr>
        <w:tab/>
      </w:r>
    </w:p>
    <w:p w:rsidR="00063CF1" w:rsidRPr="00063CF1" w:rsidRDefault="00063CF1" w:rsidP="00063CF1">
      <w:pPr>
        <w:numPr>
          <w:ilvl w:val="0"/>
          <w:numId w:val="28"/>
        </w:numPr>
        <w:tabs>
          <w:tab w:val="num" w:pos="540"/>
        </w:tabs>
        <w:spacing w:before="240" w:after="120" w:line="276" w:lineRule="auto"/>
        <w:ind w:left="777" w:hanging="357"/>
        <w:contextualSpacing/>
        <w:jc w:val="both"/>
        <w:rPr>
          <w:b/>
          <w:lang w:eastAsia="bg-BG"/>
        </w:rPr>
      </w:pPr>
      <w:r w:rsidRPr="00063CF1">
        <w:rPr>
          <w:b/>
          <w:lang w:eastAsia="bg-BG"/>
        </w:rPr>
        <w:t>Финансиране</w:t>
      </w:r>
    </w:p>
    <w:p w:rsidR="00063CF1" w:rsidRPr="00063CF1" w:rsidRDefault="00063CF1" w:rsidP="00063CF1">
      <w:pPr>
        <w:ind w:firstLine="708"/>
        <w:jc w:val="both"/>
      </w:pPr>
      <w:r w:rsidRPr="00063CF1">
        <w:t>Към 31.03.2019 г. извършените плащания, възстановените суми и разчета с централния бюджет, включени в отчетността в „Друго финансиране“, са общо 18,3 млн. л</w:t>
      </w:r>
      <w:r w:rsidR="00EE7A69">
        <w:t>е</w:t>
      </w:r>
      <w:r w:rsidRPr="00063CF1">
        <w:t>в</w:t>
      </w:r>
      <w:r w:rsidR="00EE7A69">
        <w:t>а</w:t>
      </w:r>
      <w:r w:rsidRPr="00063CF1">
        <w:t>.</w:t>
      </w:r>
    </w:p>
    <w:p w:rsidR="00063CF1" w:rsidRPr="00EE7A69" w:rsidRDefault="00063CF1" w:rsidP="00276E87">
      <w:pPr>
        <w:spacing w:before="120"/>
        <w:ind w:firstLine="709"/>
        <w:jc w:val="both"/>
        <w:rPr>
          <w:lang w:eastAsia="bg-BG"/>
        </w:rPr>
      </w:pPr>
      <w:r w:rsidRPr="00EE7A69">
        <w:rPr>
          <w:lang w:eastAsia="bg-BG"/>
        </w:rPr>
        <w:t>Към 31.03.2019 г. са отчетени плащания в общ размер 153,8 млн. лв., което е с 2,0 млн. лв. повече от плащанията към 31.03.2018 г.</w:t>
      </w:r>
    </w:p>
    <w:p w:rsidR="00063CF1" w:rsidRPr="00EE7A69" w:rsidRDefault="00063CF1" w:rsidP="007F59DB">
      <w:pPr>
        <w:spacing w:before="120"/>
        <w:ind w:firstLine="709"/>
        <w:jc w:val="both"/>
        <w:rPr>
          <w:lang w:eastAsia="bg-BG"/>
        </w:rPr>
      </w:pPr>
      <w:r w:rsidRPr="00EE7A69">
        <w:rPr>
          <w:lang w:eastAsia="bg-BG"/>
        </w:rPr>
        <w:t>Отчетени са плащания по следните направления:</w:t>
      </w:r>
    </w:p>
    <w:p w:rsidR="00063CF1" w:rsidRPr="00063CF1" w:rsidRDefault="00063CF1" w:rsidP="00EE7A69">
      <w:pPr>
        <w:numPr>
          <w:ilvl w:val="0"/>
          <w:numId w:val="30"/>
        </w:numPr>
        <w:tabs>
          <w:tab w:val="left" w:pos="993"/>
        </w:tabs>
        <w:spacing w:before="120" w:after="200" w:line="276" w:lineRule="auto"/>
        <w:ind w:left="0" w:firstLine="993"/>
        <w:contextualSpacing/>
        <w:jc w:val="both"/>
        <w:rPr>
          <w:szCs w:val="20"/>
        </w:rPr>
      </w:pPr>
      <w:r w:rsidRPr="00063CF1">
        <w:rPr>
          <w:szCs w:val="20"/>
        </w:rPr>
        <w:t>79,9 млн. лв. за директни плащания за сметка на ЕФГЗ, представляващи 5,1 % от планираните 1 554,4 млн. лева;</w:t>
      </w:r>
    </w:p>
    <w:p w:rsidR="00063CF1" w:rsidRPr="00063CF1" w:rsidRDefault="00063CF1" w:rsidP="00EE7A69">
      <w:pPr>
        <w:numPr>
          <w:ilvl w:val="0"/>
          <w:numId w:val="30"/>
        </w:numPr>
        <w:tabs>
          <w:tab w:val="left" w:pos="993"/>
        </w:tabs>
        <w:spacing w:before="120" w:after="200" w:line="276" w:lineRule="auto"/>
        <w:ind w:left="0" w:firstLine="993"/>
        <w:contextualSpacing/>
        <w:jc w:val="both"/>
        <w:rPr>
          <w:szCs w:val="20"/>
        </w:rPr>
      </w:pPr>
      <w:r w:rsidRPr="00063CF1">
        <w:rPr>
          <w:szCs w:val="20"/>
        </w:rPr>
        <w:t>68,1 млн. лв. - средства от ЕЗФРСР, прехвърлени към директни плащания, което е 33,1 % от планираните 206,0 млн. лева;</w:t>
      </w:r>
    </w:p>
    <w:p w:rsidR="00063CF1" w:rsidRPr="00063CF1" w:rsidRDefault="00063CF1" w:rsidP="00EE7A69">
      <w:pPr>
        <w:numPr>
          <w:ilvl w:val="0"/>
          <w:numId w:val="30"/>
        </w:numPr>
        <w:tabs>
          <w:tab w:val="left" w:pos="993"/>
        </w:tabs>
        <w:spacing w:before="120" w:after="200" w:line="276" w:lineRule="auto"/>
        <w:ind w:left="0" w:firstLine="993"/>
        <w:contextualSpacing/>
        <w:jc w:val="both"/>
        <w:rPr>
          <w:szCs w:val="20"/>
        </w:rPr>
      </w:pPr>
      <w:r w:rsidRPr="00063CF1">
        <w:rPr>
          <w:szCs w:val="20"/>
        </w:rPr>
        <w:t>2,</w:t>
      </w:r>
      <w:proofErr w:type="spellStart"/>
      <w:r w:rsidRPr="00063CF1">
        <w:rPr>
          <w:szCs w:val="20"/>
        </w:rPr>
        <w:t>2</w:t>
      </w:r>
      <w:proofErr w:type="spellEnd"/>
      <w:r w:rsidRPr="00063CF1">
        <w:rPr>
          <w:szCs w:val="20"/>
        </w:rPr>
        <w:t xml:space="preserve"> млн. лв. за пазарни мерки, което е 5,2 % от планираните 42,1 млн. лева;</w:t>
      </w:r>
    </w:p>
    <w:p w:rsidR="00063CF1" w:rsidRPr="00063CF1" w:rsidRDefault="00063CF1" w:rsidP="00EE7A69">
      <w:pPr>
        <w:numPr>
          <w:ilvl w:val="0"/>
          <w:numId w:val="30"/>
        </w:numPr>
        <w:tabs>
          <w:tab w:val="left" w:pos="993"/>
        </w:tabs>
        <w:spacing w:before="120" w:after="200" w:line="276" w:lineRule="auto"/>
        <w:ind w:left="0" w:firstLine="993"/>
        <w:contextualSpacing/>
        <w:jc w:val="both"/>
        <w:rPr>
          <w:szCs w:val="20"/>
        </w:rPr>
      </w:pPr>
      <w:r w:rsidRPr="00063CF1">
        <w:rPr>
          <w:szCs w:val="20"/>
        </w:rPr>
        <w:t>3,6 млн. лв. – суми за преструктуриране, 12,1 % от планираните 29,8 млн. л</w:t>
      </w:r>
      <w:r w:rsidR="00EE7A69">
        <w:rPr>
          <w:szCs w:val="20"/>
        </w:rPr>
        <w:t>е</w:t>
      </w:r>
      <w:r w:rsidRPr="00063CF1">
        <w:rPr>
          <w:szCs w:val="20"/>
        </w:rPr>
        <w:t>в</w:t>
      </w:r>
      <w:r w:rsidR="00EE7A69">
        <w:rPr>
          <w:szCs w:val="20"/>
        </w:rPr>
        <w:t>а</w:t>
      </w:r>
      <w:r w:rsidRPr="00063CF1">
        <w:rPr>
          <w:szCs w:val="20"/>
        </w:rPr>
        <w:t>.</w:t>
      </w:r>
    </w:p>
    <w:p w:rsidR="00063CF1" w:rsidRPr="00EE7A69" w:rsidRDefault="00063CF1" w:rsidP="007F59DB">
      <w:pPr>
        <w:spacing w:before="360"/>
        <w:ind w:firstLine="709"/>
        <w:jc w:val="both"/>
        <w:rPr>
          <w:lang w:eastAsia="bg-BG"/>
        </w:rPr>
      </w:pPr>
      <w:r w:rsidRPr="00EE7A69">
        <w:rPr>
          <w:lang w:eastAsia="bg-BG"/>
        </w:rPr>
        <w:t>Възстановените суми от Европейския съюз към 31.03.2019 г. възлизат общо на 757,9</w:t>
      </w:r>
      <w:r w:rsidR="00B30A94" w:rsidRPr="007240EE">
        <w:t> </w:t>
      </w:r>
      <w:r w:rsidRPr="00EE7A69">
        <w:rPr>
          <w:lang w:eastAsia="bg-BG"/>
        </w:rPr>
        <w:t>млн. лв., което е с 8,3 млн. лв. повече от възстановените към 31.03.2018 г.</w:t>
      </w:r>
    </w:p>
    <w:p w:rsidR="00063CF1" w:rsidRPr="00EE7A69" w:rsidRDefault="00063CF1" w:rsidP="007F59DB">
      <w:pPr>
        <w:spacing w:before="120"/>
        <w:ind w:firstLine="709"/>
        <w:jc w:val="both"/>
        <w:rPr>
          <w:lang w:eastAsia="bg-BG"/>
        </w:rPr>
      </w:pPr>
      <w:r w:rsidRPr="00EE7A69">
        <w:rPr>
          <w:lang w:eastAsia="bg-BG"/>
        </w:rPr>
        <w:t>Възстановени са суми по следните направления:</w:t>
      </w:r>
    </w:p>
    <w:p w:rsidR="00063CF1" w:rsidRPr="00063CF1" w:rsidRDefault="00063CF1" w:rsidP="00063CF1">
      <w:pPr>
        <w:numPr>
          <w:ilvl w:val="0"/>
          <w:numId w:val="30"/>
        </w:numPr>
        <w:tabs>
          <w:tab w:val="left" w:pos="993"/>
        </w:tabs>
        <w:spacing w:after="200" w:line="276" w:lineRule="auto"/>
        <w:ind w:left="0" w:firstLine="993"/>
        <w:contextualSpacing/>
        <w:jc w:val="both"/>
        <w:rPr>
          <w:szCs w:val="20"/>
        </w:rPr>
      </w:pPr>
      <w:r w:rsidRPr="00063CF1">
        <w:rPr>
          <w:szCs w:val="20"/>
        </w:rPr>
        <w:t>750,5 млн. лв. за директни плащания от ЕФГЗ – 48,0 % от заложените 1 563,5 млн. лева;</w:t>
      </w:r>
    </w:p>
    <w:p w:rsidR="00063CF1" w:rsidRPr="00063CF1" w:rsidRDefault="00063CF1" w:rsidP="00063CF1">
      <w:pPr>
        <w:numPr>
          <w:ilvl w:val="0"/>
          <w:numId w:val="30"/>
        </w:numPr>
        <w:tabs>
          <w:tab w:val="left" w:pos="993"/>
        </w:tabs>
        <w:spacing w:after="200" w:line="276" w:lineRule="auto"/>
        <w:ind w:left="0" w:firstLine="993"/>
        <w:contextualSpacing/>
        <w:jc w:val="both"/>
        <w:rPr>
          <w:szCs w:val="20"/>
        </w:rPr>
      </w:pPr>
      <w:r w:rsidRPr="00063CF1">
        <w:rPr>
          <w:szCs w:val="20"/>
        </w:rPr>
        <w:t>5,4 млн. лв. от ЕЗФРСР, прехвърлени към директни плащания – 2,6 % от заложените 206,0 млн. лева;</w:t>
      </w:r>
    </w:p>
    <w:p w:rsidR="00063CF1" w:rsidRPr="00063CF1" w:rsidRDefault="00063CF1" w:rsidP="00063CF1">
      <w:pPr>
        <w:numPr>
          <w:ilvl w:val="0"/>
          <w:numId w:val="30"/>
        </w:numPr>
        <w:tabs>
          <w:tab w:val="left" w:pos="993"/>
        </w:tabs>
        <w:spacing w:after="200" w:line="276" w:lineRule="auto"/>
        <w:ind w:left="0" w:firstLine="993"/>
        <w:contextualSpacing/>
        <w:jc w:val="both"/>
        <w:rPr>
          <w:szCs w:val="20"/>
        </w:rPr>
      </w:pPr>
      <w:r w:rsidRPr="00063CF1">
        <w:rPr>
          <w:szCs w:val="20"/>
        </w:rPr>
        <w:t>1,2 млн. лв. за пазарни мерки, 3,4 % изпълнение на планираните 35,5 млн. лева;</w:t>
      </w:r>
    </w:p>
    <w:p w:rsidR="00063CF1" w:rsidRPr="00063CF1" w:rsidRDefault="00063CF1" w:rsidP="00063CF1">
      <w:pPr>
        <w:numPr>
          <w:ilvl w:val="0"/>
          <w:numId w:val="30"/>
        </w:numPr>
        <w:tabs>
          <w:tab w:val="left" w:pos="993"/>
        </w:tabs>
        <w:spacing w:after="200" w:line="276" w:lineRule="auto"/>
        <w:ind w:left="0" w:firstLine="993"/>
        <w:contextualSpacing/>
        <w:jc w:val="both"/>
      </w:pPr>
      <w:r w:rsidRPr="00063CF1">
        <w:rPr>
          <w:szCs w:val="20"/>
        </w:rPr>
        <w:t>0,9 млн. лв. – суми за преструктуриране, 3,1 % изпълнение на планираните 29,1</w:t>
      </w:r>
      <w:r w:rsidR="000F68AF" w:rsidRPr="007240EE">
        <w:t> </w:t>
      </w:r>
      <w:r w:rsidRPr="00063CF1">
        <w:rPr>
          <w:szCs w:val="20"/>
        </w:rPr>
        <w:t>млн. лева.</w:t>
      </w:r>
    </w:p>
    <w:p w:rsidR="00063CF1" w:rsidRDefault="00063CF1" w:rsidP="007F59DB">
      <w:pPr>
        <w:spacing w:before="360"/>
        <w:ind w:firstLine="709"/>
        <w:jc w:val="both"/>
        <w:rPr>
          <w:lang w:val="en-US"/>
        </w:rPr>
      </w:pPr>
      <w:r w:rsidRPr="00063CF1">
        <w:t xml:space="preserve">Възстановените суми (нето) по разчети с ЦБ за финансиране на плащания при недостиг на средства по сметки възлизат на 585,8 млн. лв. при планирани 2,9 млн. лева. </w:t>
      </w:r>
    </w:p>
    <w:p w:rsidR="00417E9B" w:rsidRPr="004F48CB" w:rsidRDefault="00417E9B" w:rsidP="00417E9B">
      <w:pPr>
        <w:tabs>
          <w:tab w:val="left" w:pos="540"/>
        </w:tabs>
        <w:jc w:val="both"/>
        <w:rPr>
          <w:lang w:eastAsia="bg-BG"/>
        </w:rPr>
      </w:pPr>
      <w:r>
        <w:rPr>
          <w:lang w:val="en-US" w:eastAsia="bg-BG"/>
        </w:rPr>
        <w:tab/>
        <w:t xml:space="preserve">   </w:t>
      </w:r>
      <w:r w:rsidRPr="00417E9B">
        <w:rPr>
          <w:lang w:eastAsia="bg-BG"/>
        </w:rPr>
        <w:t>Удържаните суми по разчети за данъци на физически лица към 31.03.2019</w:t>
      </w:r>
      <w:r w:rsidRPr="00417E9B">
        <w:rPr>
          <w:lang w:val="en-US" w:eastAsia="bg-BG"/>
        </w:rPr>
        <w:t xml:space="preserve"> </w:t>
      </w:r>
      <w:r w:rsidRPr="00417E9B">
        <w:rPr>
          <w:lang w:eastAsia="bg-BG"/>
        </w:rPr>
        <w:t>г. възлизат на 0,3</w:t>
      </w:r>
      <w:r w:rsidRPr="00417E9B">
        <w:rPr>
          <w:lang w:val="en-US" w:eastAsia="bg-BG"/>
        </w:rPr>
        <w:t xml:space="preserve"> </w:t>
      </w:r>
      <w:r w:rsidRPr="00417E9B">
        <w:rPr>
          <w:lang w:eastAsia="bg-BG"/>
        </w:rPr>
        <w:t>млн. лева.</w:t>
      </w:r>
    </w:p>
    <w:p w:rsidR="00063CF1" w:rsidRPr="00063CF1" w:rsidRDefault="00063CF1" w:rsidP="00063CF1">
      <w:pPr>
        <w:rPr>
          <w:lang w:val="en-US"/>
        </w:rPr>
      </w:pPr>
    </w:p>
    <w:p w:rsidR="002B1377" w:rsidRPr="00063CF1" w:rsidRDefault="002B1377" w:rsidP="002B1377">
      <w:pPr>
        <w:pStyle w:val="Heading1"/>
        <w:numPr>
          <w:ilvl w:val="1"/>
          <w:numId w:val="10"/>
        </w:numPr>
        <w:spacing w:after="120"/>
        <w:ind w:left="788" w:right="-108" w:hanging="431"/>
        <w:jc w:val="both"/>
        <w:rPr>
          <w:sz w:val="24"/>
        </w:rPr>
      </w:pPr>
      <w:r w:rsidRPr="00063CF1">
        <w:rPr>
          <w:sz w:val="24"/>
        </w:rPr>
        <w:t>Национален фонд към Министерство на финансите</w:t>
      </w:r>
    </w:p>
    <w:p w:rsidR="00063CF1" w:rsidRPr="00B509CB" w:rsidRDefault="00063CF1" w:rsidP="00063CF1">
      <w:pPr>
        <w:ind w:firstLine="684"/>
        <w:jc w:val="both"/>
        <w:rPr>
          <w:bCs/>
        </w:rPr>
      </w:pPr>
      <w:r w:rsidRPr="00DC2419">
        <w:rPr>
          <w:bCs/>
        </w:rPr>
        <w:t>По сметките на Национален фонд (НФ) към 31.03.2019 г. са постъпили приходи  (нет</w:t>
      </w:r>
      <w:r w:rsidRPr="00B509CB">
        <w:rPr>
          <w:bCs/>
        </w:rPr>
        <w:t xml:space="preserve">о) в размер на 389,9 млн. лв. по програмите, </w:t>
      </w:r>
      <w:proofErr w:type="spellStart"/>
      <w:r w:rsidRPr="00B509CB">
        <w:rPr>
          <w:bCs/>
        </w:rPr>
        <w:t>съфинансирани</w:t>
      </w:r>
      <w:proofErr w:type="spellEnd"/>
      <w:r w:rsidRPr="00B509CB">
        <w:rPr>
          <w:bCs/>
        </w:rPr>
        <w:t xml:space="preserve"> от Европейския фонд за регионално развитие, Европейския социален фонд (включително Инициативата за младежка заетост), </w:t>
      </w:r>
      <w:proofErr w:type="spellStart"/>
      <w:r w:rsidRPr="00B509CB">
        <w:rPr>
          <w:bCs/>
        </w:rPr>
        <w:t>Кохезионния</w:t>
      </w:r>
      <w:proofErr w:type="spellEnd"/>
      <w:r w:rsidRPr="00B509CB">
        <w:rPr>
          <w:bCs/>
        </w:rPr>
        <w:t xml:space="preserve"> фонд и Фонда за европейско подпомагане на най-нуждаещите се лица (ФЕПНЛ) на ЕС за финансовата рамка 2014–2020 г., Финансовия механизъм на Европейското </w:t>
      </w:r>
      <w:r w:rsidRPr="00B509CB">
        <w:rPr>
          <w:bCs/>
        </w:rPr>
        <w:lastRenderedPageBreak/>
        <w:t>икономическо пространство (ФМ на ЕИП) 2009–2014 г. и 2014–2021 г., Норвежкия финансов механизъм (НФМ) 2009–2014 г. и 2014–2021 г., двустранните програми за трансгранично сътрудничество по външните граници на EС (ПТСВГ) за периода 2014–2020 г., Българо-швейцарската програма за сътрудничество (БШПС) и програма ИСПА/</w:t>
      </w:r>
      <w:proofErr w:type="spellStart"/>
      <w:r w:rsidRPr="00B509CB">
        <w:rPr>
          <w:bCs/>
        </w:rPr>
        <w:t>Кохезионен</w:t>
      </w:r>
      <w:proofErr w:type="spellEnd"/>
      <w:r w:rsidRPr="00B509CB">
        <w:rPr>
          <w:bCs/>
        </w:rPr>
        <w:t xml:space="preserve"> фонд (Регламент 1164/94),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 </w:t>
      </w:r>
    </w:p>
    <w:p w:rsidR="00063CF1" w:rsidRPr="003C1171" w:rsidRDefault="00063CF1" w:rsidP="00063CF1">
      <w:pPr>
        <w:ind w:firstLine="684"/>
        <w:jc w:val="both"/>
        <w:rPr>
          <w:bCs/>
          <w:color w:val="0070C0"/>
        </w:rPr>
      </w:pPr>
      <w:r w:rsidRPr="00B509CB">
        <w:rPr>
          <w:bCs/>
        </w:rPr>
        <w:t>Извършените разходи (нето) за периода чрез сметките на НФ възлизат на 155,7 млн. лева. По видове разходи изпълнението е както следва: 66,83 % от общия размер са капиталови трансфери, 31,35 % са субсидии, 1,80 % предоставени текущи и капиталови трансфери за чужбина и 0,02 % - издръжка.</w:t>
      </w:r>
    </w:p>
    <w:p w:rsidR="00063CF1" w:rsidRPr="003C1171" w:rsidRDefault="00063CF1" w:rsidP="00063CF1">
      <w:pPr>
        <w:ind w:firstLine="684"/>
        <w:jc w:val="both"/>
        <w:rPr>
          <w:bCs/>
          <w:color w:val="0070C0"/>
        </w:rPr>
      </w:pPr>
      <w:r w:rsidRPr="00D12932">
        <w:rPr>
          <w:bCs/>
        </w:rPr>
        <w:t xml:space="preserve">Трансферите (нето), временните безлихвени заеми (нето) и временна възмездна </w:t>
      </w:r>
      <w:r w:rsidRPr="00FA356D">
        <w:rPr>
          <w:bCs/>
        </w:rPr>
        <w:t xml:space="preserve">финансова помощ (нето) за разглеждания период са в размер на 203,8 млн. лв. (включват предоставените трансфери към бенефициенти по Оперативните програми (ОП) на ЕС - програмен период 2014 – 2020 г., ПТСВГ за периода 2014 – 2020 г., ФМ на ЕИП и 2009 – 2014 г., НФМ 2009 – 2014 г. и за периода 2014–2021 г. и БШПС, както и възстановени трансфери за неусвоени суми </w:t>
      </w:r>
      <w:r w:rsidR="00EE7A69">
        <w:rPr>
          <w:bCs/>
        </w:rPr>
        <w:t xml:space="preserve">по </w:t>
      </w:r>
      <w:r w:rsidRPr="00FA356D">
        <w:rPr>
          <w:bCs/>
        </w:rPr>
        <w:t>приключили проекти, недопустими разходи и др. суми от бенефициенти-бюджетни организации</w:t>
      </w:r>
      <w:r>
        <w:rPr>
          <w:bCs/>
        </w:rPr>
        <w:t>)</w:t>
      </w:r>
      <w:r w:rsidRPr="00FA356D">
        <w:rPr>
          <w:bCs/>
        </w:rPr>
        <w:t xml:space="preserve">. В консолидираната отчетност на НФ са отразени и трансфери (нето) към бенефициенти, които са за сметка на средства, предоставени на МРРБ от държавите-партньори по ПТСВГ. </w:t>
      </w:r>
    </w:p>
    <w:p w:rsidR="00063CF1" w:rsidRPr="003C1171" w:rsidRDefault="00063CF1" w:rsidP="00063CF1">
      <w:pPr>
        <w:ind w:firstLine="684"/>
        <w:jc w:val="both"/>
        <w:rPr>
          <w:bCs/>
          <w:color w:val="0070C0"/>
        </w:rPr>
      </w:pPr>
      <w:r w:rsidRPr="00FA356D">
        <w:rPr>
          <w:bCs/>
        </w:rPr>
        <w:t>Във връзка с изпълнение на ОП - програмен период 2014 – 2020 г., ЕИП и НФМ 2014–2021 г. и ПТСВГ 2014 – 2020 г. по сметките на НФ са получени трансфери от централния бюджет на стойност 65</w:t>
      </w:r>
      <w:r>
        <w:rPr>
          <w:bCs/>
        </w:rPr>
        <w:t>,</w:t>
      </w:r>
      <w:r w:rsidRPr="00FA356D">
        <w:rPr>
          <w:bCs/>
        </w:rPr>
        <w:t>3 млн. лева.</w:t>
      </w:r>
    </w:p>
    <w:p w:rsidR="00063CF1" w:rsidRPr="003C1171" w:rsidRDefault="00063CF1" w:rsidP="00063CF1">
      <w:pPr>
        <w:ind w:firstLine="684"/>
        <w:jc w:val="both"/>
        <w:rPr>
          <w:bCs/>
          <w:color w:val="0070C0"/>
        </w:rPr>
      </w:pPr>
      <w:r w:rsidRPr="00FA356D">
        <w:rPr>
          <w:bCs/>
        </w:rPr>
        <w:t>Общата сума от други приходи, постъпили по сметките на НФ, са в размер на 0</w:t>
      </w:r>
      <w:r>
        <w:rPr>
          <w:bCs/>
        </w:rPr>
        <w:t>,</w:t>
      </w:r>
      <w:r w:rsidRPr="00FA356D">
        <w:rPr>
          <w:bCs/>
        </w:rPr>
        <w:t>07 млн.</w:t>
      </w:r>
      <w:r w:rsidR="00EE7A69">
        <w:rPr>
          <w:bCs/>
        </w:rPr>
        <w:t> </w:t>
      </w:r>
      <w:r w:rsidRPr="00FA356D">
        <w:rPr>
          <w:bCs/>
        </w:rPr>
        <w:t>лв. като в тази сума влизат и натрупаните лихви в резултат на управлението на свободните средства в обслужващите търговски банки, както и наказателни лихви.</w:t>
      </w:r>
    </w:p>
    <w:p w:rsidR="00063CF1" w:rsidRPr="003C1171" w:rsidRDefault="00063CF1" w:rsidP="00063CF1">
      <w:pPr>
        <w:ind w:firstLine="684"/>
        <w:jc w:val="both"/>
        <w:rPr>
          <w:color w:val="0070C0"/>
        </w:rPr>
      </w:pPr>
      <w:r w:rsidRPr="00FA356D">
        <w:rPr>
          <w:bCs/>
        </w:rPr>
        <w:t>Наличностите по сметката за средства от ЕС на НФ към 31.03.2019 г. възлизат на        3</w:t>
      </w:r>
      <w:r>
        <w:rPr>
          <w:bCs/>
        </w:rPr>
        <w:t> </w:t>
      </w:r>
      <w:r w:rsidRPr="00FA356D">
        <w:rPr>
          <w:bCs/>
        </w:rPr>
        <w:t>099</w:t>
      </w:r>
      <w:r>
        <w:rPr>
          <w:bCs/>
        </w:rPr>
        <w:t>,</w:t>
      </w:r>
      <w:r w:rsidRPr="00FA356D">
        <w:rPr>
          <w:bCs/>
        </w:rPr>
        <w:t>1 млн. лв. (в отчета на НФ са включени и наличностите на Фонда мениджър на финансови инструменти в България (Фонд на фондовете), които са на стойност 302</w:t>
      </w:r>
      <w:r>
        <w:rPr>
          <w:bCs/>
        </w:rPr>
        <w:t>,</w:t>
      </w:r>
      <w:r w:rsidRPr="00FA356D">
        <w:rPr>
          <w:bCs/>
        </w:rPr>
        <w:t>6 млн.</w:t>
      </w:r>
      <w:r w:rsidR="00EE7A69">
        <w:rPr>
          <w:bCs/>
        </w:rPr>
        <w:t> </w:t>
      </w:r>
      <w:r w:rsidRPr="00FA356D">
        <w:rPr>
          <w:bCs/>
        </w:rPr>
        <w:t>лв.), като в БНБ наличните средства са в размер на 3</w:t>
      </w:r>
      <w:r>
        <w:rPr>
          <w:bCs/>
        </w:rPr>
        <w:t> </w:t>
      </w:r>
      <w:r w:rsidRPr="00FA356D">
        <w:rPr>
          <w:bCs/>
        </w:rPr>
        <w:t>077</w:t>
      </w:r>
      <w:r>
        <w:rPr>
          <w:bCs/>
        </w:rPr>
        <w:t>,</w:t>
      </w:r>
      <w:r w:rsidRPr="00FA356D">
        <w:rPr>
          <w:bCs/>
        </w:rPr>
        <w:t>9 млн. лв., а в търговските банки (</w:t>
      </w:r>
      <w:proofErr w:type="spellStart"/>
      <w:r w:rsidRPr="00FA356D">
        <w:rPr>
          <w:bCs/>
        </w:rPr>
        <w:t>УниКредит</w:t>
      </w:r>
      <w:proofErr w:type="spellEnd"/>
      <w:r w:rsidRPr="00FA356D">
        <w:rPr>
          <w:bCs/>
        </w:rPr>
        <w:t xml:space="preserve"> Булбанк АД и Банка ДСК ЕАД) са в размер на 21</w:t>
      </w:r>
      <w:r>
        <w:rPr>
          <w:bCs/>
        </w:rPr>
        <w:t>,</w:t>
      </w:r>
      <w:r w:rsidRPr="00FA356D">
        <w:rPr>
          <w:bCs/>
        </w:rPr>
        <w:t>2 млн. лева.</w:t>
      </w:r>
    </w:p>
    <w:p w:rsidR="00063CF1" w:rsidRPr="009A0EB3" w:rsidRDefault="00063CF1" w:rsidP="00063CF1">
      <w:pPr>
        <w:spacing w:before="120"/>
        <w:ind w:firstLine="686"/>
        <w:rPr>
          <w:b/>
          <w:bCs/>
        </w:rPr>
      </w:pPr>
      <w:r w:rsidRPr="009A0EB3">
        <w:rPr>
          <w:b/>
          <w:bCs/>
        </w:rPr>
        <w:t xml:space="preserve">Структурни и </w:t>
      </w:r>
      <w:proofErr w:type="spellStart"/>
      <w:r w:rsidRPr="009A0EB3">
        <w:rPr>
          <w:b/>
          <w:bCs/>
        </w:rPr>
        <w:t>Кохезионен</w:t>
      </w:r>
      <w:proofErr w:type="spellEnd"/>
      <w:r w:rsidRPr="009A0EB3">
        <w:rPr>
          <w:b/>
          <w:bCs/>
        </w:rPr>
        <w:t xml:space="preserve"> фондове </w:t>
      </w:r>
      <w:r w:rsidRPr="009A0EB3">
        <w:rPr>
          <w:b/>
          <w:snapToGrid w:val="0"/>
        </w:rPr>
        <w:t>(СКФ) 2007 – 2013 г.</w:t>
      </w:r>
    </w:p>
    <w:p w:rsidR="00063CF1" w:rsidRPr="00A205D0" w:rsidRDefault="00063CF1" w:rsidP="00063CF1">
      <w:pPr>
        <w:pStyle w:val="BodyTextIndent"/>
        <w:ind w:firstLine="686"/>
        <w:rPr>
          <w:bCs/>
        </w:rPr>
      </w:pPr>
      <w:r w:rsidRPr="00A205D0">
        <w:rPr>
          <w:bCs/>
        </w:rPr>
        <w:t>През отчетния период са постъпили възстановени суми от бенефициенти по сметките на Национален фонд на стойност на 0</w:t>
      </w:r>
      <w:r>
        <w:rPr>
          <w:bCs/>
        </w:rPr>
        <w:t>,</w:t>
      </w:r>
      <w:r w:rsidRPr="00A205D0">
        <w:rPr>
          <w:bCs/>
        </w:rPr>
        <w:t>5 млн. л</w:t>
      </w:r>
      <w:r w:rsidR="00EE7A69">
        <w:rPr>
          <w:bCs/>
        </w:rPr>
        <w:t>е</w:t>
      </w:r>
      <w:r w:rsidRPr="00A205D0">
        <w:rPr>
          <w:bCs/>
        </w:rPr>
        <w:t>в</w:t>
      </w:r>
      <w:r w:rsidR="00EE7A69">
        <w:rPr>
          <w:bCs/>
        </w:rPr>
        <w:t>а</w:t>
      </w:r>
      <w:r w:rsidRPr="00A205D0">
        <w:rPr>
          <w:bCs/>
        </w:rPr>
        <w:t>.</w:t>
      </w:r>
    </w:p>
    <w:p w:rsidR="00063CF1" w:rsidRPr="003C1171" w:rsidRDefault="00063CF1" w:rsidP="00063CF1">
      <w:pPr>
        <w:ind w:firstLine="684"/>
        <w:jc w:val="both"/>
        <w:rPr>
          <w:bCs/>
          <w:color w:val="0070C0"/>
          <w:lang w:eastAsia="bg-BG"/>
        </w:rPr>
      </w:pPr>
      <w:r w:rsidRPr="009A0EB3">
        <w:rPr>
          <w:bCs/>
        </w:rPr>
        <w:t>През отчетния период е възстановено авансово финансиране, предоставено по реда на ДДС</w:t>
      </w:r>
      <w:r>
        <w:rPr>
          <w:bCs/>
        </w:rPr>
        <w:t xml:space="preserve"> </w:t>
      </w:r>
      <w:r w:rsidRPr="009A0EB3">
        <w:rPr>
          <w:bCs/>
        </w:rPr>
        <w:t>6/2011 г. на бюджетни организации на стойност на 2</w:t>
      </w:r>
      <w:r>
        <w:rPr>
          <w:bCs/>
        </w:rPr>
        <w:t>,</w:t>
      </w:r>
      <w:r w:rsidRPr="009A0EB3">
        <w:rPr>
          <w:bCs/>
        </w:rPr>
        <w:t>5 млн. лв.</w:t>
      </w:r>
    </w:p>
    <w:p w:rsidR="00063CF1" w:rsidRPr="00AB2A59" w:rsidRDefault="00063CF1" w:rsidP="00063CF1">
      <w:pPr>
        <w:tabs>
          <w:tab w:val="left" w:pos="570"/>
          <w:tab w:val="num" w:pos="741"/>
        </w:tabs>
        <w:spacing w:before="120"/>
        <w:jc w:val="both"/>
        <w:rPr>
          <w:b/>
          <w:bCs/>
        </w:rPr>
      </w:pPr>
      <w:r w:rsidRPr="00AB2A59">
        <w:tab/>
        <w:t xml:space="preserve"> </w:t>
      </w:r>
      <w:r w:rsidRPr="00AB2A59">
        <w:rPr>
          <w:b/>
          <w:bCs/>
        </w:rPr>
        <w:t xml:space="preserve">Европейски фонд за регионално развитие, Европейски социален фонд (включително Инициативата за младежка заетост), </w:t>
      </w:r>
      <w:proofErr w:type="spellStart"/>
      <w:r w:rsidRPr="00AB2A59">
        <w:rPr>
          <w:b/>
          <w:bCs/>
        </w:rPr>
        <w:t>Кохезионния</w:t>
      </w:r>
      <w:proofErr w:type="spellEnd"/>
      <w:r w:rsidRPr="00AB2A59">
        <w:rPr>
          <w:b/>
          <w:bCs/>
        </w:rPr>
        <w:t xml:space="preserve"> фонд и ФЕПНЛ на Европейския съюз за финансова рамка 2014 – 2020 г.</w:t>
      </w:r>
    </w:p>
    <w:p w:rsidR="00063CF1" w:rsidRPr="00AB2A59" w:rsidRDefault="00063CF1" w:rsidP="00063CF1">
      <w:pPr>
        <w:tabs>
          <w:tab w:val="left" w:pos="570"/>
          <w:tab w:val="num" w:pos="741"/>
        </w:tabs>
        <w:jc w:val="both"/>
        <w:rPr>
          <w:bCs/>
        </w:rPr>
      </w:pPr>
      <w:r w:rsidRPr="00AB2A59">
        <w:tab/>
      </w:r>
      <w:r w:rsidRPr="00AB2A59">
        <w:rPr>
          <w:bCs/>
        </w:rPr>
        <w:t xml:space="preserve">Общо получените средства от ЕК за периода са в размер на 463,1 млн. лв. </w:t>
      </w:r>
      <w:r w:rsidRPr="00AB2A59">
        <w:t>и са разпределени както следва:</w:t>
      </w:r>
    </w:p>
    <w:p w:rsidR="00063CF1" w:rsidRPr="00AB2A59" w:rsidRDefault="00063CF1" w:rsidP="00063CF1">
      <w:pPr>
        <w:numPr>
          <w:ilvl w:val="0"/>
          <w:numId w:val="12"/>
        </w:numPr>
        <w:tabs>
          <w:tab w:val="num" w:pos="786"/>
        </w:tabs>
        <w:ind w:left="737" w:hanging="357"/>
        <w:rPr>
          <w:bCs/>
          <w:lang w:eastAsia="bg-BG"/>
        </w:rPr>
      </w:pPr>
      <w:r w:rsidRPr="00AB2A59">
        <w:rPr>
          <w:bCs/>
          <w:lang w:eastAsia="bg-BG"/>
        </w:rPr>
        <w:t xml:space="preserve">ОП „Иновации и конкурентоспособност” – 83,5 млн. лв.;  </w:t>
      </w:r>
    </w:p>
    <w:p w:rsidR="00063CF1" w:rsidRPr="00AB2A59" w:rsidRDefault="00063CF1" w:rsidP="00063CF1">
      <w:pPr>
        <w:numPr>
          <w:ilvl w:val="0"/>
          <w:numId w:val="12"/>
        </w:numPr>
        <w:tabs>
          <w:tab w:val="num" w:pos="786"/>
        </w:tabs>
        <w:ind w:left="737" w:hanging="357"/>
        <w:rPr>
          <w:bCs/>
          <w:lang w:eastAsia="bg-BG"/>
        </w:rPr>
      </w:pPr>
      <w:r w:rsidRPr="00AB2A59">
        <w:rPr>
          <w:bCs/>
          <w:lang w:eastAsia="bg-BG"/>
        </w:rPr>
        <w:t>ОП „Добро управление” – 35,8 млн. лв.;</w:t>
      </w:r>
    </w:p>
    <w:p w:rsidR="00063CF1" w:rsidRPr="00E05ACC" w:rsidRDefault="00063CF1" w:rsidP="00063CF1">
      <w:pPr>
        <w:numPr>
          <w:ilvl w:val="0"/>
          <w:numId w:val="12"/>
        </w:numPr>
        <w:tabs>
          <w:tab w:val="num" w:pos="786"/>
        </w:tabs>
        <w:ind w:left="737" w:hanging="357"/>
        <w:rPr>
          <w:bCs/>
          <w:lang w:eastAsia="bg-BG"/>
        </w:rPr>
      </w:pPr>
      <w:r w:rsidRPr="00E05ACC">
        <w:rPr>
          <w:bCs/>
          <w:lang w:eastAsia="bg-BG"/>
        </w:rPr>
        <w:t>ОП „Транспорт и транспортна инфраструктура” – 48,3 млн. лв.;</w:t>
      </w:r>
    </w:p>
    <w:p w:rsidR="00063CF1" w:rsidRPr="00AB2A59" w:rsidRDefault="00063CF1" w:rsidP="00063CF1">
      <w:pPr>
        <w:numPr>
          <w:ilvl w:val="0"/>
          <w:numId w:val="12"/>
        </w:numPr>
        <w:tabs>
          <w:tab w:val="num" w:pos="786"/>
        </w:tabs>
        <w:ind w:left="737" w:hanging="357"/>
        <w:rPr>
          <w:bCs/>
          <w:lang w:eastAsia="bg-BG"/>
        </w:rPr>
      </w:pPr>
      <w:r w:rsidRPr="00AB2A59">
        <w:rPr>
          <w:bCs/>
          <w:lang w:eastAsia="bg-BG"/>
        </w:rPr>
        <w:t>ОП „Околна среда 2014 – 2020 г.“ – 106,0 млн. лв.;</w:t>
      </w:r>
    </w:p>
    <w:p w:rsidR="00063CF1" w:rsidRPr="00E05ACC" w:rsidRDefault="00063CF1" w:rsidP="00063CF1">
      <w:pPr>
        <w:numPr>
          <w:ilvl w:val="0"/>
          <w:numId w:val="12"/>
        </w:numPr>
        <w:tabs>
          <w:tab w:val="num" w:pos="786"/>
        </w:tabs>
        <w:ind w:left="737" w:hanging="357"/>
        <w:rPr>
          <w:bCs/>
          <w:lang w:eastAsia="bg-BG"/>
        </w:rPr>
      </w:pPr>
      <w:r w:rsidRPr="00E05ACC">
        <w:rPr>
          <w:bCs/>
          <w:lang w:eastAsia="bg-BG"/>
        </w:rPr>
        <w:t>ОП „Развитие на човешките ресурси 2014 - 2020 г.” – 52,5 млн. лв.;</w:t>
      </w:r>
    </w:p>
    <w:p w:rsidR="00063CF1" w:rsidRPr="00E05ACC" w:rsidRDefault="00063CF1" w:rsidP="00063CF1">
      <w:pPr>
        <w:numPr>
          <w:ilvl w:val="0"/>
          <w:numId w:val="12"/>
        </w:numPr>
        <w:tabs>
          <w:tab w:val="num" w:pos="786"/>
        </w:tabs>
        <w:ind w:left="737" w:hanging="357"/>
        <w:rPr>
          <w:bCs/>
          <w:lang w:eastAsia="bg-BG"/>
        </w:rPr>
      </w:pPr>
      <w:r w:rsidRPr="00E05ACC">
        <w:rPr>
          <w:bCs/>
          <w:lang w:eastAsia="bg-BG"/>
        </w:rPr>
        <w:t>Инициативата за младежка заетост – 6,3 млн. лв.;</w:t>
      </w:r>
    </w:p>
    <w:p w:rsidR="00063CF1" w:rsidRPr="00E05ACC" w:rsidRDefault="00063CF1" w:rsidP="00063CF1">
      <w:pPr>
        <w:numPr>
          <w:ilvl w:val="0"/>
          <w:numId w:val="12"/>
        </w:numPr>
        <w:tabs>
          <w:tab w:val="num" w:pos="786"/>
        </w:tabs>
        <w:ind w:left="737" w:hanging="357"/>
        <w:rPr>
          <w:bCs/>
          <w:lang w:eastAsia="bg-BG"/>
        </w:rPr>
      </w:pPr>
      <w:r w:rsidRPr="00E05ACC">
        <w:rPr>
          <w:bCs/>
          <w:lang w:eastAsia="bg-BG"/>
        </w:rPr>
        <w:t>ОП „Региони в растеж“ – 106,3 млн. лв.;</w:t>
      </w:r>
    </w:p>
    <w:p w:rsidR="00063CF1" w:rsidRPr="005F7F33" w:rsidRDefault="00063CF1" w:rsidP="00063CF1">
      <w:pPr>
        <w:numPr>
          <w:ilvl w:val="0"/>
          <w:numId w:val="12"/>
        </w:numPr>
        <w:tabs>
          <w:tab w:val="num" w:pos="786"/>
        </w:tabs>
        <w:ind w:left="737" w:hanging="357"/>
        <w:rPr>
          <w:bCs/>
          <w:lang w:eastAsia="bg-BG"/>
        </w:rPr>
      </w:pPr>
      <w:r w:rsidRPr="005F7F33">
        <w:rPr>
          <w:bCs/>
          <w:lang w:eastAsia="bg-BG"/>
        </w:rPr>
        <w:t>ОП „Инициатива за малки и средни предприятия 2014-2020“ – 0,</w:t>
      </w:r>
      <w:proofErr w:type="spellStart"/>
      <w:r w:rsidRPr="005F7F33">
        <w:rPr>
          <w:bCs/>
          <w:lang w:eastAsia="bg-BG"/>
        </w:rPr>
        <w:t>0</w:t>
      </w:r>
      <w:proofErr w:type="spellEnd"/>
      <w:r w:rsidRPr="005F7F33">
        <w:rPr>
          <w:bCs/>
          <w:lang w:eastAsia="bg-BG"/>
        </w:rPr>
        <w:t xml:space="preserve"> млн. лв.;</w:t>
      </w:r>
    </w:p>
    <w:p w:rsidR="00063CF1" w:rsidRPr="005F7F33" w:rsidRDefault="00063CF1" w:rsidP="00063CF1">
      <w:pPr>
        <w:numPr>
          <w:ilvl w:val="0"/>
          <w:numId w:val="12"/>
        </w:numPr>
        <w:tabs>
          <w:tab w:val="num" w:pos="786"/>
        </w:tabs>
        <w:ind w:left="737" w:hanging="357"/>
        <w:jc w:val="both"/>
        <w:rPr>
          <w:bCs/>
          <w:lang w:eastAsia="bg-BG"/>
        </w:rPr>
      </w:pPr>
      <w:r w:rsidRPr="005F7F33">
        <w:rPr>
          <w:bCs/>
          <w:lang w:eastAsia="bg-BG"/>
        </w:rPr>
        <w:lastRenderedPageBreak/>
        <w:t>ОП за храни и/или основно материално подпомагане от Фонда за европейско подпомагане на най-нуждаещите се лица в България за периода 2014 – 2020 г. – 14,5 млн. лв. и</w:t>
      </w:r>
    </w:p>
    <w:p w:rsidR="00063CF1" w:rsidRPr="005F7F33" w:rsidRDefault="00063CF1" w:rsidP="00063CF1">
      <w:pPr>
        <w:numPr>
          <w:ilvl w:val="0"/>
          <w:numId w:val="12"/>
        </w:numPr>
        <w:tabs>
          <w:tab w:val="num" w:pos="786"/>
        </w:tabs>
        <w:ind w:left="786"/>
        <w:rPr>
          <w:bCs/>
          <w:lang w:eastAsia="bg-BG"/>
        </w:rPr>
      </w:pPr>
      <w:r w:rsidRPr="005F7F33">
        <w:rPr>
          <w:bCs/>
          <w:lang w:eastAsia="bg-BG"/>
        </w:rPr>
        <w:t>ОП „Наука и образование за интелигентен растеж” – 9,</w:t>
      </w:r>
      <w:proofErr w:type="spellStart"/>
      <w:r w:rsidRPr="005F7F33">
        <w:rPr>
          <w:bCs/>
          <w:lang w:eastAsia="bg-BG"/>
        </w:rPr>
        <w:t>9</w:t>
      </w:r>
      <w:proofErr w:type="spellEnd"/>
      <w:r w:rsidRPr="005F7F33">
        <w:rPr>
          <w:bCs/>
          <w:lang w:eastAsia="bg-BG"/>
        </w:rPr>
        <w:t xml:space="preserve"> млн. лева.</w:t>
      </w:r>
    </w:p>
    <w:p w:rsidR="00063CF1" w:rsidRPr="005F7F33" w:rsidRDefault="00063CF1" w:rsidP="00063CF1">
      <w:pPr>
        <w:jc w:val="both"/>
        <w:rPr>
          <w:bCs/>
        </w:rPr>
      </w:pPr>
      <w:r w:rsidRPr="005F7F33">
        <w:rPr>
          <w:bCs/>
          <w:lang w:eastAsia="bg-BG"/>
        </w:rPr>
        <w:tab/>
      </w:r>
      <w:r w:rsidRPr="005F7F33">
        <w:rPr>
          <w:bCs/>
        </w:rPr>
        <w:t>Направените разходи (нето) по Оперативни програми и трансферите (нето) към бюджетни организации и операции с активи за първото тримесечие на годината са в размер на 358,8 млн. лв., като разпределението по Оперативни програми е следното:</w:t>
      </w:r>
    </w:p>
    <w:p w:rsidR="00063CF1" w:rsidRPr="000374FC" w:rsidRDefault="00063CF1" w:rsidP="00063CF1">
      <w:pPr>
        <w:numPr>
          <w:ilvl w:val="0"/>
          <w:numId w:val="12"/>
        </w:numPr>
        <w:tabs>
          <w:tab w:val="num" w:pos="786"/>
        </w:tabs>
        <w:ind w:left="786"/>
        <w:rPr>
          <w:bCs/>
        </w:rPr>
      </w:pPr>
      <w:r w:rsidRPr="000374FC">
        <w:rPr>
          <w:bCs/>
          <w:lang w:eastAsia="bg-BG"/>
        </w:rPr>
        <w:t>ОП</w:t>
      </w:r>
      <w:r w:rsidRPr="000374FC">
        <w:rPr>
          <w:bCs/>
        </w:rPr>
        <w:t xml:space="preserve"> „Развитие на човешките ресурси 2014 - 2020 г.” – 51,0 млн. лв.;</w:t>
      </w:r>
    </w:p>
    <w:p w:rsidR="00063CF1" w:rsidRPr="000374FC" w:rsidRDefault="00063CF1" w:rsidP="00063CF1">
      <w:pPr>
        <w:numPr>
          <w:ilvl w:val="0"/>
          <w:numId w:val="12"/>
        </w:numPr>
        <w:tabs>
          <w:tab w:val="num" w:pos="786"/>
        </w:tabs>
        <w:ind w:left="786"/>
        <w:rPr>
          <w:bCs/>
        </w:rPr>
      </w:pPr>
      <w:r w:rsidRPr="000374FC">
        <w:rPr>
          <w:bCs/>
        </w:rPr>
        <w:t>Инициативата за младежка заетост – 4,0 млн. лв.;</w:t>
      </w:r>
    </w:p>
    <w:p w:rsidR="00063CF1" w:rsidRPr="000374FC" w:rsidRDefault="00063CF1" w:rsidP="00063CF1">
      <w:pPr>
        <w:numPr>
          <w:ilvl w:val="0"/>
          <w:numId w:val="12"/>
        </w:numPr>
        <w:tabs>
          <w:tab w:val="num" w:pos="786"/>
        </w:tabs>
        <w:ind w:left="786"/>
        <w:jc w:val="both"/>
        <w:rPr>
          <w:bCs/>
        </w:rPr>
      </w:pPr>
      <w:r w:rsidRPr="000374FC">
        <w:rPr>
          <w:bCs/>
        </w:rPr>
        <w:t>ОП за храни и/или основно материално подпомагане от Фонда за европейско подпомагане на най-нуждаещите се лица в България за периода 2014 – 2020 г. – 6,2 млн. лева;</w:t>
      </w:r>
    </w:p>
    <w:p w:rsidR="00063CF1" w:rsidRPr="000374FC" w:rsidRDefault="00063CF1" w:rsidP="00063CF1">
      <w:pPr>
        <w:numPr>
          <w:ilvl w:val="0"/>
          <w:numId w:val="12"/>
        </w:numPr>
        <w:tabs>
          <w:tab w:val="num" w:pos="786"/>
        </w:tabs>
        <w:ind w:left="737" w:hanging="357"/>
        <w:rPr>
          <w:bCs/>
        </w:rPr>
      </w:pPr>
      <w:r w:rsidRPr="000374FC">
        <w:rPr>
          <w:bCs/>
        </w:rPr>
        <w:t>ОП „Иновации и конкурентоспособност” – 85,4 млн. лв.;</w:t>
      </w:r>
    </w:p>
    <w:p w:rsidR="00063CF1" w:rsidRPr="000374FC" w:rsidRDefault="00063CF1" w:rsidP="00063CF1">
      <w:pPr>
        <w:numPr>
          <w:ilvl w:val="0"/>
          <w:numId w:val="12"/>
        </w:numPr>
        <w:tabs>
          <w:tab w:val="num" w:pos="786"/>
        </w:tabs>
        <w:ind w:left="737" w:hanging="357"/>
        <w:rPr>
          <w:bCs/>
        </w:rPr>
      </w:pPr>
      <w:r w:rsidRPr="000374FC">
        <w:rPr>
          <w:bCs/>
        </w:rPr>
        <w:t>ОП „Инициатива за малки и средни предприятия 2014-2020“ – 0,</w:t>
      </w:r>
      <w:proofErr w:type="spellStart"/>
      <w:r w:rsidRPr="000374FC">
        <w:rPr>
          <w:bCs/>
        </w:rPr>
        <w:t>0</w:t>
      </w:r>
      <w:proofErr w:type="spellEnd"/>
      <w:r w:rsidRPr="000374FC">
        <w:rPr>
          <w:bCs/>
        </w:rPr>
        <w:t xml:space="preserve"> млн. лв.;</w:t>
      </w:r>
    </w:p>
    <w:p w:rsidR="00063CF1" w:rsidRPr="000374FC" w:rsidRDefault="00063CF1" w:rsidP="00063CF1">
      <w:pPr>
        <w:numPr>
          <w:ilvl w:val="0"/>
          <w:numId w:val="12"/>
        </w:numPr>
        <w:tabs>
          <w:tab w:val="num" w:pos="786"/>
        </w:tabs>
        <w:ind w:left="737" w:hanging="357"/>
        <w:rPr>
          <w:bCs/>
        </w:rPr>
      </w:pPr>
      <w:r w:rsidRPr="000374FC">
        <w:rPr>
          <w:bCs/>
        </w:rPr>
        <w:t>ОП „Добро управление” – 25,9 млн. лв.;</w:t>
      </w:r>
    </w:p>
    <w:p w:rsidR="00063CF1" w:rsidRPr="000374FC" w:rsidRDefault="00063CF1" w:rsidP="00063CF1">
      <w:pPr>
        <w:numPr>
          <w:ilvl w:val="0"/>
          <w:numId w:val="12"/>
        </w:numPr>
        <w:tabs>
          <w:tab w:val="num" w:pos="786"/>
        </w:tabs>
        <w:ind w:left="737" w:hanging="357"/>
        <w:rPr>
          <w:bCs/>
        </w:rPr>
      </w:pPr>
      <w:r w:rsidRPr="000374FC">
        <w:rPr>
          <w:bCs/>
        </w:rPr>
        <w:t>ОП „Региони в растеж“ – 100,5 млн. лв.;</w:t>
      </w:r>
    </w:p>
    <w:p w:rsidR="00063CF1" w:rsidRPr="000374FC" w:rsidRDefault="00063CF1" w:rsidP="00063CF1">
      <w:pPr>
        <w:numPr>
          <w:ilvl w:val="0"/>
          <w:numId w:val="12"/>
        </w:numPr>
        <w:tabs>
          <w:tab w:val="num" w:pos="786"/>
        </w:tabs>
        <w:ind w:left="737" w:hanging="357"/>
        <w:rPr>
          <w:bCs/>
        </w:rPr>
      </w:pPr>
      <w:r w:rsidRPr="000374FC">
        <w:rPr>
          <w:bCs/>
          <w:lang w:eastAsia="bg-BG"/>
        </w:rPr>
        <w:t>ОП „Транспорт и транспортна инфраструктура” – 50,0 млн. лв.;</w:t>
      </w:r>
    </w:p>
    <w:p w:rsidR="00063CF1" w:rsidRPr="000374FC" w:rsidRDefault="00063CF1" w:rsidP="00063CF1">
      <w:pPr>
        <w:numPr>
          <w:ilvl w:val="0"/>
          <w:numId w:val="12"/>
        </w:numPr>
        <w:tabs>
          <w:tab w:val="num" w:pos="786"/>
        </w:tabs>
        <w:ind w:left="737" w:hanging="357"/>
        <w:rPr>
          <w:bCs/>
          <w:lang w:eastAsia="bg-BG"/>
        </w:rPr>
      </w:pPr>
      <w:r w:rsidRPr="000374FC">
        <w:rPr>
          <w:bCs/>
          <w:lang w:eastAsia="bg-BG"/>
        </w:rPr>
        <w:t>ОП „Наука и образование за интелигентен растеж” – 14,4 млн. лв. и</w:t>
      </w:r>
    </w:p>
    <w:p w:rsidR="00063CF1" w:rsidRPr="000374FC" w:rsidRDefault="00063CF1" w:rsidP="00063CF1">
      <w:pPr>
        <w:numPr>
          <w:ilvl w:val="0"/>
          <w:numId w:val="12"/>
        </w:numPr>
        <w:tabs>
          <w:tab w:val="num" w:pos="786"/>
        </w:tabs>
        <w:ind w:left="737" w:hanging="357"/>
        <w:rPr>
          <w:bCs/>
          <w:lang w:eastAsia="bg-BG"/>
        </w:rPr>
      </w:pPr>
      <w:r w:rsidRPr="000374FC">
        <w:rPr>
          <w:bCs/>
          <w:lang w:eastAsia="bg-BG"/>
        </w:rPr>
        <w:t>ОП „Околна среда 2014 – 2020 г.“ – 21,4 млн. лева.</w:t>
      </w:r>
    </w:p>
    <w:p w:rsidR="00063CF1" w:rsidRPr="003C1171" w:rsidRDefault="00063CF1" w:rsidP="00063CF1">
      <w:pPr>
        <w:ind w:firstLine="686"/>
        <w:jc w:val="both"/>
        <w:rPr>
          <w:bCs/>
          <w:color w:val="0070C0"/>
          <w:lang w:eastAsia="bg-BG"/>
        </w:rPr>
      </w:pPr>
      <w:r w:rsidRPr="000374FC">
        <w:rPr>
          <w:bCs/>
        </w:rPr>
        <w:t>Предоставеното авансово финансиране по реда на ДДС 6/ 2011 г. към бюджетни организации за периода е на стойност 1</w:t>
      </w:r>
      <w:r>
        <w:rPr>
          <w:bCs/>
        </w:rPr>
        <w:t>,</w:t>
      </w:r>
      <w:r w:rsidRPr="000374FC">
        <w:rPr>
          <w:bCs/>
        </w:rPr>
        <w:t>7 млн. лева, а възстановените средства – 3</w:t>
      </w:r>
      <w:r>
        <w:rPr>
          <w:bCs/>
        </w:rPr>
        <w:t>,</w:t>
      </w:r>
      <w:r w:rsidRPr="000374FC">
        <w:rPr>
          <w:bCs/>
        </w:rPr>
        <w:t>8 млн. лв.</w:t>
      </w:r>
      <w:r>
        <w:rPr>
          <w:bCs/>
        </w:rPr>
        <w:t xml:space="preserve"> </w:t>
      </w:r>
    </w:p>
    <w:p w:rsidR="00063CF1" w:rsidRPr="003C1171" w:rsidRDefault="00063CF1" w:rsidP="00063CF1">
      <w:pPr>
        <w:ind w:firstLine="686"/>
        <w:jc w:val="both"/>
        <w:rPr>
          <w:bCs/>
          <w:color w:val="0070C0"/>
          <w:lang w:eastAsia="bg-BG"/>
        </w:rPr>
      </w:pPr>
      <w:r w:rsidRPr="000374FC">
        <w:rPr>
          <w:bCs/>
        </w:rPr>
        <w:t>Предоставена е възмездн</w:t>
      </w:r>
      <w:r>
        <w:rPr>
          <w:bCs/>
        </w:rPr>
        <w:t>а финансова помощ в размер на 0,</w:t>
      </w:r>
      <w:r w:rsidRPr="000374FC">
        <w:rPr>
          <w:bCs/>
        </w:rPr>
        <w:t>2 млн. лева на ОП „Транспорт и транспортна инфраструктура” по реда на ДДС</w:t>
      </w:r>
      <w:r>
        <w:rPr>
          <w:bCs/>
        </w:rPr>
        <w:t xml:space="preserve"> </w:t>
      </w:r>
      <w:r w:rsidRPr="000374FC">
        <w:rPr>
          <w:bCs/>
        </w:rPr>
        <w:t>6/2011 г.</w:t>
      </w:r>
      <w:r w:rsidRPr="003C1171">
        <w:rPr>
          <w:bCs/>
          <w:color w:val="0070C0"/>
          <w:lang w:eastAsia="bg-BG"/>
        </w:rPr>
        <w:t xml:space="preserve"> </w:t>
      </w:r>
    </w:p>
    <w:p w:rsidR="00063CF1" w:rsidRPr="00F278B4" w:rsidRDefault="00063CF1" w:rsidP="00063CF1">
      <w:pPr>
        <w:spacing w:before="120"/>
        <w:ind w:firstLine="629"/>
        <w:rPr>
          <w:b/>
          <w:bCs/>
        </w:rPr>
      </w:pPr>
      <w:r w:rsidRPr="00F278B4">
        <w:rPr>
          <w:b/>
          <w:bCs/>
        </w:rPr>
        <w:t>Програма ФАР и Преходен финансов инструмент</w:t>
      </w:r>
    </w:p>
    <w:p w:rsidR="00063CF1" w:rsidRPr="00F278B4" w:rsidRDefault="00063CF1" w:rsidP="00063CF1">
      <w:pPr>
        <w:ind w:firstLine="629"/>
        <w:jc w:val="both"/>
        <w:rPr>
          <w:bCs/>
          <w:lang w:eastAsia="bg-BG"/>
        </w:rPr>
      </w:pPr>
      <w:r w:rsidRPr="00F278B4">
        <w:rPr>
          <w:snapToGrid w:val="0"/>
        </w:rPr>
        <w:t xml:space="preserve">През отчетния период </w:t>
      </w:r>
      <w:r w:rsidRPr="00F278B4">
        <w:rPr>
          <w:bCs/>
          <w:lang w:eastAsia="bg-BG"/>
        </w:rPr>
        <w:t xml:space="preserve">са </w:t>
      </w:r>
      <w:r w:rsidRPr="00F278B4">
        <w:rPr>
          <w:snapToGrid w:val="0"/>
        </w:rPr>
        <w:t>постъпили възстановени суми от бенефициенти по сметките на Национален фонд в размер на 0,05</w:t>
      </w:r>
      <w:r w:rsidRPr="00F278B4">
        <w:rPr>
          <w:bCs/>
          <w:lang w:eastAsia="bg-BG"/>
        </w:rPr>
        <w:t xml:space="preserve"> млн. л</w:t>
      </w:r>
      <w:r w:rsidR="00EE7A69">
        <w:rPr>
          <w:bCs/>
          <w:lang w:eastAsia="bg-BG"/>
        </w:rPr>
        <w:t>е</w:t>
      </w:r>
      <w:r w:rsidRPr="00F278B4">
        <w:rPr>
          <w:bCs/>
          <w:lang w:eastAsia="bg-BG"/>
        </w:rPr>
        <w:t>в</w:t>
      </w:r>
      <w:r w:rsidR="00EE7A69">
        <w:rPr>
          <w:bCs/>
          <w:lang w:eastAsia="bg-BG"/>
        </w:rPr>
        <w:t>а</w:t>
      </w:r>
      <w:r w:rsidRPr="00F278B4">
        <w:rPr>
          <w:bCs/>
          <w:lang w:eastAsia="bg-BG"/>
        </w:rPr>
        <w:t xml:space="preserve">. </w:t>
      </w:r>
    </w:p>
    <w:p w:rsidR="00063CF1" w:rsidRPr="00F278B4" w:rsidRDefault="00063CF1" w:rsidP="00063CF1">
      <w:pPr>
        <w:spacing w:before="120"/>
        <w:ind w:firstLine="629"/>
        <w:rPr>
          <w:b/>
        </w:rPr>
      </w:pPr>
      <w:r w:rsidRPr="00F278B4">
        <w:rPr>
          <w:b/>
        </w:rPr>
        <w:t>Програма ИСПА/</w:t>
      </w:r>
      <w:proofErr w:type="spellStart"/>
      <w:r w:rsidRPr="00F278B4">
        <w:rPr>
          <w:b/>
        </w:rPr>
        <w:t>Кохезионен</w:t>
      </w:r>
      <w:proofErr w:type="spellEnd"/>
      <w:r w:rsidRPr="00F278B4">
        <w:rPr>
          <w:b/>
        </w:rPr>
        <w:t xml:space="preserve"> фонд (Регламент 1164/94)</w:t>
      </w:r>
    </w:p>
    <w:p w:rsidR="00063CF1" w:rsidRPr="00F278B4" w:rsidRDefault="00063CF1" w:rsidP="00063CF1">
      <w:pPr>
        <w:ind w:firstLine="629"/>
        <w:rPr>
          <w:snapToGrid w:val="0"/>
        </w:rPr>
      </w:pPr>
      <w:r w:rsidRPr="00F278B4">
        <w:rPr>
          <w:snapToGrid w:val="0"/>
        </w:rPr>
        <w:t xml:space="preserve">За периода </w:t>
      </w:r>
      <w:r>
        <w:rPr>
          <w:snapToGrid w:val="0"/>
        </w:rPr>
        <w:t>постъпилите</w:t>
      </w:r>
      <w:r w:rsidRPr="00F278B4">
        <w:rPr>
          <w:snapToGrid w:val="0"/>
        </w:rPr>
        <w:t xml:space="preserve"> средства </w:t>
      </w:r>
      <w:r>
        <w:rPr>
          <w:snapToGrid w:val="0"/>
        </w:rPr>
        <w:t>от</w:t>
      </w:r>
      <w:r w:rsidRPr="00F278B4">
        <w:rPr>
          <w:snapToGrid w:val="0"/>
        </w:rPr>
        <w:t xml:space="preserve"> ЕК са в размер на 11,0 млн. лева.</w:t>
      </w:r>
    </w:p>
    <w:p w:rsidR="00063CF1" w:rsidRPr="00F278B4" w:rsidRDefault="00063CF1" w:rsidP="00063CF1">
      <w:pPr>
        <w:spacing w:before="120"/>
        <w:ind w:firstLine="629"/>
        <w:rPr>
          <w:b/>
        </w:rPr>
      </w:pPr>
      <w:r w:rsidRPr="00F278B4">
        <w:rPr>
          <w:b/>
        </w:rPr>
        <w:t xml:space="preserve">Програма САПАРД </w:t>
      </w:r>
    </w:p>
    <w:p w:rsidR="00063CF1" w:rsidRPr="00F278B4" w:rsidRDefault="00063CF1" w:rsidP="00063CF1">
      <w:pPr>
        <w:ind w:firstLine="629"/>
        <w:jc w:val="both"/>
      </w:pPr>
      <w:r w:rsidRPr="00F278B4">
        <w:t>На 31.12.2009 г. изтече валидността на Годишното финансово споразумение (ГФС) 2006, с което се прекрати и изплащането на субсидии към крайни бенефициенти по програма САПАРД.</w:t>
      </w:r>
    </w:p>
    <w:p w:rsidR="00063CF1" w:rsidRDefault="00063CF1" w:rsidP="00063CF1">
      <w:pPr>
        <w:ind w:firstLine="629"/>
        <w:jc w:val="both"/>
        <w:rPr>
          <w:bCs/>
        </w:rPr>
      </w:pPr>
      <w:r w:rsidRPr="00F278B4">
        <w:rPr>
          <w:bCs/>
        </w:rPr>
        <w:t>През периода са извършени възстановявания от бенефициенти по дългове на стойност 0</w:t>
      </w:r>
      <w:r>
        <w:rPr>
          <w:bCs/>
        </w:rPr>
        <w:t>,</w:t>
      </w:r>
      <w:r w:rsidRPr="00F278B4">
        <w:rPr>
          <w:bCs/>
        </w:rPr>
        <w:t>05 млн. л</w:t>
      </w:r>
      <w:r w:rsidR="00AA6367">
        <w:rPr>
          <w:bCs/>
        </w:rPr>
        <w:t>е</w:t>
      </w:r>
      <w:r w:rsidRPr="00F278B4">
        <w:rPr>
          <w:bCs/>
        </w:rPr>
        <w:t>в</w:t>
      </w:r>
      <w:r w:rsidR="00AA6367">
        <w:rPr>
          <w:bCs/>
        </w:rPr>
        <w:t>а</w:t>
      </w:r>
      <w:r w:rsidRPr="00F278B4">
        <w:rPr>
          <w:bCs/>
        </w:rPr>
        <w:t>.</w:t>
      </w:r>
    </w:p>
    <w:p w:rsidR="00063CF1" w:rsidRPr="00F278B4" w:rsidRDefault="00063CF1" w:rsidP="00063CF1">
      <w:pPr>
        <w:ind w:firstLine="629"/>
        <w:jc w:val="both"/>
        <w:rPr>
          <w:color w:val="0070C0"/>
        </w:rPr>
      </w:pPr>
      <w:r w:rsidRPr="00F278B4">
        <w:rPr>
          <w:bCs/>
        </w:rPr>
        <w:t>Възстановените средства към ЕК са в размер на 91</w:t>
      </w:r>
      <w:r>
        <w:rPr>
          <w:bCs/>
        </w:rPr>
        <w:t>,</w:t>
      </w:r>
      <w:r w:rsidRPr="00F278B4">
        <w:rPr>
          <w:bCs/>
        </w:rPr>
        <w:t>6 млн. л</w:t>
      </w:r>
      <w:r w:rsidR="00AA6367">
        <w:rPr>
          <w:bCs/>
        </w:rPr>
        <w:t>е</w:t>
      </w:r>
      <w:r w:rsidRPr="00F278B4">
        <w:rPr>
          <w:bCs/>
        </w:rPr>
        <w:t>в</w:t>
      </w:r>
      <w:r w:rsidR="00AA6367">
        <w:rPr>
          <w:bCs/>
        </w:rPr>
        <w:t>а</w:t>
      </w:r>
      <w:r w:rsidRPr="00F278B4">
        <w:rPr>
          <w:bCs/>
        </w:rPr>
        <w:t>.</w:t>
      </w:r>
    </w:p>
    <w:p w:rsidR="00063CF1" w:rsidRPr="00F278B4" w:rsidRDefault="00063CF1" w:rsidP="00063CF1">
      <w:pPr>
        <w:spacing w:before="120"/>
        <w:jc w:val="both"/>
        <w:rPr>
          <w:b/>
        </w:rPr>
      </w:pPr>
      <w:r w:rsidRPr="00F278B4">
        <w:tab/>
      </w:r>
      <w:r w:rsidRPr="00F278B4">
        <w:rPr>
          <w:b/>
        </w:rPr>
        <w:t>Двустранни програми за трансгранично сътрудничество по външните граници на Европейския съюз 2007 – 2013 г.</w:t>
      </w:r>
    </w:p>
    <w:p w:rsidR="00063CF1" w:rsidRPr="003C1171" w:rsidRDefault="00063CF1" w:rsidP="00063CF1">
      <w:pPr>
        <w:ind w:firstLine="686"/>
        <w:jc w:val="both"/>
        <w:rPr>
          <w:color w:val="0070C0"/>
        </w:rPr>
      </w:pPr>
      <w:r w:rsidRPr="009B036D">
        <w:rPr>
          <w:bCs/>
        </w:rPr>
        <w:t>За периода са постъпили средства от ЕК на стойност 0.4 млн. л</w:t>
      </w:r>
      <w:r w:rsidR="00AA6367">
        <w:rPr>
          <w:bCs/>
        </w:rPr>
        <w:t>е</w:t>
      </w:r>
      <w:r w:rsidRPr="009B036D">
        <w:rPr>
          <w:bCs/>
        </w:rPr>
        <w:t>в</w:t>
      </w:r>
      <w:r w:rsidR="00AA6367">
        <w:rPr>
          <w:bCs/>
        </w:rPr>
        <w:t>а</w:t>
      </w:r>
      <w:r w:rsidRPr="009B036D">
        <w:rPr>
          <w:bCs/>
        </w:rPr>
        <w:t>.</w:t>
      </w:r>
    </w:p>
    <w:p w:rsidR="00063CF1" w:rsidRPr="009B036D" w:rsidRDefault="00063CF1" w:rsidP="00063CF1">
      <w:pPr>
        <w:spacing w:before="120"/>
        <w:ind w:firstLine="686"/>
        <w:jc w:val="both"/>
        <w:rPr>
          <w:b/>
        </w:rPr>
      </w:pPr>
      <w:r w:rsidRPr="009B036D">
        <w:rPr>
          <w:b/>
        </w:rPr>
        <w:t>Двустранни програми за трансгранично сътрудничество по външните граници на Европейския съюз 2014 – 2020 г.</w:t>
      </w:r>
    </w:p>
    <w:p w:rsidR="00063CF1" w:rsidRPr="00A205D0" w:rsidRDefault="00063CF1" w:rsidP="00AA6367">
      <w:pPr>
        <w:ind w:firstLine="686"/>
        <w:jc w:val="both"/>
        <w:rPr>
          <w:bCs/>
        </w:rPr>
      </w:pPr>
      <w:r w:rsidRPr="00A205D0">
        <w:rPr>
          <w:bCs/>
        </w:rPr>
        <w:t>Получените средства към 31.03.2019 г. са на стойност 7</w:t>
      </w:r>
      <w:r>
        <w:rPr>
          <w:bCs/>
        </w:rPr>
        <w:t>,</w:t>
      </w:r>
      <w:proofErr w:type="spellStart"/>
      <w:r w:rsidRPr="00A205D0">
        <w:rPr>
          <w:bCs/>
        </w:rPr>
        <w:t>7</w:t>
      </w:r>
      <w:proofErr w:type="spellEnd"/>
      <w:r w:rsidRPr="00A205D0">
        <w:rPr>
          <w:bCs/>
        </w:rPr>
        <w:t xml:space="preserve"> млн. лв., представляващи възстановени средства от ЕК и постъпили средства за </w:t>
      </w:r>
      <w:proofErr w:type="spellStart"/>
      <w:r w:rsidRPr="00A205D0">
        <w:rPr>
          <w:bCs/>
        </w:rPr>
        <w:t>съфинансиране</w:t>
      </w:r>
      <w:proofErr w:type="spellEnd"/>
      <w:r w:rsidRPr="00A205D0">
        <w:rPr>
          <w:bCs/>
        </w:rPr>
        <w:t xml:space="preserve"> от страните-партньори, включително разпределените към администратори в чужбина за сметка на средства от страната-партньор.</w:t>
      </w:r>
    </w:p>
    <w:p w:rsidR="00063CF1" w:rsidRDefault="00063CF1" w:rsidP="00063CF1">
      <w:pPr>
        <w:ind w:firstLine="686"/>
        <w:jc w:val="both"/>
        <w:rPr>
          <w:bCs/>
        </w:rPr>
      </w:pPr>
      <w:r w:rsidRPr="009B036D">
        <w:rPr>
          <w:bCs/>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4</w:t>
      </w:r>
      <w:r>
        <w:rPr>
          <w:bCs/>
        </w:rPr>
        <w:t>,</w:t>
      </w:r>
      <w:r w:rsidRPr="009B036D">
        <w:rPr>
          <w:bCs/>
        </w:rPr>
        <w:t>9 млн. лв., включително за плащания към бенефициенти в страната за сметка на финансиране от страната-партньор по тези програми.</w:t>
      </w:r>
    </w:p>
    <w:p w:rsidR="00063CF1" w:rsidRPr="009B036D" w:rsidRDefault="00063CF1" w:rsidP="00063CF1">
      <w:pPr>
        <w:spacing w:before="120"/>
        <w:ind w:firstLine="686"/>
        <w:jc w:val="both"/>
        <w:rPr>
          <w:b/>
        </w:rPr>
      </w:pPr>
      <w:r w:rsidRPr="009B036D">
        <w:rPr>
          <w:b/>
        </w:rPr>
        <w:t>Финансов механизъм на Европейското икономическо пространство и Норвежки финансов механизъм за периода 2009-2014 г. и 2014-2021 г.</w:t>
      </w:r>
    </w:p>
    <w:p w:rsidR="00063CF1" w:rsidRPr="009B036D" w:rsidRDefault="00063CF1" w:rsidP="00AA6367">
      <w:pPr>
        <w:ind w:firstLine="686"/>
        <w:jc w:val="both"/>
        <w:rPr>
          <w:bCs/>
        </w:rPr>
      </w:pPr>
      <w:r w:rsidRPr="00A205D0">
        <w:rPr>
          <w:bCs/>
        </w:rPr>
        <w:lastRenderedPageBreak/>
        <w:t xml:space="preserve">Възстановените към Офиса от НФ средства общо по ЕИП и НФМ за периода са </w:t>
      </w:r>
      <w:r w:rsidRPr="009B036D">
        <w:rPr>
          <w:bCs/>
        </w:rPr>
        <w:t>на стойност 0</w:t>
      </w:r>
      <w:r>
        <w:rPr>
          <w:bCs/>
        </w:rPr>
        <w:t>,</w:t>
      </w:r>
      <w:r w:rsidRPr="009B036D">
        <w:rPr>
          <w:bCs/>
        </w:rPr>
        <w:t>7 млн. лева.</w:t>
      </w:r>
    </w:p>
    <w:p w:rsidR="00063CF1" w:rsidRPr="003C1171" w:rsidRDefault="00063CF1" w:rsidP="00063CF1">
      <w:pPr>
        <w:ind w:firstLine="686"/>
        <w:jc w:val="both"/>
        <w:rPr>
          <w:rFonts w:eastAsia="Calibri"/>
          <w:color w:val="0070C0"/>
        </w:rPr>
      </w:pPr>
      <w:r w:rsidRPr="009B036D">
        <w:rPr>
          <w:bCs/>
        </w:rPr>
        <w:t>Сумата на разходите и трансферите (нето) към 31.03.2019 г. са на обща стойност 0</w:t>
      </w:r>
      <w:r>
        <w:rPr>
          <w:bCs/>
        </w:rPr>
        <w:t>,</w:t>
      </w:r>
      <w:r w:rsidRPr="009B036D">
        <w:rPr>
          <w:bCs/>
        </w:rPr>
        <w:t>6 млн. л</w:t>
      </w:r>
      <w:r w:rsidR="00AA6367">
        <w:rPr>
          <w:bCs/>
        </w:rPr>
        <w:t>е</w:t>
      </w:r>
      <w:r w:rsidRPr="009B036D">
        <w:rPr>
          <w:bCs/>
        </w:rPr>
        <w:t>в</w:t>
      </w:r>
      <w:r w:rsidR="00AA6367">
        <w:rPr>
          <w:bCs/>
        </w:rPr>
        <w:t>а</w:t>
      </w:r>
      <w:r>
        <w:rPr>
          <w:bCs/>
        </w:rPr>
        <w:t>.</w:t>
      </w:r>
    </w:p>
    <w:p w:rsidR="00063CF1" w:rsidRPr="009B036D" w:rsidRDefault="00063CF1" w:rsidP="00063CF1">
      <w:pPr>
        <w:spacing w:before="120"/>
        <w:ind w:firstLine="743"/>
        <w:jc w:val="both"/>
        <w:rPr>
          <w:b/>
        </w:rPr>
      </w:pPr>
      <w:r w:rsidRPr="009B036D">
        <w:rPr>
          <w:b/>
        </w:rPr>
        <w:t>Българо-швейцарска програма за сътрудничество за намаляване на икономическите и социални неравенства в рамките на разширения Европейски съюз</w:t>
      </w:r>
    </w:p>
    <w:p w:rsidR="00063CF1" w:rsidRPr="00A205D0" w:rsidRDefault="00063CF1" w:rsidP="00AA6367">
      <w:pPr>
        <w:pStyle w:val="BodyTextIndent"/>
        <w:ind w:firstLine="401"/>
        <w:rPr>
          <w:bCs/>
        </w:rPr>
      </w:pPr>
      <w:r w:rsidRPr="00A205D0">
        <w:rPr>
          <w:bCs/>
        </w:rPr>
        <w:t>Получените средства по програм</w:t>
      </w:r>
      <w:r>
        <w:rPr>
          <w:bCs/>
        </w:rPr>
        <w:t>ата за периода са в размер на 0,</w:t>
      </w:r>
      <w:r w:rsidRPr="00A205D0">
        <w:rPr>
          <w:bCs/>
        </w:rPr>
        <w:t>02 млн. лева.</w:t>
      </w:r>
    </w:p>
    <w:p w:rsidR="00063CF1" w:rsidRDefault="00063CF1" w:rsidP="00063CF1">
      <w:pPr>
        <w:ind w:firstLine="684"/>
        <w:jc w:val="both"/>
        <w:rPr>
          <w:bCs/>
          <w:color w:val="0070C0"/>
          <w:lang w:val="en-US"/>
        </w:rPr>
      </w:pPr>
      <w:r w:rsidRPr="00A205D0">
        <w:rPr>
          <w:bCs/>
        </w:rPr>
        <w:t>Извършените изходящи трансфери към бенефициенти-бюджетни организации от началото на годината са в размер на 0</w:t>
      </w:r>
      <w:r>
        <w:rPr>
          <w:bCs/>
        </w:rPr>
        <w:t>,</w:t>
      </w:r>
      <w:r w:rsidRPr="00A205D0">
        <w:rPr>
          <w:bCs/>
        </w:rPr>
        <w:t>04 млн. л</w:t>
      </w:r>
      <w:r w:rsidR="00AA6367">
        <w:rPr>
          <w:bCs/>
        </w:rPr>
        <w:t>е</w:t>
      </w:r>
      <w:r w:rsidRPr="00A205D0">
        <w:rPr>
          <w:bCs/>
        </w:rPr>
        <w:t>в</w:t>
      </w:r>
      <w:r w:rsidR="00AA6367">
        <w:rPr>
          <w:bCs/>
        </w:rPr>
        <w:t>а</w:t>
      </w:r>
      <w:r w:rsidRPr="00A205D0">
        <w:rPr>
          <w:bCs/>
        </w:rPr>
        <w:t>.</w:t>
      </w:r>
    </w:p>
    <w:p w:rsidR="00CF6248" w:rsidRPr="000613BA" w:rsidRDefault="00CF6248" w:rsidP="00A4514A">
      <w:pPr>
        <w:pStyle w:val="BodyTextIndent"/>
        <w:spacing w:before="240"/>
        <w:ind w:left="284" w:firstLine="403"/>
        <w:rPr>
          <w:bCs/>
          <w:color w:val="0070C0"/>
        </w:rPr>
      </w:pPr>
    </w:p>
    <w:p w:rsidR="00E449C3" w:rsidRPr="007240EE" w:rsidRDefault="00E449C3" w:rsidP="00012533">
      <w:pPr>
        <w:pStyle w:val="Heading1"/>
        <w:numPr>
          <w:ilvl w:val="0"/>
          <w:numId w:val="10"/>
        </w:numPr>
        <w:spacing w:before="120" w:after="240"/>
        <w:ind w:right="-108"/>
        <w:jc w:val="both"/>
        <w:rPr>
          <w:sz w:val="24"/>
        </w:rPr>
      </w:pPr>
      <w:r w:rsidRPr="007240EE">
        <w:rPr>
          <w:sz w:val="24"/>
        </w:rPr>
        <w:t>Бюджети на социално и здравно-осигурителните фондове и бюджети по чл. 13, ал. 2 и ал. 3 на Закона за публичните финанси</w:t>
      </w:r>
    </w:p>
    <w:p w:rsidR="00DB70EE" w:rsidRDefault="00DB70EE" w:rsidP="00012533">
      <w:pPr>
        <w:pStyle w:val="Heading1"/>
        <w:numPr>
          <w:ilvl w:val="1"/>
          <w:numId w:val="10"/>
        </w:numPr>
        <w:spacing w:before="120" w:after="120"/>
        <w:ind w:left="788" w:right="-108" w:hanging="431"/>
        <w:jc w:val="both"/>
        <w:rPr>
          <w:sz w:val="24"/>
          <w:lang w:val="en-US"/>
        </w:rPr>
      </w:pPr>
      <w:r w:rsidRPr="007240EE">
        <w:rPr>
          <w:sz w:val="24"/>
        </w:rPr>
        <w:t>Социално и здравно-осигурителни фондове</w:t>
      </w:r>
    </w:p>
    <w:p w:rsidR="007240EE" w:rsidRPr="007240EE" w:rsidRDefault="007240EE" w:rsidP="003B44AF">
      <w:pPr>
        <w:numPr>
          <w:ilvl w:val="1"/>
          <w:numId w:val="6"/>
        </w:numPr>
        <w:spacing w:before="120" w:line="276" w:lineRule="auto"/>
        <w:ind w:left="992" w:hanging="357"/>
        <w:jc w:val="both"/>
        <w:rPr>
          <w:b/>
          <w:bCs/>
          <w:color w:val="0070C0"/>
        </w:rPr>
      </w:pPr>
      <w:r w:rsidRPr="007240EE">
        <w:rPr>
          <w:b/>
        </w:rPr>
        <w:t>Държавно обществено осигуряване</w:t>
      </w:r>
    </w:p>
    <w:p w:rsidR="007240EE" w:rsidRPr="007240EE" w:rsidRDefault="007240EE" w:rsidP="007240EE">
      <w:pPr>
        <w:ind w:firstLine="567"/>
        <w:jc w:val="both"/>
        <w:rPr>
          <w:color w:val="0070C0"/>
        </w:rPr>
      </w:pPr>
      <w:r w:rsidRPr="007240EE">
        <w:t xml:space="preserve">Общата сума на </w:t>
      </w:r>
      <w:r w:rsidRPr="007240EE">
        <w:rPr>
          <w:b/>
        </w:rPr>
        <w:t>приходите и помощите</w:t>
      </w:r>
      <w:r w:rsidRPr="007240EE">
        <w:t xml:space="preserve"> по бюджета на Държавното обществено осигуряване (ДОО) към 3</w:t>
      </w:r>
      <w:r w:rsidRPr="007240EE">
        <w:rPr>
          <w:lang w:val="en-US"/>
        </w:rPr>
        <w:t>1</w:t>
      </w:r>
      <w:r w:rsidRPr="007240EE">
        <w:t>.0</w:t>
      </w:r>
      <w:r w:rsidRPr="007240EE">
        <w:rPr>
          <w:lang w:val="en-US"/>
        </w:rPr>
        <w:t>3</w:t>
      </w:r>
      <w:r w:rsidRPr="007240EE">
        <w:t>.201</w:t>
      </w:r>
      <w:r w:rsidRPr="007240EE">
        <w:rPr>
          <w:lang w:val="en-US"/>
        </w:rPr>
        <w:t>9</w:t>
      </w:r>
      <w:r w:rsidRPr="007240EE">
        <w:t xml:space="preserve"> г. възлиза на </w:t>
      </w:r>
      <w:r w:rsidRPr="007240EE">
        <w:rPr>
          <w:lang w:val="en-US"/>
        </w:rPr>
        <w:t>1</w:t>
      </w:r>
      <w:r w:rsidRPr="007240EE">
        <w:t> </w:t>
      </w:r>
      <w:r w:rsidRPr="007240EE">
        <w:rPr>
          <w:lang w:val="en-US"/>
        </w:rPr>
        <w:t>795</w:t>
      </w:r>
      <w:r w:rsidRPr="007240EE">
        <w:t>,</w:t>
      </w:r>
      <w:r w:rsidRPr="007240EE">
        <w:rPr>
          <w:lang w:val="en-US"/>
        </w:rPr>
        <w:t>6</w:t>
      </w:r>
      <w:r w:rsidRPr="007240EE">
        <w:t xml:space="preserve"> млн. лв., което представлява </w:t>
      </w:r>
      <w:r w:rsidRPr="007240EE">
        <w:rPr>
          <w:lang w:val="en-US"/>
        </w:rPr>
        <w:t>23</w:t>
      </w:r>
      <w:r w:rsidRPr="007240EE">
        <w:t>,</w:t>
      </w:r>
      <w:r w:rsidRPr="007240EE">
        <w:rPr>
          <w:lang w:val="en-US"/>
        </w:rPr>
        <w:t>9</w:t>
      </w:r>
      <w:r w:rsidRPr="007240EE">
        <w:t xml:space="preserve"> % от заложените в Закона за бюджета на държавното обществено осигуряване за 201</w:t>
      </w:r>
      <w:r w:rsidRPr="007240EE">
        <w:rPr>
          <w:lang w:val="en-US"/>
        </w:rPr>
        <w:t>9</w:t>
      </w:r>
      <w:r w:rsidRPr="007240EE">
        <w:t xml:space="preserve"> г. (ЗБДОО) </w:t>
      </w:r>
      <w:r w:rsidRPr="007240EE">
        <w:rPr>
          <w:lang w:val="en-US"/>
        </w:rPr>
        <w:t>7</w:t>
      </w:r>
      <w:r w:rsidRPr="007240EE">
        <w:t> 5</w:t>
      </w:r>
      <w:r w:rsidRPr="007240EE">
        <w:rPr>
          <w:lang w:val="en-US"/>
        </w:rPr>
        <w:t>28</w:t>
      </w:r>
      <w:r w:rsidRPr="007240EE">
        <w:t>,</w:t>
      </w:r>
      <w:r w:rsidRPr="007240EE">
        <w:rPr>
          <w:lang w:val="en-US"/>
        </w:rPr>
        <w:t>1</w:t>
      </w:r>
      <w:r w:rsidRPr="007240EE">
        <w:t> млн. лева. Най-голям е делът на приходите от осигурителни вноски (9</w:t>
      </w:r>
      <w:r w:rsidRPr="007240EE">
        <w:rPr>
          <w:lang w:val="en-US"/>
        </w:rPr>
        <w:t>7</w:t>
      </w:r>
      <w:r w:rsidRPr="007240EE">
        <w:t>,</w:t>
      </w:r>
      <w:r w:rsidRPr="007240EE">
        <w:rPr>
          <w:lang w:val="en-US"/>
        </w:rPr>
        <w:t>9</w:t>
      </w:r>
      <w:r w:rsidRPr="007240EE">
        <w:t xml:space="preserve"> % от общите приходи), които за отчетния период са в размер на </w:t>
      </w:r>
      <w:r w:rsidRPr="007240EE">
        <w:rPr>
          <w:lang w:val="en-US"/>
        </w:rPr>
        <w:t>1</w:t>
      </w:r>
      <w:r w:rsidRPr="007240EE">
        <w:t> </w:t>
      </w:r>
      <w:r w:rsidRPr="007240EE">
        <w:rPr>
          <w:lang w:val="en-US"/>
        </w:rPr>
        <w:t>758</w:t>
      </w:r>
      <w:r w:rsidRPr="007240EE">
        <w:t>,</w:t>
      </w:r>
      <w:r w:rsidRPr="007240EE">
        <w:rPr>
          <w:lang w:val="en-US"/>
        </w:rPr>
        <w:t>6</w:t>
      </w:r>
      <w:r w:rsidRPr="007240EE">
        <w:t xml:space="preserve"> млн. лв., </w:t>
      </w:r>
      <w:r w:rsidRPr="007240EE">
        <w:rPr>
          <w:lang w:val="en-US"/>
        </w:rPr>
        <w:t>23</w:t>
      </w:r>
      <w:proofErr w:type="gramStart"/>
      <w:r w:rsidRPr="007240EE">
        <w:t>,</w:t>
      </w:r>
      <w:r w:rsidRPr="007240EE">
        <w:rPr>
          <w:lang w:val="en-US"/>
        </w:rPr>
        <w:t>5</w:t>
      </w:r>
      <w:proofErr w:type="gramEnd"/>
      <w:r w:rsidRPr="007240EE">
        <w:t xml:space="preserve"> % от заложените в ЗБДОО за 201</w:t>
      </w:r>
      <w:r w:rsidRPr="007240EE">
        <w:rPr>
          <w:lang w:val="en-US"/>
        </w:rPr>
        <w:t>9</w:t>
      </w:r>
      <w:r w:rsidRPr="007240EE">
        <w:t xml:space="preserve"> година. </w:t>
      </w:r>
    </w:p>
    <w:p w:rsidR="007240EE" w:rsidRPr="007240EE" w:rsidRDefault="007240EE" w:rsidP="007240EE">
      <w:pPr>
        <w:ind w:firstLine="567"/>
        <w:jc w:val="both"/>
        <w:rPr>
          <w:b/>
          <w:bCs/>
        </w:rPr>
      </w:pPr>
      <w:r w:rsidRPr="007240EE">
        <w:t>Съпоставени с първото тримесечие на 2018 г., приходите по бюджета на ДОО нарастват със 193,5 млн. лв. (12,1 %). Факторите, които оказват влияние върху състоянието на приходите през 2019 г., са следните:</w:t>
      </w:r>
    </w:p>
    <w:p w:rsidR="007240EE" w:rsidRPr="007240EE" w:rsidRDefault="007240EE" w:rsidP="005161AD">
      <w:pPr>
        <w:numPr>
          <w:ilvl w:val="0"/>
          <w:numId w:val="21"/>
        </w:numPr>
        <w:tabs>
          <w:tab w:val="num" w:pos="1499"/>
          <w:tab w:val="num" w:pos="2148"/>
        </w:tabs>
        <w:spacing w:line="276" w:lineRule="auto"/>
        <w:ind w:firstLine="567"/>
        <w:jc w:val="both"/>
      </w:pPr>
      <w:r w:rsidRPr="007240EE">
        <w:t xml:space="preserve">увеличения размер на максималния осигурителен доход за всички лица от 2 600 на </w:t>
      </w:r>
      <w:r w:rsidR="00A3371D">
        <w:rPr>
          <w:lang w:val="en-US"/>
        </w:rPr>
        <w:t xml:space="preserve">  </w:t>
      </w:r>
      <w:r w:rsidRPr="007240EE">
        <w:t>3 000 лв.;</w:t>
      </w:r>
    </w:p>
    <w:p w:rsidR="007240EE" w:rsidRPr="007240EE" w:rsidRDefault="007240EE" w:rsidP="005161AD">
      <w:pPr>
        <w:numPr>
          <w:ilvl w:val="0"/>
          <w:numId w:val="21"/>
        </w:numPr>
        <w:tabs>
          <w:tab w:val="num" w:pos="1499"/>
          <w:tab w:val="num" w:pos="2148"/>
        </w:tabs>
        <w:ind w:firstLine="567"/>
        <w:jc w:val="both"/>
      </w:pPr>
      <w:r w:rsidRPr="007240EE">
        <w:rPr>
          <w:rFonts w:eastAsiaTheme="minorHAnsi"/>
        </w:rPr>
        <w:t xml:space="preserve">запазиха се равнищата на минималните осигурителни доходи по основните икономически дейности и квалификационни групи професии от 2018 г., с изключение на позициите, които са под новия размер на минималната работна заплата за 2019 г. (560 лв.), които бяха приравнени на нея. Това доведе до средно нарастване на минималните осигурителни доходи през 2019 г. с около 4,7 на сто спрямо 2018 година. </w:t>
      </w:r>
    </w:p>
    <w:p w:rsidR="007240EE" w:rsidRPr="007240EE" w:rsidRDefault="007240EE" w:rsidP="007240EE">
      <w:pPr>
        <w:ind w:firstLine="567"/>
        <w:jc w:val="both"/>
        <w:rPr>
          <w:bCs/>
        </w:rPr>
      </w:pPr>
      <w:r w:rsidRPr="007240EE">
        <w:rPr>
          <w:bCs/>
        </w:rPr>
        <w:t>Отчетените неданъчни приходи към края на март 2019 г. по бюджета на ДОО възлизат на 37,0 млн. лв., в т.ч. 30,4 млн. лв. постъпили средства от п</w:t>
      </w:r>
      <w:r w:rsidRPr="007240EE">
        <w:t xml:space="preserve">рехвърлени </w:t>
      </w:r>
      <w:r w:rsidRPr="007240EE">
        <w:rPr>
          <w:lang w:val="en-US"/>
        </w:rPr>
        <w:t>(</w:t>
      </w:r>
      <w:r w:rsidRPr="007240EE">
        <w:t>възстановени</w:t>
      </w:r>
      <w:r w:rsidRPr="007240EE">
        <w:rPr>
          <w:lang w:val="en-US"/>
        </w:rPr>
        <w:t>)</w:t>
      </w:r>
      <w:r w:rsidRPr="007240EE">
        <w:t xml:space="preserve"> акумулирани средства от осигурителни вноски.</w:t>
      </w:r>
      <w:r w:rsidRPr="007240EE">
        <w:rPr>
          <w:bCs/>
        </w:rPr>
        <w:t xml:space="preserve"> </w:t>
      </w:r>
    </w:p>
    <w:p w:rsidR="007240EE" w:rsidRPr="007240EE" w:rsidRDefault="007240EE" w:rsidP="007240EE">
      <w:pPr>
        <w:tabs>
          <w:tab w:val="num" w:pos="1499"/>
          <w:tab w:val="num" w:pos="2148"/>
        </w:tabs>
        <w:spacing w:after="120"/>
        <w:ind w:firstLine="567"/>
        <w:jc w:val="both"/>
        <w:rPr>
          <w:color w:val="0070C0"/>
        </w:rPr>
      </w:pPr>
      <w:r w:rsidRPr="007240EE">
        <w:rPr>
          <w:bCs/>
        </w:rPr>
        <w:t xml:space="preserve">Размерът на извършените </w:t>
      </w:r>
      <w:r w:rsidRPr="007240EE">
        <w:rPr>
          <w:b/>
          <w:bCs/>
        </w:rPr>
        <w:t xml:space="preserve">разходи </w:t>
      </w:r>
      <w:r w:rsidRPr="007240EE">
        <w:rPr>
          <w:bCs/>
        </w:rPr>
        <w:t xml:space="preserve">за първите три месеца на 2019 г. по бюджета на ДОО е 2 766,9 млн. лв., което представлява 23,5 % от предвидените  в ЗБДОО за 2019 г. средства. Спрямо същия период на миналата година, общо разходите по бюджета на ДОО са със 71,6 млн. лв. (2,7 %) повече. От структурна гледна точка с най-голям относителен дял в общите разходи са разходите за пенсии, обезщетения и помощи, изплащани на основание Кодекса за социално осигуряване – общо 2 738,6 млн. лв. или 99,0 % от общия размер на разходите за отчетния период. Отчетените разходи за </w:t>
      </w:r>
      <w:r w:rsidRPr="007240EE">
        <w:rPr>
          <w:b/>
          <w:bCs/>
        </w:rPr>
        <w:t>пенсии</w:t>
      </w:r>
      <w:r w:rsidRPr="007240EE">
        <w:rPr>
          <w:bCs/>
        </w:rPr>
        <w:t xml:space="preserve"> по бюджета на ДОО към 31.03.2019 г. възлизат на 2 354,7 млн. лв., което е с 52,7 млн. лв. повече спрямо първото тримесечие на 2018 г. </w:t>
      </w:r>
      <w:r w:rsidRPr="007240EE">
        <w:t xml:space="preserve">Отчетените разходи за </w:t>
      </w:r>
      <w:r w:rsidRPr="007240EE">
        <w:rPr>
          <w:b/>
        </w:rPr>
        <w:t>краткосрочни обезщетения и помощи по КСО</w:t>
      </w:r>
      <w:r w:rsidRPr="007240EE">
        <w:t xml:space="preserve"> са в размер на 383,9 млн. лева. Спрямо същия период на миналата година изплатените обезщетения по КСО са с 16,7 млн. лв. (4,5 %) повече.</w:t>
      </w:r>
    </w:p>
    <w:p w:rsidR="007240EE" w:rsidRPr="007240EE" w:rsidRDefault="007240EE" w:rsidP="003B44AF">
      <w:pPr>
        <w:numPr>
          <w:ilvl w:val="1"/>
          <w:numId w:val="6"/>
        </w:numPr>
        <w:tabs>
          <w:tab w:val="num" w:pos="709"/>
          <w:tab w:val="left" w:pos="851"/>
          <w:tab w:val="left" w:pos="1134"/>
        </w:tabs>
        <w:spacing w:before="120" w:line="276" w:lineRule="auto"/>
        <w:ind w:left="709" w:hanging="357"/>
        <w:jc w:val="both"/>
        <w:rPr>
          <w:b/>
          <w:bCs/>
        </w:rPr>
      </w:pPr>
      <w:r w:rsidRPr="007240EE">
        <w:rPr>
          <w:b/>
          <w:bCs/>
        </w:rPr>
        <w:t>Национална здравноосигурителна каса</w:t>
      </w:r>
    </w:p>
    <w:p w:rsidR="007240EE" w:rsidRPr="007240EE" w:rsidRDefault="007240EE" w:rsidP="007240EE">
      <w:pPr>
        <w:ind w:firstLine="567"/>
        <w:jc w:val="both"/>
        <w:rPr>
          <w:color w:val="0070C0"/>
        </w:rPr>
      </w:pPr>
      <w:r w:rsidRPr="007240EE">
        <w:t xml:space="preserve">Общият размер на събраните </w:t>
      </w:r>
      <w:r w:rsidRPr="007240EE">
        <w:rPr>
          <w:b/>
        </w:rPr>
        <w:t>приходи</w:t>
      </w:r>
      <w:r w:rsidRPr="007240EE">
        <w:t xml:space="preserve"> по бюджета на НЗОК за първото тримесечие на 2019 г. възлиза на 689,5 млн. лв., което представлява 24,1 % от предвидените със Закона за бюджета на НЗОК (ЗБНЗОК) за 2019 г. – 2 862,0 млн. лева. Постъпленията от здравноосигурителни вноски са в размер на 684,0 млн. лв., което е 24,1 % изпълнение на </w:t>
      </w:r>
      <w:r w:rsidRPr="007240EE">
        <w:lastRenderedPageBreak/>
        <w:t>утвърдените със ЗБНЗОК за 2019 г. средства в размер на 2 842,3 млн. лева. Събраните неданъчни приходи за първите три месеца на 2019 г. са 5,</w:t>
      </w:r>
      <w:proofErr w:type="spellStart"/>
      <w:r w:rsidRPr="007240EE">
        <w:t>5</w:t>
      </w:r>
      <w:proofErr w:type="spellEnd"/>
      <w:r w:rsidRPr="007240EE">
        <w:t xml:space="preserve"> млн. лв. или 28,0 % от заложените в ЗБНЗОК за 2019 г., като основната част от тях са приходи от глоби и санкции. </w:t>
      </w:r>
    </w:p>
    <w:p w:rsidR="007240EE" w:rsidRPr="007240EE" w:rsidRDefault="007240EE" w:rsidP="007240EE">
      <w:pPr>
        <w:ind w:firstLine="567"/>
        <w:jc w:val="both"/>
        <w:rPr>
          <w:color w:val="0070C0"/>
        </w:rPr>
      </w:pPr>
      <w:r w:rsidRPr="007240EE">
        <w:t xml:space="preserve">Полученият трансфер от МЗ за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w:t>
      </w:r>
      <w:proofErr w:type="spellStart"/>
      <w:r w:rsidRPr="007240EE">
        <w:t>здравнонеосигурени</w:t>
      </w:r>
      <w:proofErr w:type="spellEnd"/>
      <w:r w:rsidRPr="007240EE">
        <w:t xml:space="preserve">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и за сумите по чл. 37, ал. 6 от Закона за здравното осигуряване е в размер на 6,1 млн. лв., което представлява 14,1 % от заложените със ЗБНЗОК за 2019 г. средства в размер на 43,0 млн. лева. </w:t>
      </w:r>
    </w:p>
    <w:p w:rsidR="007240EE" w:rsidRPr="007240EE" w:rsidRDefault="007240EE" w:rsidP="007240EE">
      <w:pPr>
        <w:ind w:firstLine="567"/>
        <w:jc w:val="both"/>
      </w:pPr>
      <w:r w:rsidRPr="007240EE">
        <w:t>Трансферите за здравно осигуряване от централния бюджет за периода са 348,7 млн. лв.</w:t>
      </w:r>
    </w:p>
    <w:p w:rsidR="007240EE" w:rsidRPr="007240EE" w:rsidRDefault="007240EE" w:rsidP="007240EE">
      <w:pPr>
        <w:ind w:firstLine="567"/>
        <w:jc w:val="both"/>
      </w:pPr>
      <w:r w:rsidRPr="007240EE">
        <w:t xml:space="preserve">Отчетените </w:t>
      </w:r>
      <w:r w:rsidRPr="007240EE">
        <w:rPr>
          <w:b/>
        </w:rPr>
        <w:t>разходи</w:t>
      </w:r>
      <w:r w:rsidRPr="007240EE">
        <w:t xml:space="preserve"> към 31.03.2019 г. са в размер на 1 034,8 млн. лв. и представляват 23,8 % от предвидените в ЗБНЗОК за 2019 г. 4 344,9 млн. лева. Най-голям относителен дял (98,3 %) заемат здравноосигурителните плащания, които възлизат на 1 016,8 млн. лева. В отделните направления на здравноосигурителни плащания, изпълнението на бюджета за първото тримесечие на 2019 г. е следното:</w:t>
      </w:r>
    </w:p>
    <w:p w:rsidR="007240EE" w:rsidRPr="007240EE" w:rsidRDefault="007240EE" w:rsidP="00525B14">
      <w:pPr>
        <w:numPr>
          <w:ilvl w:val="0"/>
          <w:numId w:val="18"/>
        </w:numPr>
        <w:tabs>
          <w:tab w:val="num" w:pos="0"/>
          <w:tab w:val="left" w:pos="720"/>
          <w:tab w:val="left" w:pos="1134"/>
        </w:tabs>
        <w:spacing w:line="276" w:lineRule="auto"/>
        <w:ind w:hanging="6169"/>
        <w:jc w:val="both"/>
        <w:rPr>
          <w:bCs/>
        </w:rPr>
      </w:pPr>
      <w:r w:rsidRPr="007240EE">
        <w:rPr>
          <w:b/>
          <w:i/>
        </w:rPr>
        <w:t xml:space="preserve">първична </w:t>
      </w:r>
      <w:proofErr w:type="spellStart"/>
      <w:r w:rsidRPr="007240EE">
        <w:rPr>
          <w:b/>
          <w:i/>
        </w:rPr>
        <w:t>извънболнична</w:t>
      </w:r>
      <w:proofErr w:type="spellEnd"/>
      <w:r w:rsidRPr="007240EE">
        <w:rPr>
          <w:b/>
          <w:i/>
        </w:rPr>
        <w:t xml:space="preserve"> медицинска помощ</w:t>
      </w:r>
      <w:r w:rsidRPr="007240EE">
        <w:rPr>
          <w:i/>
        </w:rPr>
        <w:t xml:space="preserve"> –</w:t>
      </w:r>
      <w:r w:rsidRPr="007240EE">
        <w:t xml:space="preserve"> 53,5 млн. лева;</w:t>
      </w:r>
      <w:r w:rsidRPr="007240EE">
        <w:rPr>
          <w:bCs/>
        </w:rPr>
        <w:t xml:space="preserve"> </w:t>
      </w:r>
    </w:p>
    <w:p w:rsidR="007240EE" w:rsidRPr="007240EE" w:rsidRDefault="007240EE" w:rsidP="00525B14">
      <w:pPr>
        <w:numPr>
          <w:ilvl w:val="0"/>
          <w:numId w:val="18"/>
        </w:numPr>
        <w:tabs>
          <w:tab w:val="num" w:pos="0"/>
          <w:tab w:val="left" w:pos="720"/>
          <w:tab w:val="left" w:pos="1134"/>
        </w:tabs>
        <w:spacing w:line="276" w:lineRule="auto"/>
        <w:ind w:hanging="6169"/>
        <w:jc w:val="both"/>
        <w:rPr>
          <w:i/>
        </w:rPr>
      </w:pPr>
      <w:r w:rsidRPr="007240EE">
        <w:rPr>
          <w:b/>
          <w:i/>
        </w:rPr>
        <w:t xml:space="preserve">специализирана </w:t>
      </w:r>
      <w:proofErr w:type="spellStart"/>
      <w:r w:rsidRPr="007240EE">
        <w:rPr>
          <w:b/>
          <w:i/>
        </w:rPr>
        <w:t>извънболнична</w:t>
      </w:r>
      <w:proofErr w:type="spellEnd"/>
      <w:r w:rsidRPr="007240EE">
        <w:rPr>
          <w:b/>
          <w:i/>
        </w:rPr>
        <w:t xml:space="preserve"> медицинска помощ </w:t>
      </w:r>
      <w:r w:rsidRPr="007240EE">
        <w:t xml:space="preserve"> – 56,9 млн. лева;</w:t>
      </w:r>
    </w:p>
    <w:p w:rsidR="007240EE" w:rsidRPr="007240EE" w:rsidRDefault="007240EE" w:rsidP="00525B14">
      <w:pPr>
        <w:numPr>
          <w:ilvl w:val="0"/>
          <w:numId w:val="18"/>
        </w:numPr>
        <w:tabs>
          <w:tab w:val="num" w:pos="0"/>
          <w:tab w:val="left" w:pos="720"/>
          <w:tab w:val="left" w:pos="1134"/>
        </w:tabs>
        <w:spacing w:line="276" w:lineRule="auto"/>
        <w:ind w:hanging="6169"/>
        <w:jc w:val="both"/>
        <w:rPr>
          <w:b/>
        </w:rPr>
      </w:pPr>
      <w:proofErr w:type="spellStart"/>
      <w:r w:rsidRPr="007240EE">
        <w:rPr>
          <w:b/>
          <w:i/>
        </w:rPr>
        <w:t>дентална</w:t>
      </w:r>
      <w:proofErr w:type="spellEnd"/>
      <w:r w:rsidRPr="007240EE">
        <w:rPr>
          <w:b/>
          <w:i/>
        </w:rPr>
        <w:t xml:space="preserve"> помощ – </w:t>
      </w:r>
      <w:r w:rsidRPr="007240EE">
        <w:t>47,9 млн. лева;</w:t>
      </w:r>
    </w:p>
    <w:p w:rsidR="007240EE" w:rsidRPr="007240EE" w:rsidRDefault="007240EE" w:rsidP="00525B14">
      <w:pPr>
        <w:numPr>
          <w:ilvl w:val="0"/>
          <w:numId w:val="18"/>
        </w:numPr>
        <w:tabs>
          <w:tab w:val="num" w:pos="0"/>
          <w:tab w:val="left" w:pos="720"/>
          <w:tab w:val="left" w:pos="1134"/>
        </w:tabs>
        <w:spacing w:line="276" w:lineRule="auto"/>
        <w:ind w:hanging="6169"/>
        <w:jc w:val="both"/>
        <w:rPr>
          <w:b/>
          <w:i/>
        </w:rPr>
      </w:pPr>
      <w:r w:rsidRPr="007240EE">
        <w:rPr>
          <w:b/>
          <w:i/>
        </w:rPr>
        <w:t xml:space="preserve">медико-диагностична дейност – </w:t>
      </w:r>
      <w:r w:rsidRPr="007240EE">
        <w:t>19,1 млн. лева;</w:t>
      </w:r>
      <w:r w:rsidRPr="007240EE">
        <w:rPr>
          <w:b/>
          <w:i/>
        </w:rPr>
        <w:t xml:space="preserve"> </w:t>
      </w:r>
    </w:p>
    <w:p w:rsidR="007240EE" w:rsidRPr="007240EE" w:rsidRDefault="007240EE" w:rsidP="00525B14">
      <w:pPr>
        <w:numPr>
          <w:ilvl w:val="0"/>
          <w:numId w:val="18"/>
        </w:numPr>
        <w:tabs>
          <w:tab w:val="num" w:pos="0"/>
          <w:tab w:val="left" w:pos="1134"/>
        </w:tabs>
        <w:spacing w:line="276" w:lineRule="auto"/>
        <w:ind w:left="1134" w:hanging="425"/>
        <w:jc w:val="both"/>
      </w:pPr>
      <w:r w:rsidRPr="007240EE">
        <w:rPr>
          <w:b/>
          <w:i/>
        </w:rPr>
        <w:t xml:space="preserve">лекарствени продукти, медицински изделия и диетични храни за домашно лечение на територията на страната </w:t>
      </w:r>
      <w:r w:rsidRPr="007240EE">
        <w:rPr>
          <w:b/>
          <w:i/>
          <w:lang w:val="en-US"/>
        </w:rPr>
        <w:t xml:space="preserve"> - </w:t>
      </w:r>
      <w:r w:rsidRPr="007240EE">
        <w:t>210,0 млн. лв.</w:t>
      </w:r>
    </w:p>
    <w:p w:rsidR="007240EE" w:rsidRPr="007240EE" w:rsidRDefault="007240EE" w:rsidP="00525B14">
      <w:pPr>
        <w:numPr>
          <w:ilvl w:val="0"/>
          <w:numId w:val="18"/>
        </w:numPr>
        <w:tabs>
          <w:tab w:val="num" w:pos="0"/>
          <w:tab w:val="left" w:pos="1134"/>
          <w:tab w:val="num" w:pos="6096"/>
        </w:tabs>
        <w:spacing w:line="276" w:lineRule="auto"/>
        <w:ind w:left="1134" w:hanging="425"/>
        <w:jc w:val="both"/>
      </w:pPr>
      <w:r w:rsidRPr="007240EE">
        <w:rPr>
          <w:b/>
          <w:i/>
          <w:lang w:val="en-US"/>
        </w:rPr>
        <w:t xml:space="preserve"> </w:t>
      </w:r>
      <w:r w:rsidRPr="007240EE">
        <w:rPr>
          <w:b/>
          <w:i/>
        </w:rPr>
        <w:t xml:space="preserve">лекарствени продукти за лечение на злокачествени заболявания в условията на болнична медицинска помощ </w:t>
      </w:r>
      <w:r w:rsidRPr="007240EE">
        <w:t xml:space="preserve"> – 107,1 млн. лева;</w:t>
      </w:r>
    </w:p>
    <w:p w:rsidR="007240EE" w:rsidRPr="007240EE" w:rsidRDefault="007240EE" w:rsidP="00525B14">
      <w:pPr>
        <w:numPr>
          <w:ilvl w:val="0"/>
          <w:numId w:val="18"/>
        </w:numPr>
        <w:tabs>
          <w:tab w:val="num" w:pos="0"/>
          <w:tab w:val="left" w:pos="720"/>
          <w:tab w:val="num" w:pos="1134"/>
        </w:tabs>
        <w:spacing w:line="276" w:lineRule="auto"/>
        <w:ind w:left="1134" w:hanging="425"/>
        <w:jc w:val="both"/>
      </w:pPr>
      <w:r w:rsidRPr="007240EE">
        <w:rPr>
          <w:b/>
          <w:i/>
        </w:rPr>
        <w:t>медицински изделия, прилагани в болничната медицинска помощ –</w:t>
      </w:r>
      <w:r w:rsidRPr="007240EE">
        <w:t xml:space="preserve"> 22,8 млн. лева;</w:t>
      </w:r>
    </w:p>
    <w:p w:rsidR="007240EE" w:rsidRPr="007240EE" w:rsidRDefault="007240EE" w:rsidP="00525B14">
      <w:pPr>
        <w:numPr>
          <w:ilvl w:val="0"/>
          <w:numId w:val="18"/>
        </w:numPr>
        <w:tabs>
          <w:tab w:val="num" w:pos="0"/>
          <w:tab w:val="left" w:pos="720"/>
          <w:tab w:val="left" w:pos="1134"/>
        </w:tabs>
        <w:spacing w:line="276" w:lineRule="auto"/>
        <w:ind w:hanging="6169"/>
        <w:jc w:val="both"/>
      </w:pPr>
      <w:r w:rsidRPr="007240EE">
        <w:rPr>
          <w:b/>
          <w:i/>
        </w:rPr>
        <w:t>болнична медицинска помощ –</w:t>
      </w:r>
      <w:r w:rsidRPr="007240EE">
        <w:t xml:space="preserve"> 460,5 млн. лева.</w:t>
      </w:r>
      <w:r w:rsidRPr="007240EE">
        <w:tab/>
        <w:t xml:space="preserve"> </w:t>
      </w:r>
    </w:p>
    <w:p w:rsidR="007240EE" w:rsidRPr="007240EE" w:rsidRDefault="007240EE" w:rsidP="00525B14">
      <w:pPr>
        <w:numPr>
          <w:ilvl w:val="0"/>
          <w:numId w:val="18"/>
        </w:numPr>
        <w:tabs>
          <w:tab w:val="num" w:pos="0"/>
          <w:tab w:val="left" w:pos="720"/>
          <w:tab w:val="left" w:pos="1134"/>
        </w:tabs>
        <w:spacing w:line="276" w:lineRule="auto"/>
        <w:ind w:hanging="6169"/>
        <w:jc w:val="both"/>
      </w:pPr>
      <w:r w:rsidRPr="007240EE">
        <w:rPr>
          <w:b/>
          <w:i/>
        </w:rPr>
        <w:t xml:space="preserve">други здравноосигурителни плащания – </w:t>
      </w:r>
      <w:r w:rsidRPr="007240EE">
        <w:t>38,9 млн. лева.</w:t>
      </w:r>
    </w:p>
    <w:p w:rsidR="007240EE" w:rsidRPr="007240EE" w:rsidRDefault="007240EE" w:rsidP="007240EE">
      <w:pPr>
        <w:spacing w:before="120"/>
        <w:ind w:firstLine="567"/>
        <w:jc w:val="both"/>
      </w:pPr>
      <w:r w:rsidRPr="007240EE">
        <w:t>Като здравноосигурителни плащания следва да се третират и преведените 24,9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Реално усвоените средства за болнична помощ, вкл. трансферите, възлизат на 1 041,7 млн. лева.</w:t>
      </w:r>
    </w:p>
    <w:p w:rsidR="007240EE" w:rsidRPr="007240EE" w:rsidRDefault="007240EE" w:rsidP="007240EE">
      <w:pPr>
        <w:ind w:firstLine="567"/>
        <w:jc w:val="both"/>
      </w:pPr>
      <w:r w:rsidRPr="007240EE">
        <w:t xml:space="preserve">За периода са отчетени плащания в размер на 5,0 млн. лв. от предоставения трансфер  от Министерството на здравеопазването за дейности за </w:t>
      </w:r>
      <w:proofErr w:type="spellStart"/>
      <w:r w:rsidRPr="007240EE">
        <w:t>здравнонеосигурени</w:t>
      </w:r>
      <w:proofErr w:type="spellEnd"/>
      <w:r w:rsidRPr="007240EE">
        <w:t xml:space="preserve"> лица, лекарствени продукти и потребителска такса.</w:t>
      </w:r>
    </w:p>
    <w:p w:rsidR="007240EE" w:rsidRPr="007240EE" w:rsidRDefault="007240EE" w:rsidP="00FF2F44">
      <w:pPr>
        <w:ind w:firstLine="567"/>
        <w:rPr>
          <w:lang w:val="en-US"/>
        </w:rPr>
      </w:pPr>
      <w:r w:rsidRPr="007240EE">
        <w:t>По бюджета на НЗОК за 2019 година са утвърдени 53,4 млн. лв. за административни разходи на институцията, които включват разходите за персонал и за текуща издръжка. За пър</w:t>
      </w:r>
      <w:r w:rsidR="009403AD">
        <w:t>вите три месеца са отчетени 13,</w:t>
      </w:r>
      <w:r w:rsidR="009403AD">
        <w:rPr>
          <w:lang w:val="en-US"/>
        </w:rPr>
        <w:t>0</w:t>
      </w:r>
      <w:r w:rsidRPr="007240EE">
        <w:t xml:space="preserve"> млн. лв., което представлява 24,4 % от годишния разчет. Усвоените средства за административни разходи заемат 1,3 на сто в структурата на общите разходи за отчетния период.</w:t>
      </w:r>
    </w:p>
    <w:p w:rsidR="00CF6248" w:rsidRPr="000613BA" w:rsidRDefault="00CF6248" w:rsidP="00CF6248">
      <w:pPr>
        <w:tabs>
          <w:tab w:val="num" w:pos="1499"/>
          <w:tab w:val="num" w:pos="2148"/>
        </w:tabs>
        <w:spacing w:after="120"/>
        <w:ind w:firstLine="567"/>
        <w:jc w:val="both"/>
        <w:rPr>
          <w:color w:val="0070C0"/>
        </w:rPr>
      </w:pPr>
    </w:p>
    <w:p w:rsidR="00BD2711" w:rsidRPr="007F7902" w:rsidRDefault="00BD2711" w:rsidP="00417ECD">
      <w:pPr>
        <w:pStyle w:val="Heading1"/>
        <w:numPr>
          <w:ilvl w:val="1"/>
          <w:numId w:val="10"/>
        </w:numPr>
        <w:spacing w:before="120" w:after="120"/>
        <w:ind w:left="788" w:right="-108" w:hanging="431"/>
        <w:jc w:val="both"/>
        <w:rPr>
          <w:sz w:val="24"/>
        </w:rPr>
      </w:pPr>
      <w:r w:rsidRPr="007F7902">
        <w:rPr>
          <w:sz w:val="24"/>
        </w:rPr>
        <w:t>Общински бюджети</w:t>
      </w:r>
    </w:p>
    <w:p w:rsidR="00BD2711" w:rsidRPr="007F7902" w:rsidRDefault="00BD2711" w:rsidP="00697379">
      <w:pPr>
        <w:numPr>
          <w:ilvl w:val="0"/>
          <w:numId w:val="8"/>
        </w:numPr>
        <w:tabs>
          <w:tab w:val="num" w:pos="540"/>
        </w:tabs>
        <w:spacing w:line="276" w:lineRule="auto"/>
        <w:ind w:left="714" w:hanging="147"/>
        <w:jc w:val="both"/>
        <w:rPr>
          <w:b/>
        </w:rPr>
      </w:pPr>
      <w:r w:rsidRPr="007F7902">
        <w:rPr>
          <w:b/>
        </w:rPr>
        <w:t>Приходи</w:t>
      </w:r>
    </w:p>
    <w:p w:rsidR="00BD2711" w:rsidRPr="000613BA" w:rsidRDefault="00BD2711" w:rsidP="00697379">
      <w:pPr>
        <w:ind w:firstLine="567"/>
        <w:jc w:val="both"/>
        <w:rPr>
          <w:b/>
          <w:color w:val="0070C0"/>
        </w:rPr>
      </w:pPr>
      <w:r w:rsidRPr="007F7902">
        <w:t>Собствените приходи по бюджетите на общините към 3</w:t>
      </w:r>
      <w:r w:rsidR="007F7902" w:rsidRPr="007F7902">
        <w:rPr>
          <w:lang w:val="en-US"/>
        </w:rPr>
        <w:t>1</w:t>
      </w:r>
      <w:r w:rsidRPr="007F7902">
        <w:t>.</w:t>
      </w:r>
      <w:r w:rsidR="007F7902" w:rsidRPr="007F7902">
        <w:rPr>
          <w:lang w:val="en-US"/>
        </w:rPr>
        <w:t>03</w:t>
      </w:r>
      <w:r w:rsidRPr="007F7902">
        <w:rPr>
          <w:lang w:val="en-US"/>
        </w:rPr>
        <w:t>.</w:t>
      </w:r>
      <w:r w:rsidRPr="007F7902">
        <w:t>201</w:t>
      </w:r>
      <w:r w:rsidR="007F7902" w:rsidRPr="007F7902">
        <w:rPr>
          <w:lang w:val="en-US"/>
        </w:rPr>
        <w:t>9</w:t>
      </w:r>
      <w:r w:rsidRPr="007F7902">
        <w:t xml:space="preserve"> г. са в размер на </w:t>
      </w:r>
      <w:r w:rsidR="007F7902" w:rsidRPr="007F7902">
        <w:rPr>
          <w:lang w:val="en-US"/>
        </w:rPr>
        <w:t>580</w:t>
      </w:r>
      <w:r w:rsidRPr="007F7902">
        <w:rPr>
          <w:lang w:val="en-US"/>
        </w:rPr>
        <w:t>,</w:t>
      </w:r>
      <w:r w:rsidR="007F7902" w:rsidRPr="007F7902">
        <w:rPr>
          <w:lang w:val="en-US"/>
        </w:rPr>
        <w:t>8</w:t>
      </w:r>
      <w:r w:rsidR="00A4460E" w:rsidRPr="004218AF">
        <w:rPr>
          <w:bCs/>
        </w:rPr>
        <w:t> </w:t>
      </w:r>
      <w:r w:rsidRPr="007F7902">
        <w:rPr>
          <w:bCs/>
        </w:rPr>
        <w:t>м</w:t>
      </w:r>
      <w:r w:rsidRPr="007F7902">
        <w:t xml:space="preserve">лн. лв., което представлява </w:t>
      </w:r>
      <w:r w:rsidR="007F7902" w:rsidRPr="007F7902">
        <w:rPr>
          <w:lang w:val="en-US"/>
        </w:rPr>
        <w:t>24,1</w:t>
      </w:r>
      <w:r w:rsidRPr="007F7902">
        <w:t> % от разчетените към ЗДБРБ за 201</w:t>
      </w:r>
      <w:r w:rsidR="007F7902" w:rsidRPr="007F7902">
        <w:rPr>
          <w:lang w:val="en-US"/>
        </w:rPr>
        <w:t>9</w:t>
      </w:r>
      <w:r w:rsidRPr="007F7902">
        <w:t xml:space="preserve"> г. постъпления в размер на </w:t>
      </w:r>
      <w:r w:rsidRPr="007F7902">
        <w:rPr>
          <w:bCs/>
        </w:rPr>
        <w:t xml:space="preserve">2 </w:t>
      </w:r>
      <w:r w:rsidR="007F7902" w:rsidRPr="007F7902">
        <w:rPr>
          <w:bCs/>
          <w:lang w:val="en-US"/>
        </w:rPr>
        <w:t>410,5</w:t>
      </w:r>
      <w:r w:rsidRPr="007F7902">
        <w:t xml:space="preserve"> млн. лева</w:t>
      </w:r>
      <w:r w:rsidR="007F7902" w:rsidRPr="007F7902">
        <w:rPr>
          <w:lang w:val="en-US"/>
        </w:rPr>
        <w:t xml:space="preserve"> </w:t>
      </w:r>
      <w:r w:rsidR="007F7902" w:rsidRPr="007F7902">
        <w:t>и с 10,</w:t>
      </w:r>
      <w:r w:rsidR="00F838A8">
        <w:t>1</w:t>
      </w:r>
      <w:r w:rsidR="007F7902" w:rsidRPr="007F7902">
        <w:t xml:space="preserve"> млн. лв. повече спрямо събраните за същия перио</w:t>
      </w:r>
      <w:r w:rsidR="009A4971">
        <w:t>д през 2018 г</w:t>
      </w:r>
      <w:r w:rsidR="007F7902" w:rsidRPr="007F7902">
        <w:t xml:space="preserve">. </w:t>
      </w:r>
      <w:r w:rsidRPr="007F7902">
        <w:rPr>
          <w:i/>
        </w:rPr>
        <w:t>Данъчните приходи</w:t>
      </w:r>
      <w:r w:rsidRPr="007F7902">
        <w:t xml:space="preserve"> по общинските бюджети са в размер на </w:t>
      </w:r>
      <w:r w:rsidR="007F7902" w:rsidRPr="007F7902">
        <w:t>252</w:t>
      </w:r>
      <w:r w:rsidRPr="007F7902">
        <w:t>,</w:t>
      </w:r>
      <w:r w:rsidR="007F7902" w:rsidRPr="007F7902">
        <w:t>9</w:t>
      </w:r>
      <w:r w:rsidRPr="007F7902">
        <w:t xml:space="preserve"> млн. лв. или </w:t>
      </w:r>
      <w:r w:rsidR="007F7902" w:rsidRPr="007F7902">
        <w:t>24</w:t>
      </w:r>
      <w:r w:rsidRPr="007F7902">
        <w:t>,</w:t>
      </w:r>
      <w:r w:rsidR="007F7902" w:rsidRPr="007F7902">
        <w:t>5</w:t>
      </w:r>
      <w:r w:rsidRPr="007F7902">
        <w:t> % от год</w:t>
      </w:r>
      <w:r w:rsidR="007F7902" w:rsidRPr="007F7902">
        <w:t>ишните разчети към ЗДБРБ за 2019</w:t>
      </w:r>
      <w:r w:rsidRPr="007F7902">
        <w:t xml:space="preserve"> г. и с </w:t>
      </w:r>
      <w:r w:rsidR="007F7902" w:rsidRPr="007F7902">
        <w:t>1</w:t>
      </w:r>
      <w:r w:rsidRPr="007F7902">
        <w:t>,</w:t>
      </w:r>
      <w:r w:rsidR="007F7902" w:rsidRPr="007F7902">
        <w:t>6</w:t>
      </w:r>
      <w:r w:rsidRPr="007F7902">
        <w:t xml:space="preserve"> % </w:t>
      </w:r>
      <w:r w:rsidR="007F7902" w:rsidRPr="007F7902">
        <w:t>по-малко спрямо тези за</w:t>
      </w:r>
      <w:r w:rsidRPr="007F7902">
        <w:t xml:space="preserve"> същия период на предходната година. </w:t>
      </w:r>
      <w:r w:rsidRPr="007F7902">
        <w:rPr>
          <w:bCs/>
        </w:rPr>
        <w:t xml:space="preserve">От </w:t>
      </w:r>
      <w:r w:rsidRPr="007F7902">
        <w:rPr>
          <w:bCs/>
          <w:i/>
        </w:rPr>
        <w:t>имуществени данъци по Закона за местните данъци и такси</w:t>
      </w:r>
      <w:r w:rsidR="007F7902" w:rsidRPr="007F7902">
        <w:rPr>
          <w:bCs/>
        </w:rPr>
        <w:t xml:space="preserve"> в </w:t>
      </w:r>
      <w:r w:rsidR="007F7902" w:rsidRPr="007F7902">
        <w:rPr>
          <w:bCs/>
        </w:rPr>
        <w:lastRenderedPageBreak/>
        <w:t>местните бюджети към 31 март</w:t>
      </w:r>
      <w:r w:rsidRPr="007F7902">
        <w:rPr>
          <w:bCs/>
        </w:rPr>
        <w:t xml:space="preserve"> 201</w:t>
      </w:r>
      <w:r w:rsidR="007F7902" w:rsidRPr="007F7902">
        <w:rPr>
          <w:bCs/>
        </w:rPr>
        <w:t>9</w:t>
      </w:r>
      <w:r w:rsidRPr="007F7902">
        <w:rPr>
          <w:bCs/>
        </w:rPr>
        <w:t xml:space="preserve"> г. са по</w:t>
      </w:r>
      <w:r w:rsidR="007F7902" w:rsidRPr="007F7902">
        <w:rPr>
          <w:bCs/>
        </w:rPr>
        <w:t>стъпили общо 246,4 млн. лв., което представлява 24,4</w:t>
      </w:r>
      <w:r w:rsidRPr="007F7902">
        <w:rPr>
          <w:bCs/>
        </w:rPr>
        <w:t xml:space="preserve"> % от годишния разчет</w:t>
      </w:r>
      <w:r w:rsidRPr="007F7902">
        <w:rPr>
          <w:bCs/>
          <w:lang w:val="en-US"/>
        </w:rPr>
        <w:t xml:space="preserve"> </w:t>
      </w:r>
      <w:r w:rsidR="007F7902" w:rsidRPr="007F7902">
        <w:rPr>
          <w:bCs/>
        </w:rPr>
        <w:t>и с 1,5</w:t>
      </w:r>
      <w:r w:rsidRPr="007F7902">
        <w:rPr>
          <w:bCs/>
        </w:rPr>
        <w:t xml:space="preserve"> % </w:t>
      </w:r>
      <w:r w:rsidR="007F7902" w:rsidRPr="007F7902">
        <w:rPr>
          <w:bCs/>
        </w:rPr>
        <w:t>по-малко от</w:t>
      </w:r>
      <w:r w:rsidRPr="007F7902">
        <w:rPr>
          <w:bCs/>
        </w:rPr>
        <w:t xml:space="preserve"> постъ</w:t>
      </w:r>
      <w:r w:rsidR="007F7902" w:rsidRPr="007F7902">
        <w:rPr>
          <w:bCs/>
        </w:rPr>
        <w:t>пленията за същия период на 2018</w:t>
      </w:r>
      <w:r w:rsidRPr="007F7902">
        <w:rPr>
          <w:bCs/>
        </w:rPr>
        <w:t xml:space="preserve"> г.</w:t>
      </w:r>
      <w:r w:rsidRPr="00682BA5">
        <w:rPr>
          <w:bCs/>
        </w:rPr>
        <w:t xml:space="preserve"> С най-значителен дял в приходите от имуществени данъци е </w:t>
      </w:r>
      <w:r w:rsidR="007F7902" w:rsidRPr="00682BA5">
        <w:rPr>
          <w:bCs/>
        </w:rPr>
        <w:t>данъкът върху превозните средства</w:t>
      </w:r>
      <w:r w:rsidR="00682BA5" w:rsidRPr="00682BA5">
        <w:rPr>
          <w:bCs/>
        </w:rPr>
        <w:t xml:space="preserve"> 39,9 %,</w:t>
      </w:r>
      <w:r w:rsidR="007F7902" w:rsidRPr="00682BA5">
        <w:rPr>
          <w:bCs/>
        </w:rPr>
        <w:t xml:space="preserve"> </w:t>
      </w:r>
      <w:r w:rsidR="00682BA5" w:rsidRPr="00682BA5">
        <w:rPr>
          <w:bCs/>
        </w:rPr>
        <w:t xml:space="preserve">следват </w:t>
      </w:r>
      <w:r w:rsidRPr="00682BA5">
        <w:rPr>
          <w:bCs/>
        </w:rPr>
        <w:t>данъ</w:t>
      </w:r>
      <w:r w:rsidR="00682BA5" w:rsidRPr="00682BA5">
        <w:rPr>
          <w:bCs/>
        </w:rPr>
        <w:t>кът върху недвижимите имоти – 36,8</w:t>
      </w:r>
      <w:r w:rsidRPr="00682BA5">
        <w:rPr>
          <w:bCs/>
        </w:rPr>
        <w:t xml:space="preserve"> %,</w:t>
      </w:r>
      <w:r w:rsidR="00682BA5" w:rsidRPr="00682BA5">
        <w:rPr>
          <w:bCs/>
        </w:rPr>
        <w:t xml:space="preserve"> данъкът</w:t>
      </w:r>
      <w:r w:rsidRPr="00682BA5">
        <w:rPr>
          <w:bCs/>
        </w:rPr>
        <w:t xml:space="preserve"> върху придобиване на имущество п</w:t>
      </w:r>
      <w:r w:rsidR="00682BA5" w:rsidRPr="00682BA5">
        <w:rPr>
          <w:bCs/>
        </w:rPr>
        <w:t>о дарения и възмезден начин – 22,2</w:t>
      </w:r>
      <w:r w:rsidRPr="00682BA5">
        <w:rPr>
          <w:bCs/>
          <w:lang w:val="en-US"/>
        </w:rPr>
        <w:t> </w:t>
      </w:r>
      <w:r w:rsidR="00682BA5" w:rsidRPr="00682BA5">
        <w:rPr>
          <w:bCs/>
        </w:rPr>
        <w:t>% и туристически данък – 1</w:t>
      </w:r>
      <w:r w:rsidRPr="00682BA5">
        <w:rPr>
          <w:bCs/>
        </w:rPr>
        <w:t>,</w:t>
      </w:r>
      <w:proofErr w:type="spellStart"/>
      <w:r w:rsidRPr="00682BA5">
        <w:rPr>
          <w:bCs/>
        </w:rPr>
        <w:t>1</w:t>
      </w:r>
      <w:proofErr w:type="spellEnd"/>
      <w:r w:rsidRPr="00682BA5">
        <w:rPr>
          <w:bCs/>
        </w:rPr>
        <w:t xml:space="preserve"> %.</w:t>
      </w:r>
      <w:r w:rsidRPr="00682BA5">
        <w:t xml:space="preserve"> През отчетния период по бюджетите на общините са постъпили </w:t>
      </w:r>
      <w:r w:rsidR="00682BA5" w:rsidRPr="00682BA5">
        <w:t>6,5</w:t>
      </w:r>
      <w:r w:rsidRPr="00682BA5">
        <w:t xml:space="preserve"> млн. лв. от </w:t>
      </w:r>
      <w:r w:rsidRPr="00682BA5">
        <w:rPr>
          <w:i/>
        </w:rPr>
        <w:t>патентен данък и данък върху таксиметров превоз на пътници</w:t>
      </w:r>
      <w:r w:rsidR="00682BA5" w:rsidRPr="00682BA5">
        <w:t xml:space="preserve"> (28,5</w:t>
      </w:r>
      <w:r w:rsidRPr="00682BA5">
        <w:t xml:space="preserve"> % от годишния разчет). </w:t>
      </w:r>
    </w:p>
    <w:p w:rsidR="00BD2711" w:rsidRPr="000613BA" w:rsidRDefault="00BD2711" w:rsidP="00BD2711">
      <w:pPr>
        <w:ind w:firstLine="567"/>
        <w:jc w:val="both"/>
        <w:rPr>
          <w:color w:val="0070C0"/>
        </w:rPr>
      </w:pPr>
      <w:r w:rsidRPr="009A4971">
        <w:t xml:space="preserve">Общият размер на </w:t>
      </w:r>
      <w:r w:rsidRPr="009A4971">
        <w:rPr>
          <w:i/>
        </w:rPr>
        <w:t>неданъчните приходи</w:t>
      </w:r>
      <w:r w:rsidR="00682BA5" w:rsidRPr="009A4971">
        <w:t xml:space="preserve"> по местните бюджети към 31 март 2019</w:t>
      </w:r>
      <w:r w:rsidR="009A4971" w:rsidRPr="009A4971">
        <w:t xml:space="preserve"> г. е  322,5 млн. лв. или 23,8</w:t>
      </w:r>
      <w:r w:rsidRPr="009A4971">
        <w:t xml:space="preserve"> </w:t>
      </w:r>
      <w:r w:rsidR="009A4971" w:rsidRPr="009A4971">
        <w:t>% от разчетите към ЗДБРБ за 2019</w:t>
      </w:r>
      <w:r w:rsidRPr="009A4971">
        <w:t xml:space="preserve"> г. Най-голям относителен дял заемат приходите от общин</w:t>
      </w:r>
      <w:r w:rsidR="009A4971" w:rsidRPr="009A4971">
        <w:t>ски такси, които възлизат на 213,3</w:t>
      </w:r>
      <w:r w:rsidRPr="009A4971">
        <w:t xml:space="preserve"> млн. лв</w:t>
      </w:r>
      <w:r w:rsidRPr="002907AE">
        <w:t xml:space="preserve">. </w:t>
      </w:r>
      <w:r w:rsidRPr="002907AE">
        <w:rPr>
          <w:lang w:val="en-US"/>
        </w:rPr>
        <w:t>(</w:t>
      </w:r>
      <w:r w:rsidR="002907AE" w:rsidRPr="002907AE">
        <w:t>25</w:t>
      </w:r>
      <w:proofErr w:type="gramStart"/>
      <w:r w:rsidRPr="002907AE">
        <w:t>,7</w:t>
      </w:r>
      <w:proofErr w:type="gramEnd"/>
      <w:r w:rsidRPr="002907AE">
        <w:t xml:space="preserve"> % от разчетените за годината</w:t>
      </w:r>
      <w:r w:rsidRPr="002907AE">
        <w:rPr>
          <w:lang w:val="en-US"/>
        </w:rPr>
        <w:t>)</w:t>
      </w:r>
      <w:r w:rsidRPr="002907AE">
        <w:t xml:space="preserve">, </w:t>
      </w:r>
      <w:r w:rsidRPr="009A4971">
        <w:t>следват приходите</w:t>
      </w:r>
      <w:r w:rsidR="009A4971" w:rsidRPr="009A4971">
        <w:t xml:space="preserve"> и доходите от собственост – 62,6</w:t>
      </w:r>
      <w:r w:rsidRPr="009A4971">
        <w:t xml:space="preserve"> млн. </w:t>
      </w:r>
      <w:r w:rsidRPr="002907AE">
        <w:t xml:space="preserve">лв. </w:t>
      </w:r>
      <w:r w:rsidRPr="002907AE">
        <w:rPr>
          <w:lang w:val="en-US"/>
        </w:rPr>
        <w:t>(</w:t>
      </w:r>
      <w:r w:rsidR="002907AE" w:rsidRPr="002907AE">
        <w:t>20</w:t>
      </w:r>
      <w:proofErr w:type="gramStart"/>
      <w:r w:rsidR="002907AE" w:rsidRPr="002907AE">
        <w:t>,4</w:t>
      </w:r>
      <w:proofErr w:type="gramEnd"/>
      <w:r w:rsidR="00E36239" w:rsidRPr="002907AE">
        <w:t xml:space="preserve"> % от разчетените за 2019</w:t>
      </w:r>
      <w:r w:rsidRPr="002907AE">
        <w:t xml:space="preserve"> г.</w:t>
      </w:r>
      <w:r w:rsidRPr="002907AE">
        <w:rPr>
          <w:lang w:val="en-US"/>
        </w:rPr>
        <w:t>)</w:t>
      </w:r>
      <w:r w:rsidRPr="002907AE">
        <w:t xml:space="preserve">, </w:t>
      </w:r>
      <w:r w:rsidRPr="00E36239">
        <w:t>постъпленията</w:t>
      </w:r>
      <w:r w:rsidRPr="00E36239">
        <w:rPr>
          <w:lang w:val="en-US"/>
        </w:rPr>
        <w:t xml:space="preserve"> </w:t>
      </w:r>
      <w:r w:rsidRPr="00E36239">
        <w:t>от продажба на не</w:t>
      </w:r>
      <w:r w:rsidR="00E36239" w:rsidRPr="00E36239">
        <w:t>финансови активи – 27,9</w:t>
      </w:r>
      <w:r w:rsidRPr="00E36239">
        <w:t xml:space="preserve"> млн. лв. </w:t>
      </w:r>
      <w:r w:rsidRPr="002907AE">
        <w:rPr>
          <w:lang w:val="en-US"/>
        </w:rPr>
        <w:t>(</w:t>
      </w:r>
      <w:r w:rsidR="002907AE" w:rsidRPr="002907AE">
        <w:t>19</w:t>
      </w:r>
      <w:proofErr w:type="gramStart"/>
      <w:r w:rsidR="002907AE" w:rsidRPr="002907AE">
        <w:t>,0</w:t>
      </w:r>
      <w:proofErr w:type="gramEnd"/>
      <w:r w:rsidRPr="002907AE">
        <w:t xml:space="preserve"> % от разчета за годината</w:t>
      </w:r>
      <w:r w:rsidRPr="002907AE">
        <w:rPr>
          <w:lang w:val="en-US"/>
        </w:rPr>
        <w:t>)</w:t>
      </w:r>
      <w:r w:rsidRPr="002907AE">
        <w:t xml:space="preserve">, </w:t>
      </w:r>
      <w:r w:rsidR="00E36239" w:rsidRPr="002907AE">
        <w:t xml:space="preserve">приходите </w:t>
      </w:r>
      <w:r w:rsidR="00E36239" w:rsidRPr="00E36239">
        <w:t>от концесии 20,0 млн. лв</w:t>
      </w:r>
      <w:r w:rsidR="00E36239" w:rsidRPr="002907AE">
        <w:t xml:space="preserve">. </w:t>
      </w:r>
      <w:r w:rsidR="00E36239" w:rsidRPr="002907AE">
        <w:rPr>
          <w:lang w:val="en-US"/>
        </w:rPr>
        <w:t>(</w:t>
      </w:r>
      <w:r w:rsidR="002907AE" w:rsidRPr="002907AE">
        <w:t>43</w:t>
      </w:r>
      <w:proofErr w:type="gramStart"/>
      <w:r w:rsidR="002907AE" w:rsidRPr="002907AE">
        <w:t>,3</w:t>
      </w:r>
      <w:proofErr w:type="gramEnd"/>
      <w:r w:rsidR="002907AE" w:rsidRPr="002907AE">
        <w:t xml:space="preserve"> % от разчета за 2019</w:t>
      </w:r>
      <w:r w:rsidR="00E36239" w:rsidRPr="002907AE">
        <w:t xml:space="preserve"> г.</w:t>
      </w:r>
      <w:r w:rsidR="00E36239" w:rsidRPr="002907AE">
        <w:rPr>
          <w:lang w:val="en-US"/>
        </w:rPr>
        <w:t>)</w:t>
      </w:r>
      <w:r w:rsidR="00E36239" w:rsidRPr="002907AE">
        <w:t xml:space="preserve"> и </w:t>
      </w:r>
      <w:r w:rsidRPr="002907AE">
        <w:t xml:space="preserve">постъпленията от глоби, </w:t>
      </w:r>
      <w:r w:rsidR="00E36239" w:rsidRPr="002907AE">
        <w:t>санкции и наказателни лихви – 17,8</w:t>
      </w:r>
      <w:r w:rsidRPr="002907AE">
        <w:t xml:space="preserve"> млн. лв. </w:t>
      </w:r>
      <w:r w:rsidRPr="002907AE">
        <w:rPr>
          <w:lang w:val="en-US"/>
        </w:rPr>
        <w:t>(</w:t>
      </w:r>
      <w:r w:rsidR="002907AE" w:rsidRPr="002907AE">
        <w:t>22</w:t>
      </w:r>
      <w:proofErr w:type="gramStart"/>
      <w:r w:rsidR="002907AE" w:rsidRPr="002907AE">
        <w:t>,2</w:t>
      </w:r>
      <w:proofErr w:type="gramEnd"/>
      <w:r w:rsidRPr="002907AE">
        <w:t xml:space="preserve"> % от планираните</w:t>
      </w:r>
      <w:r w:rsidRPr="002907AE">
        <w:rPr>
          <w:lang w:val="en-US"/>
        </w:rPr>
        <w:t>)</w:t>
      </w:r>
      <w:r w:rsidRPr="002907AE">
        <w:t>.</w:t>
      </w:r>
    </w:p>
    <w:p w:rsidR="00BD2711" w:rsidRPr="00E36239" w:rsidRDefault="00BD2711" w:rsidP="00BD2711">
      <w:pPr>
        <w:ind w:firstLine="567"/>
        <w:jc w:val="both"/>
      </w:pPr>
      <w:r w:rsidRPr="00E36239">
        <w:t>През отчетния период по об</w:t>
      </w:r>
      <w:r w:rsidR="00E36239" w:rsidRPr="00E36239">
        <w:t>щинските бюджети са постъпили 5,4</w:t>
      </w:r>
      <w:r w:rsidRPr="00E36239">
        <w:t xml:space="preserve"> млн. лв. приходи от </w:t>
      </w:r>
      <w:r w:rsidRPr="00E36239">
        <w:rPr>
          <w:i/>
        </w:rPr>
        <w:t>помощи и дарения</w:t>
      </w:r>
      <w:r w:rsidR="00E36239" w:rsidRPr="00E36239">
        <w:t>, което е 27,7 % от разчетените за годината 19,6</w:t>
      </w:r>
      <w:r w:rsidRPr="00E36239">
        <w:t xml:space="preserve"> млн. лева. </w:t>
      </w:r>
    </w:p>
    <w:p w:rsidR="00BD2711" w:rsidRPr="00E36239" w:rsidRDefault="00BD2711" w:rsidP="00B04268">
      <w:pPr>
        <w:numPr>
          <w:ilvl w:val="0"/>
          <w:numId w:val="8"/>
        </w:numPr>
        <w:tabs>
          <w:tab w:val="num" w:pos="540"/>
        </w:tabs>
        <w:spacing w:before="120" w:line="276" w:lineRule="auto"/>
        <w:ind w:left="714" w:hanging="147"/>
        <w:jc w:val="both"/>
        <w:rPr>
          <w:b/>
        </w:rPr>
      </w:pPr>
      <w:r w:rsidRPr="00E36239">
        <w:rPr>
          <w:b/>
        </w:rPr>
        <w:t>Разходи</w:t>
      </w:r>
    </w:p>
    <w:p w:rsidR="00BD2711" w:rsidRPr="00E36239" w:rsidRDefault="00E36239" w:rsidP="00B04268">
      <w:pPr>
        <w:ind w:firstLine="567"/>
        <w:jc w:val="both"/>
      </w:pPr>
      <w:r w:rsidRPr="00E36239">
        <w:t>Към 31.03.2019</w:t>
      </w:r>
      <w:r w:rsidR="00BD2711" w:rsidRPr="00E36239">
        <w:t xml:space="preserve"> г. общините са о</w:t>
      </w:r>
      <w:r w:rsidRPr="00E36239">
        <w:t>тчели общо разходи в размер на 1 434,1</w:t>
      </w:r>
      <w:r w:rsidR="00BD2711" w:rsidRPr="00E36239">
        <w:t xml:space="preserve"> </w:t>
      </w:r>
      <w:r w:rsidRPr="00E36239">
        <w:t>млн. лв., които представляват 23,4</w:t>
      </w:r>
      <w:r w:rsidR="00BD2711" w:rsidRPr="00E36239">
        <w:t xml:space="preserve"> % от разчет</w:t>
      </w:r>
      <w:r w:rsidRPr="00E36239">
        <w:t>ите към ЗДБРБ за 2019</w:t>
      </w:r>
      <w:r w:rsidR="00BD2711" w:rsidRPr="00E36239">
        <w:t xml:space="preserve"> година. </w:t>
      </w:r>
    </w:p>
    <w:p w:rsidR="00BD2711" w:rsidRPr="000613BA" w:rsidRDefault="00BD2711" w:rsidP="00B04268">
      <w:pPr>
        <w:ind w:firstLine="567"/>
        <w:jc w:val="both"/>
        <w:rPr>
          <w:color w:val="0070C0"/>
        </w:rPr>
      </w:pPr>
      <w:r w:rsidRPr="00E36239">
        <w:rPr>
          <w:i/>
        </w:rPr>
        <w:t>Нелихвените разходи</w:t>
      </w:r>
      <w:r w:rsidR="002B4D3E">
        <w:t xml:space="preserve"> възлизат на </w:t>
      </w:r>
      <w:r w:rsidR="00E36239" w:rsidRPr="00E36239">
        <w:t>1 425,5</w:t>
      </w:r>
      <w:r w:rsidRPr="00E36239">
        <w:t xml:space="preserve"> млн. лв. или </w:t>
      </w:r>
      <w:r w:rsidR="00E36239" w:rsidRPr="00E36239">
        <w:t>23,4</w:t>
      </w:r>
      <w:r w:rsidRPr="00E36239">
        <w:t> % от годишния разчет. Разходите за персонал (</w:t>
      </w:r>
      <w:r w:rsidRPr="00E36239">
        <w:rPr>
          <w:bCs/>
        </w:rPr>
        <w:t>заплати и възнаграждения, други възнаграждения и плащания за персонала и осигурителни вноски)</w:t>
      </w:r>
      <w:r w:rsidRPr="00E36239">
        <w:t xml:space="preserve"> са в размер на </w:t>
      </w:r>
      <w:r w:rsidR="00E36239" w:rsidRPr="00E36239">
        <w:t xml:space="preserve"> 746,2</w:t>
      </w:r>
      <w:r w:rsidRPr="00E36239">
        <w:t xml:space="preserve"> млн.</w:t>
      </w:r>
      <w:r w:rsidR="00E36239" w:rsidRPr="00E36239">
        <w:t xml:space="preserve"> лв. или 22,6 % от планираните за 2019</w:t>
      </w:r>
      <w:r w:rsidRPr="00E36239">
        <w:t xml:space="preserve"> г. Разходите за издръжка </w:t>
      </w:r>
      <w:r w:rsidRPr="00E36239">
        <w:rPr>
          <w:bCs/>
        </w:rPr>
        <w:t>(вкл. разходи за членски внос и участие в нетърговски организации и дейности, платени данъци, такси и административни санкции)</w:t>
      </w:r>
      <w:r w:rsidR="00E36239" w:rsidRPr="00E36239">
        <w:t xml:space="preserve"> са в размер на  442,1</w:t>
      </w:r>
      <w:r w:rsidRPr="00E36239">
        <w:t xml:space="preserve"> млн. лв., </w:t>
      </w:r>
      <w:r w:rsidR="00E36239" w:rsidRPr="00E36239">
        <w:t>26,6</w:t>
      </w:r>
      <w:r w:rsidRPr="00E36239">
        <w:t xml:space="preserve"> % от годишния разчет. Разходите за субсидии са в размер на </w:t>
      </w:r>
      <w:r w:rsidR="00E36239" w:rsidRPr="00E36239">
        <w:t>44,8</w:t>
      </w:r>
      <w:r w:rsidRPr="00E36239">
        <w:t xml:space="preserve"> млн.</w:t>
      </w:r>
      <w:r w:rsidR="0057038E">
        <w:t xml:space="preserve"> </w:t>
      </w:r>
      <w:r w:rsidR="0057038E" w:rsidRPr="00E36239">
        <w:t>лева</w:t>
      </w:r>
      <w:r w:rsidR="0057038E">
        <w:rPr>
          <w:lang w:val="en-US"/>
        </w:rPr>
        <w:t xml:space="preserve"> (36,9 % </w:t>
      </w:r>
      <w:r w:rsidR="0057038E">
        <w:t>от годишния разчет</w:t>
      </w:r>
      <w:r w:rsidR="0057038E">
        <w:rPr>
          <w:lang w:val="en-US"/>
        </w:rPr>
        <w:t>)</w:t>
      </w:r>
      <w:r w:rsidRPr="00E36239">
        <w:t xml:space="preserve">. </w:t>
      </w:r>
      <w:r w:rsidR="00D60C45">
        <w:t>В разходите за субсидии за нефинансови предприятия</w:t>
      </w:r>
      <w:r w:rsidRPr="0057038E">
        <w:t xml:space="preserve"> се отчитат предоставените от общините субсидии за вътрешноградски и междуселищни превози на транспортните фирми и дружества, които се планират в </w:t>
      </w:r>
      <w:r w:rsidR="0057038E" w:rsidRPr="0057038E">
        <w:t>централния бюджет, както и тези, които се предоставят по решен</w:t>
      </w:r>
      <w:r w:rsidR="0057038E">
        <w:t>и</w:t>
      </w:r>
      <w:r w:rsidR="0057038E" w:rsidRPr="0057038E">
        <w:t>е на общинския съвет.</w:t>
      </w:r>
      <w:r w:rsidR="00D60C45">
        <w:t xml:space="preserve"> Разходите за субсидии за организации с нестопанска цел </w:t>
      </w:r>
      <w:r w:rsidR="00E5334A">
        <w:t>са отчетени и отпусканите по решение на общинския съвет субсидии по реда на Закона за физкултурата и спорта за подпомагане дейността на спортните клубове в общините, отчетени в местните дейности</w:t>
      </w:r>
      <w:r w:rsidR="00E5334A" w:rsidRPr="00E5334A">
        <w:t>.</w:t>
      </w:r>
      <w:r w:rsidRPr="00E5334A">
        <w:rPr>
          <w:bCs/>
        </w:rPr>
        <w:t xml:space="preserve"> Социалните разходи (</w:t>
      </w:r>
      <w:r w:rsidRPr="00E5334A">
        <w:t xml:space="preserve">текущи трансфери, обезщетения и помощи за домакинствата, </w:t>
      </w:r>
      <w:r w:rsidRPr="00E5334A">
        <w:rPr>
          <w:bCs/>
        </w:rPr>
        <w:t>вкл. разходите за стипендии)</w:t>
      </w:r>
      <w:r w:rsidR="00E5334A" w:rsidRPr="00E5334A">
        <w:t xml:space="preserve"> са в размер на 42</w:t>
      </w:r>
      <w:r w:rsidRPr="00E5334A">
        <w:t>,</w:t>
      </w:r>
      <w:r w:rsidR="00E5334A" w:rsidRPr="00E5334A">
        <w:t>1</w:t>
      </w:r>
      <w:r w:rsidR="00C157CD" w:rsidRPr="00E36239">
        <w:t> </w:t>
      </w:r>
      <w:r w:rsidR="00E5334A" w:rsidRPr="00E5334A">
        <w:t>млн. лв., което е 34</w:t>
      </w:r>
      <w:r w:rsidRPr="00E5334A">
        <w:t>,</w:t>
      </w:r>
      <w:r w:rsidR="00E5334A" w:rsidRPr="00E5334A">
        <w:t>0</w:t>
      </w:r>
      <w:r w:rsidRPr="00E5334A">
        <w:t xml:space="preserve"> % от разчетите към ЗДБРБ за 201</w:t>
      </w:r>
      <w:r w:rsidR="00E5334A" w:rsidRPr="00E5334A">
        <w:t>9</w:t>
      </w:r>
      <w:r w:rsidRPr="00E5334A">
        <w:t xml:space="preserve"> година.  </w:t>
      </w:r>
    </w:p>
    <w:p w:rsidR="00BD2711" w:rsidRPr="00E5334A" w:rsidRDefault="00BD2711" w:rsidP="00B04268">
      <w:pPr>
        <w:ind w:firstLine="567"/>
      </w:pPr>
      <w:r w:rsidRPr="00E5334A">
        <w:t>Капиталовите р</w:t>
      </w:r>
      <w:r w:rsidR="00E5334A" w:rsidRPr="00E5334A">
        <w:t>азходи са в размер на 150</w:t>
      </w:r>
      <w:r w:rsidRPr="00E5334A">
        <w:t>,</w:t>
      </w:r>
      <w:r w:rsidR="00E5334A" w:rsidRPr="00E5334A">
        <w:t>3 млн. лв. или 17,1</w:t>
      </w:r>
      <w:r w:rsidRPr="00E5334A">
        <w:t xml:space="preserve"> % от разчетите към ЗДБРБ за 201</w:t>
      </w:r>
      <w:r w:rsidR="00E5334A" w:rsidRPr="00E5334A">
        <w:t>9</w:t>
      </w:r>
      <w:r w:rsidRPr="00E5334A">
        <w:t xml:space="preserve"> година.</w:t>
      </w:r>
    </w:p>
    <w:p w:rsidR="00BD2711" w:rsidRPr="00E5334A" w:rsidRDefault="00BD2711" w:rsidP="00B04268">
      <w:pPr>
        <w:ind w:firstLine="567"/>
        <w:jc w:val="both"/>
      </w:pPr>
      <w:r w:rsidRPr="00E5334A">
        <w:rPr>
          <w:i/>
        </w:rPr>
        <w:t>Разходите за лихви</w:t>
      </w:r>
      <w:r w:rsidR="00E5334A" w:rsidRPr="00E5334A">
        <w:t xml:space="preserve"> възлизат на 8,6 млн. лв. и са 23,8</w:t>
      </w:r>
      <w:r w:rsidRPr="00E5334A">
        <w:t xml:space="preserve"> % от разчета за 201</w:t>
      </w:r>
      <w:r w:rsidR="00E5334A" w:rsidRPr="00E5334A">
        <w:t>9</w:t>
      </w:r>
      <w:r w:rsidR="00E5334A">
        <w:t xml:space="preserve"> г</w:t>
      </w:r>
      <w:r w:rsidRPr="00E5334A">
        <w:t xml:space="preserve">. </w:t>
      </w:r>
      <w:r w:rsidR="00E5334A" w:rsidRPr="00E5334A">
        <w:t>Лихвените плащания по заеми от чужбина са в размер на 3,6 млн. лв., по облигацион</w:t>
      </w:r>
      <w:r w:rsidR="00715DF7">
        <w:t>ни заеми -</w:t>
      </w:r>
      <w:r w:rsidR="00E5334A">
        <w:t xml:space="preserve"> 0,6 млн. лв., по други</w:t>
      </w:r>
      <w:r w:rsidR="00E5334A" w:rsidRPr="00E5334A">
        <w:t xml:space="preserve"> вътрешни заеми (банкови, заеми към „ФЛАГ“ ЕАД и др.) са 2,8 млн.лв. и др</w:t>
      </w:r>
      <w:r w:rsidR="00E5334A">
        <w:t>уги</w:t>
      </w:r>
      <w:r w:rsidR="00E5334A" w:rsidRPr="00E5334A">
        <w:t xml:space="preserve"> лихвени плащания (по изпълнителни листове, за забавено изпълнение по сключени договори и др.) са в размер на 1,6 млн. лв.</w:t>
      </w:r>
    </w:p>
    <w:p w:rsidR="00BD2711" w:rsidRPr="00715DF7" w:rsidRDefault="00BD2711" w:rsidP="00B04268">
      <w:pPr>
        <w:tabs>
          <w:tab w:val="center" w:pos="4153"/>
          <w:tab w:val="right" w:pos="8306"/>
        </w:tabs>
        <w:jc w:val="both"/>
      </w:pPr>
      <w:r w:rsidRPr="00715DF7">
        <w:rPr>
          <w:lang w:val="en-US"/>
        </w:rPr>
        <w:t xml:space="preserve">      </w:t>
      </w:r>
      <w:r w:rsidR="00B04268" w:rsidRPr="00715DF7">
        <w:t xml:space="preserve">   </w:t>
      </w:r>
      <w:r w:rsidRPr="00715DF7">
        <w:t>Общият размер на отчетените разходи за дофинансиране на делегираните от държавата</w:t>
      </w:r>
      <w:r w:rsidR="00715DF7" w:rsidRPr="00715DF7">
        <w:t xml:space="preserve"> дейности с местни приходи е 34</w:t>
      </w:r>
      <w:r w:rsidRPr="00715DF7">
        <w:t>,8 млн. лева.</w:t>
      </w:r>
    </w:p>
    <w:p w:rsidR="00BD2711" w:rsidRPr="000613BA" w:rsidRDefault="00BD2711" w:rsidP="00BD2711">
      <w:pPr>
        <w:tabs>
          <w:tab w:val="center" w:pos="4153"/>
          <w:tab w:val="right" w:pos="8306"/>
        </w:tabs>
        <w:jc w:val="both"/>
        <w:rPr>
          <w:rFonts w:eastAsia="Calibri"/>
          <w:color w:val="0070C0"/>
          <w:sz w:val="8"/>
        </w:rPr>
      </w:pPr>
    </w:p>
    <w:p w:rsidR="00BD2711" w:rsidRPr="00715DF7" w:rsidRDefault="00BD2711" w:rsidP="00805FD3">
      <w:pPr>
        <w:numPr>
          <w:ilvl w:val="0"/>
          <w:numId w:val="8"/>
        </w:numPr>
        <w:tabs>
          <w:tab w:val="num" w:pos="540"/>
        </w:tabs>
        <w:spacing w:before="120" w:line="276" w:lineRule="auto"/>
        <w:ind w:left="714" w:hanging="147"/>
        <w:jc w:val="both"/>
        <w:rPr>
          <w:b/>
        </w:rPr>
      </w:pPr>
      <w:r w:rsidRPr="00715DF7">
        <w:rPr>
          <w:b/>
        </w:rPr>
        <w:t>Финансиране</w:t>
      </w:r>
    </w:p>
    <w:p w:rsidR="00BD2711" w:rsidRPr="00715DF7" w:rsidRDefault="00715DF7" w:rsidP="006821A3">
      <w:pPr>
        <w:ind w:firstLine="567"/>
        <w:jc w:val="both"/>
      </w:pPr>
      <w:r w:rsidRPr="00715DF7">
        <w:t>Към 31.03</w:t>
      </w:r>
      <w:r w:rsidR="00BD2711" w:rsidRPr="00715DF7">
        <w:t>.201</w:t>
      </w:r>
      <w:r w:rsidRPr="00715DF7">
        <w:t>9</w:t>
      </w:r>
      <w:r w:rsidR="00BD2711" w:rsidRPr="00715DF7">
        <w:t xml:space="preserve"> г. по общинските бюджети са изплатени </w:t>
      </w:r>
      <w:r w:rsidR="00BD2711" w:rsidRPr="00715DF7">
        <w:rPr>
          <w:i/>
        </w:rPr>
        <w:t>погашения по заеми</w:t>
      </w:r>
      <w:r w:rsidRPr="00715DF7">
        <w:t xml:space="preserve"> от чужбина в размер на 8,4</w:t>
      </w:r>
      <w:r w:rsidR="00BD2711" w:rsidRPr="00715DF7">
        <w:t> млн. лева, а получените средства от началото на годинат</w:t>
      </w:r>
      <w:r w:rsidRPr="00715DF7">
        <w:t>а по тези заеми са в размер на 19,6</w:t>
      </w:r>
      <w:r w:rsidR="00BD2711" w:rsidRPr="00715DF7">
        <w:t xml:space="preserve"> млн. лв. От банки  в страната и други местни лица </w:t>
      </w:r>
      <w:r w:rsidR="00BD2711" w:rsidRPr="00715DF7">
        <w:rPr>
          <w:lang w:val="en-US"/>
        </w:rPr>
        <w:t>(</w:t>
      </w:r>
      <w:r w:rsidR="00BD2711" w:rsidRPr="00715DF7">
        <w:t>ФЛАГ ЕАД, Фонд „Енергийна ефективност</w:t>
      </w:r>
      <w:r w:rsidR="001E619D">
        <w:t xml:space="preserve"> </w:t>
      </w:r>
      <w:r w:rsidR="001E619D" w:rsidRPr="001E619D">
        <w:t>и възобновяеми източници</w:t>
      </w:r>
      <w:r w:rsidR="00BD2711" w:rsidRPr="00715DF7">
        <w:t>“ и др.</w:t>
      </w:r>
      <w:r w:rsidR="00BD2711" w:rsidRPr="00715DF7">
        <w:rPr>
          <w:lang w:val="en-US"/>
        </w:rPr>
        <w:t>)</w:t>
      </w:r>
      <w:r w:rsidR="00BD2711" w:rsidRPr="00715DF7">
        <w:t xml:space="preserve"> общините с</w:t>
      </w:r>
      <w:r w:rsidRPr="00715DF7">
        <w:t>а получили заеми в размер на 29,7</w:t>
      </w:r>
      <w:r w:rsidR="00BD2711" w:rsidRPr="00715DF7">
        <w:t xml:space="preserve"> млн. лв. и са из</w:t>
      </w:r>
      <w:r w:rsidRPr="00715DF7">
        <w:t>платили погашения в размер на 31,1</w:t>
      </w:r>
      <w:r w:rsidR="00BD2711" w:rsidRPr="00715DF7">
        <w:t xml:space="preserve"> млн. лева.</w:t>
      </w:r>
    </w:p>
    <w:p w:rsidR="00BD2711" w:rsidRDefault="00BD2711" w:rsidP="006821A3">
      <w:pPr>
        <w:ind w:firstLine="567"/>
        <w:jc w:val="both"/>
      </w:pPr>
      <w:r w:rsidRPr="00715DF7">
        <w:lastRenderedPageBreak/>
        <w:t xml:space="preserve">Погашенията по емитирани </w:t>
      </w:r>
      <w:r w:rsidR="00715DF7" w:rsidRPr="00715DF7">
        <w:t xml:space="preserve">през предходни периоди </w:t>
      </w:r>
      <w:r w:rsidRPr="00715DF7">
        <w:t xml:space="preserve">общински ценни книжа </w:t>
      </w:r>
      <w:r w:rsidR="00715DF7" w:rsidRPr="00715DF7">
        <w:t>са в размер на 2,4 млн. лв., а емитираните общински ценни книжа за отчетния период са в размер на 6,0</w:t>
      </w:r>
      <w:r w:rsidR="00125B7A" w:rsidRPr="00715DF7">
        <w:t> </w:t>
      </w:r>
      <w:r w:rsidR="00715DF7" w:rsidRPr="00715DF7">
        <w:t>млн. лева.</w:t>
      </w:r>
    </w:p>
    <w:p w:rsidR="00A352BC" w:rsidRDefault="006600B7" w:rsidP="006821A3">
      <w:pPr>
        <w:ind w:firstLine="567"/>
        <w:jc w:val="both"/>
      </w:pPr>
      <w:r w:rsidRPr="006600B7">
        <w:t xml:space="preserve">Другото финансиране /нето/ по общинските бюджети към 31.03.2019 г. е  отрицателно - 7,6 млн. лв., като съществена част от него представлява отчетеното превеждане /резервиране/ на суми по реда на чл. 60 и чл. 64 от Закона за управление на отпадъците по сметката за чужди средства на съответната РИОСВ. </w:t>
      </w:r>
    </w:p>
    <w:p w:rsidR="006600B7" w:rsidRDefault="00A352BC" w:rsidP="006821A3">
      <w:pPr>
        <w:ind w:firstLine="567"/>
        <w:jc w:val="both"/>
      </w:pPr>
      <w:r>
        <w:t>З</w:t>
      </w:r>
      <w:r w:rsidRPr="006600B7">
        <w:t xml:space="preserve">а периода </w:t>
      </w:r>
      <w:r>
        <w:t>н</w:t>
      </w:r>
      <w:r w:rsidR="006600B7" w:rsidRPr="006600B7">
        <w:t xml:space="preserve">етният размер </w:t>
      </w:r>
      <w:r w:rsidRPr="006600B7">
        <w:t>на задълженията и погашенията по финансов лизинг и търгов</w:t>
      </w:r>
      <w:r>
        <w:t>ски кредити като форми на дълг</w:t>
      </w:r>
      <w:r w:rsidRPr="006600B7">
        <w:t xml:space="preserve"> е в размер на</w:t>
      </w:r>
      <w:r>
        <w:t xml:space="preserve"> (-0,3) млн. лева</w:t>
      </w:r>
      <w:r w:rsidRPr="006600B7">
        <w:t>.</w:t>
      </w:r>
      <w:r w:rsidR="006600B7" w:rsidRPr="006600B7">
        <w:t xml:space="preserve"> </w:t>
      </w:r>
    </w:p>
    <w:p w:rsidR="00A352BC" w:rsidRPr="00A352BC" w:rsidRDefault="00A352BC" w:rsidP="00A352BC">
      <w:pPr>
        <w:ind w:firstLine="708"/>
        <w:jc w:val="both"/>
      </w:pPr>
      <w:r w:rsidRPr="00A352BC">
        <w:t>Нетният размер на събраните средства и извършени плащания от общините за сметка на други бюджети, сметки и фондове е в размер на (-0,5) млн. лв.</w:t>
      </w:r>
    </w:p>
    <w:p w:rsidR="00BD2711" w:rsidRPr="000613BA" w:rsidRDefault="00BD2711" w:rsidP="006821A3">
      <w:pPr>
        <w:ind w:firstLine="708"/>
        <w:jc w:val="both"/>
        <w:rPr>
          <w:color w:val="0070C0"/>
        </w:rPr>
      </w:pPr>
      <w:r w:rsidRPr="00715DF7">
        <w:t>Постъпленията от приватизация на дялове, акции и участия в общин</w:t>
      </w:r>
      <w:r w:rsidR="00715DF7" w:rsidRPr="00715DF7">
        <w:t>ските бюджети през периода са 0,2</w:t>
      </w:r>
      <w:r w:rsidRPr="00715DF7">
        <w:t xml:space="preserve"> млн. лева.</w:t>
      </w:r>
    </w:p>
    <w:p w:rsidR="00197FB1" w:rsidRPr="006600B7" w:rsidRDefault="00BD2711" w:rsidP="006821A3">
      <w:pPr>
        <w:pStyle w:val="Heading1"/>
        <w:ind w:right="-108" w:firstLine="708"/>
        <w:jc w:val="both"/>
        <w:rPr>
          <w:lang w:val="en-US"/>
        </w:rPr>
      </w:pPr>
      <w:r w:rsidRPr="006600B7">
        <w:rPr>
          <w:b w:val="0"/>
          <w:bCs w:val="0"/>
          <w:sz w:val="24"/>
        </w:rPr>
        <w:t xml:space="preserve">Общините приключиха </w:t>
      </w:r>
      <w:r w:rsidR="00715DF7" w:rsidRPr="006600B7">
        <w:rPr>
          <w:b w:val="0"/>
          <w:bCs w:val="0"/>
          <w:sz w:val="24"/>
        </w:rPr>
        <w:t>първ</w:t>
      </w:r>
      <w:r w:rsidR="006821A3">
        <w:rPr>
          <w:b w:val="0"/>
          <w:bCs w:val="0"/>
          <w:sz w:val="24"/>
        </w:rPr>
        <w:t>о три</w:t>
      </w:r>
      <w:r w:rsidR="00715DF7" w:rsidRPr="006600B7">
        <w:rPr>
          <w:b w:val="0"/>
          <w:bCs w:val="0"/>
          <w:sz w:val="24"/>
        </w:rPr>
        <w:t>месе</w:t>
      </w:r>
      <w:r w:rsidR="006821A3">
        <w:rPr>
          <w:b w:val="0"/>
          <w:bCs w:val="0"/>
          <w:sz w:val="24"/>
        </w:rPr>
        <w:t>чие</w:t>
      </w:r>
      <w:r w:rsidRPr="006600B7">
        <w:rPr>
          <w:b w:val="0"/>
          <w:bCs w:val="0"/>
          <w:sz w:val="24"/>
        </w:rPr>
        <w:t xml:space="preserve"> на 201</w:t>
      </w:r>
      <w:r w:rsidR="00715DF7" w:rsidRPr="006600B7">
        <w:rPr>
          <w:b w:val="0"/>
          <w:bCs w:val="0"/>
          <w:sz w:val="24"/>
        </w:rPr>
        <w:t>9</w:t>
      </w:r>
      <w:r w:rsidRPr="006600B7">
        <w:rPr>
          <w:b w:val="0"/>
          <w:bCs w:val="0"/>
          <w:sz w:val="24"/>
        </w:rPr>
        <w:t xml:space="preserve"> г. с бюджетни наличности (по банкови сметки и в каса) в размер на </w:t>
      </w:r>
      <w:r w:rsidRPr="006600B7">
        <w:rPr>
          <w:b w:val="0"/>
          <w:bCs w:val="0"/>
          <w:sz w:val="24"/>
          <w:lang w:val="en-US"/>
        </w:rPr>
        <w:t xml:space="preserve">1 </w:t>
      </w:r>
      <w:r w:rsidR="00715DF7" w:rsidRPr="006600B7">
        <w:rPr>
          <w:b w:val="0"/>
          <w:bCs w:val="0"/>
          <w:sz w:val="24"/>
        </w:rPr>
        <w:t>358,3 млн. лв., като 472,4</w:t>
      </w:r>
      <w:r w:rsidRPr="006600B7">
        <w:rPr>
          <w:b w:val="0"/>
          <w:bCs w:val="0"/>
          <w:sz w:val="24"/>
        </w:rPr>
        <w:t xml:space="preserve"> млн. лв. (3</w:t>
      </w:r>
      <w:r w:rsidR="00715DF7" w:rsidRPr="006600B7">
        <w:rPr>
          <w:b w:val="0"/>
          <w:bCs w:val="0"/>
          <w:sz w:val="24"/>
        </w:rPr>
        <w:t>4</w:t>
      </w:r>
      <w:r w:rsidRPr="006600B7">
        <w:rPr>
          <w:b w:val="0"/>
          <w:bCs w:val="0"/>
          <w:sz w:val="24"/>
        </w:rPr>
        <w:t>,</w:t>
      </w:r>
      <w:r w:rsidR="00715DF7" w:rsidRPr="006600B7">
        <w:rPr>
          <w:b w:val="0"/>
          <w:bCs w:val="0"/>
          <w:sz w:val="24"/>
        </w:rPr>
        <w:t>8</w:t>
      </w:r>
      <w:r w:rsidRPr="006600B7">
        <w:rPr>
          <w:b w:val="0"/>
          <w:bCs w:val="0"/>
          <w:sz w:val="24"/>
        </w:rPr>
        <w:t xml:space="preserve"> %) са отчетени като остатък в делегираните от държавата дейности.</w:t>
      </w:r>
    </w:p>
    <w:p w:rsidR="002C4D33" w:rsidRPr="000613BA" w:rsidRDefault="002C4D33" w:rsidP="00FD362E">
      <w:pPr>
        <w:pStyle w:val="BodyText"/>
        <w:spacing w:after="120"/>
        <w:ind w:firstLine="567"/>
        <w:rPr>
          <w:color w:val="0070C0"/>
          <w:sz w:val="18"/>
          <w:szCs w:val="12"/>
        </w:rPr>
      </w:pPr>
    </w:p>
    <w:p w:rsidR="00D96A20" w:rsidRPr="002907AE" w:rsidRDefault="00D96A20" w:rsidP="00337CA7">
      <w:pPr>
        <w:pStyle w:val="Heading1"/>
        <w:numPr>
          <w:ilvl w:val="1"/>
          <w:numId w:val="10"/>
        </w:numPr>
        <w:spacing w:after="120"/>
        <w:ind w:left="788" w:right="-108" w:hanging="431"/>
        <w:jc w:val="both"/>
        <w:rPr>
          <w:sz w:val="24"/>
        </w:rPr>
      </w:pPr>
      <w:r w:rsidRPr="002907AE">
        <w:rPr>
          <w:sz w:val="24"/>
        </w:rPr>
        <w:t>Бюджети на Българската национална телевизия (БНТ), Българското национално радио (БНР) и Българската телеграфна агенция (БТА)</w:t>
      </w:r>
    </w:p>
    <w:p w:rsidR="00EB6405" w:rsidRPr="002907AE" w:rsidRDefault="003C667C" w:rsidP="00DC1828">
      <w:pPr>
        <w:ind w:firstLine="567"/>
        <w:jc w:val="both"/>
        <w:rPr>
          <w:szCs w:val="20"/>
        </w:rPr>
      </w:pPr>
      <w:r w:rsidRPr="002907AE">
        <w:rPr>
          <w:b/>
        </w:rPr>
        <w:t>Приходите на БНТ</w:t>
      </w:r>
      <w:r w:rsidRPr="002907AE">
        <w:t xml:space="preserve"> към </w:t>
      </w:r>
      <w:r w:rsidR="002907AE" w:rsidRPr="002907AE">
        <w:t>31</w:t>
      </w:r>
      <w:r w:rsidRPr="002907AE">
        <w:t>.</w:t>
      </w:r>
      <w:r w:rsidR="00453E52" w:rsidRPr="002907AE">
        <w:t>0</w:t>
      </w:r>
      <w:r w:rsidR="002907AE" w:rsidRPr="002907AE">
        <w:t>3</w:t>
      </w:r>
      <w:r w:rsidRPr="002907AE">
        <w:t>.201</w:t>
      </w:r>
      <w:r w:rsidR="002907AE" w:rsidRPr="002907AE">
        <w:t>9</w:t>
      </w:r>
      <w:r w:rsidRPr="002907AE">
        <w:t xml:space="preserve"> г. са в размер на </w:t>
      </w:r>
      <w:r w:rsidR="002907AE" w:rsidRPr="002907AE">
        <w:t>1,3</w:t>
      </w:r>
      <w:r w:rsidRPr="002907AE">
        <w:t xml:space="preserve"> млн. лв. при планирани за годината 7,5 млн. лв. или за отчетния период са постъпили </w:t>
      </w:r>
      <w:r w:rsidR="002907AE" w:rsidRPr="002907AE">
        <w:t>17,9</w:t>
      </w:r>
      <w:r w:rsidRPr="002907AE">
        <w:t xml:space="preserve"> % от планираните за годината. </w:t>
      </w:r>
      <w:r w:rsidRPr="002907AE">
        <w:rPr>
          <w:szCs w:val="20"/>
        </w:rPr>
        <w:t>Отчетените приходи са постъпления от продажби на услуги, стоки и продукция (реклама, спонсорство, технически услуги, почивно дело, продажба на програми) и</w:t>
      </w:r>
      <w:r w:rsidRPr="002907AE">
        <w:rPr>
          <w:b/>
          <w:szCs w:val="20"/>
        </w:rPr>
        <w:t xml:space="preserve"> </w:t>
      </w:r>
      <w:r w:rsidRPr="002907AE">
        <w:rPr>
          <w:szCs w:val="20"/>
        </w:rPr>
        <w:t xml:space="preserve">наеми на имущество. </w:t>
      </w:r>
    </w:p>
    <w:p w:rsidR="003C667C" w:rsidRPr="000613BA" w:rsidRDefault="003C667C" w:rsidP="00DC1828">
      <w:pPr>
        <w:ind w:firstLine="567"/>
        <w:jc w:val="both"/>
        <w:rPr>
          <w:color w:val="0070C0"/>
        </w:rPr>
      </w:pPr>
      <w:r w:rsidRPr="002907AE">
        <w:t xml:space="preserve">Отчетените </w:t>
      </w:r>
      <w:r w:rsidRPr="002907AE">
        <w:rPr>
          <w:b/>
        </w:rPr>
        <w:t>разходи</w:t>
      </w:r>
      <w:r w:rsidRPr="002907AE">
        <w:t xml:space="preserve"> </w:t>
      </w:r>
      <w:r w:rsidRPr="002907AE">
        <w:rPr>
          <w:b/>
        </w:rPr>
        <w:t>на БНТ</w:t>
      </w:r>
      <w:r w:rsidRPr="002907AE">
        <w:t xml:space="preserve"> към </w:t>
      </w:r>
      <w:r w:rsidR="002907AE" w:rsidRPr="002907AE">
        <w:t>31</w:t>
      </w:r>
      <w:r w:rsidRPr="002907AE">
        <w:t>.</w:t>
      </w:r>
      <w:r w:rsidR="00E251C3" w:rsidRPr="002907AE">
        <w:t>0</w:t>
      </w:r>
      <w:r w:rsidR="002907AE" w:rsidRPr="002907AE">
        <w:t>3.2019</w:t>
      </w:r>
      <w:r w:rsidRPr="002907AE">
        <w:t xml:space="preserve"> г. са в размер на </w:t>
      </w:r>
      <w:r w:rsidR="002907AE" w:rsidRPr="002907AE">
        <w:t>17,5</w:t>
      </w:r>
      <w:r w:rsidRPr="002907AE">
        <w:t xml:space="preserve"> млн. лв. или </w:t>
      </w:r>
      <w:r w:rsidR="002907AE" w:rsidRPr="002907AE">
        <w:t>23,1</w:t>
      </w:r>
      <w:r w:rsidRPr="002907AE">
        <w:t xml:space="preserve"> % от </w:t>
      </w:r>
      <w:r w:rsidR="002907AE" w:rsidRPr="002907AE">
        <w:t>годишния разчет по ЗДБРБ за 2019</w:t>
      </w:r>
      <w:r w:rsidRPr="002907AE">
        <w:t xml:space="preserve"> г</w:t>
      </w:r>
      <w:r w:rsidRPr="00C04331">
        <w:t xml:space="preserve">. </w:t>
      </w:r>
      <w:r w:rsidRPr="00C04331">
        <w:rPr>
          <w:szCs w:val="20"/>
        </w:rPr>
        <w:t xml:space="preserve">За периода са отчетени </w:t>
      </w:r>
      <w:r w:rsidR="00C04331" w:rsidRPr="00C04331">
        <w:rPr>
          <w:szCs w:val="20"/>
        </w:rPr>
        <w:t>12,9</w:t>
      </w:r>
      <w:r w:rsidR="00E251C3" w:rsidRPr="00C04331">
        <w:rPr>
          <w:szCs w:val="20"/>
        </w:rPr>
        <w:t xml:space="preserve"> </w:t>
      </w:r>
      <w:r w:rsidRPr="00C04331">
        <w:rPr>
          <w:szCs w:val="20"/>
        </w:rPr>
        <w:t xml:space="preserve">млн. лв. текущи разходи и </w:t>
      </w:r>
      <w:r w:rsidR="00C04331" w:rsidRPr="00C04331">
        <w:rPr>
          <w:szCs w:val="20"/>
        </w:rPr>
        <w:t>4</w:t>
      </w:r>
      <w:r w:rsidR="00CE14D6" w:rsidRPr="00C04331">
        <w:rPr>
          <w:szCs w:val="20"/>
        </w:rPr>
        <w:t>,7</w:t>
      </w:r>
      <w:r w:rsidRPr="00C04331">
        <w:rPr>
          <w:szCs w:val="20"/>
        </w:rPr>
        <w:t xml:space="preserve"> млн. лв. капиталови разходи. По бюджета на БНТ в частта на финансирането са отчетени погашения по търговски кредит  в размер на </w:t>
      </w:r>
      <w:r w:rsidR="00C04331" w:rsidRPr="00C04331">
        <w:rPr>
          <w:szCs w:val="20"/>
        </w:rPr>
        <w:t>0</w:t>
      </w:r>
      <w:r w:rsidR="0066448E" w:rsidRPr="00C04331">
        <w:rPr>
          <w:szCs w:val="20"/>
        </w:rPr>
        <w:t>,</w:t>
      </w:r>
      <w:r w:rsidR="00713A49" w:rsidRPr="00C04331">
        <w:rPr>
          <w:szCs w:val="20"/>
        </w:rPr>
        <w:t>7</w:t>
      </w:r>
      <w:r w:rsidRPr="00C04331">
        <w:rPr>
          <w:szCs w:val="20"/>
        </w:rPr>
        <w:t xml:space="preserve"> млн. лв., които представляват погашения на задължения по договори от предходната година за такси за разпространение на програмите на БНТ</w:t>
      </w:r>
      <w:r w:rsidR="00B466BC">
        <w:rPr>
          <w:szCs w:val="20"/>
        </w:rPr>
        <w:t xml:space="preserve"> </w:t>
      </w:r>
      <w:r w:rsidR="00B466BC">
        <w:t>и за придобиване на транспортни средства</w:t>
      </w:r>
      <w:r w:rsidRPr="00C04331">
        <w:rPr>
          <w:szCs w:val="20"/>
        </w:rPr>
        <w:t>. В разпределението на разходите по бюджета на обществената медия е в</w:t>
      </w:r>
      <w:r w:rsidR="00C04331" w:rsidRPr="00C04331">
        <w:rPr>
          <w:szCs w:val="20"/>
        </w:rPr>
        <w:t>ключен преходния остатък за 2018</w:t>
      </w:r>
      <w:r w:rsidRPr="00C04331">
        <w:rPr>
          <w:szCs w:val="20"/>
        </w:rPr>
        <w:t xml:space="preserve"> г. (съгл. чл. 70, ал. 6 от </w:t>
      </w:r>
      <w:r w:rsidR="00623453" w:rsidRPr="00C04331">
        <w:rPr>
          <w:szCs w:val="20"/>
        </w:rPr>
        <w:t>Закона за радиото и телевизията</w:t>
      </w:r>
      <w:r w:rsidRPr="00C04331">
        <w:rPr>
          <w:szCs w:val="20"/>
        </w:rPr>
        <w:t xml:space="preserve">) в размер на </w:t>
      </w:r>
      <w:r w:rsidR="00C04331" w:rsidRPr="00C04331">
        <w:rPr>
          <w:szCs w:val="20"/>
        </w:rPr>
        <w:t>0,8</w:t>
      </w:r>
      <w:r w:rsidRPr="00C04331">
        <w:rPr>
          <w:szCs w:val="20"/>
        </w:rPr>
        <w:t xml:space="preserve"> млн. лв. 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rsidR="003C667C" w:rsidRDefault="003C667C" w:rsidP="00DC1828">
      <w:pPr>
        <w:ind w:firstLine="567"/>
        <w:jc w:val="both"/>
        <w:rPr>
          <w:color w:val="0070C0"/>
          <w:szCs w:val="20"/>
        </w:rPr>
      </w:pPr>
      <w:r w:rsidRPr="00C04331">
        <w:t xml:space="preserve">Общо утвърдените </w:t>
      </w:r>
      <w:r w:rsidRPr="00C04331">
        <w:rPr>
          <w:b/>
          <w:i/>
        </w:rPr>
        <w:t>бюджетни взаимоотношения на БНТ с централния бюджет</w:t>
      </w:r>
      <w:r w:rsidR="00C04331" w:rsidRPr="00C04331">
        <w:t xml:space="preserve"> за 2019</w:t>
      </w:r>
      <w:r w:rsidRPr="00C04331">
        <w:t xml:space="preserve"> г. са в размер на </w:t>
      </w:r>
      <w:r w:rsidR="00C04331" w:rsidRPr="00C04331">
        <w:rPr>
          <w:szCs w:val="20"/>
        </w:rPr>
        <w:t>67,7</w:t>
      </w:r>
      <w:r w:rsidRPr="00C04331">
        <w:rPr>
          <w:szCs w:val="20"/>
        </w:rPr>
        <w:t xml:space="preserve"> млн. лв., </w:t>
      </w:r>
      <w:r w:rsidR="00C04331" w:rsidRPr="00C04331">
        <w:rPr>
          <w:szCs w:val="20"/>
        </w:rPr>
        <w:t>съгласно чл. 48, т. 2 от ЗДБРБ за 2019</w:t>
      </w:r>
      <w:r w:rsidRPr="00C04331">
        <w:rPr>
          <w:szCs w:val="20"/>
        </w:rPr>
        <w:t> г</w:t>
      </w:r>
      <w:r w:rsidR="003C7651">
        <w:rPr>
          <w:szCs w:val="20"/>
        </w:rPr>
        <w:t>.</w:t>
      </w:r>
      <w:r w:rsidRPr="000613BA">
        <w:rPr>
          <w:color w:val="0070C0"/>
          <w:szCs w:val="20"/>
        </w:rPr>
        <w:t xml:space="preserve"> </w:t>
      </w:r>
    </w:p>
    <w:p w:rsidR="003C7651" w:rsidRPr="003C7651" w:rsidRDefault="003C7651" w:rsidP="00DC1828">
      <w:pPr>
        <w:ind w:firstLine="567"/>
        <w:jc w:val="both"/>
        <w:rPr>
          <w:szCs w:val="20"/>
        </w:rPr>
      </w:pPr>
      <w:r w:rsidRPr="003C7651">
        <w:rPr>
          <w:szCs w:val="20"/>
        </w:rPr>
        <w:t>За отчетния период е усвоена сума в размер на 17,0 млн. лв. или 25,1 % от размера на определените със ЗДБРБ за 2019 г. бюджетни взаимоотношения на БНТ с централния бюджет.</w:t>
      </w:r>
    </w:p>
    <w:p w:rsidR="003C667C" w:rsidRPr="003C7651" w:rsidRDefault="003C667C" w:rsidP="0071384D">
      <w:pPr>
        <w:ind w:firstLine="567"/>
        <w:jc w:val="both"/>
      </w:pPr>
      <w:r w:rsidRPr="003C7651">
        <w:rPr>
          <w:b/>
        </w:rPr>
        <w:t>Приходите по бюджета на БНР</w:t>
      </w:r>
      <w:r w:rsidRPr="003C7651">
        <w:t xml:space="preserve"> за </w:t>
      </w:r>
      <w:r w:rsidR="003C7651" w:rsidRPr="003C7651">
        <w:t>първите три месеца на 2019</w:t>
      </w:r>
      <w:r w:rsidRPr="003C7651">
        <w:t xml:space="preserve"> г. са в размер на </w:t>
      </w:r>
      <w:r w:rsidR="003C7651" w:rsidRPr="003C7651">
        <w:t>0</w:t>
      </w:r>
      <w:r w:rsidR="00E327B1" w:rsidRPr="003C7651">
        <w:t>,</w:t>
      </w:r>
      <w:r w:rsidR="003C7651" w:rsidRPr="003C7651">
        <w:t>4</w:t>
      </w:r>
      <w:r w:rsidRPr="003C7651">
        <w:t xml:space="preserve"> млн. лв., което представлява </w:t>
      </w:r>
      <w:r w:rsidR="003C7651" w:rsidRPr="003C7651">
        <w:t>18,7</w:t>
      </w:r>
      <w:r w:rsidRPr="003C7651">
        <w:t xml:space="preserve"> % от планираните за годината 2,1 млн. лв.</w:t>
      </w:r>
      <w:r w:rsidRPr="003C7651">
        <w:rPr>
          <w:szCs w:val="20"/>
        </w:rPr>
        <w:t xml:space="preserve"> </w:t>
      </w:r>
      <w:r w:rsidR="0080016B" w:rsidRPr="003C7651">
        <w:rPr>
          <w:szCs w:val="20"/>
        </w:rPr>
        <w:t xml:space="preserve">Отчетените приходи са постъпления от продажби на услуги, стоки и продукция </w:t>
      </w:r>
      <w:r w:rsidR="0080016B" w:rsidRPr="003C7651">
        <w:rPr>
          <w:szCs w:val="20"/>
          <w:lang w:val="en-US"/>
        </w:rPr>
        <w:t>(</w:t>
      </w:r>
      <w:r w:rsidR="0080016B" w:rsidRPr="003C7651">
        <w:rPr>
          <w:szCs w:val="20"/>
        </w:rPr>
        <w:t>реклама, спонсорски съобщения, технически услуги, съвместни проекти, приходи от концертна дейност и др.</w:t>
      </w:r>
      <w:r w:rsidR="0080016B" w:rsidRPr="003C7651">
        <w:rPr>
          <w:szCs w:val="20"/>
          <w:lang w:val="en-US"/>
        </w:rPr>
        <w:t>)</w:t>
      </w:r>
      <w:r w:rsidR="0080016B" w:rsidRPr="003C7651">
        <w:rPr>
          <w:szCs w:val="20"/>
        </w:rPr>
        <w:t>, наеми на имущество и др.</w:t>
      </w:r>
    </w:p>
    <w:p w:rsidR="003C667C" w:rsidRPr="000613BA" w:rsidRDefault="003C667C" w:rsidP="0071384D">
      <w:pPr>
        <w:ind w:firstLine="567"/>
        <w:jc w:val="both"/>
        <w:rPr>
          <w:color w:val="0070C0"/>
          <w:szCs w:val="20"/>
        </w:rPr>
      </w:pPr>
      <w:r w:rsidRPr="003C7651">
        <w:rPr>
          <w:szCs w:val="20"/>
        </w:rPr>
        <w:t xml:space="preserve">Изпълнението на </w:t>
      </w:r>
      <w:r w:rsidRPr="003C7651">
        <w:rPr>
          <w:b/>
          <w:szCs w:val="20"/>
        </w:rPr>
        <w:t>разходите</w:t>
      </w:r>
      <w:r w:rsidRPr="003C7651">
        <w:rPr>
          <w:szCs w:val="20"/>
        </w:rPr>
        <w:t xml:space="preserve"> </w:t>
      </w:r>
      <w:r w:rsidRPr="003C7651">
        <w:rPr>
          <w:b/>
          <w:szCs w:val="20"/>
        </w:rPr>
        <w:t>по бюджета на</w:t>
      </w:r>
      <w:r w:rsidRPr="003C7651">
        <w:rPr>
          <w:szCs w:val="20"/>
        </w:rPr>
        <w:t xml:space="preserve"> </w:t>
      </w:r>
      <w:r w:rsidRPr="003C7651">
        <w:rPr>
          <w:b/>
          <w:szCs w:val="20"/>
        </w:rPr>
        <w:t xml:space="preserve">БНР </w:t>
      </w:r>
      <w:r w:rsidRPr="003C7651">
        <w:rPr>
          <w:szCs w:val="20"/>
        </w:rPr>
        <w:t xml:space="preserve">възлиза на </w:t>
      </w:r>
      <w:r w:rsidR="003C7651" w:rsidRPr="003C7651">
        <w:rPr>
          <w:szCs w:val="20"/>
        </w:rPr>
        <w:t>11,5</w:t>
      </w:r>
      <w:r w:rsidRPr="003C7651">
        <w:rPr>
          <w:szCs w:val="20"/>
        </w:rPr>
        <w:t xml:space="preserve"> млн. лв. или  </w:t>
      </w:r>
      <w:r w:rsidR="003C7651" w:rsidRPr="003C7651">
        <w:rPr>
          <w:szCs w:val="20"/>
        </w:rPr>
        <w:t>24</w:t>
      </w:r>
      <w:r w:rsidR="00B55E9E" w:rsidRPr="003C7651">
        <w:rPr>
          <w:szCs w:val="20"/>
        </w:rPr>
        <w:t>,6</w:t>
      </w:r>
      <w:r w:rsidRPr="003C7651">
        <w:rPr>
          <w:szCs w:val="20"/>
        </w:rPr>
        <w:t xml:space="preserve"> % </w:t>
      </w:r>
      <w:r w:rsidR="00E476E0" w:rsidRPr="003C7651">
        <w:t xml:space="preserve">от </w:t>
      </w:r>
      <w:r w:rsidR="003C7651" w:rsidRPr="003C7651">
        <w:t>годишния разчет по ЗДБРБ за 2019</w:t>
      </w:r>
      <w:r w:rsidR="00E476E0" w:rsidRPr="003C7651">
        <w:t xml:space="preserve"> г. </w:t>
      </w:r>
      <w:r w:rsidRPr="003C7651">
        <w:rPr>
          <w:szCs w:val="20"/>
        </w:rPr>
        <w:t>Средствата са усвоени за реализирането на основните цели и дейности на БНР по подготовката, създаването и разпространението на национални и регионални програми съгласно разпоредбите на Закона за радиото и телевизията. В разпределението на разходите по бюджета на БНР е в</w:t>
      </w:r>
      <w:r w:rsidR="003C7651" w:rsidRPr="003C7651">
        <w:rPr>
          <w:szCs w:val="20"/>
        </w:rPr>
        <w:t>ключен преходния остатък за 2018</w:t>
      </w:r>
      <w:r w:rsidRPr="003C7651">
        <w:rPr>
          <w:szCs w:val="20"/>
        </w:rPr>
        <w:t xml:space="preserve"> г. (съгл. чл. 70, ал. 6 от Закона за радиото и т</w:t>
      </w:r>
      <w:r w:rsidR="003C7651" w:rsidRPr="003C7651">
        <w:rPr>
          <w:szCs w:val="20"/>
        </w:rPr>
        <w:t>елевизията) в размер на 0,2</w:t>
      </w:r>
      <w:r w:rsidRPr="003C7651">
        <w:rPr>
          <w:szCs w:val="20"/>
        </w:rPr>
        <w:t xml:space="preserve"> млн. лева. </w:t>
      </w:r>
    </w:p>
    <w:p w:rsidR="003C667C" w:rsidRPr="003C7651" w:rsidRDefault="003C667C" w:rsidP="00DC1828">
      <w:pPr>
        <w:spacing w:after="240"/>
        <w:ind w:firstLine="567"/>
        <w:jc w:val="both"/>
      </w:pPr>
      <w:r w:rsidRPr="003C7651">
        <w:t xml:space="preserve">Общо утвърдените </w:t>
      </w:r>
      <w:r w:rsidRPr="003C7651">
        <w:rPr>
          <w:b/>
          <w:i/>
        </w:rPr>
        <w:t>бюджетни взаимоотношения на БНР с централния бюджет</w:t>
      </w:r>
      <w:r w:rsidRPr="003C7651">
        <w:t xml:space="preserve"> за </w:t>
      </w:r>
      <w:r w:rsidR="003C7651" w:rsidRPr="003C7651">
        <w:t>2019</w:t>
      </w:r>
      <w:r w:rsidRPr="003C7651">
        <w:t xml:space="preserve"> г. са в размер на </w:t>
      </w:r>
      <w:r w:rsidR="003C7651" w:rsidRPr="003C7651">
        <w:rPr>
          <w:szCs w:val="20"/>
        </w:rPr>
        <w:t>44,3 млн. лв. съгласно чл. 48 т.1 от ЗДБРБ за 2019</w:t>
      </w:r>
      <w:r w:rsidRPr="003C7651">
        <w:rPr>
          <w:szCs w:val="20"/>
        </w:rPr>
        <w:t xml:space="preserve"> г. </w:t>
      </w:r>
      <w:r w:rsidRPr="003C7651">
        <w:rPr>
          <w:b/>
          <w:szCs w:val="20"/>
        </w:rPr>
        <w:t xml:space="preserve"> </w:t>
      </w:r>
      <w:r w:rsidR="003C7651" w:rsidRPr="003C7651">
        <w:t xml:space="preserve">За отчетния период </w:t>
      </w:r>
      <w:r w:rsidR="003C7651" w:rsidRPr="003C7651">
        <w:lastRenderedPageBreak/>
        <w:t>е усвоена сума в размер на 12,4 млн. лв. или 28,0</w:t>
      </w:r>
      <w:r w:rsidR="001643F8">
        <w:t xml:space="preserve"> </w:t>
      </w:r>
      <w:r w:rsidR="003C7651" w:rsidRPr="003C7651">
        <w:t>% от размера на определените със ЗДБРБ за 2019 г. бюджетни взаимоотношения на БНР с централния бюджет.</w:t>
      </w:r>
    </w:p>
    <w:p w:rsidR="003C667C" w:rsidRPr="003C7651" w:rsidRDefault="003C667C" w:rsidP="003C667C">
      <w:pPr>
        <w:ind w:firstLine="567"/>
        <w:jc w:val="both"/>
        <w:rPr>
          <w:b/>
          <w:szCs w:val="20"/>
        </w:rPr>
      </w:pPr>
      <w:r w:rsidRPr="003C7651">
        <w:rPr>
          <w:b/>
          <w:szCs w:val="20"/>
        </w:rPr>
        <w:t xml:space="preserve">Приходите на БТА </w:t>
      </w:r>
      <w:r w:rsidRPr="003C7651">
        <w:rPr>
          <w:szCs w:val="20"/>
        </w:rPr>
        <w:t xml:space="preserve">към </w:t>
      </w:r>
      <w:r w:rsidR="003C7651" w:rsidRPr="003C7651">
        <w:rPr>
          <w:szCs w:val="20"/>
        </w:rPr>
        <w:t>31</w:t>
      </w:r>
      <w:r w:rsidRPr="003C7651">
        <w:rPr>
          <w:szCs w:val="20"/>
        </w:rPr>
        <w:t>.</w:t>
      </w:r>
      <w:r w:rsidR="00D66C42" w:rsidRPr="003C7651">
        <w:rPr>
          <w:szCs w:val="20"/>
        </w:rPr>
        <w:t>0</w:t>
      </w:r>
      <w:r w:rsidR="003C7651" w:rsidRPr="003C7651">
        <w:rPr>
          <w:szCs w:val="20"/>
        </w:rPr>
        <w:t>3.2019</w:t>
      </w:r>
      <w:r w:rsidRPr="003C7651">
        <w:rPr>
          <w:szCs w:val="20"/>
        </w:rPr>
        <w:t xml:space="preserve"> г. са </w:t>
      </w:r>
      <w:r w:rsidR="003C7651" w:rsidRPr="003C7651">
        <w:rPr>
          <w:szCs w:val="20"/>
        </w:rPr>
        <w:t>0,4</w:t>
      </w:r>
      <w:r w:rsidRPr="003C7651">
        <w:rPr>
          <w:szCs w:val="20"/>
        </w:rPr>
        <w:t xml:space="preserve"> млн. лв. или </w:t>
      </w:r>
      <w:r w:rsidR="003C7651" w:rsidRPr="003C7651">
        <w:rPr>
          <w:szCs w:val="20"/>
        </w:rPr>
        <w:t>22,5</w:t>
      </w:r>
      <w:r w:rsidRPr="003C7651">
        <w:rPr>
          <w:szCs w:val="20"/>
        </w:rPr>
        <w:t xml:space="preserve"> % от предвидените за годината, като това са основно постъпления от продажба на информационни продукти и услуги.</w:t>
      </w:r>
    </w:p>
    <w:p w:rsidR="003C667C" w:rsidRPr="000613BA" w:rsidRDefault="003C667C" w:rsidP="003C667C">
      <w:pPr>
        <w:ind w:firstLine="567"/>
        <w:jc w:val="both"/>
        <w:rPr>
          <w:color w:val="0070C0"/>
          <w:szCs w:val="20"/>
        </w:rPr>
      </w:pPr>
      <w:r w:rsidRPr="003C7651">
        <w:rPr>
          <w:b/>
          <w:szCs w:val="20"/>
        </w:rPr>
        <w:t xml:space="preserve">Отчетените разходи на </w:t>
      </w:r>
      <w:r w:rsidRPr="00EC7114">
        <w:rPr>
          <w:szCs w:val="20"/>
        </w:rPr>
        <w:t xml:space="preserve">БТА за периода са </w:t>
      </w:r>
      <w:r w:rsidR="003C7651" w:rsidRPr="00EC7114">
        <w:rPr>
          <w:szCs w:val="20"/>
        </w:rPr>
        <w:t>2,1</w:t>
      </w:r>
      <w:r w:rsidRPr="00EC7114">
        <w:rPr>
          <w:szCs w:val="20"/>
        </w:rPr>
        <w:t xml:space="preserve"> млн. лв., което е </w:t>
      </w:r>
      <w:r w:rsidR="00EC7114" w:rsidRPr="00EC7114">
        <w:rPr>
          <w:szCs w:val="20"/>
        </w:rPr>
        <w:t>28,6</w:t>
      </w:r>
      <w:r w:rsidRPr="00EC7114">
        <w:rPr>
          <w:szCs w:val="20"/>
        </w:rPr>
        <w:t xml:space="preserve"> % от </w:t>
      </w:r>
      <w:r w:rsidR="00EC7114" w:rsidRPr="00EC7114">
        <w:rPr>
          <w:szCs w:val="20"/>
        </w:rPr>
        <w:t xml:space="preserve">годишния разчет по ЗДБРБ за 2019 г. </w:t>
      </w:r>
      <w:r w:rsidRPr="00EC7114">
        <w:rPr>
          <w:szCs w:val="20"/>
        </w:rPr>
        <w:t>Общо утвърдените</w:t>
      </w:r>
      <w:r w:rsidRPr="00EC7114">
        <w:rPr>
          <w:b/>
          <w:i/>
        </w:rPr>
        <w:t xml:space="preserve"> бюджетни взаимоотношения на БТА с централния бюджет</w:t>
      </w:r>
      <w:r w:rsidR="00EC7114" w:rsidRPr="00EC7114">
        <w:rPr>
          <w:szCs w:val="20"/>
        </w:rPr>
        <w:t xml:space="preserve"> за 2019 г. са в размер на 5,2</w:t>
      </w:r>
      <w:r w:rsidRPr="00EC7114">
        <w:rPr>
          <w:szCs w:val="20"/>
        </w:rPr>
        <w:t xml:space="preserve"> млн. лв. Отчетените трансфери са в размер</w:t>
      </w:r>
      <w:r w:rsidRPr="00EC7114">
        <w:rPr>
          <w:b/>
          <w:szCs w:val="20"/>
        </w:rPr>
        <w:t xml:space="preserve"> </w:t>
      </w:r>
      <w:r w:rsidRPr="00EC7114">
        <w:rPr>
          <w:szCs w:val="20"/>
        </w:rPr>
        <w:t xml:space="preserve">на </w:t>
      </w:r>
      <w:r w:rsidR="00EC7114" w:rsidRPr="00EC7114">
        <w:rPr>
          <w:szCs w:val="20"/>
        </w:rPr>
        <w:t>1,5</w:t>
      </w:r>
      <w:r w:rsidRPr="00EC7114">
        <w:rPr>
          <w:szCs w:val="20"/>
        </w:rPr>
        <w:t xml:space="preserve"> млн. лв. или </w:t>
      </w:r>
      <w:r w:rsidR="00EC7114" w:rsidRPr="00EC7114">
        <w:rPr>
          <w:szCs w:val="20"/>
        </w:rPr>
        <w:t>29,4</w:t>
      </w:r>
      <w:r w:rsidRPr="00EC7114">
        <w:rPr>
          <w:szCs w:val="20"/>
        </w:rPr>
        <w:t xml:space="preserve"> % от средствата, опр</w:t>
      </w:r>
      <w:r w:rsidR="00EC7114" w:rsidRPr="00EC7114">
        <w:rPr>
          <w:szCs w:val="20"/>
        </w:rPr>
        <w:t>еделени за БТА със ЗДБРБ за 2019</w:t>
      </w:r>
      <w:r w:rsidRPr="00EC7114">
        <w:rPr>
          <w:szCs w:val="20"/>
        </w:rPr>
        <w:t xml:space="preserve"> година.</w:t>
      </w:r>
    </w:p>
    <w:p w:rsidR="002B3E0D" w:rsidRPr="002907AE" w:rsidRDefault="002B3E0D" w:rsidP="00BE52A7">
      <w:pPr>
        <w:pStyle w:val="Title"/>
        <w:jc w:val="both"/>
        <w:rPr>
          <w:sz w:val="18"/>
        </w:rPr>
      </w:pPr>
    </w:p>
    <w:p w:rsidR="008D0DFE" w:rsidRDefault="00BE52A7" w:rsidP="00BE52A7">
      <w:pPr>
        <w:pStyle w:val="Title"/>
        <w:jc w:val="both"/>
        <w:rPr>
          <w:lang w:val="en-US"/>
        </w:rPr>
      </w:pPr>
      <w:r w:rsidRPr="002907AE">
        <w:t xml:space="preserve">Министерство на финансите, </w:t>
      </w:r>
      <w:r w:rsidR="00417ECD" w:rsidRPr="002907AE">
        <w:t xml:space="preserve">май </w:t>
      </w:r>
      <w:r w:rsidRPr="002907AE">
        <w:t>201</w:t>
      </w:r>
      <w:r w:rsidR="00417ECD" w:rsidRPr="002907AE">
        <w:t>9</w:t>
      </w:r>
      <w:r w:rsidRPr="002907AE">
        <w:t xml:space="preserve"> г.</w:t>
      </w:r>
    </w:p>
    <w:p w:rsidR="00A42AAE" w:rsidRDefault="00A42AAE" w:rsidP="00BE52A7">
      <w:pPr>
        <w:pStyle w:val="Title"/>
        <w:jc w:val="both"/>
        <w:rPr>
          <w:lang w:val="en-US"/>
        </w:rPr>
      </w:pPr>
    </w:p>
    <w:p w:rsidR="00A42AAE" w:rsidRPr="00A42AAE" w:rsidRDefault="00A42AAE" w:rsidP="00BE52A7">
      <w:pPr>
        <w:pStyle w:val="Title"/>
        <w:jc w:val="both"/>
        <w:rPr>
          <w:lang w:val="en-US"/>
        </w:rPr>
      </w:pPr>
    </w:p>
    <w:p w:rsidR="00D267D6" w:rsidRDefault="00D267D6" w:rsidP="00D267D6">
      <w:pPr>
        <w:tabs>
          <w:tab w:val="left" w:pos="2520"/>
        </w:tabs>
        <w:spacing w:line="480" w:lineRule="auto"/>
        <w:ind w:left="-1134" w:right="-386" w:firstLine="1134"/>
        <w:rPr>
          <w:color w:val="0070C0"/>
          <w:sz w:val="20"/>
          <w:szCs w:val="20"/>
          <w:lang w:val="en-US" w:eastAsia="bg-BG"/>
        </w:rPr>
      </w:pPr>
      <w:bookmarkStart w:id="33" w:name="_GoBack"/>
      <w:bookmarkEnd w:id="33"/>
    </w:p>
    <w:sectPr w:rsidR="00D267D6" w:rsidSect="002C24D7">
      <w:footerReference w:type="even" r:id="rId13"/>
      <w:footerReference w:type="default" r:id="rId14"/>
      <w:endnotePr>
        <w:numFmt w:val="decimal"/>
      </w:endnotePr>
      <w:type w:val="continuous"/>
      <w:pgSz w:w="11906" w:h="16838"/>
      <w:pgMar w:top="851" w:right="1106" w:bottom="567"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9E" w:rsidRDefault="00AF489E">
      <w:r>
        <w:separator/>
      </w:r>
    </w:p>
  </w:endnote>
  <w:endnote w:type="continuationSeparator" w:id="0">
    <w:p w:rsidR="00AF489E" w:rsidRDefault="00AF489E">
      <w:r>
        <w:continuationSeparator/>
      </w:r>
    </w:p>
  </w:endnote>
  <w:endnote w:type="continuationNotice" w:id="1">
    <w:p w:rsidR="00AF489E" w:rsidRDefault="00AF4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utura Bk">
    <w:altName w:val="AvantGarde"/>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w:altName w:val="MS Mincho"/>
    <w:charset w:val="80"/>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9E" w:rsidRDefault="00AF489E"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489E" w:rsidRDefault="00AF489E" w:rsidP="00A741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89E" w:rsidRDefault="00AF489E"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7C00">
      <w:rPr>
        <w:rStyle w:val="PageNumber"/>
        <w:noProof/>
      </w:rPr>
      <w:t>2</w:t>
    </w:r>
    <w:r>
      <w:rPr>
        <w:rStyle w:val="PageNumber"/>
      </w:rPr>
      <w:fldChar w:fldCharType="end"/>
    </w:r>
  </w:p>
  <w:p w:rsidR="00AF489E" w:rsidRDefault="00AF489E" w:rsidP="00A741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9E" w:rsidRDefault="00AF489E">
      <w:r>
        <w:separator/>
      </w:r>
    </w:p>
  </w:footnote>
  <w:footnote w:type="continuationSeparator" w:id="0">
    <w:p w:rsidR="00AF489E" w:rsidRDefault="00AF489E">
      <w:r>
        <w:continuationSeparator/>
      </w:r>
    </w:p>
  </w:footnote>
  <w:footnote w:type="continuationNotice" w:id="1">
    <w:p w:rsidR="00AF489E" w:rsidRDefault="00AF489E"/>
  </w:footnote>
  <w:footnote w:id="2">
    <w:p w:rsidR="00AF489E" w:rsidRPr="00651FFE" w:rsidRDefault="00AF489E" w:rsidP="00AF74C8">
      <w:pPr>
        <w:pStyle w:val="FootnoteText"/>
        <w:rPr>
          <w:lang w:val="bg-BG" w:eastAsia="bg-BG"/>
        </w:rPr>
      </w:pPr>
      <w:r w:rsidRPr="00651FFE">
        <w:rPr>
          <w:rStyle w:val="FootnoteReference"/>
          <w:lang w:val="bg-BG"/>
        </w:rPr>
        <w:t>[1]</w:t>
      </w:r>
      <w:r w:rsidRPr="00651FFE">
        <w:rPr>
          <w:lang w:val="bg-BG"/>
        </w:rPr>
        <w:t xml:space="preserve"> </w:t>
      </w:r>
      <w:r w:rsidRPr="00651FFE">
        <w:rPr>
          <w:sz w:val="18"/>
          <w:szCs w:val="18"/>
          <w:lang w:val="bg-BG"/>
        </w:rPr>
        <w:t>От общия индекс са изключени енергийните стоки и непреработените храни.</w:t>
      </w:r>
    </w:p>
  </w:footnote>
  <w:footnote w:id="3">
    <w:p w:rsidR="00AF489E" w:rsidRDefault="00AF489E" w:rsidP="00E74802">
      <w:pPr>
        <w:pStyle w:val="FootnoteText"/>
        <w:jc w:val="both"/>
      </w:pPr>
      <w:r>
        <w:rPr>
          <w:rStyle w:val="FootnoteReference"/>
        </w:rPr>
        <w:footnoteRef/>
      </w:r>
      <w:r>
        <w:t xml:space="preserve"> </w:t>
      </w:r>
      <w:r w:rsidRPr="00335B65">
        <w:rPr>
          <w:sz w:val="18"/>
          <w:szCs w:val="16"/>
          <w:lang w:val="bg-BG"/>
        </w:rPr>
        <w:t xml:space="preserve">Обхваща държавния бюджет и  бюджетите на общините, </w:t>
      </w:r>
      <w:proofErr w:type="spellStart"/>
      <w:r w:rsidRPr="00335B65">
        <w:rPr>
          <w:sz w:val="18"/>
          <w:szCs w:val="16"/>
          <w:lang w:val="bg-BG"/>
        </w:rPr>
        <w:t>социалноосигурителните</w:t>
      </w:r>
      <w:proofErr w:type="spellEnd"/>
      <w:r w:rsidRPr="00335B65">
        <w:rPr>
          <w:sz w:val="18"/>
          <w:szCs w:val="16"/>
          <w:lang w:val="bg-BG"/>
        </w:rPr>
        <w:t xml:space="preserve"> фондове, ДВУ, БАН, БНР, БНТ, БТА, бюджетите по чл.14, ал.4 от ЗПФ,  както и сметките за средствата от ЕС и сметките за чужди средства на бюджетните организации. Данните за 201</w:t>
      </w:r>
      <w:r>
        <w:rPr>
          <w:sz w:val="18"/>
          <w:szCs w:val="16"/>
          <w:lang w:val="bg-BG"/>
        </w:rPr>
        <w:t>8</w:t>
      </w:r>
      <w:r w:rsidRPr="00335B65">
        <w:rPr>
          <w:sz w:val="18"/>
          <w:szCs w:val="16"/>
          <w:lang w:val="bg-BG"/>
        </w:rPr>
        <w:t xml:space="preserve"> г. са на база месечни отчети, а тези за 201</w:t>
      </w:r>
      <w:r>
        <w:rPr>
          <w:sz w:val="18"/>
          <w:szCs w:val="16"/>
          <w:lang w:val="bg-BG"/>
        </w:rPr>
        <w:t>7</w:t>
      </w:r>
      <w:r w:rsidRPr="00335B65">
        <w:rPr>
          <w:sz w:val="18"/>
          <w:szCs w:val="16"/>
          <w:lang w:val="bg-BG"/>
        </w:rPr>
        <w:t xml:space="preserve"> г. - на база тримесечни отчети на ПРБ.</w:t>
      </w:r>
    </w:p>
  </w:footnote>
  <w:footnote w:id="4">
    <w:p w:rsidR="00AF489E" w:rsidRPr="00B70BD3" w:rsidRDefault="00AF489E" w:rsidP="0062059F">
      <w:pPr>
        <w:pStyle w:val="FootnoteText"/>
        <w:jc w:val="both"/>
        <w:rPr>
          <w:sz w:val="18"/>
          <w:szCs w:val="18"/>
        </w:rPr>
      </w:pPr>
      <w:r w:rsidRPr="00B70BD3">
        <w:rPr>
          <w:rStyle w:val="FootnoteReference"/>
          <w:sz w:val="18"/>
          <w:szCs w:val="18"/>
        </w:rPr>
        <w:footnoteRef/>
      </w:r>
      <w:r w:rsidRPr="00B70BD3">
        <w:rPr>
          <w:sz w:val="18"/>
          <w:szCs w:val="18"/>
        </w:rPr>
        <w:t xml:space="preserve"> </w:t>
      </w:r>
      <w:r w:rsidRPr="00B70BD3">
        <w:rPr>
          <w:sz w:val="18"/>
          <w:szCs w:val="18"/>
          <w:lang w:val="bg-BG"/>
        </w:rPr>
        <w:t>Поради извършено закръгление в млн. лв., някои сумарни позиции в Таблица №1</w:t>
      </w:r>
      <w:r>
        <w:rPr>
          <w:sz w:val="18"/>
          <w:szCs w:val="18"/>
          <w:lang w:val="bg-BG"/>
        </w:rPr>
        <w:t>,</w:t>
      </w:r>
      <w:r w:rsidRPr="00B70BD3">
        <w:rPr>
          <w:sz w:val="18"/>
          <w:szCs w:val="18"/>
          <w:lang w:val="bg-BG"/>
        </w:rPr>
        <w:t xml:space="preserve"> Таблица  №2</w:t>
      </w:r>
      <w:r>
        <w:rPr>
          <w:sz w:val="18"/>
          <w:szCs w:val="18"/>
          <w:lang w:val="bg-BG"/>
        </w:rPr>
        <w:t xml:space="preserve"> и в текста </w:t>
      </w:r>
      <w:r w:rsidRPr="00B70BD3">
        <w:rPr>
          <w:sz w:val="18"/>
          <w:szCs w:val="18"/>
          <w:lang w:val="bg-BG"/>
        </w:rPr>
        <w:t>не се изчерпват от съставните им числа.</w:t>
      </w:r>
    </w:p>
  </w:footnote>
  <w:footnote w:id="5">
    <w:p w:rsidR="00AF489E" w:rsidRPr="00E74802" w:rsidRDefault="00AF489E" w:rsidP="00E74802">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6">
    <w:p w:rsidR="00AF489E" w:rsidRPr="00DF79A3" w:rsidRDefault="00AF489E" w:rsidP="001E7EA4">
      <w:pPr>
        <w:pStyle w:val="FootnoteText"/>
        <w:rPr>
          <w:lang w:val="bg-BG"/>
        </w:rPr>
      </w:pPr>
      <w:r w:rsidRPr="00F97BCC">
        <w:rPr>
          <w:rStyle w:val="FootnoteReference"/>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7">
    <w:p w:rsidR="00AF489E" w:rsidRPr="00BA6AD2" w:rsidRDefault="00AF489E" w:rsidP="00F226B6">
      <w:pPr>
        <w:pStyle w:val="FootnoteText"/>
        <w:jc w:val="both"/>
        <w:rPr>
          <w:sz w:val="18"/>
          <w:szCs w:val="18"/>
          <w:lang w:val="bg-BG"/>
        </w:rPr>
      </w:pPr>
      <w:r w:rsidRPr="00182A94">
        <w:rPr>
          <w:rStyle w:val="FootnoteReference"/>
          <w:sz w:val="18"/>
          <w:szCs w:val="18"/>
          <w:lang w:val="bg-BG"/>
        </w:rPr>
        <w:footnoteRef/>
      </w:r>
      <w:r w:rsidRPr="00182A94">
        <w:rPr>
          <w:sz w:val="18"/>
          <w:szCs w:val="18"/>
          <w:lang w:val="bg-BG"/>
        </w:rPr>
        <w:t xml:space="preserve"> Поради извършено закръгление в млн. лв., някои сумарни позиции в Таблица №1</w:t>
      </w:r>
      <w:r>
        <w:rPr>
          <w:sz w:val="18"/>
          <w:szCs w:val="18"/>
          <w:lang w:val="bg-BG"/>
        </w:rPr>
        <w:t xml:space="preserve">, </w:t>
      </w:r>
      <w:r w:rsidRPr="00182A94">
        <w:rPr>
          <w:sz w:val="18"/>
          <w:szCs w:val="18"/>
          <w:lang w:val="bg-BG"/>
        </w:rPr>
        <w:t>Таблица №</w:t>
      </w:r>
      <w:r>
        <w:rPr>
          <w:sz w:val="18"/>
          <w:szCs w:val="18"/>
          <w:lang w:val="bg-BG"/>
        </w:rPr>
        <w:t>2</w:t>
      </w:r>
      <w:r w:rsidRPr="00182A94">
        <w:rPr>
          <w:sz w:val="18"/>
          <w:szCs w:val="18"/>
          <w:lang w:val="bg-BG"/>
        </w:rPr>
        <w:t xml:space="preserve"> и в текста не се изчерпват от </w:t>
      </w:r>
      <w:r w:rsidRPr="00BA6AD2">
        <w:rPr>
          <w:sz w:val="18"/>
          <w:szCs w:val="18"/>
          <w:lang w:val="bg-BG"/>
        </w:rPr>
        <w:t>съставните им числа.</w:t>
      </w:r>
    </w:p>
  </w:footnote>
  <w:footnote w:id="8">
    <w:p w:rsidR="00AF489E" w:rsidRPr="002C3578" w:rsidRDefault="00AF489E" w:rsidP="00EB0322">
      <w:pPr>
        <w:pStyle w:val="FootnoteText"/>
        <w:jc w:val="both"/>
        <w:rPr>
          <w:sz w:val="18"/>
          <w:szCs w:val="18"/>
          <w:lang w:val="bg-BG"/>
        </w:rPr>
      </w:pPr>
      <w:r w:rsidRPr="00B94753">
        <w:rPr>
          <w:rStyle w:val="FootnoteReference"/>
          <w:sz w:val="18"/>
          <w:szCs w:val="18"/>
        </w:rPr>
        <w:footnoteRef/>
      </w:r>
      <w:r w:rsidRPr="00B94753">
        <w:rPr>
          <w:sz w:val="18"/>
          <w:szCs w:val="18"/>
        </w:rPr>
        <w:t xml:space="preserve"> </w:t>
      </w:r>
      <w:r w:rsidRPr="002C3578">
        <w:rPr>
          <w:sz w:val="18"/>
          <w:szCs w:val="18"/>
          <w:lang w:val="bg-BG"/>
        </w:rPr>
        <w:t>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090"/>
    <w:multiLevelType w:val="hybridMultilevel"/>
    <w:tmpl w:val="92F660C8"/>
    <w:lvl w:ilvl="0" w:tplc="0402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0892FFA"/>
    <w:multiLevelType w:val="hybridMultilevel"/>
    <w:tmpl w:val="94A88EA6"/>
    <w:lvl w:ilvl="0" w:tplc="257A31AA">
      <w:start w:val="1"/>
      <w:numFmt w:val="bullet"/>
      <w:lvlText w:val=""/>
      <w:lvlJc w:val="left"/>
      <w:pPr>
        <w:ind w:left="1069" w:hanging="360"/>
      </w:pPr>
      <w:rPr>
        <w:rFonts w:ascii="Symbol" w:hAnsi="Symbol"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1581A89"/>
    <w:multiLevelType w:val="hybridMultilevel"/>
    <w:tmpl w:val="08D66548"/>
    <w:lvl w:ilvl="0" w:tplc="4446C67E">
      <w:start w:val="1"/>
      <w:numFmt w:val="bullet"/>
      <w:lvlText w:val=""/>
      <w:lvlJc w:val="left"/>
      <w:pPr>
        <w:ind w:left="1440" w:hanging="360"/>
      </w:pPr>
      <w:rPr>
        <w:rFonts w:ascii="Symbol" w:hAnsi="Symbol" w:hint="default"/>
        <w:color w:val="auto"/>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1194083D"/>
    <w:multiLevelType w:val="hybridMultilevel"/>
    <w:tmpl w:val="B434DC02"/>
    <w:lvl w:ilvl="0" w:tplc="54C466F6">
      <w:numFmt w:val="bullet"/>
      <w:lvlText w:val="-"/>
      <w:lvlJc w:val="left"/>
      <w:pPr>
        <w:tabs>
          <w:tab w:val="num" w:pos="1500"/>
        </w:tabs>
        <w:ind w:left="15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CEE0108"/>
    <w:multiLevelType w:val="hybridMultilevel"/>
    <w:tmpl w:val="8222E77A"/>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7">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25A20358"/>
    <w:multiLevelType w:val="hybridMultilevel"/>
    <w:tmpl w:val="E1D8CE2E"/>
    <w:lvl w:ilvl="0" w:tplc="B8369D36">
      <w:start w:val="1"/>
      <w:numFmt w:val="bullet"/>
      <w:lvlText w:val=""/>
      <w:lvlJc w:val="left"/>
      <w:pPr>
        <w:tabs>
          <w:tab w:val="num" w:pos="898"/>
        </w:tabs>
        <w:ind w:left="0" w:firstLine="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2D752873"/>
    <w:multiLevelType w:val="multilevel"/>
    <w:tmpl w:val="0ECE36AC"/>
    <w:lvl w:ilvl="0">
      <w:start w:val="4"/>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1">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34706099"/>
    <w:multiLevelType w:val="hybridMultilevel"/>
    <w:tmpl w:val="517EAAC6"/>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3AF86BBB"/>
    <w:multiLevelType w:val="hybridMultilevel"/>
    <w:tmpl w:val="C65EBD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40506C4C"/>
    <w:multiLevelType w:val="hybridMultilevel"/>
    <w:tmpl w:val="8E46A080"/>
    <w:lvl w:ilvl="0" w:tplc="0402000B">
      <w:start w:val="1"/>
      <w:numFmt w:val="bullet"/>
      <w:lvlText w:val=""/>
      <w:lvlJc w:val="left"/>
      <w:pPr>
        <w:tabs>
          <w:tab w:val="num" w:pos="928"/>
        </w:tabs>
        <w:ind w:left="928"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6">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0">
    <w:nsid w:val="53A41434"/>
    <w:multiLevelType w:val="hybridMultilevel"/>
    <w:tmpl w:val="D4069CA2"/>
    <w:lvl w:ilvl="0" w:tplc="AB6E2D68">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5D92F24"/>
    <w:multiLevelType w:val="hybridMultilevel"/>
    <w:tmpl w:val="C3E23384"/>
    <w:lvl w:ilvl="0" w:tplc="0402000D">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2">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3">
    <w:nsid w:val="643A5E75"/>
    <w:multiLevelType w:val="hybridMultilevel"/>
    <w:tmpl w:val="F88C976A"/>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4">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6">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8">
    <w:nsid w:val="6E544B1C"/>
    <w:multiLevelType w:val="hybridMultilevel"/>
    <w:tmpl w:val="F19A58DE"/>
    <w:lvl w:ilvl="0" w:tplc="0402000B">
      <w:start w:val="1"/>
      <w:numFmt w:val="bullet"/>
      <w:lvlText w:val=""/>
      <w:lvlJc w:val="left"/>
      <w:pPr>
        <w:ind w:left="928"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9">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nsid w:val="70676522"/>
    <w:multiLevelType w:val="hybridMultilevel"/>
    <w:tmpl w:val="4E68849A"/>
    <w:lvl w:ilvl="0" w:tplc="0402000D">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31">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2">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74896D38"/>
    <w:multiLevelType w:val="hybridMultilevel"/>
    <w:tmpl w:val="ADA8828A"/>
    <w:lvl w:ilvl="0" w:tplc="0402000D">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4">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5"/>
  </w:num>
  <w:num w:numId="3">
    <w:abstractNumId w:val="26"/>
  </w:num>
  <w:num w:numId="4">
    <w:abstractNumId w:val="11"/>
  </w:num>
  <w:num w:numId="5">
    <w:abstractNumId w:val="29"/>
  </w:num>
  <w:num w:numId="6">
    <w:abstractNumId w:val="20"/>
  </w:num>
  <w:num w:numId="7">
    <w:abstractNumId w:val="24"/>
  </w:num>
  <w:num w:numId="8">
    <w:abstractNumId w:val="14"/>
  </w:num>
  <w:num w:numId="9">
    <w:abstractNumId w:val="18"/>
  </w:num>
  <w:num w:numId="10">
    <w:abstractNumId w:val="31"/>
  </w:num>
  <w:num w:numId="11">
    <w:abstractNumId w:val="25"/>
  </w:num>
  <w:num w:numId="12">
    <w:abstractNumId w:val="23"/>
  </w:num>
  <w:num w:numId="13">
    <w:abstractNumId w:val="4"/>
  </w:num>
  <w:num w:numId="14">
    <w:abstractNumId w:val="34"/>
  </w:num>
  <w:num w:numId="15">
    <w:abstractNumId w:val="32"/>
  </w:num>
  <w:num w:numId="16">
    <w:abstractNumId w:val="2"/>
  </w:num>
  <w:num w:numId="17">
    <w:abstractNumId w:val="27"/>
  </w:num>
  <w:num w:numId="18">
    <w:abstractNumId w:val="16"/>
  </w:num>
  <w:num w:numId="19">
    <w:abstractNumId w:val="7"/>
  </w:num>
  <w:num w:numId="20">
    <w:abstractNumId w:val="19"/>
  </w:num>
  <w:num w:numId="21">
    <w:abstractNumId w:val="8"/>
  </w:num>
  <w:num w:numId="22">
    <w:abstractNumId w:val="9"/>
  </w:num>
  <w:num w:numId="23">
    <w:abstractNumId w:val="33"/>
  </w:num>
  <w:num w:numId="24">
    <w:abstractNumId w:val="17"/>
  </w:num>
  <w:num w:numId="25">
    <w:abstractNumId w:val="21"/>
  </w:num>
  <w:num w:numId="26">
    <w:abstractNumId w:val="6"/>
  </w:num>
  <w:num w:numId="27">
    <w:abstractNumId w:val="12"/>
  </w:num>
  <w:num w:numId="28">
    <w:abstractNumId w:val="28"/>
  </w:num>
  <w:num w:numId="29">
    <w:abstractNumId w:val="0"/>
  </w:num>
  <w:num w:numId="30">
    <w:abstractNumId w:val="22"/>
  </w:num>
  <w:num w:numId="31">
    <w:abstractNumId w:val="30"/>
  </w:num>
  <w:num w:numId="32">
    <w:abstractNumId w:val="1"/>
  </w:num>
  <w:num w:numId="33">
    <w:abstractNumId w:val="10"/>
  </w:num>
  <w:num w:numId="34">
    <w:abstractNumId w:val="13"/>
  </w:num>
  <w:num w:numId="35">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15"/>
    <w:rsid w:val="00000EF0"/>
    <w:rsid w:val="000016BE"/>
    <w:rsid w:val="00002BD7"/>
    <w:rsid w:val="00002D9C"/>
    <w:rsid w:val="00003489"/>
    <w:rsid w:val="00003B52"/>
    <w:rsid w:val="00004264"/>
    <w:rsid w:val="000063FC"/>
    <w:rsid w:val="000065C6"/>
    <w:rsid w:val="0000691E"/>
    <w:rsid w:val="00006EBC"/>
    <w:rsid w:val="00007F94"/>
    <w:rsid w:val="000111D3"/>
    <w:rsid w:val="00011383"/>
    <w:rsid w:val="000119C6"/>
    <w:rsid w:val="00012533"/>
    <w:rsid w:val="00012AE6"/>
    <w:rsid w:val="00013B93"/>
    <w:rsid w:val="00013C59"/>
    <w:rsid w:val="000146EA"/>
    <w:rsid w:val="000158A2"/>
    <w:rsid w:val="00015C0F"/>
    <w:rsid w:val="000175C7"/>
    <w:rsid w:val="000178CA"/>
    <w:rsid w:val="0002050E"/>
    <w:rsid w:val="000215BD"/>
    <w:rsid w:val="00021A5F"/>
    <w:rsid w:val="000221B7"/>
    <w:rsid w:val="000229E1"/>
    <w:rsid w:val="00022D9E"/>
    <w:rsid w:val="0002351F"/>
    <w:rsid w:val="00023D31"/>
    <w:rsid w:val="0002444B"/>
    <w:rsid w:val="0002477E"/>
    <w:rsid w:val="000249B9"/>
    <w:rsid w:val="000256B4"/>
    <w:rsid w:val="00025953"/>
    <w:rsid w:val="00025F45"/>
    <w:rsid w:val="00026903"/>
    <w:rsid w:val="0002693A"/>
    <w:rsid w:val="00026AD5"/>
    <w:rsid w:val="00027951"/>
    <w:rsid w:val="00030353"/>
    <w:rsid w:val="000307D3"/>
    <w:rsid w:val="000311EA"/>
    <w:rsid w:val="00031377"/>
    <w:rsid w:val="00031593"/>
    <w:rsid w:val="000320C8"/>
    <w:rsid w:val="00032966"/>
    <w:rsid w:val="00033ACB"/>
    <w:rsid w:val="00034135"/>
    <w:rsid w:val="00034FE3"/>
    <w:rsid w:val="000359FA"/>
    <w:rsid w:val="0003621F"/>
    <w:rsid w:val="00036A1B"/>
    <w:rsid w:val="000377BC"/>
    <w:rsid w:val="000378DC"/>
    <w:rsid w:val="0004080C"/>
    <w:rsid w:val="0004098D"/>
    <w:rsid w:val="00040C20"/>
    <w:rsid w:val="000411D9"/>
    <w:rsid w:val="00041338"/>
    <w:rsid w:val="00042634"/>
    <w:rsid w:val="0004338F"/>
    <w:rsid w:val="000436DD"/>
    <w:rsid w:val="000439F5"/>
    <w:rsid w:val="00043AA0"/>
    <w:rsid w:val="00043AB2"/>
    <w:rsid w:val="00043E35"/>
    <w:rsid w:val="0004426E"/>
    <w:rsid w:val="00044273"/>
    <w:rsid w:val="0004753C"/>
    <w:rsid w:val="00050A1B"/>
    <w:rsid w:val="00051E5E"/>
    <w:rsid w:val="00052C5C"/>
    <w:rsid w:val="00053D51"/>
    <w:rsid w:val="000546BF"/>
    <w:rsid w:val="00054E02"/>
    <w:rsid w:val="00055007"/>
    <w:rsid w:val="00055A61"/>
    <w:rsid w:val="00055DD1"/>
    <w:rsid w:val="00056221"/>
    <w:rsid w:val="00056B58"/>
    <w:rsid w:val="00056D9D"/>
    <w:rsid w:val="0005737D"/>
    <w:rsid w:val="00057886"/>
    <w:rsid w:val="00060A02"/>
    <w:rsid w:val="00060B42"/>
    <w:rsid w:val="000613BA"/>
    <w:rsid w:val="0006166E"/>
    <w:rsid w:val="00061758"/>
    <w:rsid w:val="000621DE"/>
    <w:rsid w:val="00063235"/>
    <w:rsid w:val="00063CF1"/>
    <w:rsid w:val="00063E15"/>
    <w:rsid w:val="000642B9"/>
    <w:rsid w:val="0006477A"/>
    <w:rsid w:val="00064AF3"/>
    <w:rsid w:val="00064C44"/>
    <w:rsid w:val="00064E39"/>
    <w:rsid w:val="00065A46"/>
    <w:rsid w:val="000663D1"/>
    <w:rsid w:val="00066EED"/>
    <w:rsid w:val="00067283"/>
    <w:rsid w:val="0007047E"/>
    <w:rsid w:val="00071F12"/>
    <w:rsid w:val="00072D22"/>
    <w:rsid w:val="00073DF5"/>
    <w:rsid w:val="000751C1"/>
    <w:rsid w:val="00075256"/>
    <w:rsid w:val="0007526B"/>
    <w:rsid w:val="000768B3"/>
    <w:rsid w:val="00080AB2"/>
    <w:rsid w:val="00080EF5"/>
    <w:rsid w:val="0008155D"/>
    <w:rsid w:val="000819F9"/>
    <w:rsid w:val="00081AFD"/>
    <w:rsid w:val="00082679"/>
    <w:rsid w:val="00082BD9"/>
    <w:rsid w:val="0008327E"/>
    <w:rsid w:val="000832E5"/>
    <w:rsid w:val="0008357F"/>
    <w:rsid w:val="000853B1"/>
    <w:rsid w:val="00085704"/>
    <w:rsid w:val="00085B96"/>
    <w:rsid w:val="00085E01"/>
    <w:rsid w:val="00085E1A"/>
    <w:rsid w:val="00086FA7"/>
    <w:rsid w:val="00087295"/>
    <w:rsid w:val="0008745A"/>
    <w:rsid w:val="000878C4"/>
    <w:rsid w:val="0009002F"/>
    <w:rsid w:val="000900E3"/>
    <w:rsid w:val="000902B5"/>
    <w:rsid w:val="00090D1D"/>
    <w:rsid w:val="00091196"/>
    <w:rsid w:val="00091BCE"/>
    <w:rsid w:val="000931C8"/>
    <w:rsid w:val="000937AB"/>
    <w:rsid w:val="000937E0"/>
    <w:rsid w:val="000943E4"/>
    <w:rsid w:val="00094A6C"/>
    <w:rsid w:val="00094A78"/>
    <w:rsid w:val="0009743A"/>
    <w:rsid w:val="000A09BA"/>
    <w:rsid w:val="000A301B"/>
    <w:rsid w:val="000A3F57"/>
    <w:rsid w:val="000A5B32"/>
    <w:rsid w:val="000A6E4D"/>
    <w:rsid w:val="000B09E5"/>
    <w:rsid w:val="000B0CE6"/>
    <w:rsid w:val="000B11FB"/>
    <w:rsid w:val="000B175F"/>
    <w:rsid w:val="000B1A24"/>
    <w:rsid w:val="000B1E59"/>
    <w:rsid w:val="000B2CBE"/>
    <w:rsid w:val="000B460F"/>
    <w:rsid w:val="000B52FA"/>
    <w:rsid w:val="000B5F1E"/>
    <w:rsid w:val="000B62C7"/>
    <w:rsid w:val="000B7234"/>
    <w:rsid w:val="000B7447"/>
    <w:rsid w:val="000B75C1"/>
    <w:rsid w:val="000B7C4F"/>
    <w:rsid w:val="000B7E66"/>
    <w:rsid w:val="000C06FE"/>
    <w:rsid w:val="000C0FA1"/>
    <w:rsid w:val="000C13A5"/>
    <w:rsid w:val="000C2FAC"/>
    <w:rsid w:val="000C5ACF"/>
    <w:rsid w:val="000C5C6D"/>
    <w:rsid w:val="000C69AE"/>
    <w:rsid w:val="000C6CB5"/>
    <w:rsid w:val="000C6CF3"/>
    <w:rsid w:val="000C7303"/>
    <w:rsid w:val="000C736E"/>
    <w:rsid w:val="000C75A5"/>
    <w:rsid w:val="000C7BB6"/>
    <w:rsid w:val="000D0538"/>
    <w:rsid w:val="000D0AB1"/>
    <w:rsid w:val="000D23F8"/>
    <w:rsid w:val="000D2516"/>
    <w:rsid w:val="000D2B33"/>
    <w:rsid w:val="000D2BE7"/>
    <w:rsid w:val="000D3942"/>
    <w:rsid w:val="000D3FA7"/>
    <w:rsid w:val="000D49F5"/>
    <w:rsid w:val="000D4BEB"/>
    <w:rsid w:val="000D5449"/>
    <w:rsid w:val="000D6D92"/>
    <w:rsid w:val="000D725A"/>
    <w:rsid w:val="000D740D"/>
    <w:rsid w:val="000D78E4"/>
    <w:rsid w:val="000E0B42"/>
    <w:rsid w:val="000E1529"/>
    <w:rsid w:val="000E1EAF"/>
    <w:rsid w:val="000E1FB5"/>
    <w:rsid w:val="000E234B"/>
    <w:rsid w:val="000E2894"/>
    <w:rsid w:val="000E2B21"/>
    <w:rsid w:val="000E39DF"/>
    <w:rsid w:val="000E3CDC"/>
    <w:rsid w:val="000E4599"/>
    <w:rsid w:val="000E4CFE"/>
    <w:rsid w:val="000E5205"/>
    <w:rsid w:val="000E5295"/>
    <w:rsid w:val="000E5483"/>
    <w:rsid w:val="000E5EE9"/>
    <w:rsid w:val="000E632B"/>
    <w:rsid w:val="000E6968"/>
    <w:rsid w:val="000E76B3"/>
    <w:rsid w:val="000F04F4"/>
    <w:rsid w:val="000F26DE"/>
    <w:rsid w:val="000F3534"/>
    <w:rsid w:val="000F3EA1"/>
    <w:rsid w:val="000F47A8"/>
    <w:rsid w:val="000F5080"/>
    <w:rsid w:val="000F5EF4"/>
    <w:rsid w:val="000F5F76"/>
    <w:rsid w:val="000F68AF"/>
    <w:rsid w:val="000F6975"/>
    <w:rsid w:val="000F6B35"/>
    <w:rsid w:val="0010026D"/>
    <w:rsid w:val="0010055E"/>
    <w:rsid w:val="001006E1"/>
    <w:rsid w:val="00100CE5"/>
    <w:rsid w:val="001011A4"/>
    <w:rsid w:val="001017B7"/>
    <w:rsid w:val="0010212B"/>
    <w:rsid w:val="00102523"/>
    <w:rsid w:val="00102869"/>
    <w:rsid w:val="001028F7"/>
    <w:rsid w:val="00102BA6"/>
    <w:rsid w:val="001046B0"/>
    <w:rsid w:val="00104BB5"/>
    <w:rsid w:val="001053A6"/>
    <w:rsid w:val="00106081"/>
    <w:rsid w:val="0010649F"/>
    <w:rsid w:val="0010683E"/>
    <w:rsid w:val="00107258"/>
    <w:rsid w:val="00107498"/>
    <w:rsid w:val="001077FA"/>
    <w:rsid w:val="00107F93"/>
    <w:rsid w:val="0011244D"/>
    <w:rsid w:val="00114DE5"/>
    <w:rsid w:val="00116D77"/>
    <w:rsid w:val="001179C1"/>
    <w:rsid w:val="00117C68"/>
    <w:rsid w:val="00117CA6"/>
    <w:rsid w:val="001202E6"/>
    <w:rsid w:val="00120CC7"/>
    <w:rsid w:val="00122FCA"/>
    <w:rsid w:val="00123862"/>
    <w:rsid w:val="00123B59"/>
    <w:rsid w:val="00124FB9"/>
    <w:rsid w:val="00125B7A"/>
    <w:rsid w:val="001260AA"/>
    <w:rsid w:val="001264C3"/>
    <w:rsid w:val="001269AE"/>
    <w:rsid w:val="00127D25"/>
    <w:rsid w:val="00131B05"/>
    <w:rsid w:val="00132AD1"/>
    <w:rsid w:val="00133033"/>
    <w:rsid w:val="0013308F"/>
    <w:rsid w:val="00133644"/>
    <w:rsid w:val="001342F2"/>
    <w:rsid w:val="0013522E"/>
    <w:rsid w:val="00135A23"/>
    <w:rsid w:val="00135E92"/>
    <w:rsid w:val="00136DA4"/>
    <w:rsid w:val="001371FA"/>
    <w:rsid w:val="00140F18"/>
    <w:rsid w:val="00140F61"/>
    <w:rsid w:val="00141B03"/>
    <w:rsid w:val="00142979"/>
    <w:rsid w:val="00142ABD"/>
    <w:rsid w:val="00142EDB"/>
    <w:rsid w:val="00143814"/>
    <w:rsid w:val="001445AC"/>
    <w:rsid w:val="00144B67"/>
    <w:rsid w:val="00144BF2"/>
    <w:rsid w:val="0014585D"/>
    <w:rsid w:val="00145AD1"/>
    <w:rsid w:val="001462A0"/>
    <w:rsid w:val="001466F3"/>
    <w:rsid w:val="00146C11"/>
    <w:rsid w:val="00150706"/>
    <w:rsid w:val="00150D38"/>
    <w:rsid w:val="00151260"/>
    <w:rsid w:val="001514CB"/>
    <w:rsid w:val="001528EE"/>
    <w:rsid w:val="00152B9C"/>
    <w:rsid w:val="00153077"/>
    <w:rsid w:val="001535F3"/>
    <w:rsid w:val="00153DF3"/>
    <w:rsid w:val="00154247"/>
    <w:rsid w:val="00154FA1"/>
    <w:rsid w:val="00156A3B"/>
    <w:rsid w:val="00156B18"/>
    <w:rsid w:val="00156F40"/>
    <w:rsid w:val="00157673"/>
    <w:rsid w:val="00157B70"/>
    <w:rsid w:val="00157EC4"/>
    <w:rsid w:val="00157EF5"/>
    <w:rsid w:val="001606A4"/>
    <w:rsid w:val="00160A10"/>
    <w:rsid w:val="00160C5B"/>
    <w:rsid w:val="0016116C"/>
    <w:rsid w:val="00161F90"/>
    <w:rsid w:val="001623A2"/>
    <w:rsid w:val="00162F68"/>
    <w:rsid w:val="00163645"/>
    <w:rsid w:val="001643F8"/>
    <w:rsid w:val="00165FF0"/>
    <w:rsid w:val="00166023"/>
    <w:rsid w:val="00170EFE"/>
    <w:rsid w:val="00171F8E"/>
    <w:rsid w:val="0017216E"/>
    <w:rsid w:val="0017293F"/>
    <w:rsid w:val="00172AEE"/>
    <w:rsid w:val="00175539"/>
    <w:rsid w:val="00175890"/>
    <w:rsid w:val="00176340"/>
    <w:rsid w:val="00176E98"/>
    <w:rsid w:val="00177307"/>
    <w:rsid w:val="00180811"/>
    <w:rsid w:val="0018154E"/>
    <w:rsid w:val="00181FCA"/>
    <w:rsid w:val="001820C4"/>
    <w:rsid w:val="001824F0"/>
    <w:rsid w:val="00182A94"/>
    <w:rsid w:val="00182D63"/>
    <w:rsid w:val="00183392"/>
    <w:rsid w:val="0018398A"/>
    <w:rsid w:val="00183D5F"/>
    <w:rsid w:val="00183EA5"/>
    <w:rsid w:val="00183FAF"/>
    <w:rsid w:val="00184502"/>
    <w:rsid w:val="001845D5"/>
    <w:rsid w:val="001850C5"/>
    <w:rsid w:val="0018526D"/>
    <w:rsid w:val="00185A12"/>
    <w:rsid w:val="00185BF6"/>
    <w:rsid w:val="00185D08"/>
    <w:rsid w:val="00186C81"/>
    <w:rsid w:val="00186DF9"/>
    <w:rsid w:val="00190983"/>
    <w:rsid w:val="0019151C"/>
    <w:rsid w:val="00191AA6"/>
    <w:rsid w:val="00191F79"/>
    <w:rsid w:val="0019213B"/>
    <w:rsid w:val="0019232E"/>
    <w:rsid w:val="0019239F"/>
    <w:rsid w:val="001924F6"/>
    <w:rsid w:val="00192CDB"/>
    <w:rsid w:val="00193D9B"/>
    <w:rsid w:val="00193F20"/>
    <w:rsid w:val="001941E4"/>
    <w:rsid w:val="00195CF2"/>
    <w:rsid w:val="001965AA"/>
    <w:rsid w:val="001968E4"/>
    <w:rsid w:val="001971AE"/>
    <w:rsid w:val="00197278"/>
    <w:rsid w:val="00197392"/>
    <w:rsid w:val="00197EC3"/>
    <w:rsid w:val="00197FB1"/>
    <w:rsid w:val="001A0601"/>
    <w:rsid w:val="001A0BB0"/>
    <w:rsid w:val="001A1837"/>
    <w:rsid w:val="001A1C51"/>
    <w:rsid w:val="001A236F"/>
    <w:rsid w:val="001A28BA"/>
    <w:rsid w:val="001A3051"/>
    <w:rsid w:val="001A3387"/>
    <w:rsid w:val="001A4589"/>
    <w:rsid w:val="001A5350"/>
    <w:rsid w:val="001A59AF"/>
    <w:rsid w:val="001A6777"/>
    <w:rsid w:val="001A718F"/>
    <w:rsid w:val="001A75B9"/>
    <w:rsid w:val="001B20E4"/>
    <w:rsid w:val="001B2FCD"/>
    <w:rsid w:val="001B3285"/>
    <w:rsid w:val="001B370A"/>
    <w:rsid w:val="001B3E1C"/>
    <w:rsid w:val="001B44DB"/>
    <w:rsid w:val="001B5EA6"/>
    <w:rsid w:val="001C0F05"/>
    <w:rsid w:val="001C110F"/>
    <w:rsid w:val="001C2EE5"/>
    <w:rsid w:val="001C4B35"/>
    <w:rsid w:val="001C4CCF"/>
    <w:rsid w:val="001C501A"/>
    <w:rsid w:val="001C6573"/>
    <w:rsid w:val="001C6BA6"/>
    <w:rsid w:val="001C726D"/>
    <w:rsid w:val="001C78CA"/>
    <w:rsid w:val="001D01FB"/>
    <w:rsid w:val="001D0221"/>
    <w:rsid w:val="001D15E5"/>
    <w:rsid w:val="001D2381"/>
    <w:rsid w:val="001D2CE9"/>
    <w:rsid w:val="001D34AF"/>
    <w:rsid w:val="001D3E63"/>
    <w:rsid w:val="001D40DA"/>
    <w:rsid w:val="001D6081"/>
    <w:rsid w:val="001D6F2E"/>
    <w:rsid w:val="001D71BC"/>
    <w:rsid w:val="001D755A"/>
    <w:rsid w:val="001E0367"/>
    <w:rsid w:val="001E11E2"/>
    <w:rsid w:val="001E2B1A"/>
    <w:rsid w:val="001E3753"/>
    <w:rsid w:val="001E383E"/>
    <w:rsid w:val="001E4011"/>
    <w:rsid w:val="001E4456"/>
    <w:rsid w:val="001E44C8"/>
    <w:rsid w:val="001E4E88"/>
    <w:rsid w:val="001E4FFF"/>
    <w:rsid w:val="001E5BEE"/>
    <w:rsid w:val="001E619D"/>
    <w:rsid w:val="001E68EE"/>
    <w:rsid w:val="001E751C"/>
    <w:rsid w:val="001E77C4"/>
    <w:rsid w:val="001E7EA4"/>
    <w:rsid w:val="001F00B7"/>
    <w:rsid w:val="001F1092"/>
    <w:rsid w:val="001F2337"/>
    <w:rsid w:val="001F367C"/>
    <w:rsid w:val="001F4EB9"/>
    <w:rsid w:val="001F4FDB"/>
    <w:rsid w:val="001F540A"/>
    <w:rsid w:val="001F5D2F"/>
    <w:rsid w:val="001F5FA3"/>
    <w:rsid w:val="001F60AC"/>
    <w:rsid w:val="001F6E1E"/>
    <w:rsid w:val="001F6F0C"/>
    <w:rsid w:val="001F74B9"/>
    <w:rsid w:val="002002AA"/>
    <w:rsid w:val="002019D1"/>
    <w:rsid w:val="00201E8F"/>
    <w:rsid w:val="002023B3"/>
    <w:rsid w:val="00202CDB"/>
    <w:rsid w:val="00203052"/>
    <w:rsid w:val="00204381"/>
    <w:rsid w:val="00204779"/>
    <w:rsid w:val="00204799"/>
    <w:rsid w:val="00204EBE"/>
    <w:rsid w:val="002051EA"/>
    <w:rsid w:val="002060C2"/>
    <w:rsid w:val="00207674"/>
    <w:rsid w:val="002076D5"/>
    <w:rsid w:val="002111F3"/>
    <w:rsid w:val="002117F4"/>
    <w:rsid w:val="002118E8"/>
    <w:rsid w:val="00212116"/>
    <w:rsid w:val="00212798"/>
    <w:rsid w:val="00213180"/>
    <w:rsid w:val="002136EF"/>
    <w:rsid w:val="00213D58"/>
    <w:rsid w:val="00213EB4"/>
    <w:rsid w:val="002142CA"/>
    <w:rsid w:val="0021481A"/>
    <w:rsid w:val="00214D1A"/>
    <w:rsid w:val="00214EEA"/>
    <w:rsid w:val="00215254"/>
    <w:rsid w:val="00215ADA"/>
    <w:rsid w:val="00216326"/>
    <w:rsid w:val="00216648"/>
    <w:rsid w:val="00216AAD"/>
    <w:rsid w:val="00216C9A"/>
    <w:rsid w:val="00217096"/>
    <w:rsid w:val="00217C7A"/>
    <w:rsid w:val="0022027B"/>
    <w:rsid w:val="00220699"/>
    <w:rsid w:val="00220CF8"/>
    <w:rsid w:val="00220D8D"/>
    <w:rsid w:val="0022151A"/>
    <w:rsid w:val="002215FD"/>
    <w:rsid w:val="002216C7"/>
    <w:rsid w:val="00221E48"/>
    <w:rsid w:val="00222228"/>
    <w:rsid w:val="00222370"/>
    <w:rsid w:val="00223892"/>
    <w:rsid w:val="00223F09"/>
    <w:rsid w:val="002245C8"/>
    <w:rsid w:val="0022465E"/>
    <w:rsid w:val="00225164"/>
    <w:rsid w:val="00225168"/>
    <w:rsid w:val="0023041D"/>
    <w:rsid w:val="00231385"/>
    <w:rsid w:val="002316E9"/>
    <w:rsid w:val="002326C1"/>
    <w:rsid w:val="00232A8A"/>
    <w:rsid w:val="00233032"/>
    <w:rsid w:val="00233D50"/>
    <w:rsid w:val="00240C3D"/>
    <w:rsid w:val="00240D9B"/>
    <w:rsid w:val="002413A5"/>
    <w:rsid w:val="002421FC"/>
    <w:rsid w:val="00242676"/>
    <w:rsid w:val="00243641"/>
    <w:rsid w:val="00244642"/>
    <w:rsid w:val="00244D15"/>
    <w:rsid w:val="00244E1B"/>
    <w:rsid w:val="00245474"/>
    <w:rsid w:val="002462FC"/>
    <w:rsid w:val="00246417"/>
    <w:rsid w:val="0024752F"/>
    <w:rsid w:val="00247C3E"/>
    <w:rsid w:val="002500E6"/>
    <w:rsid w:val="00250302"/>
    <w:rsid w:val="002503BA"/>
    <w:rsid w:val="00251005"/>
    <w:rsid w:val="0025173F"/>
    <w:rsid w:val="002529E3"/>
    <w:rsid w:val="00252E78"/>
    <w:rsid w:val="00253D47"/>
    <w:rsid w:val="002545AB"/>
    <w:rsid w:val="00254667"/>
    <w:rsid w:val="0025469B"/>
    <w:rsid w:val="00255101"/>
    <w:rsid w:val="002553EF"/>
    <w:rsid w:val="0025556C"/>
    <w:rsid w:val="002555A1"/>
    <w:rsid w:val="002557F9"/>
    <w:rsid w:val="002559EF"/>
    <w:rsid w:val="0025637F"/>
    <w:rsid w:val="002567D3"/>
    <w:rsid w:val="00256C8E"/>
    <w:rsid w:val="00257669"/>
    <w:rsid w:val="00257837"/>
    <w:rsid w:val="002605A7"/>
    <w:rsid w:val="00260847"/>
    <w:rsid w:val="00261653"/>
    <w:rsid w:val="00262391"/>
    <w:rsid w:val="0026368D"/>
    <w:rsid w:val="00263A27"/>
    <w:rsid w:val="0026424C"/>
    <w:rsid w:val="002642FC"/>
    <w:rsid w:val="00266AF5"/>
    <w:rsid w:val="00266D04"/>
    <w:rsid w:val="002674FC"/>
    <w:rsid w:val="00267867"/>
    <w:rsid w:val="002701ED"/>
    <w:rsid w:val="0027076E"/>
    <w:rsid w:val="002715E5"/>
    <w:rsid w:val="00271642"/>
    <w:rsid w:val="00271AF4"/>
    <w:rsid w:val="00272747"/>
    <w:rsid w:val="00272812"/>
    <w:rsid w:val="00273AF1"/>
    <w:rsid w:val="00273EB1"/>
    <w:rsid w:val="002742C4"/>
    <w:rsid w:val="0027478C"/>
    <w:rsid w:val="002747FE"/>
    <w:rsid w:val="002749F4"/>
    <w:rsid w:val="00274CEA"/>
    <w:rsid w:val="00276E87"/>
    <w:rsid w:val="00280569"/>
    <w:rsid w:val="0028159B"/>
    <w:rsid w:val="00283343"/>
    <w:rsid w:val="00283475"/>
    <w:rsid w:val="002841B8"/>
    <w:rsid w:val="002843A3"/>
    <w:rsid w:val="00284488"/>
    <w:rsid w:val="00284D15"/>
    <w:rsid w:val="00285044"/>
    <w:rsid w:val="00285594"/>
    <w:rsid w:val="00285654"/>
    <w:rsid w:val="00285BC7"/>
    <w:rsid w:val="0028636E"/>
    <w:rsid w:val="00286740"/>
    <w:rsid w:val="00286AC4"/>
    <w:rsid w:val="00287F6C"/>
    <w:rsid w:val="00290163"/>
    <w:rsid w:val="002907AE"/>
    <w:rsid w:val="00290876"/>
    <w:rsid w:val="00290EE6"/>
    <w:rsid w:val="00292884"/>
    <w:rsid w:val="00292971"/>
    <w:rsid w:val="00292EC1"/>
    <w:rsid w:val="00293051"/>
    <w:rsid w:val="0029338A"/>
    <w:rsid w:val="00293D1E"/>
    <w:rsid w:val="00294726"/>
    <w:rsid w:val="00294B02"/>
    <w:rsid w:val="00294D83"/>
    <w:rsid w:val="0029593D"/>
    <w:rsid w:val="00295C97"/>
    <w:rsid w:val="002961BB"/>
    <w:rsid w:val="002968B1"/>
    <w:rsid w:val="002968FE"/>
    <w:rsid w:val="00296F46"/>
    <w:rsid w:val="0029717D"/>
    <w:rsid w:val="00297C07"/>
    <w:rsid w:val="002A1277"/>
    <w:rsid w:val="002A1772"/>
    <w:rsid w:val="002A29F2"/>
    <w:rsid w:val="002A3C2E"/>
    <w:rsid w:val="002A50A9"/>
    <w:rsid w:val="002A5F57"/>
    <w:rsid w:val="002A6CBF"/>
    <w:rsid w:val="002A6D63"/>
    <w:rsid w:val="002A748F"/>
    <w:rsid w:val="002B02E8"/>
    <w:rsid w:val="002B1377"/>
    <w:rsid w:val="002B14CD"/>
    <w:rsid w:val="002B2304"/>
    <w:rsid w:val="002B25DE"/>
    <w:rsid w:val="002B2668"/>
    <w:rsid w:val="002B2B8E"/>
    <w:rsid w:val="002B2EF8"/>
    <w:rsid w:val="002B3E0D"/>
    <w:rsid w:val="002B3E89"/>
    <w:rsid w:val="002B484C"/>
    <w:rsid w:val="002B4D3E"/>
    <w:rsid w:val="002B5D34"/>
    <w:rsid w:val="002B695A"/>
    <w:rsid w:val="002B7904"/>
    <w:rsid w:val="002B79DA"/>
    <w:rsid w:val="002B7F97"/>
    <w:rsid w:val="002C0110"/>
    <w:rsid w:val="002C096A"/>
    <w:rsid w:val="002C12D6"/>
    <w:rsid w:val="002C18B7"/>
    <w:rsid w:val="002C1B26"/>
    <w:rsid w:val="002C23BF"/>
    <w:rsid w:val="002C24D7"/>
    <w:rsid w:val="002C286D"/>
    <w:rsid w:val="002C2CAC"/>
    <w:rsid w:val="002C2F4E"/>
    <w:rsid w:val="002C33B7"/>
    <w:rsid w:val="002C3578"/>
    <w:rsid w:val="002C3ED6"/>
    <w:rsid w:val="002C418B"/>
    <w:rsid w:val="002C4201"/>
    <w:rsid w:val="002C468E"/>
    <w:rsid w:val="002C4D33"/>
    <w:rsid w:val="002C6996"/>
    <w:rsid w:val="002C69F6"/>
    <w:rsid w:val="002C6C5B"/>
    <w:rsid w:val="002C7537"/>
    <w:rsid w:val="002D00C7"/>
    <w:rsid w:val="002D0399"/>
    <w:rsid w:val="002D0882"/>
    <w:rsid w:val="002D1067"/>
    <w:rsid w:val="002D11C6"/>
    <w:rsid w:val="002D1252"/>
    <w:rsid w:val="002D17E3"/>
    <w:rsid w:val="002D2B07"/>
    <w:rsid w:val="002D2DC4"/>
    <w:rsid w:val="002D2FA5"/>
    <w:rsid w:val="002D3AE3"/>
    <w:rsid w:val="002D3F6E"/>
    <w:rsid w:val="002D516B"/>
    <w:rsid w:val="002D527A"/>
    <w:rsid w:val="002D5811"/>
    <w:rsid w:val="002D6978"/>
    <w:rsid w:val="002D6A0C"/>
    <w:rsid w:val="002D6A9D"/>
    <w:rsid w:val="002D72DE"/>
    <w:rsid w:val="002D7651"/>
    <w:rsid w:val="002D7BAD"/>
    <w:rsid w:val="002E029F"/>
    <w:rsid w:val="002E130D"/>
    <w:rsid w:val="002E1ADD"/>
    <w:rsid w:val="002E1EDB"/>
    <w:rsid w:val="002E20E4"/>
    <w:rsid w:val="002E2255"/>
    <w:rsid w:val="002E4150"/>
    <w:rsid w:val="002E43D0"/>
    <w:rsid w:val="002E49A6"/>
    <w:rsid w:val="002E6EAB"/>
    <w:rsid w:val="002E7F57"/>
    <w:rsid w:val="002F013B"/>
    <w:rsid w:val="002F0511"/>
    <w:rsid w:val="002F094A"/>
    <w:rsid w:val="002F209C"/>
    <w:rsid w:val="002F2AA4"/>
    <w:rsid w:val="002F37A8"/>
    <w:rsid w:val="002F3E25"/>
    <w:rsid w:val="002F4E32"/>
    <w:rsid w:val="002F5021"/>
    <w:rsid w:val="002F50A5"/>
    <w:rsid w:val="002F5497"/>
    <w:rsid w:val="002F56B6"/>
    <w:rsid w:val="002F6391"/>
    <w:rsid w:val="002F68BA"/>
    <w:rsid w:val="002F6AC3"/>
    <w:rsid w:val="002F748D"/>
    <w:rsid w:val="002F781A"/>
    <w:rsid w:val="002F7EAC"/>
    <w:rsid w:val="00300566"/>
    <w:rsid w:val="003006DA"/>
    <w:rsid w:val="00300DE1"/>
    <w:rsid w:val="00300E8B"/>
    <w:rsid w:val="0030108C"/>
    <w:rsid w:val="003015BA"/>
    <w:rsid w:val="00301E6A"/>
    <w:rsid w:val="00302CD2"/>
    <w:rsid w:val="00303208"/>
    <w:rsid w:val="00303427"/>
    <w:rsid w:val="0030350B"/>
    <w:rsid w:val="00303543"/>
    <w:rsid w:val="00303716"/>
    <w:rsid w:val="00303BB4"/>
    <w:rsid w:val="00304129"/>
    <w:rsid w:val="00304DDA"/>
    <w:rsid w:val="00305F56"/>
    <w:rsid w:val="00307BFD"/>
    <w:rsid w:val="00307E09"/>
    <w:rsid w:val="00307E4B"/>
    <w:rsid w:val="00307F21"/>
    <w:rsid w:val="003114FA"/>
    <w:rsid w:val="00312B38"/>
    <w:rsid w:val="00313907"/>
    <w:rsid w:val="00313A44"/>
    <w:rsid w:val="00313E37"/>
    <w:rsid w:val="00314D1E"/>
    <w:rsid w:val="00315241"/>
    <w:rsid w:val="0031729F"/>
    <w:rsid w:val="00317FD8"/>
    <w:rsid w:val="00320B2A"/>
    <w:rsid w:val="00320F20"/>
    <w:rsid w:val="00321743"/>
    <w:rsid w:val="00322BE4"/>
    <w:rsid w:val="00322FA8"/>
    <w:rsid w:val="00324DD1"/>
    <w:rsid w:val="00325472"/>
    <w:rsid w:val="00325769"/>
    <w:rsid w:val="00325AC3"/>
    <w:rsid w:val="00326155"/>
    <w:rsid w:val="003308A9"/>
    <w:rsid w:val="0033105F"/>
    <w:rsid w:val="003310A7"/>
    <w:rsid w:val="003311C5"/>
    <w:rsid w:val="00331492"/>
    <w:rsid w:val="00332972"/>
    <w:rsid w:val="0033309B"/>
    <w:rsid w:val="00333789"/>
    <w:rsid w:val="00333B5E"/>
    <w:rsid w:val="0033470F"/>
    <w:rsid w:val="00334766"/>
    <w:rsid w:val="00334E1E"/>
    <w:rsid w:val="00335348"/>
    <w:rsid w:val="00335F25"/>
    <w:rsid w:val="00336631"/>
    <w:rsid w:val="003368A9"/>
    <w:rsid w:val="00337793"/>
    <w:rsid w:val="00337863"/>
    <w:rsid w:val="00337CA7"/>
    <w:rsid w:val="003418A7"/>
    <w:rsid w:val="00342205"/>
    <w:rsid w:val="003423EB"/>
    <w:rsid w:val="003429F1"/>
    <w:rsid w:val="00342B71"/>
    <w:rsid w:val="00342EDD"/>
    <w:rsid w:val="0034309B"/>
    <w:rsid w:val="00343737"/>
    <w:rsid w:val="00344353"/>
    <w:rsid w:val="00344B38"/>
    <w:rsid w:val="003459AC"/>
    <w:rsid w:val="003464BD"/>
    <w:rsid w:val="00346E32"/>
    <w:rsid w:val="0034755B"/>
    <w:rsid w:val="00351513"/>
    <w:rsid w:val="00351BD9"/>
    <w:rsid w:val="00352F76"/>
    <w:rsid w:val="003533A4"/>
    <w:rsid w:val="0035368F"/>
    <w:rsid w:val="00354E8D"/>
    <w:rsid w:val="0035525B"/>
    <w:rsid w:val="003554A7"/>
    <w:rsid w:val="00355C2D"/>
    <w:rsid w:val="00356CE8"/>
    <w:rsid w:val="00357974"/>
    <w:rsid w:val="003579F2"/>
    <w:rsid w:val="00360058"/>
    <w:rsid w:val="00360470"/>
    <w:rsid w:val="00360BE6"/>
    <w:rsid w:val="00361524"/>
    <w:rsid w:val="00361EAF"/>
    <w:rsid w:val="00361FC7"/>
    <w:rsid w:val="00362463"/>
    <w:rsid w:val="0036257D"/>
    <w:rsid w:val="00363014"/>
    <w:rsid w:val="0036316C"/>
    <w:rsid w:val="00363315"/>
    <w:rsid w:val="0036333F"/>
    <w:rsid w:val="003636BA"/>
    <w:rsid w:val="00363C1A"/>
    <w:rsid w:val="00363E99"/>
    <w:rsid w:val="00364563"/>
    <w:rsid w:val="00365690"/>
    <w:rsid w:val="0036577B"/>
    <w:rsid w:val="00365959"/>
    <w:rsid w:val="003674D9"/>
    <w:rsid w:val="00367850"/>
    <w:rsid w:val="0037017F"/>
    <w:rsid w:val="00370377"/>
    <w:rsid w:val="00371384"/>
    <w:rsid w:val="00371EEF"/>
    <w:rsid w:val="00372965"/>
    <w:rsid w:val="00372C6F"/>
    <w:rsid w:val="00373E32"/>
    <w:rsid w:val="003748CB"/>
    <w:rsid w:val="00375136"/>
    <w:rsid w:val="00375C31"/>
    <w:rsid w:val="00376467"/>
    <w:rsid w:val="00377FA0"/>
    <w:rsid w:val="00380F3E"/>
    <w:rsid w:val="00380F49"/>
    <w:rsid w:val="003810AB"/>
    <w:rsid w:val="00381745"/>
    <w:rsid w:val="00381764"/>
    <w:rsid w:val="0038363F"/>
    <w:rsid w:val="00383E33"/>
    <w:rsid w:val="003849E0"/>
    <w:rsid w:val="003854E9"/>
    <w:rsid w:val="0038577D"/>
    <w:rsid w:val="00385C8A"/>
    <w:rsid w:val="0038746F"/>
    <w:rsid w:val="00390575"/>
    <w:rsid w:val="003906CD"/>
    <w:rsid w:val="00391125"/>
    <w:rsid w:val="0039296F"/>
    <w:rsid w:val="003930B5"/>
    <w:rsid w:val="0039334A"/>
    <w:rsid w:val="00393468"/>
    <w:rsid w:val="00393585"/>
    <w:rsid w:val="003935B9"/>
    <w:rsid w:val="00395CCF"/>
    <w:rsid w:val="003967B0"/>
    <w:rsid w:val="00396958"/>
    <w:rsid w:val="00396E17"/>
    <w:rsid w:val="003A06C5"/>
    <w:rsid w:val="003A0A29"/>
    <w:rsid w:val="003A1AF7"/>
    <w:rsid w:val="003A221F"/>
    <w:rsid w:val="003A295A"/>
    <w:rsid w:val="003A3159"/>
    <w:rsid w:val="003A39C7"/>
    <w:rsid w:val="003A3AC4"/>
    <w:rsid w:val="003A3D0E"/>
    <w:rsid w:val="003A3D9A"/>
    <w:rsid w:val="003A409D"/>
    <w:rsid w:val="003A4129"/>
    <w:rsid w:val="003A4AAF"/>
    <w:rsid w:val="003A4B2E"/>
    <w:rsid w:val="003A54BC"/>
    <w:rsid w:val="003B019B"/>
    <w:rsid w:val="003B01E4"/>
    <w:rsid w:val="003B088E"/>
    <w:rsid w:val="003B1F25"/>
    <w:rsid w:val="003B2E07"/>
    <w:rsid w:val="003B3BDF"/>
    <w:rsid w:val="003B44AF"/>
    <w:rsid w:val="003B4787"/>
    <w:rsid w:val="003B4F0C"/>
    <w:rsid w:val="003B50BA"/>
    <w:rsid w:val="003B5452"/>
    <w:rsid w:val="003B5717"/>
    <w:rsid w:val="003B5B2E"/>
    <w:rsid w:val="003B5CAF"/>
    <w:rsid w:val="003B6534"/>
    <w:rsid w:val="003B6D41"/>
    <w:rsid w:val="003C0E58"/>
    <w:rsid w:val="003C14B1"/>
    <w:rsid w:val="003C1591"/>
    <w:rsid w:val="003C199E"/>
    <w:rsid w:val="003C2280"/>
    <w:rsid w:val="003C2AA7"/>
    <w:rsid w:val="003C2F47"/>
    <w:rsid w:val="003C44D1"/>
    <w:rsid w:val="003C4F06"/>
    <w:rsid w:val="003C5A14"/>
    <w:rsid w:val="003C5DE7"/>
    <w:rsid w:val="003C6080"/>
    <w:rsid w:val="003C6592"/>
    <w:rsid w:val="003C667C"/>
    <w:rsid w:val="003C7651"/>
    <w:rsid w:val="003D067C"/>
    <w:rsid w:val="003D0906"/>
    <w:rsid w:val="003D13D8"/>
    <w:rsid w:val="003D15ED"/>
    <w:rsid w:val="003D2486"/>
    <w:rsid w:val="003D2A35"/>
    <w:rsid w:val="003D35FA"/>
    <w:rsid w:val="003D39EF"/>
    <w:rsid w:val="003D41BA"/>
    <w:rsid w:val="003D41C7"/>
    <w:rsid w:val="003D4CC1"/>
    <w:rsid w:val="003D529E"/>
    <w:rsid w:val="003D6474"/>
    <w:rsid w:val="003D664F"/>
    <w:rsid w:val="003D71D5"/>
    <w:rsid w:val="003D74EF"/>
    <w:rsid w:val="003E1122"/>
    <w:rsid w:val="003E12C9"/>
    <w:rsid w:val="003E1604"/>
    <w:rsid w:val="003E1766"/>
    <w:rsid w:val="003E18F5"/>
    <w:rsid w:val="003E1A61"/>
    <w:rsid w:val="003E279B"/>
    <w:rsid w:val="003E2AB7"/>
    <w:rsid w:val="003E2F36"/>
    <w:rsid w:val="003E2FB3"/>
    <w:rsid w:val="003E37A0"/>
    <w:rsid w:val="003E393E"/>
    <w:rsid w:val="003E507E"/>
    <w:rsid w:val="003E5394"/>
    <w:rsid w:val="003E678B"/>
    <w:rsid w:val="003E6D93"/>
    <w:rsid w:val="003E76C6"/>
    <w:rsid w:val="003F0186"/>
    <w:rsid w:val="003F038A"/>
    <w:rsid w:val="003F0555"/>
    <w:rsid w:val="003F09E9"/>
    <w:rsid w:val="003F0D0F"/>
    <w:rsid w:val="003F11D8"/>
    <w:rsid w:val="003F1222"/>
    <w:rsid w:val="003F1AAC"/>
    <w:rsid w:val="003F1C6D"/>
    <w:rsid w:val="003F1D12"/>
    <w:rsid w:val="003F1E3F"/>
    <w:rsid w:val="003F1ECD"/>
    <w:rsid w:val="003F3195"/>
    <w:rsid w:val="003F32A8"/>
    <w:rsid w:val="003F3673"/>
    <w:rsid w:val="003F465F"/>
    <w:rsid w:val="003F47AB"/>
    <w:rsid w:val="003F4B6C"/>
    <w:rsid w:val="003F5A39"/>
    <w:rsid w:val="003F6039"/>
    <w:rsid w:val="003F67D7"/>
    <w:rsid w:val="003F7144"/>
    <w:rsid w:val="00400758"/>
    <w:rsid w:val="00400A77"/>
    <w:rsid w:val="00401B6E"/>
    <w:rsid w:val="00404123"/>
    <w:rsid w:val="00404B91"/>
    <w:rsid w:val="00404BB2"/>
    <w:rsid w:val="0040541F"/>
    <w:rsid w:val="00405424"/>
    <w:rsid w:val="00405C8A"/>
    <w:rsid w:val="00406889"/>
    <w:rsid w:val="004072DC"/>
    <w:rsid w:val="00410E96"/>
    <w:rsid w:val="00411C1D"/>
    <w:rsid w:val="0041242B"/>
    <w:rsid w:val="00412C22"/>
    <w:rsid w:val="00412DB7"/>
    <w:rsid w:val="0041307A"/>
    <w:rsid w:val="00413397"/>
    <w:rsid w:val="00413D02"/>
    <w:rsid w:val="00413DF7"/>
    <w:rsid w:val="004141EF"/>
    <w:rsid w:val="004150A8"/>
    <w:rsid w:val="00417E9B"/>
    <w:rsid w:val="00417ECD"/>
    <w:rsid w:val="00420473"/>
    <w:rsid w:val="00420694"/>
    <w:rsid w:val="0042081E"/>
    <w:rsid w:val="00420E0C"/>
    <w:rsid w:val="00421989"/>
    <w:rsid w:val="00421C02"/>
    <w:rsid w:val="00422163"/>
    <w:rsid w:val="0042331A"/>
    <w:rsid w:val="00423479"/>
    <w:rsid w:val="00424B49"/>
    <w:rsid w:val="00424BC0"/>
    <w:rsid w:val="00424CD9"/>
    <w:rsid w:val="00424EE9"/>
    <w:rsid w:val="004267BD"/>
    <w:rsid w:val="00426D00"/>
    <w:rsid w:val="00427071"/>
    <w:rsid w:val="0043000A"/>
    <w:rsid w:val="0043033C"/>
    <w:rsid w:val="00430A35"/>
    <w:rsid w:val="004318F3"/>
    <w:rsid w:val="00432C14"/>
    <w:rsid w:val="00432D80"/>
    <w:rsid w:val="00432EC8"/>
    <w:rsid w:val="00433ACC"/>
    <w:rsid w:val="004341E9"/>
    <w:rsid w:val="00434323"/>
    <w:rsid w:val="00434720"/>
    <w:rsid w:val="00434C76"/>
    <w:rsid w:val="00434CA4"/>
    <w:rsid w:val="00436D44"/>
    <w:rsid w:val="004379FE"/>
    <w:rsid w:val="00440C48"/>
    <w:rsid w:val="00440E3B"/>
    <w:rsid w:val="0044111B"/>
    <w:rsid w:val="00441F13"/>
    <w:rsid w:val="00441FF4"/>
    <w:rsid w:val="004437DC"/>
    <w:rsid w:val="004443AB"/>
    <w:rsid w:val="00444624"/>
    <w:rsid w:val="0044486A"/>
    <w:rsid w:val="004448DB"/>
    <w:rsid w:val="00445D17"/>
    <w:rsid w:val="00445F93"/>
    <w:rsid w:val="0044645D"/>
    <w:rsid w:val="00446746"/>
    <w:rsid w:val="004473E1"/>
    <w:rsid w:val="00447435"/>
    <w:rsid w:val="00447467"/>
    <w:rsid w:val="00447BE4"/>
    <w:rsid w:val="00447CC7"/>
    <w:rsid w:val="0045342A"/>
    <w:rsid w:val="004539F3"/>
    <w:rsid w:val="00453E52"/>
    <w:rsid w:val="00454F37"/>
    <w:rsid w:val="0045536D"/>
    <w:rsid w:val="0045563A"/>
    <w:rsid w:val="00455C0B"/>
    <w:rsid w:val="00460A2F"/>
    <w:rsid w:val="00460DFC"/>
    <w:rsid w:val="00462344"/>
    <w:rsid w:val="00462792"/>
    <w:rsid w:val="00462EC3"/>
    <w:rsid w:val="00463713"/>
    <w:rsid w:val="00464A54"/>
    <w:rsid w:val="00466917"/>
    <w:rsid w:val="00466A68"/>
    <w:rsid w:val="00466E1F"/>
    <w:rsid w:val="00467A07"/>
    <w:rsid w:val="00467DDF"/>
    <w:rsid w:val="00467E6F"/>
    <w:rsid w:val="0047087C"/>
    <w:rsid w:val="004709CF"/>
    <w:rsid w:val="00470D72"/>
    <w:rsid w:val="004712BA"/>
    <w:rsid w:val="004715DB"/>
    <w:rsid w:val="004717FC"/>
    <w:rsid w:val="0047319E"/>
    <w:rsid w:val="0047343D"/>
    <w:rsid w:val="004737AB"/>
    <w:rsid w:val="004756A4"/>
    <w:rsid w:val="004757DD"/>
    <w:rsid w:val="00475DE8"/>
    <w:rsid w:val="004765C1"/>
    <w:rsid w:val="00476839"/>
    <w:rsid w:val="00477156"/>
    <w:rsid w:val="00480314"/>
    <w:rsid w:val="00480836"/>
    <w:rsid w:val="0048093C"/>
    <w:rsid w:val="00480C6C"/>
    <w:rsid w:val="00483EBC"/>
    <w:rsid w:val="004842F9"/>
    <w:rsid w:val="004847E2"/>
    <w:rsid w:val="0048633C"/>
    <w:rsid w:val="00487663"/>
    <w:rsid w:val="004877CE"/>
    <w:rsid w:val="00487AA1"/>
    <w:rsid w:val="0049089F"/>
    <w:rsid w:val="0049099D"/>
    <w:rsid w:val="00490E4A"/>
    <w:rsid w:val="004913DD"/>
    <w:rsid w:val="00491AF2"/>
    <w:rsid w:val="00491FB0"/>
    <w:rsid w:val="00492077"/>
    <w:rsid w:val="004920BE"/>
    <w:rsid w:val="004923E3"/>
    <w:rsid w:val="004930C9"/>
    <w:rsid w:val="00495607"/>
    <w:rsid w:val="00495774"/>
    <w:rsid w:val="00495F75"/>
    <w:rsid w:val="00496151"/>
    <w:rsid w:val="00496379"/>
    <w:rsid w:val="004969CB"/>
    <w:rsid w:val="00496CB2"/>
    <w:rsid w:val="00497689"/>
    <w:rsid w:val="00497B8B"/>
    <w:rsid w:val="004A0111"/>
    <w:rsid w:val="004A0A58"/>
    <w:rsid w:val="004A0FBA"/>
    <w:rsid w:val="004A1B28"/>
    <w:rsid w:val="004A2BF9"/>
    <w:rsid w:val="004A2C3A"/>
    <w:rsid w:val="004A39B3"/>
    <w:rsid w:val="004A3A16"/>
    <w:rsid w:val="004A73AA"/>
    <w:rsid w:val="004B014F"/>
    <w:rsid w:val="004B0A99"/>
    <w:rsid w:val="004B14D9"/>
    <w:rsid w:val="004B2450"/>
    <w:rsid w:val="004B32FC"/>
    <w:rsid w:val="004B3CEC"/>
    <w:rsid w:val="004B4071"/>
    <w:rsid w:val="004B41D3"/>
    <w:rsid w:val="004B4228"/>
    <w:rsid w:val="004B4A3D"/>
    <w:rsid w:val="004B5ADF"/>
    <w:rsid w:val="004B5DC2"/>
    <w:rsid w:val="004B66C4"/>
    <w:rsid w:val="004B67FA"/>
    <w:rsid w:val="004B702C"/>
    <w:rsid w:val="004B7411"/>
    <w:rsid w:val="004B74DA"/>
    <w:rsid w:val="004C009E"/>
    <w:rsid w:val="004C2707"/>
    <w:rsid w:val="004C43B3"/>
    <w:rsid w:val="004C458A"/>
    <w:rsid w:val="004C4C7A"/>
    <w:rsid w:val="004C4F65"/>
    <w:rsid w:val="004C5F4E"/>
    <w:rsid w:val="004C60F8"/>
    <w:rsid w:val="004C665A"/>
    <w:rsid w:val="004C6BE5"/>
    <w:rsid w:val="004C6EDF"/>
    <w:rsid w:val="004C6F08"/>
    <w:rsid w:val="004C75F6"/>
    <w:rsid w:val="004D0314"/>
    <w:rsid w:val="004D0661"/>
    <w:rsid w:val="004D0892"/>
    <w:rsid w:val="004D311F"/>
    <w:rsid w:val="004D4B5F"/>
    <w:rsid w:val="004D4EF0"/>
    <w:rsid w:val="004D54BD"/>
    <w:rsid w:val="004D6524"/>
    <w:rsid w:val="004D68BE"/>
    <w:rsid w:val="004D6BD9"/>
    <w:rsid w:val="004E0134"/>
    <w:rsid w:val="004E09DC"/>
    <w:rsid w:val="004E1731"/>
    <w:rsid w:val="004E20A2"/>
    <w:rsid w:val="004E2A05"/>
    <w:rsid w:val="004E31BA"/>
    <w:rsid w:val="004E3966"/>
    <w:rsid w:val="004E3AFB"/>
    <w:rsid w:val="004E3D62"/>
    <w:rsid w:val="004E43D2"/>
    <w:rsid w:val="004E45A3"/>
    <w:rsid w:val="004E46DA"/>
    <w:rsid w:val="004E59B2"/>
    <w:rsid w:val="004E5E56"/>
    <w:rsid w:val="004E604F"/>
    <w:rsid w:val="004E73E8"/>
    <w:rsid w:val="004E74EC"/>
    <w:rsid w:val="004E7BF8"/>
    <w:rsid w:val="004F141F"/>
    <w:rsid w:val="004F24FB"/>
    <w:rsid w:val="004F2F68"/>
    <w:rsid w:val="004F4735"/>
    <w:rsid w:val="004F5B6B"/>
    <w:rsid w:val="004F5B94"/>
    <w:rsid w:val="004F63B9"/>
    <w:rsid w:val="004F709F"/>
    <w:rsid w:val="004F767C"/>
    <w:rsid w:val="005001BC"/>
    <w:rsid w:val="00500DD6"/>
    <w:rsid w:val="00501C83"/>
    <w:rsid w:val="0050271A"/>
    <w:rsid w:val="00502E71"/>
    <w:rsid w:val="00503A88"/>
    <w:rsid w:val="00504C80"/>
    <w:rsid w:val="005061E5"/>
    <w:rsid w:val="005062B4"/>
    <w:rsid w:val="00506F08"/>
    <w:rsid w:val="005104CF"/>
    <w:rsid w:val="00510E7E"/>
    <w:rsid w:val="00511EE9"/>
    <w:rsid w:val="00513759"/>
    <w:rsid w:val="00514262"/>
    <w:rsid w:val="00514327"/>
    <w:rsid w:val="005159CD"/>
    <w:rsid w:val="00515C6E"/>
    <w:rsid w:val="005160E2"/>
    <w:rsid w:val="005161AD"/>
    <w:rsid w:val="00516CBD"/>
    <w:rsid w:val="00516EB9"/>
    <w:rsid w:val="0051752A"/>
    <w:rsid w:val="00517FBF"/>
    <w:rsid w:val="005211AC"/>
    <w:rsid w:val="00521371"/>
    <w:rsid w:val="00521617"/>
    <w:rsid w:val="00522945"/>
    <w:rsid w:val="00523FAF"/>
    <w:rsid w:val="00524146"/>
    <w:rsid w:val="00524EA5"/>
    <w:rsid w:val="00525B14"/>
    <w:rsid w:val="00525B7E"/>
    <w:rsid w:val="00525D95"/>
    <w:rsid w:val="005260E6"/>
    <w:rsid w:val="0052633F"/>
    <w:rsid w:val="00526B74"/>
    <w:rsid w:val="00526DB4"/>
    <w:rsid w:val="00527901"/>
    <w:rsid w:val="00527AC5"/>
    <w:rsid w:val="00527EDB"/>
    <w:rsid w:val="00530B61"/>
    <w:rsid w:val="00530FDE"/>
    <w:rsid w:val="00531CF0"/>
    <w:rsid w:val="00531E6A"/>
    <w:rsid w:val="0053288C"/>
    <w:rsid w:val="00532B67"/>
    <w:rsid w:val="00532B8D"/>
    <w:rsid w:val="00532E70"/>
    <w:rsid w:val="005342A1"/>
    <w:rsid w:val="0053580A"/>
    <w:rsid w:val="0053590B"/>
    <w:rsid w:val="00535D0B"/>
    <w:rsid w:val="00536119"/>
    <w:rsid w:val="0053646A"/>
    <w:rsid w:val="0053674A"/>
    <w:rsid w:val="00536EB8"/>
    <w:rsid w:val="0053709A"/>
    <w:rsid w:val="00537407"/>
    <w:rsid w:val="00540B24"/>
    <w:rsid w:val="005415DB"/>
    <w:rsid w:val="005418E2"/>
    <w:rsid w:val="00541A87"/>
    <w:rsid w:val="00541CC7"/>
    <w:rsid w:val="00541D3C"/>
    <w:rsid w:val="00542445"/>
    <w:rsid w:val="00542F7E"/>
    <w:rsid w:val="00543B10"/>
    <w:rsid w:val="00545235"/>
    <w:rsid w:val="005452F5"/>
    <w:rsid w:val="005466DD"/>
    <w:rsid w:val="00546765"/>
    <w:rsid w:val="00546871"/>
    <w:rsid w:val="00547879"/>
    <w:rsid w:val="005479F1"/>
    <w:rsid w:val="00547B59"/>
    <w:rsid w:val="00547E58"/>
    <w:rsid w:val="00550288"/>
    <w:rsid w:val="005517D2"/>
    <w:rsid w:val="00551840"/>
    <w:rsid w:val="005523C9"/>
    <w:rsid w:val="00552767"/>
    <w:rsid w:val="005529F1"/>
    <w:rsid w:val="00552DD1"/>
    <w:rsid w:val="00553279"/>
    <w:rsid w:val="0055332C"/>
    <w:rsid w:val="005536CF"/>
    <w:rsid w:val="0055394B"/>
    <w:rsid w:val="00553FA6"/>
    <w:rsid w:val="0055409C"/>
    <w:rsid w:val="0055413D"/>
    <w:rsid w:val="005544B3"/>
    <w:rsid w:val="00554E40"/>
    <w:rsid w:val="00554F97"/>
    <w:rsid w:val="005554C2"/>
    <w:rsid w:val="00555ED2"/>
    <w:rsid w:val="00556C0A"/>
    <w:rsid w:val="0055775F"/>
    <w:rsid w:val="00557E0E"/>
    <w:rsid w:val="00562A60"/>
    <w:rsid w:val="00562AE4"/>
    <w:rsid w:val="00564B27"/>
    <w:rsid w:val="00564C9B"/>
    <w:rsid w:val="00564DE4"/>
    <w:rsid w:val="00564FA7"/>
    <w:rsid w:val="00565386"/>
    <w:rsid w:val="00565A20"/>
    <w:rsid w:val="0056691D"/>
    <w:rsid w:val="005679D6"/>
    <w:rsid w:val="00567D22"/>
    <w:rsid w:val="00567FC1"/>
    <w:rsid w:val="0057038E"/>
    <w:rsid w:val="00570A13"/>
    <w:rsid w:val="005710C0"/>
    <w:rsid w:val="00572297"/>
    <w:rsid w:val="00572482"/>
    <w:rsid w:val="00572C96"/>
    <w:rsid w:val="005730AB"/>
    <w:rsid w:val="005730C8"/>
    <w:rsid w:val="00573521"/>
    <w:rsid w:val="00573774"/>
    <w:rsid w:val="00573EAB"/>
    <w:rsid w:val="005748E5"/>
    <w:rsid w:val="005750C2"/>
    <w:rsid w:val="0057515A"/>
    <w:rsid w:val="00575BC1"/>
    <w:rsid w:val="00576B32"/>
    <w:rsid w:val="0058007A"/>
    <w:rsid w:val="00580CD8"/>
    <w:rsid w:val="00582E34"/>
    <w:rsid w:val="005830F2"/>
    <w:rsid w:val="005843CD"/>
    <w:rsid w:val="00585ABE"/>
    <w:rsid w:val="00585DEE"/>
    <w:rsid w:val="00585F7D"/>
    <w:rsid w:val="00586239"/>
    <w:rsid w:val="0058649D"/>
    <w:rsid w:val="005868D0"/>
    <w:rsid w:val="005875DB"/>
    <w:rsid w:val="00587993"/>
    <w:rsid w:val="00587B01"/>
    <w:rsid w:val="0059095A"/>
    <w:rsid w:val="00590BA5"/>
    <w:rsid w:val="00590F0B"/>
    <w:rsid w:val="005914A0"/>
    <w:rsid w:val="00591C47"/>
    <w:rsid w:val="005923EC"/>
    <w:rsid w:val="005928C5"/>
    <w:rsid w:val="00593297"/>
    <w:rsid w:val="0059381A"/>
    <w:rsid w:val="00594879"/>
    <w:rsid w:val="00595AB2"/>
    <w:rsid w:val="00596854"/>
    <w:rsid w:val="00597A30"/>
    <w:rsid w:val="00597A74"/>
    <w:rsid w:val="00597E5D"/>
    <w:rsid w:val="00597FA3"/>
    <w:rsid w:val="005A0129"/>
    <w:rsid w:val="005A0EFB"/>
    <w:rsid w:val="005A1885"/>
    <w:rsid w:val="005A21BC"/>
    <w:rsid w:val="005A2571"/>
    <w:rsid w:val="005A3963"/>
    <w:rsid w:val="005A4CCA"/>
    <w:rsid w:val="005A5C9B"/>
    <w:rsid w:val="005A6AE8"/>
    <w:rsid w:val="005A7007"/>
    <w:rsid w:val="005A72D7"/>
    <w:rsid w:val="005A73B5"/>
    <w:rsid w:val="005A7911"/>
    <w:rsid w:val="005A7BE4"/>
    <w:rsid w:val="005B035A"/>
    <w:rsid w:val="005B0468"/>
    <w:rsid w:val="005B0BCF"/>
    <w:rsid w:val="005B1C5D"/>
    <w:rsid w:val="005B32E1"/>
    <w:rsid w:val="005B3401"/>
    <w:rsid w:val="005B3653"/>
    <w:rsid w:val="005B372F"/>
    <w:rsid w:val="005B4024"/>
    <w:rsid w:val="005B4374"/>
    <w:rsid w:val="005B4559"/>
    <w:rsid w:val="005B4689"/>
    <w:rsid w:val="005B54E9"/>
    <w:rsid w:val="005B5773"/>
    <w:rsid w:val="005B77C7"/>
    <w:rsid w:val="005B79D1"/>
    <w:rsid w:val="005B7BF4"/>
    <w:rsid w:val="005C0F0A"/>
    <w:rsid w:val="005C1D42"/>
    <w:rsid w:val="005C2439"/>
    <w:rsid w:val="005C2746"/>
    <w:rsid w:val="005C2B9F"/>
    <w:rsid w:val="005C3FEE"/>
    <w:rsid w:val="005C4796"/>
    <w:rsid w:val="005C4E3B"/>
    <w:rsid w:val="005C5AE4"/>
    <w:rsid w:val="005C5C59"/>
    <w:rsid w:val="005C73FB"/>
    <w:rsid w:val="005C7C55"/>
    <w:rsid w:val="005C7FB2"/>
    <w:rsid w:val="005D0A1C"/>
    <w:rsid w:val="005D114B"/>
    <w:rsid w:val="005D2250"/>
    <w:rsid w:val="005D30DB"/>
    <w:rsid w:val="005D3640"/>
    <w:rsid w:val="005D3712"/>
    <w:rsid w:val="005D4088"/>
    <w:rsid w:val="005D4951"/>
    <w:rsid w:val="005D6209"/>
    <w:rsid w:val="005D6312"/>
    <w:rsid w:val="005D707E"/>
    <w:rsid w:val="005D7574"/>
    <w:rsid w:val="005D7867"/>
    <w:rsid w:val="005D7EEA"/>
    <w:rsid w:val="005E0989"/>
    <w:rsid w:val="005E0A3F"/>
    <w:rsid w:val="005E0F68"/>
    <w:rsid w:val="005E0FB0"/>
    <w:rsid w:val="005E12E0"/>
    <w:rsid w:val="005E1717"/>
    <w:rsid w:val="005E1A9F"/>
    <w:rsid w:val="005E1E33"/>
    <w:rsid w:val="005E2907"/>
    <w:rsid w:val="005E3375"/>
    <w:rsid w:val="005E3957"/>
    <w:rsid w:val="005E3EA2"/>
    <w:rsid w:val="005E50DF"/>
    <w:rsid w:val="005E53B2"/>
    <w:rsid w:val="005E5D7B"/>
    <w:rsid w:val="005E6143"/>
    <w:rsid w:val="005E618A"/>
    <w:rsid w:val="005E6F26"/>
    <w:rsid w:val="005E7BE5"/>
    <w:rsid w:val="005E7E1E"/>
    <w:rsid w:val="005F1247"/>
    <w:rsid w:val="005F32FC"/>
    <w:rsid w:val="005F374A"/>
    <w:rsid w:val="005F3C83"/>
    <w:rsid w:val="005F4066"/>
    <w:rsid w:val="005F5068"/>
    <w:rsid w:val="005F585D"/>
    <w:rsid w:val="005F5AD1"/>
    <w:rsid w:val="005F5F63"/>
    <w:rsid w:val="005F6133"/>
    <w:rsid w:val="005F65F9"/>
    <w:rsid w:val="005F661F"/>
    <w:rsid w:val="005F6E29"/>
    <w:rsid w:val="005F7245"/>
    <w:rsid w:val="005F770F"/>
    <w:rsid w:val="006004E2"/>
    <w:rsid w:val="006006E5"/>
    <w:rsid w:val="00600C91"/>
    <w:rsid w:val="00601B4A"/>
    <w:rsid w:val="00601C10"/>
    <w:rsid w:val="00601C6D"/>
    <w:rsid w:val="00601E59"/>
    <w:rsid w:val="006029EF"/>
    <w:rsid w:val="006031AD"/>
    <w:rsid w:val="00603C32"/>
    <w:rsid w:val="006040AB"/>
    <w:rsid w:val="00604699"/>
    <w:rsid w:val="00605D5C"/>
    <w:rsid w:val="00606840"/>
    <w:rsid w:val="006073CE"/>
    <w:rsid w:val="0060764B"/>
    <w:rsid w:val="00607658"/>
    <w:rsid w:val="00610BF6"/>
    <w:rsid w:val="00610E61"/>
    <w:rsid w:val="00611140"/>
    <w:rsid w:val="006114AE"/>
    <w:rsid w:val="006124DD"/>
    <w:rsid w:val="006127AB"/>
    <w:rsid w:val="0061290D"/>
    <w:rsid w:val="00612DE7"/>
    <w:rsid w:val="006130EE"/>
    <w:rsid w:val="006131CE"/>
    <w:rsid w:val="006138C0"/>
    <w:rsid w:val="0061441E"/>
    <w:rsid w:val="006147E5"/>
    <w:rsid w:val="006149DB"/>
    <w:rsid w:val="00615836"/>
    <w:rsid w:val="00615D2C"/>
    <w:rsid w:val="00616104"/>
    <w:rsid w:val="00616AAF"/>
    <w:rsid w:val="006173C1"/>
    <w:rsid w:val="00617584"/>
    <w:rsid w:val="006176D9"/>
    <w:rsid w:val="00617B03"/>
    <w:rsid w:val="0062059F"/>
    <w:rsid w:val="00620605"/>
    <w:rsid w:val="00621247"/>
    <w:rsid w:val="006226A2"/>
    <w:rsid w:val="00622E44"/>
    <w:rsid w:val="00623453"/>
    <w:rsid w:val="00623C52"/>
    <w:rsid w:val="00624692"/>
    <w:rsid w:val="00624A65"/>
    <w:rsid w:val="00625445"/>
    <w:rsid w:val="0062612B"/>
    <w:rsid w:val="006267F7"/>
    <w:rsid w:val="0062731C"/>
    <w:rsid w:val="006311F1"/>
    <w:rsid w:val="0063209E"/>
    <w:rsid w:val="006320EC"/>
    <w:rsid w:val="006326C5"/>
    <w:rsid w:val="00632A6F"/>
    <w:rsid w:val="00632AF3"/>
    <w:rsid w:val="00633754"/>
    <w:rsid w:val="0063405A"/>
    <w:rsid w:val="00635AD4"/>
    <w:rsid w:val="00636CD7"/>
    <w:rsid w:val="00636CE4"/>
    <w:rsid w:val="0063794E"/>
    <w:rsid w:val="00640454"/>
    <w:rsid w:val="00641023"/>
    <w:rsid w:val="00641482"/>
    <w:rsid w:val="00641A26"/>
    <w:rsid w:val="0064274E"/>
    <w:rsid w:val="00642AF6"/>
    <w:rsid w:val="0064302D"/>
    <w:rsid w:val="006438FE"/>
    <w:rsid w:val="006459AD"/>
    <w:rsid w:val="006464AC"/>
    <w:rsid w:val="006469C2"/>
    <w:rsid w:val="00646A3A"/>
    <w:rsid w:val="00646F69"/>
    <w:rsid w:val="00647013"/>
    <w:rsid w:val="00647C7E"/>
    <w:rsid w:val="006502ED"/>
    <w:rsid w:val="006512F0"/>
    <w:rsid w:val="0065135E"/>
    <w:rsid w:val="00651ADF"/>
    <w:rsid w:val="00651FFE"/>
    <w:rsid w:val="00652861"/>
    <w:rsid w:val="00652B05"/>
    <w:rsid w:val="00652BF0"/>
    <w:rsid w:val="00652F60"/>
    <w:rsid w:val="00653F1C"/>
    <w:rsid w:val="0065423E"/>
    <w:rsid w:val="0065486D"/>
    <w:rsid w:val="00654CF7"/>
    <w:rsid w:val="00654D82"/>
    <w:rsid w:val="0065544D"/>
    <w:rsid w:val="00656AE0"/>
    <w:rsid w:val="00656DBF"/>
    <w:rsid w:val="00657160"/>
    <w:rsid w:val="006573F5"/>
    <w:rsid w:val="006577FA"/>
    <w:rsid w:val="006600B7"/>
    <w:rsid w:val="00660629"/>
    <w:rsid w:val="00660C93"/>
    <w:rsid w:val="00661B4C"/>
    <w:rsid w:val="00662282"/>
    <w:rsid w:val="006629AB"/>
    <w:rsid w:val="0066339D"/>
    <w:rsid w:val="006637F7"/>
    <w:rsid w:val="00664474"/>
    <w:rsid w:val="0066448E"/>
    <w:rsid w:val="00664D95"/>
    <w:rsid w:val="00664FC5"/>
    <w:rsid w:val="006658F0"/>
    <w:rsid w:val="00666DDF"/>
    <w:rsid w:val="006673D9"/>
    <w:rsid w:val="00667D51"/>
    <w:rsid w:val="00670491"/>
    <w:rsid w:val="00670F08"/>
    <w:rsid w:val="00671112"/>
    <w:rsid w:val="00671274"/>
    <w:rsid w:val="006714CE"/>
    <w:rsid w:val="00672021"/>
    <w:rsid w:val="00672626"/>
    <w:rsid w:val="00672876"/>
    <w:rsid w:val="00672DD5"/>
    <w:rsid w:val="00672F78"/>
    <w:rsid w:val="006734BE"/>
    <w:rsid w:val="00673D32"/>
    <w:rsid w:val="00675E99"/>
    <w:rsid w:val="006760DF"/>
    <w:rsid w:val="0067611A"/>
    <w:rsid w:val="0067642C"/>
    <w:rsid w:val="00676A74"/>
    <w:rsid w:val="00676B58"/>
    <w:rsid w:val="00676D5D"/>
    <w:rsid w:val="00680148"/>
    <w:rsid w:val="00680F5B"/>
    <w:rsid w:val="00682164"/>
    <w:rsid w:val="006821A3"/>
    <w:rsid w:val="00682BA5"/>
    <w:rsid w:val="00682FA5"/>
    <w:rsid w:val="0068316A"/>
    <w:rsid w:val="006834D8"/>
    <w:rsid w:val="00683CCE"/>
    <w:rsid w:val="00683DEA"/>
    <w:rsid w:val="00683F05"/>
    <w:rsid w:val="006843EE"/>
    <w:rsid w:val="00684B43"/>
    <w:rsid w:val="00684D70"/>
    <w:rsid w:val="006858F0"/>
    <w:rsid w:val="00685937"/>
    <w:rsid w:val="0068612F"/>
    <w:rsid w:val="00687B93"/>
    <w:rsid w:val="00687E4C"/>
    <w:rsid w:val="00690A36"/>
    <w:rsid w:val="00690C85"/>
    <w:rsid w:val="0069106C"/>
    <w:rsid w:val="006914E7"/>
    <w:rsid w:val="006916AA"/>
    <w:rsid w:val="00691D6E"/>
    <w:rsid w:val="00692436"/>
    <w:rsid w:val="00692D16"/>
    <w:rsid w:val="00692FF7"/>
    <w:rsid w:val="006930BD"/>
    <w:rsid w:val="0069324C"/>
    <w:rsid w:val="0069509B"/>
    <w:rsid w:val="006951E2"/>
    <w:rsid w:val="006960FC"/>
    <w:rsid w:val="006964C6"/>
    <w:rsid w:val="00696852"/>
    <w:rsid w:val="00697379"/>
    <w:rsid w:val="006976BB"/>
    <w:rsid w:val="006978ED"/>
    <w:rsid w:val="00697AF3"/>
    <w:rsid w:val="006A015F"/>
    <w:rsid w:val="006A184C"/>
    <w:rsid w:val="006A2C78"/>
    <w:rsid w:val="006A3481"/>
    <w:rsid w:val="006A433E"/>
    <w:rsid w:val="006A4F97"/>
    <w:rsid w:val="006A6E5D"/>
    <w:rsid w:val="006B1158"/>
    <w:rsid w:val="006B15AD"/>
    <w:rsid w:val="006B3446"/>
    <w:rsid w:val="006B4618"/>
    <w:rsid w:val="006B4F01"/>
    <w:rsid w:val="006B58A1"/>
    <w:rsid w:val="006B7845"/>
    <w:rsid w:val="006B7867"/>
    <w:rsid w:val="006C0638"/>
    <w:rsid w:val="006C09E4"/>
    <w:rsid w:val="006C0ED8"/>
    <w:rsid w:val="006C102B"/>
    <w:rsid w:val="006C1144"/>
    <w:rsid w:val="006C1185"/>
    <w:rsid w:val="006C16F4"/>
    <w:rsid w:val="006C1B63"/>
    <w:rsid w:val="006C1F97"/>
    <w:rsid w:val="006C2872"/>
    <w:rsid w:val="006C3DDE"/>
    <w:rsid w:val="006C783F"/>
    <w:rsid w:val="006C7A48"/>
    <w:rsid w:val="006C7E40"/>
    <w:rsid w:val="006D05DB"/>
    <w:rsid w:val="006D179A"/>
    <w:rsid w:val="006D21E9"/>
    <w:rsid w:val="006D22F6"/>
    <w:rsid w:val="006D311A"/>
    <w:rsid w:val="006D341F"/>
    <w:rsid w:val="006D3A1F"/>
    <w:rsid w:val="006D4403"/>
    <w:rsid w:val="006D4720"/>
    <w:rsid w:val="006D4DF2"/>
    <w:rsid w:val="006D5019"/>
    <w:rsid w:val="006D501E"/>
    <w:rsid w:val="006D5274"/>
    <w:rsid w:val="006D5B26"/>
    <w:rsid w:val="006D6D49"/>
    <w:rsid w:val="006D6DB7"/>
    <w:rsid w:val="006D70E0"/>
    <w:rsid w:val="006E0F71"/>
    <w:rsid w:val="006E13AE"/>
    <w:rsid w:val="006E3498"/>
    <w:rsid w:val="006E3D8A"/>
    <w:rsid w:val="006E4199"/>
    <w:rsid w:val="006E43F6"/>
    <w:rsid w:val="006E450A"/>
    <w:rsid w:val="006E4CA2"/>
    <w:rsid w:val="006E4D80"/>
    <w:rsid w:val="006E4E3E"/>
    <w:rsid w:val="006E532B"/>
    <w:rsid w:val="006E5464"/>
    <w:rsid w:val="006E5EE8"/>
    <w:rsid w:val="006E718A"/>
    <w:rsid w:val="006E71F1"/>
    <w:rsid w:val="006E78A2"/>
    <w:rsid w:val="006E7D1E"/>
    <w:rsid w:val="006F0B1D"/>
    <w:rsid w:val="006F195F"/>
    <w:rsid w:val="006F1CEE"/>
    <w:rsid w:val="006F1F96"/>
    <w:rsid w:val="006F2870"/>
    <w:rsid w:val="006F28CA"/>
    <w:rsid w:val="006F2DD0"/>
    <w:rsid w:val="006F3AED"/>
    <w:rsid w:val="006F5A43"/>
    <w:rsid w:val="006F618D"/>
    <w:rsid w:val="006F61DF"/>
    <w:rsid w:val="006F67AF"/>
    <w:rsid w:val="006F70EF"/>
    <w:rsid w:val="007014EC"/>
    <w:rsid w:val="007019F6"/>
    <w:rsid w:val="00702CAB"/>
    <w:rsid w:val="00703521"/>
    <w:rsid w:val="00704407"/>
    <w:rsid w:val="00704FF7"/>
    <w:rsid w:val="00705B86"/>
    <w:rsid w:val="00705E27"/>
    <w:rsid w:val="00705F5D"/>
    <w:rsid w:val="007103DD"/>
    <w:rsid w:val="007107DF"/>
    <w:rsid w:val="007108F1"/>
    <w:rsid w:val="00710FA6"/>
    <w:rsid w:val="00710FBC"/>
    <w:rsid w:val="00711275"/>
    <w:rsid w:val="007125DE"/>
    <w:rsid w:val="00712967"/>
    <w:rsid w:val="0071384D"/>
    <w:rsid w:val="00713A49"/>
    <w:rsid w:val="00713A52"/>
    <w:rsid w:val="00713ED4"/>
    <w:rsid w:val="00713EF8"/>
    <w:rsid w:val="00714741"/>
    <w:rsid w:val="00714C37"/>
    <w:rsid w:val="00714C8E"/>
    <w:rsid w:val="007156A6"/>
    <w:rsid w:val="0071574D"/>
    <w:rsid w:val="00715DF7"/>
    <w:rsid w:val="00716F33"/>
    <w:rsid w:val="0071747F"/>
    <w:rsid w:val="00717754"/>
    <w:rsid w:val="00717B7A"/>
    <w:rsid w:val="00720BDD"/>
    <w:rsid w:val="0072101F"/>
    <w:rsid w:val="007212CB"/>
    <w:rsid w:val="0072166A"/>
    <w:rsid w:val="00721EE9"/>
    <w:rsid w:val="0072369E"/>
    <w:rsid w:val="007238A9"/>
    <w:rsid w:val="007240EE"/>
    <w:rsid w:val="007243FC"/>
    <w:rsid w:val="00724512"/>
    <w:rsid w:val="00724D36"/>
    <w:rsid w:val="00724E80"/>
    <w:rsid w:val="00724F48"/>
    <w:rsid w:val="00724FD0"/>
    <w:rsid w:val="00725400"/>
    <w:rsid w:val="0072742F"/>
    <w:rsid w:val="0073154D"/>
    <w:rsid w:val="00731913"/>
    <w:rsid w:val="00731DB2"/>
    <w:rsid w:val="007321D1"/>
    <w:rsid w:val="0073226A"/>
    <w:rsid w:val="007326BB"/>
    <w:rsid w:val="00732B3D"/>
    <w:rsid w:val="0073326B"/>
    <w:rsid w:val="007337E1"/>
    <w:rsid w:val="00733FA3"/>
    <w:rsid w:val="007342AC"/>
    <w:rsid w:val="00734F0F"/>
    <w:rsid w:val="00736743"/>
    <w:rsid w:val="007373FD"/>
    <w:rsid w:val="00737A7A"/>
    <w:rsid w:val="00737FE5"/>
    <w:rsid w:val="007401D9"/>
    <w:rsid w:val="00740460"/>
    <w:rsid w:val="0074051D"/>
    <w:rsid w:val="00741B45"/>
    <w:rsid w:val="00741E2F"/>
    <w:rsid w:val="00741EC9"/>
    <w:rsid w:val="0074246F"/>
    <w:rsid w:val="007429ED"/>
    <w:rsid w:val="00743DC3"/>
    <w:rsid w:val="00743F94"/>
    <w:rsid w:val="00744E39"/>
    <w:rsid w:val="007450A7"/>
    <w:rsid w:val="00745692"/>
    <w:rsid w:val="007464FB"/>
    <w:rsid w:val="00747741"/>
    <w:rsid w:val="00750C6B"/>
    <w:rsid w:val="00752066"/>
    <w:rsid w:val="00753B48"/>
    <w:rsid w:val="00753EB2"/>
    <w:rsid w:val="0075428E"/>
    <w:rsid w:val="00754D0A"/>
    <w:rsid w:val="007553B1"/>
    <w:rsid w:val="0075719C"/>
    <w:rsid w:val="007577CE"/>
    <w:rsid w:val="007579E1"/>
    <w:rsid w:val="00757B91"/>
    <w:rsid w:val="007607CE"/>
    <w:rsid w:val="00760AD3"/>
    <w:rsid w:val="00760DF0"/>
    <w:rsid w:val="00760F06"/>
    <w:rsid w:val="0076186B"/>
    <w:rsid w:val="00761E0D"/>
    <w:rsid w:val="00762133"/>
    <w:rsid w:val="0076230C"/>
    <w:rsid w:val="00762DD6"/>
    <w:rsid w:val="00763648"/>
    <w:rsid w:val="00763A62"/>
    <w:rsid w:val="007640A5"/>
    <w:rsid w:val="007648E6"/>
    <w:rsid w:val="00765995"/>
    <w:rsid w:val="00765E01"/>
    <w:rsid w:val="00765E98"/>
    <w:rsid w:val="00766416"/>
    <w:rsid w:val="00766422"/>
    <w:rsid w:val="00766B23"/>
    <w:rsid w:val="00766CA5"/>
    <w:rsid w:val="00767D7B"/>
    <w:rsid w:val="0077045B"/>
    <w:rsid w:val="00770887"/>
    <w:rsid w:val="007708DC"/>
    <w:rsid w:val="007727F1"/>
    <w:rsid w:val="00772CAA"/>
    <w:rsid w:val="007730CC"/>
    <w:rsid w:val="00774716"/>
    <w:rsid w:val="0077484D"/>
    <w:rsid w:val="00774DE7"/>
    <w:rsid w:val="007752F8"/>
    <w:rsid w:val="00775AF6"/>
    <w:rsid w:val="00776409"/>
    <w:rsid w:val="007766A4"/>
    <w:rsid w:val="00776784"/>
    <w:rsid w:val="007767C5"/>
    <w:rsid w:val="0077785A"/>
    <w:rsid w:val="00777E17"/>
    <w:rsid w:val="00780319"/>
    <w:rsid w:val="00780ABC"/>
    <w:rsid w:val="007815EB"/>
    <w:rsid w:val="00781659"/>
    <w:rsid w:val="0078251F"/>
    <w:rsid w:val="00783029"/>
    <w:rsid w:val="007830F5"/>
    <w:rsid w:val="007837AB"/>
    <w:rsid w:val="007841D6"/>
    <w:rsid w:val="00784D35"/>
    <w:rsid w:val="00784E3D"/>
    <w:rsid w:val="007866E5"/>
    <w:rsid w:val="00786C75"/>
    <w:rsid w:val="00790251"/>
    <w:rsid w:val="00790C39"/>
    <w:rsid w:val="0079130C"/>
    <w:rsid w:val="007919BA"/>
    <w:rsid w:val="00792348"/>
    <w:rsid w:val="00792F8D"/>
    <w:rsid w:val="00793281"/>
    <w:rsid w:val="007950CE"/>
    <w:rsid w:val="0079645D"/>
    <w:rsid w:val="00796BDD"/>
    <w:rsid w:val="00796C8D"/>
    <w:rsid w:val="00797250"/>
    <w:rsid w:val="007977B0"/>
    <w:rsid w:val="00797848"/>
    <w:rsid w:val="00797A1F"/>
    <w:rsid w:val="007A10A3"/>
    <w:rsid w:val="007A126F"/>
    <w:rsid w:val="007A12F9"/>
    <w:rsid w:val="007A1642"/>
    <w:rsid w:val="007A2B3E"/>
    <w:rsid w:val="007A3376"/>
    <w:rsid w:val="007A34B2"/>
    <w:rsid w:val="007A4208"/>
    <w:rsid w:val="007A4EC2"/>
    <w:rsid w:val="007A50B2"/>
    <w:rsid w:val="007A62E3"/>
    <w:rsid w:val="007A6B37"/>
    <w:rsid w:val="007A7191"/>
    <w:rsid w:val="007A7314"/>
    <w:rsid w:val="007B008F"/>
    <w:rsid w:val="007B04F5"/>
    <w:rsid w:val="007B3315"/>
    <w:rsid w:val="007B3549"/>
    <w:rsid w:val="007B4A82"/>
    <w:rsid w:val="007B52A7"/>
    <w:rsid w:val="007B7198"/>
    <w:rsid w:val="007B7497"/>
    <w:rsid w:val="007C1790"/>
    <w:rsid w:val="007C18CB"/>
    <w:rsid w:val="007C2392"/>
    <w:rsid w:val="007C24EE"/>
    <w:rsid w:val="007C2A25"/>
    <w:rsid w:val="007C3B8A"/>
    <w:rsid w:val="007C5910"/>
    <w:rsid w:val="007C5951"/>
    <w:rsid w:val="007C6DCF"/>
    <w:rsid w:val="007C6E65"/>
    <w:rsid w:val="007C7BB9"/>
    <w:rsid w:val="007C7C33"/>
    <w:rsid w:val="007C7F1F"/>
    <w:rsid w:val="007D0044"/>
    <w:rsid w:val="007D06F4"/>
    <w:rsid w:val="007D2455"/>
    <w:rsid w:val="007D32B4"/>
    <w:rsid w:val="007D3AF7"/>
    <w:rsid w:val="007D434E"/>
    <w:rsid w:val="007D4BA8"/>
    <w:rsid w:val="007D4C28"/>
    <w:rsid w:val="007D4DEE"/>
    <w:rsid w:val="007D569F"/>
    <w:rsid w:val="007D59BC"/>
    <w:rsid w:val="007D5B05"/>
    <w:rsid w:val="007D716C"/>
    <w:rsid w:val="007D79D5"/>
    <w:rsid w:val="007E00E9"/>
    <w:rsid w:val="007E0F97"/>
    <w:rsid w:val="007E100E"/>
    <w:rsid w:val="007E127A"/>
    <w:rsid w:val="007E1753"/>
    <w:rsid w:val="007E1904"/>
    <w:rsid w:val="007E1DD6"/>
    <w:rsid w:val="007E1F9F"/>
    <w:rsid w:val="007E2108"/>
    <w:rsid w:val="007E28C4"/>
    <w:rsid w:val="007E301B"/>
    <w:rsid w:val="007E323F"/>
    <w:rsid w:val="007E35E4"/>
    <w:rsid w:val="007E376B"/>
    <w:rsid w:val="007E3A9E"/>
    <w:rsid w:val="007E3CBB"/>
    <w:rsid w:val="007E413C"/>
    <w:rsid w:val="007E41FB"/>
    <w:rsid w:val="007E4B68"/>
    <w:rsid w:val="007E4CC0"/>
    <w:rsid w:val="007E4DD3"/>
    <w:rsid w:val="007E786E"/>
    <w:rsid w:val="007F07F3"/>
    <w:rsid w:val="007F1203"/>
    <w:rsid w:val="007F2625"/>
    <w:rsid w:val="007F35DF"/>
    <w:rsid w:val="007F406A"/>
    <w:rsid w:val="007F45BC"/>
    <w:rsid w:val="007F54DE"/>
    <w:rsid w:val="007F59DB"/>
    <w:rsid w:val="007F65F9"/>
    <w:rsid w:val="007F65FF"/>
    <w:rsid w:val="007F68B7"/>
    <w:rsid w:val="007F6C61"/>
    <w:rsid w:val="007F7902"/>
    <w:rsid w:val="0080016B"/>
    <w:rsid w:val="00801265"/>
    <w:rsid w:val="00801843"/>
    <w:rsid w:val="008024AE"/>
    <w:rsid w:val="0080396D"/>
    <w:rsid w:val="00803F6D"/>
    <w:rsid w:val="00803F9C"/>
    <w:rsid w:val="00805103"/>
    <w:rsid w:val="00805E97"/>
    <w:rsid w:val="00805FD3"/>
    <w:rsid w:val="00806131"/>
    <w:rsid w:val="008069A6"/>
    <w:rsid w:val="00807560"/>
    <w:rsid w:val="00810653"/>
    <w:rsid w:val="00810935"/>
    <w:rsid w:val="00810D7B"/>
    <w:rsid w:val="00810E3C"/>
    <w:rsid w:val="00812597"/>
    <w:rsid w:val="008138E4"/>
    <w:rsid w:val="00813BBB"/>
    <w:rsid w:val="00815198"/>
    <w:rsid w:val="00815CEC"/>
    <w:rsid w:val="008168A5"/>
    <w:rsid w:val="00816D7C"/>
    <w:rsid w:val="00817036"/>
    <w:rsid w:val="00817C76"/>
    <w:rsid w:val="0082004A"/>
    <w:rsid w:val="008202F3"/>
    <w:rsid w:val="0082037E"/>
    <w:rsid w:val="0082079C"/>
    <w:rsid w:val="00820962"/>
    <w:rsid w:val="00820BE6"/>
    <w:rsid w:val="008210D3"/>
    <w:rsid w:val="008213AF"/>
    <w:rsid w:val="00821444"/>
    <w:rsid w:val="008215B9"/>
    <w:rsid w:val="00821747"/>
    <w:rsid w:val="00821B89"/>
    <w:rsid w:val="0082235A"/>
    <w:rsid w:val="00823976"/>
    <w:rsid w:val="00823C82"/>
    <w:rsid w:val="00823F07"/>
    <w:rsid w:val="008241D8"/>
    <w:rsid w:val="0082454A"/>
    <w:rsid w:val="00830423"/>
    <w:rsid w:val="008306CF"/>
    <w:rsid w:val="0083082F"/>
    <w:rsid w:val="00830D15"/>
    <w:rsid w:val="008314D1"/>
    <w:rsid w:val="0083168F"/>
    <w:rsid w:val="00831EED"/>
    <w:rsid w:val="00832056"/>
    <w:rsid w:val="008326E7"/>
    <w:rsid w:val="008328E3"/>
    <w:rsid w:val="00834BCD"/>
    <w:rsid w:val="00834FB3"/>
    <w:rsid w:val="008354B6"/>
    <w:rsid w:val="00835CC8"/>
    <w:rsid w:val="00835DBD"/>
    <w:rsid w:val="0083601A"/>
    <w:rsid w:val="008360FD"/>
    <w:rsid w:val="00836272"/>
    <w:rsid w:val="00836D0F"/>
    <w:rsid w:val="008374FC"/>
    <w:rsid w:val="00837BEB"/>
    <w:rsid w:val="00840198"/>
    <w:rsid w:val="00840441"/>
    <w:rsid w:val="00840BC5"/>
    <w:rsid w:val="00840C3C"/>
    <w:rsid w:val="00840F7F"/>
    <w:rsid w:val="00841150"/>
    <w:rsid w:val="00841D85"/>
    <w:rsid w:val="00842ECE"/>
    <w:rsid w:val="00843CBA"/>
    <w:rsid w:val="00843EAC"/>
    <w:rsid w:val="008442D2"/>
    <w:rsid w:val="00844697"/>
    <w:rsid w:val="00844985"/>
    <w:rsid w:val="00844A9F"/>
    <w:rsid w:val="00844E9A"/>
    <w:rsid w:val="00845606"/>
    <w:rsid w:val="0084568A"/>
    <w:rsid w:val="00845BDB"/>
    <w:rsid w:val="008461C8"/>
    <w:rsid w:val="00846F2F"/>
    <w:rsid w:val="00847E54"/>
    <w:rsid w:val="00850E23"/>
    <w:rsid w:val="008519BC"/>
    <w:rsid w:val="00852638"/>
    <w:rsid w:val="00852F05"/>
    <w:rsid w:val="00853090"/>
    <w:rsid w:val="00853329"/>
    <w:rsid w:val="00853509"/>
    <w:rsid w:val="00853AF2"/>
    <w:rsid w:val="0085437C"/>
    <w:rsid w:val="00854CCB"/>
    <w:rsid w:val="0085580B"/>
    <w:rsid w:val="00855C1C"/>
    <w:rsid w:val="00856595"/>
    <w:rsid w:val="00856D8A"/>
    <w:rsid w:val="008575D8"/>
    <w:rsid w:val="00860156"/>
    <w:rsid w:val="00860F01"/>
    <w:rsid w:val="00860F36"/>
    <w:rsid w:val="008625C0"/>
    <w:rsid w:val="00863FA2"/>
    <w:rsid w:val="00864BAC"/>
    <w:rsid w:val="00865223"/>
    <w:rsid w:val="00865264"/>
    <w:rsid w:val="0086592B"/>
    <w:rsid w:val="00866142"/>
    <w:rsid w:val="00866972"/>
    <w:rsid w:val="00867198"/>
    <w:rsid w:val="0086751D"/>
    <w:rsid w:val="00867903"/>
    <w:rsid w:val="00867EE1"/>
    <w:rsid w:val="00870084"/>
    <w:rsid w:val="00870638"/>
    <w:rsid w:val="00870888"/>
    <w:rsid w:val="00870FA2"/>
    <w:rsid w:val="00871528"/>
    <w:rsid w:val="0087193A"/>
    <w:rsid w:val="00871B9F"/>
    <w:rsid w:val="008722DD"/>
    <w:rsid w:val="008734C1"/>
    <w:rsid w:val="0087488B"/>
    <w:rsid w:val="00874B1E"/>
    <w:rsid w:val="00874BAA"/>
    <w:rsid w:val="00875CB8"/>
    <w:rsid w:val="00876987"/>
    <w:rsid w:val="008777AC"/>
    <w:rsid w:val="00877A4E"/>
    <w:rsid w:val="00880721"/>
    <w:rsid w:val="00880CE6"/>
    <w:rsid w:val="00881DA0"/>
    <w:rsid w:val="00882DCD"/>
    <w:rsid w:val="00883399"/>
    <w:rsid w:val="00883A3D"/>
    <w:rsid w:val="00883A43"/>
    <w:rsid w:val="00884394"/>
    <w:rsid w:val="00885C38"/>
    <w:rsid w:val="00886D08"/>
    <w:rsid w:val="00887157"/>
    <w:rsid w:val="00887FDF"/>
    <w:rsid w:val="00891B29"/>
    <w:rsid w:val="0089296D"/>
    <w:rsid w:val="008930F0"/>
    <w:rsid w:val="00893D2C"/>
    <w:rsid w:val="00893F6D"/>
    <w:rsid w:val="008947AD"/>
    <w:rsid w:val="00896D37"/>
    <w:rsid w:val="00897432"/>
    <w:rsid w:val="008A1FA2"/>
    <w:rsid w:val="008A3859"/>
    <w:rsid w:val="008A443A"/>
    <w:rsid w:val="008A4C9D"/>
    <w:rsid w:val="008A4FD2"/>
    <w:rsid w:val="008A50AB"/>
    <w:rsid w:val="008A5DC0"/>
    <w:rsid w:val="008A680B"/>
    <w:rsid w:val="008A7090"/>
    <w:rsid w:val="008B0629"/>
    <w:rsid w:val="008B07BC"/>
    <w:rsid w:val="008B1242"/>
    <w:rsid w:val="008B165E"/>
    <w:rsid w:val="008B19FD"/>
    <w:rsid w:val="008B21AD"/>
    <w:rsid w:val="008B2795"/>
    <w:rsid w:val="008B2B3C"/>
    <w:rsid w:val="008B3C26"/>
    <w:rsid w:val="008B4705"/>
    <w:rsid w:val="008B5D4B"/>
    <w:rsid w:val="008B70EF"/>
    <w:rsid w:val="008B7125"/>
    <w:rsid w:val="008C01D1"/>
    <w:rsid w:val="008C0A2D"/>
    <w:rsid w:val="008C298A"/>
    <w:rsid w:val="008C30EB"/>
    <w:rsid w:val="008C326F"/>
    <w:rsid w:val="008C34B2"/>
    <w:rsid w:val="008C3788"/>
    <w:rsid w:val="008C3C39"/>
    <w:rsid w:val="008C48B0"/>
    <w:rsid w:val="008C541E"/>
    <w:rsid w:val="008C635B"/>
    <w:rsid w:val="008C6976"/>
    <w:rsid w:val="008C6B7D"/>
    <w:rsid w:val="008C7074"/>
    <w:rsid w:val="008C73F7"/>
    <w:rsid w:val="008C750D"/>
    <w:rsid w:val="008C7604"/>
    <w:rsid w:val="008D006B"/>
    <w:rsid w:val="008D0DFE"/>
    <w:rsid w:val="008D1112"/>
    <w:rsid w:val="008D176B"/>
    <w:rsid w:val="008D196A"/>
    <w:rsid w:val="008D1A01"/>
    <w:rsid w:val="008D1F29"/>
    <w:rsid w:val="008D2835"/>
    <w:rsid w:val="008D3DDA"/>
    <w:rsid w:val="008D3FF4"/>
    <w:rsid w:val="008D4678"/>
    <w:rsid w:val="008D53C2"/>
    <w:rsid w:val="008D53D8"/>
    <w:rsid w:val="008D5C9C"/>
    <w:rsid w:val="008D60BA"/>
    <w:rsid w:val="008D653F"/>
    <w:rsid w:val="008D73C3"/>
    <w:rsid w:val="008D73D2"/>
    <w:rsid w:val="008D78AA"/>
    <w:rsid w:val="008E09C3"/>
    <w:rsid w:val="008E0ACA"/>
    <w:rsid w:val="008E1192"/>
    <w:rsid w:val="008E13BD"/>
    <w:rsid w:val="008E182C"/>
    <w:rsid w:val="008E20FF"/>
    <w:rsid w:val="008E3521"/>
    <w:rsid w:val="008E3A2F"/>
    <w:rsid w:val="008E3AED"/>
    <w:rsid w:val="008E3DEE"/>
    <w:rsid w:val="008E4C75"/>
    <w:rsid w:val="008E513C"/>
    <w:rsid w:val="008E56F4"/>
    <w:rsid w:val="008E7038"/>
    <w:rsid w:val="008F1D9B"/>
    <w:rsid w:val="008F1EA8"/>
    <w:rsid w:val="008F1EB5"/>
    <w:rsid w:val="008F209F"/>
    <w:rsid w:val="008F2B13"/>
    <w:rsid w:val="008F2C55"/>
    <w:rsid w:val="008F3684"/>
    <w:rsid w:val="008F4D07"/>
    <w:rsid w:val="008F57F6"/>
    <w:rsid w:val="008F5E15"/>
    <w:rsid w:val="008F62EF"/>
    <w:rsid w:val="008F6D8B"/>
    <w:rsid w:val="009006AA"/>
    <w:rsid w:val="009012FB"/>
    <w:rsid w:val="009020AD"/>
    <w:rsid w:val="0090215C"/>
    <w:rsid w:val="0090310A"/>
    <w:rsid w:val="009039C4"/>
    <w:rsid w:val="0090512C"/>
    <w:rsid w:val="009051FB"/>
    <w:rsid w:val="0090557C"/>
    <w:rsid w:val="0090641A"/>
    <w:rsid w:val="0090737E"/>
    <w:rsid w:val="00907E49"/>
    <w:rsid w:val="009108E1"/>
    <w:rsid w:val="00910E84"/>
    <w:rsid w:val="00911411"/>
    <w:rsid w:val="00911B8C"/>
    <w:rsid w:val="00911DA0"/>
    <w:rsid w:val="0091226D"/>
    <w:rsid w:val="0091353B"/>
    <w:rsid w:val="0091366D"/>
    <w:rsid w:val="00914399"/>
    <w:rsid w:val="009145A3"/>
    <w:rsid w:val="0091562C"/>
    <w:rsid w:val="009160C9"/>
    <w:rsid w:val="0091667E"/>
    <w:rsid w:val="009167E2"/>
    <w:rsid w:val="0091680A"/>
    <w:rsid w:val="00916F6B"/>
    <w:rsid w:val="00917A63"/>
    <w:rsid w:val="00917BC5"/>
    <w:rsid w:val="00921262"/>
    <w:rsid w:val="00921588"/>
    <w:rsid w:val="009223FB"/>
    <w:rsid w:val="00922FE6"/>
    <w:rsid w:val="009231A5"/>
    <w:rsid w:val="009240F6"/>
    <w:rsid w:val="0092429A"/>
    <w:rsid w:val="00924C97"/>
    <w:rsid w:val="00925C80"/>
    <w:rsid w:val="00925E60"/>
    <w:rsid w:val="00926944"/>
    <w:rsid w:val="009269F4"/>
    <w:rsid w:val="009272C0"/>
    <w:rsid w:val="00927717"/>
    <w:rsid w:val="00927E90"/>
    <w:rsid w:val="0093004F"/>
    <w:rsid w:val="0093040B"/>
    <w:rsid w:val="00930DB4"/>
    <w:rsid w:val="00930E6C"/>
    <w:rsid w:val="0093211F"/>
    <w:rsid w:val="00932186"/>
    <w:rsid w:val="009325A8"/>
    <w:rsid w:val="0093296D"/>
    <w:rsid w:val="00933BBE"/>
    <w:rsid w:val="009343A4"/>
    <w:rsid w:val="00934F91"/>
    <w:rsid w:val="00935767"/>
    <w:rsid w:val="009366D4"/>
    <w:rsid w:val="009367C4"/>
    <w:rsid w:val="00937178"/>
    <w:rsid w:val="00937331"/>
    <w:rsid w:val="00937702"/>
    <w:rsid w:val="00937A89"/>
    <w:rsid w:val="00937F0C"/>
    <w:rsid w:val="00940328"/>
    <w:rsid w:val="009403AD"/>
    <w:rsid w:val="00940EA8"/>
    <w:rsid w:val="00940FE5"/>
    <w:rsid w:val="00941E99"/>
    <w:rsid w:val="009420B2"/>
    <w:rsid w:val="009426F7"/>
    <w:rsid w:val="00942C9B"/>
    <w:rsid w:val="00944627"/>
    <w:rsid w:val="00944890"/>
    <w:rsid w:val="009448F8"/>
    <w:rsid w:val="00944B8F"/>
    <w:rsid w:val="009463C3"/>
    <w:rsid w:val="00946883"/>
    <w:rsid w:val="00947D06"/>
    <w:rsid w:val="009501B4"/>
    <w:rsid w:val="00951176"/>
    <w:rsid w:val="0095270C"/>
    <w:rsid w:val="00952D62"/>
    <w:rsid w:val="00953E5F"/>
    <w:rsid w:val="009544DF"/>
    <w:rsid w:val="00954CE2"/>
    <w:rsid w:val="009556AA"/>
    <w:rsid w:val="009557EA"/>
    <w:rsid w:val="00955A05"/>
    <w:rsid w:val="009567AC"/>
    <w:rsid w:val="00956CC1"/>
    <w:rsid w:val="00956E59"/>
    <w:rsid w:val="0096006A"/>
    <w:rsid w:val="009606FD"/>
    <w:rsid w:val="00960E05"/>
    <w:rsid w:val="00961073"/>
    <w:rsid w:val="00962004"/>
    <w:rsid w:val="00962749"/>
    <w:rsid w:val="00962F63"/>
    <w:rsid w:val="00962FD6"/>
    <w:rsid w:val="00963799"/>
    <w:rsid w:val="00963E5A"/>
    <w:rsid w:val="0096612D"/>
    <w:rsid w:val="009661FC"/>
    <w:rsid w:val="0096631B"/>
    <w:rsid w:val="00966977"/>
    <w:rsid w:val="009672EC"/>
    <w:rsid w:val="00967BB9"/>
    <w:rsid w:val="00967E84"/>
    <w:rsid w:val="00970FB3"/>
    <w:rsid w:val="00971857"/>
    <w:rsid w:val="00971C40"/>
    <w:rsid w:val="0097264F"/>
    <w:rsid w:val="00973445"/>
    <w:rsid w:val="0097384D"/>
    <w:rsid w:val="009749AD"/>
    <w:rsid w:val="00975816"/>
    <w:rsid w:val="00976910"/>
    <w:rsid w:val="00976DCD"/>
    <w:rsid w:val="009772CA"/>
    <w:rsid w:val="009772D1"/>
    <w:rsid w:val="009810FB"/>
    <w:rsid w:val="00982E94"/>
    <w:rsid w:val="00983265"/>
    <w:rsid w:val="00983505"/>
    <w:rsid w:val="00985622"/>
    <w:rsid w:val="00986786"/>
    <w:rsid w:val="00986FE2"/>
    <w:rsid w:val="009875A2"/>
    <w:rsid w:val="00987A25"/>
    <w:rsid w:val="00987A4B"/>
    <w:rsid w:val="00987AE4"/>
    <w:rsid w:val="00987CE4"/>
    <w:rsid w:val="00987D06"/>
    <w:rsid w:val="00987F6E"/>
    <w:rsid w:val="00990212"/>
    <w:rsid w:val="00990A2E"/>
    <w:rsid w:val="0099209A"/>
    <w:rsid w:val="009926DE"/>
    <w:rsid w:val="0099311B"/>
    <w:rsid w:val="00994293"/>
    <w:rsid w:val="009947C7"/>
    <w:rsid w:val="00994F58"/>
    <w:rsid w:val="009955F2"/>
    <w:rsid w:val="00995EA7"/>
    <w:rsid w:val="00996BA8"/>
    <w:rsid w:val="00996FC9"/>
    <w:rsid w:val="00997295"/>
    <w:rsid w:val="009973BB"/>
    <w:rsid w:val="009975EC"/>
    <w:rsid w:val="00997C45"/>
    <w:rsid w:val="009A067C"/>
    <w:rsid w:val="009A158A"/>
    <w:rsid w:val="009A2AD3"/>
    <w:rsid w:val="009A2D3C"/>
    <w:rsid w:val="009A38EA"/>
    <w:rsid w:val="009A3E8B"/>
    <w:rsid w:val="009A3FA1"/>
    <w:rsid w:val="009A4971"/>
    <w:rsid w:val="009A4AC9"/>
    <w:rsid w:val="009A50B6"/>
    <w:rsid w:val="009A52F8"/>
    <w:rsid w:val="009A5BBF"/>
    <w:rsid w:val="009A6453"/>
    <w:rsid w:val="009A7350"/>
    <w:rsid w:val="009A7BBC"/>
    <w:rsid w:val="009B0036"/>
    <w:rsid w:val="009B051D"/>
    <w:rsid w:val="009B0738"/>
    <w:rsid w:val="009B08E4"/>
    <w:rsid w:val="009B0977"/>
    <w:rsid w:val="009B1713"/>
    <w:rsid w:val="009B1721"/>
    <w:rsid w:val="009B1E96"/>
    <w:rsid w:val="009B2E77"/>
    <w:rsid w:val="009B3F96"/>
    <w:rsid w:val="009B45A3"/>
    <w:rsid w:val="009B46C0"/>
    <w:rsid w:val="009B4DFD"/>
    <w:rsid w:val="009B50FB"/>
    <w:rsid w:val="009B536C"/>
    <w:rsid w:val="009B62F2"/>
    <w:rsid w:val="009B6D9A"/>
    <w:rsid w:val="009B753E"/>
    <w:rsid w:val="009B78BC"/>
    <w:rsid w:val="009C0765"/>
    <w:rsid w:val="009C24EB"/>
    <w:rsid w:val="009C2594"/>
    <w:rsid w:val="009C30A3"/>
    <w:rsid w:val="009C341D"/>
    <w:rsid w:val="009C3FD0"/>
    <w:rsid w:val="009C547C"/>
    <w:rsid w:val="009C6341"/>
    <w:rsid w:val="009C653D"/>
    <w:rsid w:val="009C721E"/>
    <w:rsid w:val="009C7B7E"/>
    <w:rsid w:val="009D06E2"/>
    <w:rsid w:val="009D0ADA"/>
    <w:rsid w:val="009D0CF2"/>
    <w:rsid w:val="009D1F8D"/>
    <w:rsid w:val="009D1FAB"/>
    <w:rsid w:val="009D2C24"/>
    <w:rsid w:val="009D3E39"/>
    <w:rsid w:val="009D4399"/>
    <w:rsid w:val="009D4E74"/>
    <w:rsid w:val="009D4F20"/>
    <w:rsid w:val="009D4F9E"/>
    <w:rsid w:val="009D56E3"/>
    <w:rsid w:val="009D5B81"/>
    <w:rsid w:val="009D62F2"/>
    <w:rsid w:val="009E05D6"/>
    <w:rsid w:val="009E1E3D"/>
    <w:rsid w:val="009E202C"/>
    <w:rsid w:val="009E28B9"/>
    <w:rsid w:val="009E2E3B"/>
    <w:rsid w:val="009E3980"/>
    <w:rsid w:val="009E3B55"/>
    <w:rsid w:val="009E4599"/>
    <w:rsid w:val="009E5682"/>
    <w:rsid w:val="009E6012"/>
    <w:rsid w:val="009E7C7C"/>
    <w:rsid w:val="009E7EDD"/>
    <w:rsid w:val="009F0AA2"/>
    <w:rsid w:val="009F1983"/>
    <w:rsid w:val="009F23BD"/>
    <w:rsid w:val="009F28DA"/>
    <w:rsid w:val="009F2913"/>
    <w:rsid w:val="009F38CE"/>
    <w:rsid w:val="009F3C50"/>
    <w:rsid w:val="009F3FDB"/>
    <w:rsid w:val="009F425D"/>
    <w:rsid w:val="009F42B3"/>
    <w:rsid w:val="009F48AA"/>
    <w:rsid w:val="009F532D"/>
    <w:rsid w:val="009F5ABB"/>
    <w:rsid w:val="009F6253"/>
    <w:rsid w:val="009F6ACC"/>
    <w:rsid w:val="009F7087"/>
    <w:rsid w:val="009F7DA5"/>
    <w:rsid w:val="009F7F00"/>
    <w:rsid w:val="00A00672"/>
    <w:rsid w:val="00A00F9E"/>
    <w:rsid w:val="00A01594"/>
    <w:rsid w:val="00A01B11"/>
    <w:rsid w:val="00A0283A"/>
    <w:rsid w:val="00A02887"/>
    <w:rsid w:val="00A02FCC"/>
    <w:rsid w:val="00A04318"/>
    <w:rsid w:val="00A04F4B"/>
    <w:rsid w:val="00A04FFB"/>
    <w:rsid w:val="00A0695D"/>
    <w:rsid w:val="00A10AC7"/>
    <w:rsid w:val="00A10DA5"/>
    <w:rsid w:val="00A11319"/>
    <w:rsid w:val="00A12A2D"/>
    <w:rsid w:val="00A13915"/>
    <w:rsid w:val="00A13C4E"/>
    <w:rsid w:val="00A14560"/>
    <w:rsid w:val="00A14628"/>
    <w:rsid w:val="00A14D7C"/>
    <w:rsid w:val="00A14E53"/>
    <w:rsid w:val="00A15418"/>
    <w:rsid w:val="00A16B7B"/>
    <w:rsid w:val="00A178E7"/>
    <w:rsid w:val="00A17F7B"/>
    <w:rsid w:val="00A20195"/>
    <w:rsid w:val="00A20303"/>
    <w:rsid w:val="00A2032E"/>
    <w:rsid w:val="00A23F13"/>
    <w:rsid w:val="00A240BF"/>
    <w:rsid w:val="00A24643"/>
    <w:rsid w:val="00A249A0"/>
    <w:rsid w:val="00A249F7"/>
    <w:rsid w:val="00A24B24"/>
    <w:rsid w:val="00A24B51"/>
    <w:rsid w:val="00A24C80"/>
    <w:rsid w:val="00A24E4F"/>
    <w:rsid w:val="00A252C3"/>
    <w:rsid w:val="00A2728D"/>
    <w:rsid w:val="00A3027C"/>
    <w:rsid w:val="00A30EB9"/>
    <w:rsid w:val="00A32CAE"/>
    <w:rsid w:val="00A3371D"/>
    <w:rsid w:val="00A341C0"/>
    <w:rsid w:val="00A3523E"/>
    <w:rsid w:val="00A352BC"/>
    <w:rsid w:val="00A37C8C"/>
    <w:rsid w:val="00A37DB5"/>
    <w:rsid w:val="00A37E59"/>
    <w:rsid w:val="00A4079A"/>
    <w:rsid w:val="00A40A62"/>
    <w:rsid w:val="00A40C5B"/>
    <w:rsid w:val="00A40D9E"/>
    <w:rsid w:val="00A40E17"/>
    <w:rsid w:val="00A415A9"/>
    <w:rsid w:val="00A41767"/>
    <w:rsid w:val="00A42538"/>
    <w:rsid w:val="00A42AAE"/>
    <w:rsid w:val="00A43680"/>
    <w:rsid w:val="00A44286"/>
    <w:rsid w:val="00A4460E"/>
    <w:rsid w:val="00A446ED"/>
    <w:rsid w:val="00A44794"/>
    <w:rsid w:val="00A44E0A"/>
    <w:rsid w:val="00A44F16"/>
    <w:rsid w:val="00A4514A"/>
    <w:rsid w:val="00A4544B"/>
    <w:rsid w:val="00A45793"/>
    <w:rsid w:val="00A4612A"/>
    <w:rsid w:val="00A461A9"/>
    <w:rsid w:val="00A46541"/>
    <w:rsid w:val="00A473A0"/>
    <w:rsid w:val="00A47613"/>
    <w:rsid w:val="00A50017"/>
    <w:rsid w:val="00A5097F"/>
    <w:rsid w:val="00A50A2F"/>
    <w:rsid w:val="00A51A64"/>
    <w:rsid w:val="00A51A85"/>
    <w:rsid w:val="00A53E27"/>
    <w:rsid w:val="00A54707"/>
    <w:rsid w:val="00A555A6"/>
    <w:rsid w:val="00A555DC"/>
    <w:rsid w:val="00A556DE"/>
    <w:rsid w:val="00A55DC7"/>
    <w:rsid w:val="00A57514"/>
    <w:rsid w:val="00A608D2"/>
    <w:rsid w:val="00A60A7C"/>
    <w:rsid w:val="00A63947"/>
    <w:rsid w:val="00A64063"/>
    <w:rsid w:val="00A64DD4"/>
    <w:rsid w:val="00A6526E"/>
    <w:rsid w:val="00A66962"/>
    <w:rsid w:val="00A70049"/>
    <w:rsid w:val="00A700D2"/>
    <w:rsid w:val="00A71831"/>
    <w:rsid w:val="00A72295"/>
    <w:rsid w:val="00A72310"/>
    <w:rsid w:val="00A72611"/>
    <w:rsid w:val="00A72FE5"/>
    <w:rsid w:val="00A73091"/>
    <w:rsid w:val="00A7328B"/>
    <w:rsid w:val="00A73DA1"/>
    <w:rsid w:val="00A73EF0"/>
    <w:rsid w:val="00A74112"/>
    <w:rsid w:val="00A74B3D"/>
    <w:rsid w:val="00A7504B"/>
    <w:rsid w:val="00A76160"/>
    <w:rsid w:val="00A77154"/>
    <w:rsid w:val="00A77462"/>
    <w:rsid w:val="00A775F1"/>
    <w:rsid w:val="00A8034E"/>
    <w:rsid w:val="00A80774"/>
    <w:rsid w:val="00A81005"/>
    <w:rsid w:val="00A81543"/>
    <w:rsid w:val="00A825FF"/>
    <w:rsid w:val="00A8294F"/>
    <w:rsid w:val="00A8297B"/>
    <w:rsid w:val="00A84E08"/>
    <w:rsid w:val="00A85602"/>
    <w:rsid w:val="00A85A19"/>
    <w:rsid w:val="00A8631F"/>
    <w:rsid w:val="00A90046"/>
    <w:rsid w:val="00A90A3E"/>
    <w:rsid w:val="00A9101B"/>
    <w:rsid w:val="00A91A56"/>
    <w:rsid w:val="00A91A5F"/>
    <w:rsid w:val="00A91FD2"/>
    <w:rsid w:val="00A93845"/>
    <w:rsid w:val="00A94ED5"/>
    <w:rsid w:val="00A953AC"/>
    <w:rsid w:val="00A95437"/>
    <w:rsid w:val="00A95523"/>
    <w:rsid w:val="00A968C9"/>
    <w:rsid w:val="00A9696C"/>
    <w:rsid w:val="00A977B0"/>
    <w:rsid w:val="00AA07C3"/>
    <w:rsid w:val="00AA0987"/>
    <w:rsid w:val="00AA1E72"/>
    <w:rsid w:val="00AA274A"/>
    <w:rsid w:val="00AA3595"/>
    <w:rsid w:val="00AA5177"/>
    <w:rsid w:val="00AA54D3"/>
    <w:rsid w:val="00AA6367"/>
    <w:rsid w:val="00AA7215"/>
    <w:rsid w:val="00AA7CAF"/>
    <w:rsid w:val="00AB0046"/>
    <w:rsid w:val="00AB0C38"/>
    <w:rsid w:val="00AB1750"/>
    <w:rsid w:val="00AB1878"/>
    <w:rsid w:val="00AB1C75"/>
    <w:rsid w:val="00AB24F1"/>
    <w:rsid w:val="00AB365E"/>
    <w:rsid w:val="00AB443B"/>
    <w:rsid w:val="00AB44CD"/>
    <w:rsid w:val="00AB4667"/>
    <w:rsid w:val="00AB4E1B"/>
    <w:rsid w:val="00AB4EA7"/>
    <w:rsid w:val="00AB5AF3"/>
    <w:rsid w:val="00AB6B43"/>
    <w:rsid w:val="00AB6E51"/>
    <w:rsid w:val="00AB7A71"/>
    <w:rsid w:val="00AB7C65"/>
    <w:rsid w:val="00AC0A98"/>
    <w:rsid w:val="00AC1729"/>
    <w:rsid w:val="00AC2954"/>
    <w:rsid w:val="00AC2E5B"/>
    <w:rsid w:val="00AC3200"/>
    <w:rsid w:val="00AC3300"/>
    <w:rsid w:val="00AC41AA"/>
    <w:rsid w:val="00AC420C"/>
    <w:rsid w:val="00AC50F2"/>
    <w:rsid w:val="00AC6147"/>
    <w:rsid w:val="00AC6261"/>
    <w:rsid w:val="00AC63A4"/>
    <w:rsid w:val="00AC6DDB"/>
    <w:rsid w:val="00AC779C"/>
    <w:rsid w:val="00AD12AC"/>
    <w:rsid w:val="00AD1536"/>
    <w:rsid w:val="00AD1C9E"/>
    <w:rsid w:val="00AD27B4"/>
    <w:rsid w:val="00AD3A95"/>
    <w:rsid w:val="00AD3DB0"/>
    <w:rsid w:val="00AD4519"/>
    <w:rsid w:val="00AD584B"/>
    <w:rsid w:val="00AD5DC0"/>
    <w:rsid w:val="00AD5FD7"/>
    <w:rsid w:val="00AD63D3"/>
    <w:rsid w:val="00AD65BA"/>
    <w:rsid w:val="00AD6B5D"/>
    <w:rsid w:val="00AD7027"/>
    <w:rsid w:val="00AE120E"/>
    <w:rsid w:val="00AE17A1"/>
    <w:rsid w:val="00AE22BE"/>
    <w:rsid w:val="00AE244F"/>
    <w:rsid w:val="00AE5544"/>
    <w:rsid w:val="00AE6D16"/>
    <w:rsid w:val="00AE6E66"/>
    <w:rsid w:val="00AE70AA"/>
    <w:rsid w:val="00AE73F3"/>
    <w:rsid w:val="00AF0271"/>
    <w:rsid w:val="00AF099F"/>
    <w:rsid w:val="00AF1218"/>
    <w:rsid w:val="00AF12CD"/>
    <w:rsid w:val="00AF190A"/>
    <w:rsid w:val="00AF1BD5"/>
    <w:rsid w:val="00AF1CA0"/>
    <w:rsid w:val="00AF1E89"/>
    <w:rsid w:val="00AF1FFD"/>
    <w:rsid w:val="00AF205D"/>
    <w:rsid w:val="00AF242C"/>
    <w:rsid w:val="00AF3022"/>
    <w:rsid w:val="00AF3241"/>
    <w:rsid w:val="00AF4235"/>
    <w:rsid w:val="00AF489E"/>
    <w:rsid w:val="00AF5E98"/>
    <w:rsid w:val="00AF5ED0"/>
    <w:rsid w:val="00AF74C8"/>
    <w:rsid w:val="00AF7B4A"/>
    <w:rsid w:val="00AF7DE7"/>
    <w:rsid w:val="00B00085"/>
    <w:rsid w:val="00B00966"/>
    <w:rsid w:val="00B011F2"/>
    <w:rsid w:val="00B0247F"/>
    <w:rsid w:val="00B02A41"/>
    <w:rsid w:val="00B02B0D"/>
    <w:rsid w:val="00B0343C"/>
    <w:rsid w:val="00B036E0"/>
    <w:rsid w:val="00B03AF2"/>
    <w:rsid w:val="00B03D11"/>
    <w:rsid w:val="00B04268"/>
    <w:rsid w:val="00B049D7"/>
    <w:rsid w:val="00B04A6B"/>
    <w:rsid w:val="00B04F49"/>
    <w:rsid w:val="00B05191"/>
    <w:rsid w:val="00B0527D"/>
    <w:rsid w:val="00B0532B"/>
    <w:rsid w:val="00B05EF9"/>
    <w:rsid w:val="00B067C3"/>
    <w:rsid w:val="00B06E02"/>
    <w:rsid w:val="00B07348"/>
    <w:rsid w:val="00B100AC"/>
    <w:rsid w:val="00B103A6"/>
    <w:rsid w:val="00B1053E"/>
    <w:rsid w:val="00B10A61"/>
    <w:rsid w:val="00B110AB"/>
    <w:rsid w:val="00B12935"/>
    <w:rsid w:val="00B129B7"/>
    <w:rsid w:val="00B12B2D"/>
    <w:rsid w:val="00B13721"/>
    <w:rsid w:val="00B13C4B"/>
    <w:rsid w:val="00B16262"/>
    <w:rsid w:val="00B16A1D"/>
    <w:rsid w:val="00B16BE0"/>
    <w:rsid w:val="00B16C80"/>
    <w:rsid w:val="00B170A3"/>
    <w:rsid w:val="00B1783A"/>
    <w:rsid w:val="00B17ADD"/>
    <w:rsid w:val="00B20173"/>
    <w:rsid w:val="00B201FA"/>
    <w:rsid w:val="00B20366"/>
    <w:rsid w:val="00B209F4"/>
    <w:rsid w:val="00B20BB9"/>
    <w:rsid w:val="00B20F01"/>
    <w:rsid w:val="00B2122C"/>
    <w:rsid w:val="00B22D04"/>
    <w:rsid w:val="00B23068"/>
    <w:rsid w:val="00B237FA"/>
    <w:rsid w:val="00B2387C"/>
    <w:rsid w:val="00B23FEF"/>
    <w:rsid w:val="00B24250"/>
    <w:rsid w:val="00B2429A"/>
    <w:rsid w:val="00B24950"/>
    <w:rsid w:val="00B24D9B"/>
    <w:rsid w:val="00B24E45"/>
    <w:rsid w:val="00B24EA2"/>
    <w:rsid w:val="00B2623A"/>
    <w:rsid w:val="00B26519"/>
    <w:rsid w:val="00B26E23"/>
    <w:rsid w:val="00B27B66"/>
    <w:rsid w:val="00B3002A"/>
    <w:rsid w:val="00B30A94"/>
    <w:rsid w:val="00B30B56"/>
    <w:rsid w:val="00B30D6F"/>
    <w:rsid w:val="00B31322"/>
    <w:rsid w:val="00B31D49"/>
    <w:rsid w:val="00B329C7"/>
    <w:rsid w:val="00B33729"/>
    <w:rsid w:val="00B34F16"/>
    <w:rsid w:val="00B35DC3"/>
    <w:rsid w:val="00B36A14"/>
    <w:rsid w:val="00B3738D"/>
    <w:rsid w:val="00B378BA"/>
    <w:rsid w:val="00B37E10"/>
    <w:rsid w:val="00B37F8A"/>
    <w:rsid w:val="00B40C9B"/>
    <w:rsid w:val="00B40E83"/>
    <w:rsid w:val="00B414B6"/>
    <w:rsid w:val="00B4152F"/>
    <w:rsid w:val="00B417F7"/>
    <w:rsid w:val="00B418FB"/>
    <w:rsid w:val="00B41A74"/>
    <w:rsid w:val="00B41DDD"/>
    <w:rsid w:val="00B41FED"/>
    <w:rsid w:val="00B42914"/>
    <w:rsid w:val="00B42F86"/>
    <w:rsid w:val="00B432B9"/>
    <w:rsid w:val="00B43A5C"/>
    <w:rsid w:val="00B44C1C"/>
    <w:rsid w:val="00B45C7E"/>
    <w:rsid w:val="00B4647C"/>
    <w:rsid w:val="00B466BC"/>
    <w:rsid w:val="00B51846"/>
    <w:rsid w:val="00B5197A"/>
    <w:rsid w:val="00B52123"/>
    <w:rsid w:val="00B529DF"/>
    <w:rsid w:val="00B53232"/>
    <w:rsid w:val="00B538A7"/>
    <w:rsid w:val="00B542CF"/>
    <w:rsid w:val="00B5559A"/>
    <w:rsid w:val="00B55E9E"/>
    <w:rsid w:val="00B566E2"/>
    <w:rsid w:val="00B573FE"/>
    <w:rsid w:val="00B57DC1"/>
    <w:rsid w:val="00B602EC"/>
    <w:rsid w:val="00B608A3"/>
    <w:rsid w:val="00B60FE8"/>
    <w:rsid w:val="00B6108F"/>
    <w:rsid w:val="00B61869"/>
    <w:rsid w:val="00B61C85"/>
    <w:rsid w:val="00B62756"/>
    <w:rsid w:val="00B63FEA"/>
    <w:rsid w:val="00B64205"/>
    <w:rsid w:val="00B646BF"/>
    <w:rsid w:val="00B654DB"/>
    <w:rsid w:val="00B657E8"/>
    <w:rsid w:val="00B65A2D"/>
    <w:rsid w:val="00B65BBE"/>
    <w:rsid w:val="00B66261"/>
    <w:rsid w:val="00B66672"/>
    <w:rsid w:val="00B669A6"/>
    <w:rsid w:val="00B67B77"/>
    <w:rsid w:val="00B703AF"/>
    <w:rsid w:val="00B708FB"/>
    <w:rsid w:val="00B711C3"/>
    <w:rsid w:val="00B716C8"/>
    <w:rsid w:val="00B721C7"/>
    <w:rsid w:val="00B72BCF"/>
    <w:rsid w:val="00B72E9D"/>
    <w:rsid w:val="00B73395"/>
    <w:rsid w:val="00B738DC"/>
    <w:rsid w:val="00B7424D"/>
    <w:rsid w:val="00B74475"/>
    <w:rsid w:val="00B74D9E"/>
    <w:rsid w:val="00B76064"/>
    <w:rsid w:val="00B77876"/>
    <w:rsid w:val="00B80307"/>
    <w:rsid w:val="00B809F2"/>
    <w:rsid w:val="00B81142"/>
    <w:rsid w:val="00B816B8"/>
    <w:rsid w:val="00B82272"/>
    <w:rsid w:val="00B832B4"/>
    <w:rsid w:val="00B834AF"/>
    <w:rsid w:val="00B83D67"/>
    <w:rsid w:val="00B843FE"/>
    <w:rsid w:val="00B84E02"/>
    <w:rsid w:val="00B85F9A"/>
    <w:rsid w:val="00B8608B"/>
    <w:rsid w:val="00B86B13"/>
    <w:rsid w:val="00B87435"/>
    <w:rsid w:val="00B87481"/>
    <w:rsid w:val="00B87995"/>
    <w:rsid w:val="00B906CA"/>
    <w:rsid w:val="00B907BB"/>
    <w:rsid w:val="00B90A20"/>
    <w:rsid w:val="00B90E95"/>
    <w:rsid w:val="00B9144F"/>
    <w:rsid w:val="00B924EC"/>
    <w:rsid w:val="00B93219"/>
    <w:rsid w:val="00B93271"/>
    <w:rsid w:val="00B9351A"/>
    <w:rsid w:val="00B93839"/>
    <w:rsid w:val="00B95110"/>
    <w:rsid w:val="00B96172"/>
    <w:rsid w:val="00B9621C"/>
    <w:rsid w:val="00B9632D"/>
    <w:rsid w:val="00B976B5"/>
    <w:rsid w:val="00BA0C6C"/>
    <w:rsid w:val="00BA1B27"/>
    <w:rsid w:val="00BA1E27"/>
    <w:rsid w:val="00BA2285"/>
    <w:rsid w:val="00BA288F"/>
    <w:rsid w:val="00BA28CC"/>
    <w:rsid w:val="00BA2FDE"/>
    <w:rsid w:val="00BA376D"/>
    <w:rsid w:val="00BA39C4"/>
    <w:rsid w:val="00BA5399"/>
    <w:rsid w:val="00BA5F4E"/>
    <w:rsid w:val="00BA5FDD"/>
    <w:rsid w:val="00BA6AD2"/>
    <w:rsid w:val="00BA6B11"/>
    <w:rsid w:val="00BA6D69"/>
    <w:rsid w:val="00BA6F24"/>
    <w:rsid w:val="00BA707E"/>
    <w:rsid w:val="00BA7B75"/>
    <w:rsid w:val="00BA7E6D"/>
    <w:rsid w:val="00BB059C"/>
    <w:rsid w:val="00BB0DAE"/>
    <w:rsid w:val="00BB0DBD"/>
    <w:rsid w:val="00BB0FA6"/>
    <w:rsid w:val="00BB106E"/>
    <w:rsid w:val="00BB11E9"/>
    <w:rsid w:val="00BB14D2"/>
    <w:rsid w:val="00BB1BC3"/>
    <w:rsid w:val="00BB27DB"/>
    <w:rsid w:val="00BB2AD2"/>
    <w:rsid w:val="00BB3D3C"/>
    <w:rsid w:val="00BB45A9"/>
    <w:rsid w:val="00BB4F85"/>
    <w:rsid w:val="00BB55DF"/>
    <w:rsid w:val="00BB76BF"/>
    <w:rsid w:val="00BC2554"/>
    <w:rsid w:val="00BC2583"/>
    <w:rsid w:val="00BC280E"/>
    <w:rsid w:val="00BC2D54"/>
    <w:rsid w:val="00BC376A"/>
    <w:rsid w:val="00BC392D"/>
    <w:rsid w:val="00BC4CB2"/>
    <w:rsid w:val="00BC6426"/>
    <w:rsid w:val="00BC6B51"/>
    <w:rsid w:val="00BC7265"/>
    <w:rsid w:val="00BC7C00"/>
    <w:rsid w:val="00BD01E6"/>
    <w:rsid w:val="00BD0223"/>
    <w:rsid w:val="00BD0265"/>
    <w:rsid w:val="00BD0C34"/>
    <w:rsid w:val="00BD0DFE"/>
    <w:rsid w:val="00BD174A"/>
    <w:rsid w:val="00BD1F2A"/>
    <w:rsid w:val="00BD209D"/>
    <w:rsid w:val="00BD25FB"/>
    <w:rsid w:val="00BD2711"/>
    <w:rsid w:val="00BD369D"/>
    <w:rsid w:val="00BD3834"/>
    <w:rsid w:val="00BD3B54"/>
    <w:rsid w:val="00BD3B97"/>
    <w:rsid w:val="00BD3E27"/>
    <w:rsid w:val="00BD462D"/>
    <w:rsid w:val="00BD4784"/>
    <w:rsid w:val="00BD4A93"/>
    <w:rsid w:val="00BD4E44"/>
    <w:rsid w:val="00BD76D4"/>
    <w:rsid w:val="00BE16B2"/>
    <w:rsid w:val="00BE1C49"/>
    <w:rsid w:val="00BE1D66"/>
    <w:rsid w:val="00BE1F9B"/>
    <w:rsid w:val="00BE2100"/>
    <w:rsid w:val="00BE2721"/>
    <w:rsid w:val="00BE3398"/>
    <w:rsid w:val="00BE3676"/>
    <w:rsid w:val="00BE44BE"/>
    <w:rsid w:val="00BE52A7"/>
    <w:rsid w:val="00BE5A27"/>
    <w:rsid w:val="00BE5C73"/>
    <w:rsid w:val="00BE6677"/>
    <w:rsid w:val="00BE7049"/>
    <w:rsid w:val="00BE708F"/>
    <w:rsid w:val="00BE7723"/>
    <w:rsid w:val="00BF10F5"/>
    <w:rsid w:val="00BF1593"/>
    <w:rsid w:val="00BF196E"/>
    <w:rsid w:val="00BF3625"/>
    <w:rsid w:val="00BF3966"/>
    <w:rsid w:val="00BF3A53"/>
    <w:rsid w:val="00BF3B6B"/>
    <w:rsid w:val="00BF41E2"/>
    <w:rsid w:val="00BF466D"/>
    <w:rsid w:val="00BF62D3"/>
    <w:rsid w:val="00BF662F"/>
    <w:rsid w:val="00BF7316"/>
    <w:rsid w:val="00BF7DD9"/>
    <w:rsid w:val="00C0025C"/>
    <w:rsid w:val="00C0099A"/>
    <w:rsid w:val="00C00B59"/>
    <w:rsid w:val="00C012E6"/>
    <w:rsid w:val="00C02276"/>
    <w:rsid w:val="00C024A9"/>
    <w:rsid w:val="00C02536"/>
    <w:rsid w:val="00C032BF"/>
    <w:rsid w:val="00C0398A"/>
    <w:rsid w:val="00C03A0A"/>
    <w:rsid w:val="00C04181"/>
    <w:rsid w:val="00C04331"/>
    <w:rsid w:val="00C04B0A"/>
    <w:rsid w:val="00C05184"/>
    <w:rsid w:val="00C06F91"/>
    <w:rsid w:val="00C07085"/>
    <w:rsid w:val="00C07293"/>
    <w:rsid w:val="00C07C2B"/>
    <w:rsid w:val="00C1022A"/>
    <w:rsid w:val="00C10F9E"/>
    <w:rsid w:val="00C12A73"/>
    <w:rsid w:val="00C14078"/>
    <w:rsid w:val="00C14CAF"/>
    <w:rsid w:val="00C1518C"/>
    <w:rsid w:val="00C156DF"/>
    <w:rsid w:val="00C157CD"/>
    <w:rsid w:val="00C15AEF"/>
    <w:rsid w:val="00C16110"/>
    <w:rsid w:val="00C1636B"/>
    <w:rsid w:val="00C17244"/>
    <w:rsid w:val="00C173DC"/>
    <w:rsid w:val="00C17491"/>
    <w:rsid w:val="00C20200"/>
    <w:rsid w:val="00C2042B"/>
    <w:rsid w:val="00C205BF"/>
    <w:rsid w:val="00C20631"/>
    <w:rsid w:val="00C20868"/>
    <w:rsid w:val="00C22592"/>
    <w:rsid w:val="00C22672"/>
    <w:rsid w:val="00C22C28"/>
    <w:rsid w:val="00C23B2D"/>
    <w:rsid w:val="00C2406A"/>
    <w:rsid w:val="00C2409D"/>
    <w:rsid w:val="00C248F3"/>
    <w:rsid w:val="00C24A17"/>
    <w:rsid w:val="00C24DBE"/>
    <w:rsid w:val="00C25FA5"/>
    <w:rsid w:val="00C26351"/>
    <w:rsid w:val="00C26FED"/>
    <w:rsid w:val="00C27DB0"/>
    <w:rsid w:val="00C304B9"/>
    <w:rsid w:val="00C30D70"/>
    <w:rsid w:val="00C30F29"/>
    <w:rsid w:val="00C311D2"/>
    <w:rsid w:val="00C31729"/>
    <w:rsid w:val="00C31A7B"/>
    <w:rsid w:val="00C31DA6"/>
    <w:rsid w:val="00C320D1"/>
    <w:rsid w:val="00C32154"/>
    <w:rsid w:val="00C331F6"/>
    <w:rsid w:val="00C3320C"/>
    <w:rsid w:val="00C33489"/>
    <w:rsid w:val="00C34BD6"/>
    <w:rsid w:val="00C34BF2"/>
    <w:rsid w:val="00C34E44"/>
    <w:rsid w:val="00C35849"/>
    <w:rsid w:val="00C35C17"/>
    <w:rsid w:val="00C36431"/>
    <w:rsid w:val="00C3669A"/>
    <w:rsid w:val="00C3675D"/>
    <w:rsid w:val="00C370BE"/>
    <w:rsid w:val="00C370E6"/>
    <w:rsid w:val="00C3726E"/>
    <w:rsid w:val="00C3755D"/>
    <w:rsid w:val="00C3796D"/>
    <w:rsid w:val="00C40557"/>
    <w:rsid w:val="00C41F11"/>
    <w:rsid w:val="00C4277C"/>
    <w:rsid w:val="00C42992"/>
    <w:rsid w:val="00C42B66"/>
    <w:rsid w:val="00C4338C"/>
    <w:rsid w:val="00C4395A"/>
    <w:rsid w:val="00C43EE2"/>
    <w:rsid w:val="00C44EEA"/>
    <w:rsid w:val="00C454D3"/>
    <w:rsid w:val="00C4733D"/>
    <w:rsid w:val="00C50227"/>
    <w:rsid w:val="00C50296"/>
    <w:rsid w:val="00C50631"/>
    <w:rsid w:val="00C50B51"/>
    <w:rsid w:val="00C50B99"/>
    <w:rsid w:val="00C514DD"/>
    <w:rsid w:val="00C522AE"/>
    <w:rsid w:val="00C52B8B"/>
    <w:rsid w:val="00C52C8E"/>
    <w:rsid w:val="00C536AD"/>
    <w:rsid w:val="00C53B42"/>
    <w:rsid w:val="00C53FE2"/>
    <w:rsid w:val="00C54440"/>
    <w:rsid w:val="00C544EB"/>
    <w:rsid w:val="00C54573"/>
    <w:rsid w:val="00C54FCA"/>
    <w:rsid w:val="00C5705A"/>
    <w:rsid w:val="00C570F8"/>
    <w:rsid w:val="00C5757B"/>
    <w:rsid w:val="00C60682"/>
    <w:rsid w:val="00C61620"/>
    <w:rsid w:val="00C6163A"/>
    <w:rsid w:val="00C61C61"/>
    <w:rsid w:val="00C62849"/>
    <w:rsid w:val="00C62B54"/>
    <w:rsid w:val="00C63BFF"/>
    <w:rsid w:val="00C647A9"/>
    <w:rsid w:val="00C652D4"/>
    <w:rsid w:val="00C65416"/>
    <w:rsid w:val="00C65450"/>
    <w:rsid w:val="00C660F5"/>
    <w:rsid w:val="00C66B1D"/>
    <w:rsid w:val="00C66F48"/>
    <w:rsid w:val="00C66F7C"/>
    <w:rsid w:val="00C67DE6"/>
    <w:rsid w:val="00C70992"/>
    <w:rsid w:val="00C70DD2"/>
    <w:rsid w:val="00C70E7B"/>
    <w:rsid w:val="00C70FB7"/>
    <w:rsid w:val="00C71ECC"/>
    <w:rsid w:val="00C72624"/>
    <w:rsid w:val="00C72B02"/>
    <w:rsid w:val="00C73808"/>
    <w:rsid w:val="00C7384F"/>
    <w:rsid w:val="00C73984"/>
    <w:rsid w:val="00C747F6"/>
    <w:rsid w:val="00C74DAC"/>
    <w:rsid w:val="00C75F99"/>
    <w:rsid w:val="00C76712"/>
    <w:rsid w:val="00C77324"/>
    <w:rsid w:val="00C77A13"/>
    <w:rsid w:val="00C80BC1"/>
    <w:rsid w:val="00C80C93"/>
    <w:rsid w:val="00C80F1A"/>
    <w:rsid w:val="00C818E7"/>
    <w:rsid w:val="00C823FA"/>
    <w:rsid w:val="00C828FC"/>
    <w:rsid w:val="00C82AD3"/>
    <w:rsid w:val="00C83494"/>
    <w:rsid w:val="00C846DA"/>
    <w:rsid w:val="00C853E8"/>
    <w:rsid w:val="00C85452"/>
    <w:rsid w:val="00C860D0"/>
    <w:rsid w:val="00C8701E"/>
    <w:rsid w:val="00C873BC"/>
    <w:rsid w:val="00C87E68"/>
    <w:rsid w:val="00C87F8A"/>
    <w:rsid w:val="00C9048F"/>
    <w:rsid w:val="00C90F2E"/>
    <w:rsid w:val="00C91166"/>
    <w:rsid w:val="00C9192D"/>
    <w:rsid w:val="00C91A45"/>
    <w:rsid w:val="00C93B71"/>
    <w:rsid w:val="00C956DB"/>
    <w:rsid w:val="00C95C27"/>
    <w:rsid w:val="00C9617A"/>
    <w:rsid w:val="00C96244"/>
    <w:rsid w:val="00C9678B"/>
    <w:rsid w:val="00C9680B"/>
    <w:rsid w:val="00C96FF7"/>
    <w:rsid w:val="00C977E8"/>
    <w:rsid w:val="00CA0F20"/>
    <w:rsid w:val="00CA17BD"/>
    <w:rsid w:val="00CA1DC5"/>
    <w:rsid w:val="00CA22C4"/>
    <w:rsid w:val="00CA2753"/>
    <w:rsid w:val="00CA2BE7"/>
    <w:rsid w:val="00CA2F18"/>
    <w:rsid w:val="00CA3F79"/>
    <w:rsid w:val="00CA4187"/>
    <w:rsid w:val="00CA41AB"/>
    <w:rsid w:val="00CA45AD"/>
    <w:rsid w:val="00CA46B8"/>
    <w:rsid w:val="00CA4B97"/>
    <w:rsid w:val="00CA4D46"/>
    <w:rsid w:val="00CA5E8D"/>
    <w:rsid w:val="00CA68C9"/>
    <w:rsid w:val="00CA69AE"/>
    <w:rsid w:val="00CA7C01"/>
    <w:rsid w:val="00CA7CA8"/>
    <w:rsid w:val="00CA7EB4"/>
    <w:rsid w:val="00CB019A"/>
    <w:rsid w:val="00CB0ED7"/>
    <w:rsid w:val="00CB15CA"/>
    <w:rsid w:val="00CB19A5"/>
    <w:rsid w:val="00CB1C7E"/>
    <w:rsid w:val="00CB2E15"/>
    <w:rsid w:val="00CB2E79"/>
    <w:rsid w:val="00CB2FA2"/>
    <w:rsid w:val="00CB39AF"/>
    <w:rsid w:val="00CB3AA1"/>
    <w:rsid w:val="00CB3CB9"/>
    <w:rsid w:val="00CB49E4"/>
    <w:rsid w:val="00CB54D4"/>
    <w:rsid w:val="00CB57A1"/>
    <w:rsid w:val="00CB57D8"/>
    <w:rsid w:val="00CB5A40"/>
    <w:rsid w:val="00CB5EAF"/>
    <w:rsid w:val="00CB5FC6"/>
    <w:rsid w:val="00CB6ED8"/>
    <w:rsid w:val="00CB7771"/>
    <w:rsid w:val="00CB7A7A"/>
    <w:rsid w:val="00CB7FEE"/>
    <w:rsid w:val="00CC0687"/>
    <w:rsid w:val="00CC0B06"/>
    <w:rsid w:val="00CC1E51"/>
    <w:rsid w:val="00CC3186"/>
    <w:rsid w:val="00CC4216"/>
    <w:rsid w:val="00CC449A"/>
    <w:rsid w:val="00CC4BE9"/>
    <w:rsid w:val="00CC51BE"/>
    <w:rsid w:val="00CC5B57"/>
    <w:rsid w:val="00CC5BFC"/>
    <w:rsid w:val="00CC5F6E"/>
    <w:rsid w:val="00CC75D4"/>
    <w:rsid w:val="00CC79D5"/>
    <w:rsid w:val="00CC7D7B"/>
    <w:rsid w:val="00CD031C"/>
    <w:rsid w:val="00CD03D6"/>
    <w:rsid w:val="00CD2F95"/>
    <w:rsid w:val="00CD3064"/>
    <w:rsid w:val="00CD3441"/>
    <w:rsid w:val="00CD390B"/>
    <w:rsid w:val="00CD4152"/>
    <w:rsid w:val="00CD4483"/>
    <w:rsid w:val="00CD46ED"/>
    <w:rsid w:val="00CD4B7F"/>
    <w:rsid w:val="00CD4C41"/>
    <w:rsid w:val="00CD5CE1"/>
    <w:rsid w:val="00CD62FE"/>
    <w:rsid w:val="00CD766B"/>
    <w:rsid w:val="00CD7EB6"/>
    <w:rsid w:val="00CE04DE"/>
    <w:rsid w:val="00CE0E84"/>
    <w:rsid w:val="00CE10B1"/>
    <w:rsid w:val="00CE14D6"/>
    <w:rsid w:val="00CE153D"/>
    <w:rsid w:val="00CE1D7B"/>
    <w:rsid w:val="00CE2118"/>
    <w:rsid w:val="00CE243F"/>
    <w:rsid w:val="00CE3175"/>
    <w:rsid w:val="00CE3293"/>
    <w:rsid w:val="00CE3C6D"/>
    <w:rsid w:val="00CE3C82"/>
    <w:rsid w:val="00CE43B1"/>
    <w:rsid w:val="00CE45DB"/>
    <w:rsid w:val="00CE6D9E"/>
    <w:rsid w:val="00CE794B"/>
    <w:rsid w:val="00CE7C39"/>
    <w:rsid w:val="00CF05EA"/>
    <w:rsid w:val="00CF0FB9"/>
    <w:rsid w:val="00CF248F"/>
    <w:rsid w:val="00CF3522"/>
    <w:rsid w:val="00CF3F37"/>
    <w:rsid w:val="00CF4A46"/>
    <w:rsid w:val="00CF4BD8"/>
    <w:rsid w:val="00CF581A"/>
    <w:rsid w:val="00CF6248"/>
    <w:rsid w:val="00CF74C0"/>
    <w:rsid w:val="00CF7897"/>
    <w:rsid w:val="00D009E0"/>
    <w:rsid w:val="00D013D9"/>
    <w:rsid w:val="00D01E38"/>
    <w:rsid w:val="00D026AB"/>
    <w:rsid w:val="00D0283B"/>
    <w:rsid w:val="00D02ABB"/>
    <w:rsid w:val="00D03BB9"/>
    <w:rsid w:val="00D03D4D"/>
    <w:rsid w:val="00D03F6C"/>
    <w:rsid w:val="00D0415C"/>
    <w:rsid w:val="00D04983"/>
    <w:rsid w:val="00D05778"/>
    <w:rsid w:val="00D070FF"/>
    <w:rsid w:val="00D075A4"/>
    <w:rsid w:val="00D07D94"/>
    <w:rsid w:val="00D1058E"/>
    <w:rsid w:val="00D12059"/>
    <w:rsid w:val="00D1239D"/>
    <w:rsid w:val="00D125DE"/>
    <w:rsid w:val="00D13777"/>
    <w:rsid w:val="00D13BB6"/>
    <w:rsid w:val="00D13C2D"/>
    <w:rsid w:val="00D1459C"/>
    <w:rsid w:val="00D151F0"/>
    <w:rsid w:val="00D15F8E"/>
    <w:rsid w:val="00D1690E"/>
    <w:rsid w:val="00D17B3F"/>
    <w:rsid w:val="00D17F1D"/>
    <w:rsid w:val="00D219D5"/>
    <w:rsid w:val="00D2203E"/>
    <w:rsid w:val="00D23513"/>
    <w:rsid w:val="00D237C9"/>
    <w:rsid w:val="00D24A53"/>
    <w:rsid w:val="00D252B8"/>
    <w:rsid w:val="00D267D6"/>
    <w:rsid w:val="00D2729A"/>
    <w:rsid w:val="00D27506"/>
    <w:rsid w:val="00D27E6C"/>
    <w:rsid w:val="00D30F5A"/>
    <w:rsid w:val="00D3198D"/>
    <w:rsid w:val="00D32EAB"/>
    <w:rsid w:val="00D3357B"/>
    <w:rsid w:val="00D34338"/>
    <w:rsid w:val="00D34688"/>
    <w:rsid w:val="00D35601"/>
    <w:rsid w:val="00D36027"/>
    <w:rsid w:val="00D36337"/>
    <w:rsid w:val="00D36522"/>
    <w:rsid w:val="00D366B7"/>
    <w:rsid w:val="00D367F5"/>
    <w:rsid w:val="00D36C23"/>
    <w:rsid w:val="00D36FB2"/>
    <w:rsid w:val="00D375C7"/>
    <w:rsid w:val="00D40EAF"/>
    <w:rsid w:val="00D411A8"/>
    <w:rsid w:val="00D41B99"/>
    <w:rsid w:val="00D42249"/>
    <w:rsid w:val="00D4244A"/>
    <w:rsid w:val="00D44CC7"/>
    <w:rsid w:val="00D45867"/>
    <w:rsid w:val="00D45CE3"/>
    <w:rsid w:val="00D46157"/>
    <w:rsid w:val="00D4646A"/>
    <w:rsid w:val="00D466A8"/>
    <w:rsid w:val="00D46A18"/>
    <w:rsid w:val="00D46BEF"/>
    <w:rsid w:val="00D47187"/>
    <w:rsid w:val="00D4751A"/>
    <w:rsid w:val="00D50011"/>
    <w:rsid w:val="00D500F2"/>
    <w:rsid w:val="00D5017E"/>
    <w:rsid w:val="00D508E4"/>
    <w:rsid w:val="00D50B2C"/>
    <w:rsid w:val="00D52284"/>
    <w:rsid w:val="00D5322C"/>
    <w:rsid w:val="00D533BF"/>
    <w:rsid w:val="00D53841"/>
    <w:rsid w:val="00D53C05"/>
    <w:rsid w:val="00D546B8"/>
    <w:rsid w:val="00D55294"/>
    <w:rsid w:val="00D56ACF"/>
    <w:rsid w:val="00D57692"/>
    <w:rsid w:val="00D57AF1"/>
    <w:rsid w:val="00D60B43"/>
    <w:rsid w:val="00D60C45"/>
    <w:rsid w:val="00D614C7"/>
    <w:rsid w:val="00D61E9C"/>
    <w:rsid w:val="00D61F93"/>
    <w:rsid w:val="00D623A8"/>
    <w:rsid w:val="00D62EEF"/>
    <w:rsid w:val="00D6312F"/>
    <w:rsid w:val="00D63D69"/>
    <w:rsid w:val="00D640F2"/>
    <w:rsid w:val="00D642AD"/>
    <w:rsid w:val="00D64A40"/>
    <w:rsid w:val="00D64E02"/>
    <w:rsid w:val="00D654E8"/>
    <w:rsid w:val="00D654FB"/>
    <w:rsid w:val="00D65619"/>
    <w:rsid w:val="00D66C42"/>
    <w:rsid w:val="00D67780"/>
    <w:rsid w:val="00D701C2"/>
    <w:rsid w:val="00D7055C"/>
    <w:rsid w:val="00D7160C"/>
    <w:rsid w:val="00D71741"/>
    <w:rsid w:val="00D71C1F"/>
    <w:rsid w:val="00D71CE6"/>
    <w:rsid w:val="00D727B3"/>
    <w:rsid w:val="00D73210"/>
    <w:rsid w:val="00D73AD4"/>
    <w:rsid w:val="00D74862"/>
    <w:rsid w:val="00D756D2"/>
    <w:rsid w:val="00D75879"/>
    <w:rsid w:val="00D75908"/>
    <w:rsid w:val="00D75ECA"/>
    <w:rsid w:val="00D766A9"/>
    <w:rsid w:val="00D775CD"/>
    <w:rsid w:val="00D8005C"/>
    <w:rsid w:val="00D80A72"/>
    <w:rsid w:val="00D81003"/>
    <w:rsid w:val="00D81129"/>
    <w:rsid w:val="00D81A7D"/>
    <w:rsid w:val="00D8202C"/>
    <w:rsid w:val="00D82F39"/>
    <w:rsid w:val="00D8378B"/>
    <w:rsid w:val="00D846D9"/>
    <w:rsid w:val="00D84CF1"/>
    <w:rsid w:val="00D84F1E"/>
    <w:rsid w:val="00D859E0"/>
    <w:rsid w:val="00D85CF7"/>
    <w:rsid w:val="00D863F7"/>
    <w:rsid w:val="00D87322"/>
    <w:rsid w:val="00D87974"/>
    <w:rsid w:val="00D87C8F"/>
    <w:rsid w:val="00D87F7F"/>
    <w:rsid w:val="00D9076C"/>
    <w:rsid w:val="00D90F3C"/>
    <w:rsid w:val="00D91686"/>
    <w:rsid w:val="00D9181C"/>
    <w:rsid w:val="00D91841"/>
    <w:rsid w:val="00D918BC"/>
    <w:rsid w:val="00D9191D"/>
    <w:rsid w:val="00D91D95"/>
    <w:rsid w:val="00D91E5A"/>
    <w:rsid w:val="00D92454"/>
    <w:rsid w:val="00D9270B"/>
    <w:rsid w:val="00D927AB"/>
    <w:rsid w:val="00D93CB6"/>
    <w:rsid w:val="00D94506"/>
    <w:rsid w:val="00D94C19"/>
    <w:rsid w:val="00D94FA6"/>
    <w:rsid w:val="00D95DD1"/>
    <w:rsid w:val="00D96A20"/>
    <w:rsid w:val="00D97020"/>
    <w:rsid w:val="00DA2813"/>
    <w:rsid w:val="00DA2C32"/>
    <w:rsid w:val="00DA2DF2"/>
    <w:rsid w:val="00DA31ED"/>
    <w:rsid w:val="00DA36B3"/>
    <w:rsid w:val="00DA467B"/>
    <w:rsid w:val="00DA4DDB"/>
    <w:rsid w:val="00DA53B9"/>
    <w:rsid w:val="00DA64C9"/>
    <w:rsid w:val="00DA6B67"/>
    <w:rsid w:val="00DA7371"/>
    <w:rsid w:val="00DA74CE"/>
    <w:rsid w:val="00DA7878"/>
    <w:rsid w:val="00DB0592"/>
    <w:rsid w:val="00DB0B44"/>
    <w:rsid w:val="00DB3023"/>
    <w:rsid w:val="00DB3613"/>
    <w:rsid w:val="00DB3DB1"/>
    <w:rsid w:val="00DB3E6A"/>
    <w:rsid w:val="00DB4D86"/>
    <w:rsid w:val="00DB5712"/>
    <w:rsid w:val="00DB5C0E"/>
    <w:rsid w:val="00DB6379"/>
    <w:rsid w:val="00DB70EE"/>
    <w:rsid w:val="00DB75A4"/>
    <w:rsid w:val="00DB7827"/>
    <w:rsid w:val="00DB7BF9"/>
    <w:rsid w:val="00DC00C7"/>
    <w:rsid w:val="00DC0554"/>
    <w:rsid w:val="00DC07F1"/>
    <w:rsid w:val="00DC1828"/>
    <w:rsid w:val="00DC1A6F"/>
    <w:rsid w:val="00DC2DC5"/>
    <w:rsid w:val="00DC30EA"/>
    <w:rsid w:val="00DC33EC"/>
    <w:rsid w:val="00DC5B2D"/>
    <w:rsid w:val="00DC70CD"/>
    <w:rsid w:val="00DC7E6F"/>
    <w:rsid w:val="00DD00EA"/>
    <w:rsid w:val="00DD1BD3"/>
    <w:rsid w:val="00DD1EFE"/>
    <w:rsid w:val="00DD20DE"/>
    <w:rsid w:val="00DD3B6A"/>
    <w:rsid w:val="00DD405B"/>
    <w:rsid w:val="00DD4974"/>
    <w:rsid w:val="00DD553E"/>
    <w:rsid w:val="00DD64CB"/>
    <w:rsid w:val="00DD6E0E"/>
    <w:rsid w:val="00DD7C13"/>
    <w:rsid w:val="00DD7C7A"/>
    <w:rsid w:val="00DE037E"/>
    <w:rsid w:val="00DE0759"/>
    <w:rsid w:val="00DE0DFB"/>
    <w:rsid w:val="00DE1550"/>
    <w:rsid w:val="00DE176E"/>
    <w:rsid w:val="00DE1EC9"/>
    <w:rsid w:val="00DE23F2"/>
    <w:rsid w:val="00DE28B1"/>
    <w:rsid w:val="00DE38AA"/>
    <w:rsid w:val="00DE4CB8"/>
    <w:rsid w:val="00DE5A1E"/>
    <w:rsid w:val="00DE5EEE"/>
    <w:rsid w:val="00DE6F95"/>
    <w:rsid w:val="00DE7E8B"/>
    <w:rsid w:val="00DF0745"/>
    <w:rsid w:val="00DF15B6"/>
    <w:rsid w:val="00DF15EC"/>
    <w:rsid w:val="00DF1806"/>
    <w:rsid w:val="00DF1F85"/>
    <w:rsid w:val="00DF20CE"/>
    <w:rsid w:val="00DF20EA"/>
    <w:rsid w:val="00DF3E3B"/>
    <w:rsid w:val="00DF45FF"/>
    <w:rsid w:val="00DF4CEB"/>
    <w:rsid w:val="00DF79A3"/>
    <w:rsid w:val="00E00282"/>
    <w:rsid w:val="00E0043E"/>
    <w:rsid w:val="00E00A75"/>
    <w:rsid w:val="00E0156F"/>
    <w:rsid w:val="00E01C97"/>
    <w:rsid w:val="00E027C2"/>
    <w:rsid w:val="00E02F4E"/>
    <w:rsid w:val="00E05CBA"/>
    <w:rsid w:val="00E0621A"/>
    <w:rsid w:val="00E06561"/>
    <w:rsid w:val="00E06583"/>
    <w:rsid w:val="00E0766D"/>
    <w:rsid w:val="00E10090"/>
    <w:rsid w:val="00E102DD"/>
    <w:rsid w:val="00E10935"/>
    <w:rsid w:val="00E10C1D"/>
    <w:rsid w:val="00E10D76"/>
    <w:rsid w:val="00E11AE0"/>
    <w:rsid w:val="00E12585"/>
    <w:rsid w:val="00E126E5"/>
    <w:rsid w:val="00E14A2C"/>
    <w:rsid w:val="00E15680"/>
    <w:rsid w:val="00E1644C"/>
    <w:rsid w:val="00E16730"/>
    <w:rsid w:val="00E16852"/>
    <w:rsid w:val="00E16DB7"/>
    <w:rsid w:val="00E177F1"/>
    <w:rsid w:val="00E203ED"/>
    <w:rsid w:val="00E2106E"/>
    <w:rsid w:val="00E21495"/>
    <w:rsid w:val="00E21AD7"/>
    <w:rsid w:val="00E22D0F"/>
    <w:rsid w:val="00E23557"/>
    <w:rsid w:val="00E24B81"/>
    <w:rsid w:val="00E24C2A"/>
    <w:rsid w:val="00E251C3"/>
    <w:rsid w:val="00E25EB1"/>
    <w:rsid w:val="00E264C0"/>
    <w:rsid w:val="00E267AA"/>
    <w:rsid w:val="00E26870"/>
    <w:rsid w:val="00E273E5"/>
    <w:rsid w:val="00E27FB8"/>
    <w:rsid w:val="00E30064"/>
    <w:rsid w:val="00E301E4"/>
    <w:rsid w:val="00E319E0"/>
    <w:rsid w:val="00E32209"/>
    <w:rsid w:val="00E3275C"/>
    <w:rsid w:val="00E327B1"/>
    <w:rsid w:val="00E327B9"/>
    <w:rsid w:val="00E331E4"/>
    <w:rsid w:val="00E3328F"/>
    <w:rsid w:val="00E3413D"/>
    <w:rsid w:val="00E34633"/>
    <w:rsid w:val="00E3470A"/>
    <w:rsid w:val="00E34CED"/>
    <w:rsid w:val="00E35CBE"/>
    <w:rsid w:val="00E35DC5"/>
    <w:rsid w:val="00E36239"/>
    <w:rsid w:val="00E374E2"/>
    <w:rsid w:val="00E37695"/>
    <w:rsid w:val="00E37830"/>
    <w:rsid w:val="00E37F55"/>
    <w:rsid w:val="00E40453"/>
    <w:rsid w:val="00E4059C"/>
    <w:rsid w:val="00E405F0"/>
    <w:rsid w:val="00E40680"/>
    <w:rsid w:val="00E40C1A"/>
    <w:rsid w:val="00E41014"/>
    <w:rsid w:val="00E421F2"/>
    <w:rsid w:val="00E4423D"/>
    <w:rsid w:val="00E449C3"/>
    <w:rsid w:val="00E45020"/>
    <w:rsid w:val="00E4528A"/>
    <w:rsid w:val="00E45C08"/>
    <w:rsid w:val="00E46502"/>
    <w:rsid w:val="00E46F6A"/>
    <w:rsid w:val="00E471E6"/>
    <w:rsid w:val="00E476E0"/>
    <w:rsid w:val="00E47DDE"/>
    <w:rsid w:val="00E50124"/>
    <w:rsid w:val="00E51DD3"/>
    <w:rsid w:val="00E5209E"/>
    <w:rsid w:val="00E5271E"/>
    <w:rsid w:val="00E52BC4"/>
    <w:rsid w:val="00E5334A"/>
    <w:rsid w:val="00E536C6"/>
    <w:rsid w:val="00E543EE"/>
    <w:rsid w:val="00E54D9C"/>
    <w:rsid w:val="00E55EA3"/>
    <w:rsid w:val="00E55FAC"/>
    <w:rsid w:val="00E56130"/>
    <w:rsid w:val="00E56574"/>
    <w:rsid w:val="00E56D19"/>
    <w:rsid w:val="00E5737A"/>
    <w:rsid w:val="00E57704"/>
    <w:rsid w:val="00E5776E"/>
    <w:rsid w:val="00E57954"/>
    <w:rsid w:val="00E57C07"/>
    <w:rsid w:val="00E57D82"/>
    <w:rsid w:val="00E60D04"/>
    <w:rsid w:val="00E612CC"/>
    <w:rsid w:val="00E62268"/>
    <w:rsid w:val="00E6294C"/>
    <w:rsid w:val="00E63504"/>
    <w:rsid w:val="00E638BA"/>
    <w:rsid w:val="00E64509"/>
    <w:rsid w:val="00E649FC"/>
    <w:rsid w:val="00E64AAF"/>
    <w:rsid w:val="00E65DDD"/>
    <w:rsid w:val="00E65EFB"/>
    <w:rsid w:val="00E6668F"/>
    <w:rsid w:val="00E666DD"/>
    <w:rsid w:val="00E66B4A"/>
    <w:rsid w:val="00E671F0"/>
    <w:rsid w:val="00E707EA"/>
    <w:rsid w:val="00E712EA"/>
    <w:rsid w:val="00E722A5"/>
    <w:rsid w:val="00E7292C"/>
    <w:rsid w:val="00E740DA"/>
    <w:rsid w:val="00E7455D"/>
    <w:rsid w:val="00E74802"/>
    <w:rsid w:val="00E74B06"/>
    <w:rsid w:val="00E74D9F"/>
    <w:rsid w:val="00E75D1F"/>
    <w:rsid w:val="00E76625"/>
    <w:rsid w:val="00E76F7A"/>
    <w:rsid w:val="00E775FB"/>
    <w:rsid w:val="00E77687"/>
    <w:rsid w:val="00E77DAA"/>
    <w:rsid w:val="00E8086C"/>
    <w:rsid w:val="00E813F4"/>
    <w:rsid w:val="00E819A8"/>
    <w:rsid w:val="00E826D1"/>
    <w:rsid w:val="00E828CB"/>
    <w:rsid w:val="00E844C3"/>
    <w:rsid w:val="00E85157"/>
    <w:rsid w:val="00E86555"/>
    <w:rsid w:val="00E8695C"/>
    <w:rsid w:val="00E86FEA"/>
    <w:rsid w:val="00E87559"/>
    <w:rsid w:val="00E9006C"/>
    <w:rsid w:val="00E9023B"/>
    <w:rsid w:val="00E9047A"/>
    <w:rsid w:val="00E90609"/>
    <w:rsid w:val="00E913B3"/>
    <w:rsid w:val="00E918B7"/>
    <w:rsid w:val="00E9260C"/>
    <w:rsid w:val="00E9266C"/>
    <w:rsid w:val="00E932D1"/>
    <w:rsid w:val="00E93EB9"/>
    <w:rsid w:val="00E94DAA"/>
    <w:rsid w:val="00E9526E"/>
    <w:rsid w:val="00E96468"/>
    <w:rsid w:val="00E96F68"/>
    <w:rsid w:val="00E972EE"/>
    <w:rsid w:val="00E978CC"/>
    <w:rsid w:val="00E97B84"/>
    <w:rsid w:val="00E97F38"/>
    <w:rsid w:val="00EA0289"/>
    <w:rsid w:val="00EA0FCE"/>
    <w:rsid w:val="00EA18A8"/>
    <w:rsid w:val="00EA2142"/>
    <w:rsid w:val="00EA2D29"/>
    <w:rsid w:val="00EA3749"/>
    <w:rsid w:val="00EA3CF5"/>
    <w:rsid w:val="00EA4BB6"/>
    <w:rsid w:val="00EA59B0"/>
    <w:rsid w:val="00EA6094"/>
    <w:rsid w:val="00EA6224"/>
    <w:rsid w:val="00EA6D93"/>
    <w:rsid w:val="00EA70F7"/>
    <w:rsid w:val="00EA7446"/>
    <w:rsid w:val="00EB004D"/>
    <w:rsid w:val="00EB0146"/>
    <w:rsid w:val="00EB02C1"/>
    <w:rsid w:val="00EB0322"/>
    <w:rsid w:val="00EB05F5"/>
    <w:rsid w:val="00EB0ACA"/>
    <w:rsid w:val="00EB153B"/>
    <w:rsid w:val="00EB159C"/>
    <w:rsid w:val="00EB1BE8"/>
    <w:rsid w:val="00EB2D5C"/>
    <w:rsid w:val="00EB3802"/>
    <w:rsid w:val="00EB46FA"/>
    <w:rsid w:val="00EB48F6"/>
    <w:rsid w:val="00EB5287"/>
    <w:rsid w:val="00EB6405"/>
    <w:rsid w:val="00EB6587"/>
    <w:rsid w:val="00EB66AC"/>
    <w:rsid w:val="00EB69B4"/>
    <w:rsid w:val="00EB7059"/>
    <w:rsid w:val="00EB7E38"/>
    <w:rsid w:val="00EC05BA"/>
    <w:rsid w:val="00EC178C"/>
    <w:rsid w:val="00EC1D75"/>
    <w:rsid w:val="00EC20DA"/>
    <w:rsid w:val="00EC238B"/>
    <w:rsid w:val="00EC3117"/>
    <w:rsid w:val="00EC3329"/>
    <w:rsid w:val="00EC3C44"/>
    <w:rsid w:val="00EC478C"/>
    <w:rsid w:val="00EC7114"/>
    <w:rsid w:val="00EC7DB0"/>
    <w:rsid w:val="00EC7EDB"/>
    <w:rsid w:val="00ED024A"/>
    <w:rsid w:val="00ED12B0"/>
    <w:rsid w:val="00ED1F83"/>
    <w:rsid w:val="00ED213F"/>
    <w:rsid w:val="00ED2540"/>
    <w:rsid w:val="00ED45E3"/>
    <w:rsid w:val="00ED4783"/>
    <w:rsid w:val="00ED49B3"/>
    <w:rsid w:val="00ED51DE"/>
    <w:rsid w:val="00ED53CB"/>
    <w:rsid w:val="00ED54B4"/>
    <w:rsid w:val="00ED5993"/>
    <w:rsid w:val="00ED5A24"/>
    <w:rsid w:val="00ED6222"/>
    <w:rsid w:val="00ED6F3C"/>
    <w:rsid w:val="00ED74B3"/>
    <w:rsid w:val="00ED79B4"/>
    <w:rsid w:val="00ED7E44"/>
    <w:rsid w:val="00EE0A57"/>
    <w:rsid w:val="00EE1B4A"/>
    <w:rsid w:val="00EE1C17"/>
    <w:rsid w:val="00EE1D56"/>
    <w:rsid w:val="00EE235A"/>
    <w:rsid w:val="00EE294E"/>
    <w:rsid w:val="00EE35B8"/>
    <w:rsid w:val="00EE3EC0"/>
    <w:rsid w:val="00EE427C"/>
    <w:rsid w:val="00EE4392"/>
    <w:rsid w:val="00EE4B3F"/>
    <w:rsid w:val="00EE4DCC"/>
    <w:rsid w:val="00EE5425"/>
    <w:rsid w:val="00EE74FC"/>
    <w:rsid w:val="00EE7916"/>
    <w:rsid w:val="00EE793A"/>
    <w:rsid w:val="00EE7A69"/>
    <w:rsid w:val="00EE7C99"/>
    <w:rsid w:val="00EF132F"/>
    <w:rsid w:val="00EF1392"/>
    <w:rsid w:val="00EF19D9"/>
    <w:rsid w:val="00EF2467"/>
    <w:rsid w:val="00EF4844"/>
    <w:rsid w:val="00EF4853"/>
    <w:rsid w:val="00EF4A5A"/>
    <w:rsid w:val="00EF4E5E"/>
    <w:rsid w:val="00EF5667"/>
    <w:rsid w:val="00EF5D5A"/>
    <w:rsid w:val="00EF6786"/>
    <w:rsid w:val="00EF6D04"/>
    <w:rsid w:val="00EF760F"/>
    <w:rsid w:val="00F00002"/>
    <w:rsid w:val="00F003C1"/>
    <w:rsid w:val="00F00918"/>
    <w:rsid w:val="00F009C1"/>
    <w:rsid w:val="00F00EA8"/>
    <w:rsid w:val="00F01A4D"/>
    <w:rsid w:val="00F01EB1"/>
    <w:rsid w:val="00F021AC"/>
    <w:rsid w:val="00F0223F"/>
    <w:rsid w:val="00F029BC"/>
    <w:rsid w:val="00F02C66"/>
    <w:rsid w:val="00F036A3"/>
    <w:rsid w:val="00F0373C"/>
    <w:rsid w:val="00F03B42"/>
    <w:rsid w:val="00F05D9F"/>
    <w:rsid w:val="00F06854"/>
    <w:rsid w:val="00F07604"/>
    <w:rsid w:val="00F07613"/>
    <w:rsid w:val="00F0767F"/>
    <w:rsid w:val="00F0785A"/>
    <w:rsid w:val="00F078EC"/>
    <w:rsid w:val="00F07B9B"/>
    <w:rsid w:val="00F07C18"/>
    <w:rsid w:val="00F11356"/>
    <w:rsid w:val="00F11778"/>
    <w:rsid w:val="00F12629"/>
    <w:rsid w:val="00F1308B"/>
    <w:rsid w:val="00F143DE"/>
    <w:rsid w:val="00F1440B"/>
    <w:rsid w:val="00F147E6"/>
    <w:rsid w:val="00F14FD5"/>
    <w:rsid w:val="00F164DE"/>
    <w:rsid w:val="00F16634"/>
    <w:rsid w:val="00F1730F"/>
    <w:rsid w:val="00F178D2"/>
    <w:rsid w:val="00F17A79"/>
    <w:rsid w:val="00F17C66"/>
    <w:rsid w:val="00F202DD"/>
    <w:rsid w:val="00F20C34"/>
    <w:rsid w:val="00F21609"/>
    <w:rsid w:val="00F21B53"/>
    <w:rsid w:val="00F22343"/>
    <w:rsid w:val="00F226B6"/>
    <w:rsid w:val="00F238EF"/>
    <w:rsid w:val="00F24B8E"/>
    <w:rsid w:val="00F24D6A"/>
    <w:rsid w:val="00F25763"/>
    <w:rsid w:val="00F2594A"/>
    <w:rsid w:val="00F25CA3"/>
    <w:rsid w:val="00F25FC7"/>
    <w:rsid w:val="00F2630A"/>
    <w:rsid w:val="00F263AD"/>
    <w:rsid w:val="00F264B8"/>
    <w:rsid w:val="00F26D06"/>
    <w:rsid w:val="00F309CA"/>
    <w:rsid w:val="00F30F5D"/>
    <w:rsid w:val="00F31206"/>
    <w:rsid w:val="00F3173A"/>
    <w:rsid w:val="00F31861"/>
    <w:rsid w:val="00F32913"/>
    <w:rsid w:val="00F32A66"/>
    <w:rsid w:val="00F350C6"/>
    <w:rsid w:val="00F36C9F"/>
    <w:rsid w:val="00F375F4"/>
    <w:rsid w:val="00F378A6"/>
    <w:rsid w:val="00F3796D"/>
    <w:rsid w:val="00F40BE9"/>
    <w:rsid w:val="00F411C1"/>
    <w:rsid w:val="00F4123C"/>
    <w:rsid w:val="00F4131E"/>
    <w:rsid w:val="00F42AC0"/>
    <w:rsid w:val="00F445FF"/>
    <w:rsid w:val="00F451D4"/>
    <w:rsid w:val="00F4541A"/>
    <w:rsid w:val="00F45BD4"/>
    <w:rsid w:val="00F45EDF"/>
    <w:rsid w:val="00F4625D"/>
    <w:rsid w:val="00F4638F"/>
    <w:rsid w:val="00F468E9"/>
    <w:rsid w:val="00F473D8"/>
    <w:rsid w:val="00F47849"/>
    <w:rsid w:val="00F51106"/>
    <w:rsid w:val="00F514E3"/>
    <w:rsid w:val="00F521AA"/>
    <w:rsid w:val="00F52838"/>
    <w:rsid w:val="00F53B78"/>
    <w:rsid w:val="00F54251"/>
    <w:rsid w:val="00F547A4"/>
    <w:rsid w:val="00F54D38"/>
    <w:rsid w:val="00F55082"/>
    <w:rsid w:val="00F553BF"/>
    <w:rsid w:val="00F55EAA"/>
    <w:rsid w:val="00F5629A"/>
    <w:rsid w:val="00F562A2"/>
    <w:rsid w:val="00F571DB"/>
    <w:rsid w:val="00F572FE"/>
    <w:rsid w:val="00F5774F"/>
    <w:rsid w:val="00F579D5"/>
    <w:rsid w:val="00F57E50"/>
    <w:rsid w:val="00F57F20"/>
    <w:rsid w:val="00F60617"/>
    <w:rsid w:val="00F60639"/>
    <w:rsid w:val="00F62348"/>
    <w:rsid w:val="00F625E6"/>
    <w:rsid w:val="00F62FEE"/>
    <w:rsid w:val="00F630ED"/>
    <w:rsid w:val="00F6367D"/>
    <w:rsid w:val="00F6436A"/>
    <w:rsid w:val="00F6480B"/>
    <w:rsid w:val="00F64B26"/>
    <w:rsid w:val="00F64BC9"/>
    <w:rsid w:val="00F651FB"/>
    <w:rsid w:val="00F66042"/>
    <w:rsid w:val="00F663E4"/>
    <w:rsid w:val="00F66A6E"/>
    <w:rsid w:val="00F66D44"/>
    <w:rsid w:val="00F674DA"/>
    <w:rsid w:val="00F67D3F"/>
    <w:rsid w:val="00F700D8"/>
    <w:rsid w:val="00F708F1"/>
    <w:rsid w:val="00F70FDD"/>
    <w:rsid w:val="00F715E5"/>
    <w:rsid w:val="00F729F1"/>
    <w:rsid w:val="00F72B73"/>
    <w:rsid w:val="00F752A2"/>
    <w:rsid w:val="00F75AC3"/>
    <w:rsid w:val="00F75EF5"/>
    <w:rsid w:val="00F76363"/>
    <w:rsid w:val="00F7685D"/>
    <w:rsid w:val="00F76D4A"/>
    <w:rsid w:val="00F77119"/>
    <w:rsid w:val="00F77E63"/>
    <w:rsid w:val="00F8037E"/>
    <w:rsid w:val="00F803B7"/>
    <w:rsid w:val="00F806C9"/>
    <w:rsid w:val="00F807F7"/>
    <w:rsid w:val="00F816F6"/>
    <w:rsid w:val="00F838A8"/>
    <w:rsid w:val="00F83A8A"/>
    <w:rsid w:val="00F84A5A"/>
    <w:rsid w:val="00F85B83"/>
    <w:rsid w:val="00F860D8"/>
    <w:rsid w:val="00F86B73"/>
    <w:rsid w:val="00F870BF"/>
    <w:rsid w:val="00F90377"/>
    <w:rsid w:val="00F91D8E"/>
    <w:rsid w:val="00F923B9"/>
    <w:rsid w:val="00F927E3"/>
    <w:rsid w:val="00F92F2C"/>
    <w:rsid w:val="00F934BB"/>
    <w:rsid w:val="00F939B6"/>
    <w:rsid w:val="00F9440D"/>
    <w:rsid w:val="00F94BC8"/>
    <w:rsid w:val="00F9640C"/>
    <w:rsid w:val="00F97BCC"/>
    <w:rsid w:val="00FA057A"/>
    <w:rsid w:val="00FA1A50"/>
    <w:rsid w:val="00FA1D9A"/>
    <w:rsid w:val="00FA1F76"/>
    <w:rsid w:val="00FA26F8"/>
    <w:rsid w:val="00FA276F"/>
    <w:rsid w:val="00FA3509"/>
    <w:rsid w:val="00FA3AE6"/>
    <w:rsid w:val="00FA3E60"/>
    <w:rsid w:val="00FA3EC1"/>
    <w:rsid w:val="00FA40E6"/>
    <w:rsid w:val="00FA49E0"/>
    <w:rsid w:val="00FA5819"/>
    <w:rsid w:val="00FA5C9E"/>
    <w:rsid w:val="00FA6F3D"/>
    <w:rsid w:val="00FB016A"/>
    <w:rsid w:val="00FB055C"/>
    <w:rsid w:val="00FB0D77"/>
    <w:rsid w:val="00FB0E86"/>
    <w:rsid w:val="00FB0F89"/>
    <w:rsid w:val="00FB274B"/>
    <w:rsid w:val="00FB39F2"/>
    <w:rsid w:val="00FB5B5B"/>
    <w:rsid w:val="00FB7A8F"/>
    <w:rsid w:val="00FC01EC"/>
    <w:rsid w:val="00FC1402"/>
    <w:rsid w:val="00FC1B18"/>
    <w:rsid w:val="00FC2295"/>
    <w:rsid w:val="00FC35FA"/>
    <w:rsid w:val="00FC3D4C"/>
    <w:rsid w:val="00FC4846"/>
    <w:rsid w:val="00FC7770"/>
    <w:rsid w:val="00FD0D3F"/>
    <w:rsid w:val="00FD1298"/>
    <w:rsid w:val="00FD277B"/>
    <w:rsid w:val="00FD362E"/>
    <w:rsid w:val="00FD3816"/>
    <w:rsid w:val="00FD3AEE"/>
    <w:rsid w:val="00FD4281"/>
    <w:rsid w:val="00FD5DF2"/>
    <w:rsid w:val="00FD675A"/>
    <w:rsid w:val="00FD6EA3"/>
    <w:rsid w:val="00FD7514"/>
    <w:rsid w:val="00FE0940"/>
    <w:rsid w:val="00FE0E36"/>
    <w:rsid w:val="00FE28C4"/>
    <w:rsid w:val="00FE34DC"/>
    <w:rsid w:val="00FE354B"/>
    <w:rsid w:val="00FE37E9"/>
    <w:rsid w:val="00FE3D93"/>
    <w:rsid w:val="00FE44CB"/>
    <w:rsid w:val="00FE45BD"/>
    <w:rsid w:val="00FE4D06"/>
    <w:rsid w:val="00FE6632"/>
    <w:rsid w:val="00FE66ED"/>
    <w:rsid w:val="00FE6C64"/>
    <w:rsid w:val="00FE76FA"/>
    <w:rsid w:val="00FE77D3"/>
    <w:rsid w:val="00FF02F7"/>
    <w:rsid w:val="00FF1329"/>
    <w:rsid w:val="00FF1CE1"/>
    <w:rsid w:val="00FF1E0B"/>
    <w:rsid w:val="00FF2021"/>
    <w:rsid w:val="00FF24A7"/>
    <w:rsid w:val="00FF2F44"/>
    <w:rsid w:val="00FF352D"/>
    <w:rsid w:val="00FF396F"/>
    <w:rsid w:val="00FF3AA1"/>
    <w:rsid w:val="00FF537D"/>
    <w:rsid w:val="00FF64E9"/>
    <w:rsid w:val="00FF7965"/>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E15"/>
    <w:rPr>
      <w:sz w:val="24"/>
      <w:szCs w:val="24"/>
      <w:lang w:val="bg-BG"/>
    </w:rPr>
  </w:style>
  <w:style w:type="paragraph" w:styleId="Heading1">
    <w:name w:val="heading 1"/>
    <w:basedOn w:val="Normal"/>
    <w:next w:val="Normal"/>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uiPriority w:val="99"/>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uiPriority w:val="99"/>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99"/>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E15"/>
    <w:rPr>
      <w:sz w:val="24"/>
      <w:szCs w:val="24"/>
      <w:lang w:val="bg-BG"/>
    </w:rPr>
  </w:style>
  <w:style w:type="paragraph" w:styleId="Heading1">
    <w:name w:val="heading 1"/>
    <w:basedOn w:val="Normal"/>
    <w:next w:val="Normal"/>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uiPriority w:val="99"/>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uiPriority w:val="99"/>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99"/>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 w:type="paragraph" w:customStyle="1" w:styleId="m">
    <w:name w:val="m"/>
    <w:basedOn w:val="Normal"/>
    <w:rsid w:val="00675E99"/>
    <w:pPr>
      <w:spacing w:before="100" w:beforeAutospacing="1" w:after="100" w:afterAutospacing="1"/>
    </w:pPr>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0640&amp;ToPar=Art55_Al1&amp;Type=2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apis://Base=NARH&amp;DocCode=2016&amp;Type=201/" TargetMode="External"/><Relationship Id="rId4" Type="http://schemas.microsoft.com/office/2007/relationships/stylesWithEffects" Target="stylesWithEffects.xml"/><Relationship Id="rId9" Type="http://schemas.openxmlformats.org/officeDocument/2006/relationships/hyperlink" Target="https://www.tita.bg/page/20"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05E-2"/>
          <c:w val="0.90305106959238579"/>
          <c:h val="0.74626404458063433"/>
        </c:manualLayout>
      </c:layout>
      <c:barChart>
        <c:barDir val="col"/>
        <c:grouping val="clustered"/>
        <c:varyColors val="0"/>
        <c:ser>
          <c:idx val="0"/>
          <c:order val="0"/>
          <c:tx>
            <c:strRef>
              <c:f>Sheet1!$B$36</c:f>
              <c:strCache>
                <c:ptCount val="1"/>
                <c:pt idx="0">
                  <c:v>към март  2018 г.</c:v>
                </c:pt>
              </c:strCache>
            </c:strRef>
          </c:tx>
          <c:spPr>
            <a:pattFill prst="pct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683">
              <a:solidFill>
                <a:srgbClr val="000000"/>
              </a:solidFill>
              <a:prstDash val="solid"/>
            </a:ln>
          </c:spPr>
          <c:invertIfNegative val="0"/>
          <c:dLbls>
            <c:dLbl>
              <c:idx val="0"/>
              <c:layout>
                <c:manualLayout>
                  <c:x val="-1.1911120203121079E-3"/>
                  <c:y val="0.28234266642777711"/>
                </c:manualLayout>
              </c:layout>
              <c:dLblPos val="outEnd"/>
              <c:showLegendKey val="0"/>
              <c:showVal val="1"/>
              <c:showCatName val="0"/>
              <c:showSerName val="0"/>
              <c:showPercent val="0"/>
              <c:showBubbleSize val="0"/>
            </c:dLbl>
            <c:dLbl>
              <c:idx val="1"/>
              <c:layout>
                <c:manualLayout>
                  <c:x val="-8.5984781316822308E-3"/>
                  <c:y val="8.5907721123107857E-3"/>
                </c:manualLayout>
              </c:layout>
              <c:dLblPos val="outEnd"/>
              <c:showLegendKey val="0"/>
              <c:showVal val="1"/>
              <c:showCatName val="0"/>
              <c:showSerName val="0"/>
              <c:showPercent val="0"/>
              <c:showBubbleSize val="0"/>
            </c:dLbl>
            <c:dLbl>
              <c:idx val="2"/>
              <c:layout>
                <c:manualLayout>
                  <c:x val="-4.0234036459434776E-3"/>
                  <c:y val="3.7105729237608418E-3"/>
                </c:manualLayout>
              </c:layout>
              <c:dLblPos val="outEnd"/>
              <c:showLegendKey val="0"/>
              <c:showVal val="1"/>
              <c:showCatName val="0"/>
              <c:showSerName val="0"/>
              <c:showPercent val="0"/>
              <c:showBubbleSize val="0"/>
            </c:dLbl>
            <c:dLbl>
              <c:idx val="3"/>
              <c:layout>
                <c:manualLayout>
                  <c:x val="1.6412105113367671E-3"/>
                  <c:y val="-1.4967557207841688E-2"/>
                </c:manualLayout>
              </c:layout>
              <c:dLblPos val="outEnd"/>
              <c:showLegendKey val="0"/>
              <c:showVal val="1"/>
              <c:showCatName val="0"/>
              <c:showSerName val="0"/>
              <c:showPercent val="0"/>
              <c:showBubbleSize val="0"/>
            </c:dLbl>
            <c:dLbl>
              <c:idx val="4"/>
              <c:layout>
                <c:manualLayout>
                  <c:x val="-1.6232910645205495E-4"/>
                  <c:y val="0.16554406139115307"/>
                </c:manualLayout>
              </c:layout>
              <c:dLblPos val="outEnd"/>
              <c:showLegendKey val="0"/>
              <c:showVal val="1"/>
              <c:showCatName val="0"/>
              <c:showSerName val="0"/>
              <c:showPercent val="0"/>
              <c:showBubbleSize val="0"/>
            </c:dLbl>
            <c:dLbl>
              <c:idx val="5"/>
              <c:layout>
                <c:manualLayout>
                  <c:x val="2.2153355328575895E-4"/>
                  <c:y val="4.5165908513635205E-3"/>
                </c:manualLayout>
              </c:layout>
              <c:dLblPos val="outEnd"/>
              <c:showLegendKey val="0"/>
              <c:showVal val="1"/>
              <c:showCatName val="0"/>
              <c:showSerName val="0"/>
              <c:showPercent val="0"/>
              <c:showBubbleSize val="0"/>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Sheet1!$A$38:$A$43</c:f>
              <c:strCache>
                <c:ptCount val="6"/>
                <c:pt idx="0">
                  <c:v>Текущи нелихвени разходи</c:v>
                </c:pt>
                <c:pt idx="1">
                  <c:v>Предоставени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1918.743111</c:v>
                </c:pt>
                <c:pt idx="1">
                  <c:v>1.9043200000000002</c:v>
                </c:pt>
                <c:pt idx="2">
                  <c:v>132.93592799999999</c:v>
                </c:pt>
                <c:pt idx="3">
                  <c:v>371.04075</c:v>
                </c:pt>
                <c:pt idx="4">
                  <c:v>2690.3941560000003</c:v>
                </c:pt>
                <c:pt idx="5">
                  <c:v>308.20858000000004</c:v>
                </c:pt>
              </c:numCache>
            </c:numRef>
          </c:val>
        </c:ser>
        <c:ser>
          <c:idx val="1"/>
          <c:order val="1"/>
          <c:tx>
            <c:strRef>
              <c:f>Sheet1!$C$36</c:f>
              <c:strCache>
                <c:ptCount val="1"/>
                <c:pt idx="0">
                  <c:v>към март  2019 г.</c:v>
                </c:pt>
              </c:strCache>
            </c:strRef>
          </c:tx>
          <c:spPr>
            <a:pattFill prst="smConfetti">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83">
              <a:solidFill>
                <a:srgbClr val="000000"/>
              </a:solidFill>
              <a:prstDash val="solid"/>
            </a:ln>
          </c:spPr>
          <c:invertIfNegative val="0"/>
          <c:dLbls>
            <c:dLbl>
              <c:idx val="0"/>
              <c:layout>
                <c:manualLayout>
                  <c:x val="-1.5957659542556258E-3"/>
                  <c:y val="0.29509151360843117"/>
                </c:manualLayout>
              </c:layout>
              <c:dLblPos val="outEnd"/>
              <c:showLegendKey val="0"/>
              <c:showVal val="1"/>
              <c:showCatName val="0"/>
              <c:showSerName val="0"/>
              <c:showPercent val="0"/>
              <c:showBubbleSize val="0"/>
            </c:dLbl>
            <c:dLbl>
              <c:idx val="1"/>
              <c:layout>
                <c:manualLayout>
                  <c:x val="-1.3778516227466984E-3"/>
                  <c:y val="1.006945895278097E-2"/>
                </c:manualLayout>
              </c:layout>
              <c:dLblPos val="outEnd"/>
              <c:showLegendKey val="0"/>
              <c:showVal val="1"/>
              <c:showCatName val="0"/>
              <c:showSerName val="0"/>
              <c:showPercent val="0"/>
              <c:showBubbleSize val="0"/>
            </c:dLbl>
            <c:dLbl>
              <c:idx val="2"/>
              <c:layout>
                <c:manualLayout>
                  <c:x val="-3.8987169044187778E-5"/>
                  <c:y val="-1.2437777174404923E-2"/>
                </c:manualLayout>
              </c:layout>
              <c:dLblPos val="outEnd"/>
              <c:showLegendKey val="0"/>
              <c:showVal val="1"/>
              <c:showCatName val="0"/>
              <c:showSerName val="0"/>
              <c:showPercent val="0"/>
              <c:showBubbleSize val="0"/>
            </c:dLbl>
            <c:dLbl>
              <c:idx val="3"/>
              <c:layout>
                <c:manualLayout>
                  <c:x val="4.7143956403039979E-3"/>
                  <c:y val="-1.6552366438066211E-2"/>
                </c:manualLayout>
              </c:layout>
              <c:dLblPos val="outEnd"/>
              <c:showLegendKey val="0"/>
              <c:showVal val="1"/>
              <c:showCatName val="0"/>
              <c:showSerName val="0"/>
              <c:showPercent val="0"/>
              <c:showBubbleSize val="0"/>
            </c:dLbl>
            <c:dLbl>
              <c:idx val="4"/>
              <c:layout>
                <c:manualLayout>
                  <c:x val="2.5961277386745757E-3"/>
                  <c:y val="0.16264270845454662"/>
                </c:manualLayout>
              </c:layout>
              <c:dLblPos val="outEnd"/>
              <c:showLegendKey val="0"/>
              <c:showVal val="1"/>
              <c:showCatName val="0"/>
              <c:showSerName val="0"/>
              <c:showPercent val="0"/>
              <c:showBubbleSize val="0"/>
            </c:dLbl>
            <c:dLbl>
              <c:idx val="5"/>
              <c:layout>
                <c:manualLayout>
                  <c:x val="1.9210701072004553E-3"/>
                  <c:y val="-6.9634624117733083E-3"/>
                </c:manualLayout>
              </c:layout>
              <c:dLblPos val="outEnd"/>
              <c:showLegendKey val="0"/>
              <c:showVal val="1"/>
              <c:showCatName val="0"/>
              <c:showSerName val="0"/>
              <c:showPercent val="0"/>
              <c:showBubbleSize val="0"/>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Sheet1!$A$38:$A$43</c:f>
              <c:strCache>
                <c:ptCount val="6"/>
                <c:pt idx="0">
                  <c:v>Текущи нелихвени разходи</c:v>
                </c:pt>
                <c:pt idx="1">
                  <c:v>Предоставени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2035.5546029999998</c:v>
                </c:pt>
                <c:pt idx="1">
                  <c:v>0.488089</c:v>
                </c:pt>
                <c:pt idx="2">
                  <c:v>45.420439000000002</c:v>
                </c:pt>
                <c:pt idx="3">
                  <c:v>367.45404199999996</c:v>
                </c:pt>
                <c:pt idx="4">
                  <c:v>2747.1111429999996</c:v>
                </c:pt>
                <c:pt idx="5">
                  <c:v>466.09290499999997</c:v>
                </c:pt>
              </c:numCache>
            </c:numRef>
          </c:val>
        </c:ser>
        <c:dLbls>
          <c:showLegendKey val="0"/>
          <c:showVal val="0"/>
          <c:showCatName val="0"/>
          <c:showSerName val="0"/>
          <c:showPercent val="0"/>
          <c:showBubbleSize val="0"/>
        </c:dLbls>
        <c:gapWidth val="150"/>
        <c:axId val="178258688"/>
        <c:axId val="178260224"/>
      </c:barChart>
      <c:catAx>
        <c:axId val="178258688"/>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178260224"/>
        <c:crosses val="autoZero"/>
        <c:auto val="1"/>
        <c:lblAlgn val="ctr"/>
        <c:lblOffset val="100"/>
        <c:tickLblSkip val="1"/>
        <c:tickMarkSkip val="1"/>
        <c:noMultiLvlLbl val="0"/>
      </c:catAx>
      <c:valAx>
        <c:axId val="178260224"/>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0722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178258688"/>
        <c:crosses val="autoZero"/>
        <c:crossBetween val="between"/>
      </c:valAx>
      <c:spPr>
        <a:solidFill>
          <a:srgbClr val="FFFFFF"/>
        </a:solidFill>
        <a:ln w="25367">
          <a:solidFill>
            <a:sysClr val="window" lastClr="FFFFFF">
              <a:lumMod val="85000"/>
            </a:sysClr>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0.122363318643525"/>
          <c:y val="0.91477519855472611"/>
          <c:w val="0.40878464462499214"/>
          <c:h val="8.4652486620990564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DF12-DAE0-4ABB-88E7-409C333B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31</Pages>
  <Words>16244</Words>
  <Characters>86848</Characters>
  <Application>Microsoft Office Word</Application>
  <DocSecurity>0</DocSecurity>
  <Lines>723</Lines>
  <Paragraphs>205</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102887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Вера Данева</cp:lastModifiedBy>
  <cp:revision>219</cp:revision>
  <cp:lastPrinted>2018-11-06T14:12:00Z</cp:lastPrinted>
  <dcterms:created xsi:type="dcterms:W3CDTF">2019-03-11T12:56:00Z</dcterms:created>
  <dcterms:modified xsi:type="dcterms:W3CDTF">2019-05-10T08:48:00Z</dcterms:modified>
</cp:coreProperties>
</file>