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15" w:rsidRPr="00460DFC" w:rsidRDefault="00063E15" w:rsidP="008314D1">
      <w:pPr>
        <w:pStyle w:val="Title"/>
        <w:pBdr>
          <w:bottom w:val="double" w:sz="6" w:space="0" w:color="auto"/>
        </w:pBdr>
      </w:pPr>
      <w:r w:rsidRPr="00460DFC">
        <w:t>М И Н И С Т Е Р С Т В О   Н А   Ф И Н А Н С И Т Е</w:t>
      </w:r>
    </w:p>
    <w:p w:rsidR="005F7245" w:rsidRPr="00460DFC" w:rsidRDefault="005F7245" w:rsidP="00063E15">
      <w:pPr>
        <w:rPr>
          <w:sz w:val="16"/>
          <w:szCs w:val="16"/>
        </w:rPr>
      </w:pPr>
    </w:p>
    <w:p w:rsidR="0019151C" w:rsidRPr="00460DFC" w:rsidRDefault="0019151C" w:rsidP="0019151C"/>
    <w:p w:rsidR="0019151C" w:rsidRPr="00460DFC" w:rsidRDefault="0019151C" w:rsidP="0019151C"/>
    <w:p w:rsidR="00E9260C" w:rsidRPr="00460DFC" w:rsidRDefault="00E9260C" w:rsidP="009B536C">
      <w:pPr>
        <w:pStyle w:val="Heading1"/>
        <w:rPr>
          <w:sz w:val="24"/>
        </w:rPr>
      </w:pPr>
      <w:r w:rsidRPr="00460DFC">
        <w:rPr>
          <w:sz w:val="24"/>
        </w:rPr>
        <w:t>ИНФОРМАЦИЯ</w:t>
      </w:r>
    </w:p>
    <w:p w:rsidR="00E9260C" w:rsidRPr="00460DFC" w:rsidRDefault="00E9260C" w:rsidP="009B536C">
      <w:pPr>
        <w:jc w:val="center"/>
        <w:rPr>
          <w:b/>
          <w:bCs/>
        </w:rPr>
      </w:pPr>
      <w:r w:rsidRPr="00460DFC">
        <w:rPr>
          <w:b/>
          <w:bCs/>
        </w:rPr>
        <w:t xml:space="preserve">ЗА </w:t>
      </w:r>
      <w:r w:rsidR="004E7BF8" w:rsidRPr="00460DFC">
        <w:rPr>
          <w:b/>
          <w:bCs/>
        </w:rPr>
        <w:t xml:space="preserve">КАСОВОТО </w:t>
      </w:r>
      <w:r w:rsidRPr="00460DFC">
        <w:rPr>
          <w:b/>
          <w:bCs/>
        </w:rPr>
        <w:t xml:space="preserve">ИЗПЪЛНЕНИЕ НА </w:t>
      </w:r>
      <w:r w:rsidR="004E7BF8" w:rsidRPr="00460DFC">
        <w:rPr>
          <w:b/>
          <w:bCs/>
        </w:rPr>
        <w:t>ДЪРЖАВНИЯ</w:t>
      </w:r>
      <w:r w:rsidRPr="00460DFC">
        <w:rPr>
          <w:b/>
          <w:bCs/>
        </w:rPr>
        <w:t xml:space="preserve"> БЮДЖЕТ</w:t>
      </w:r>
      <w:r w:rsidR="004E7BF8" w:rsidRPr="00460DFC">
        <w:rPr>
          <w:b/>
          <w:bCs/>
        </w:rPr>
        <w:t xml:space="preserve"> И НА ОСНОВНИТЕ ПОКАЗАТЕЛИ НА КОНСОЛИДИРАНАТА ФИСКАЛНА ПРОГРАМА </w:t>
      </w:r>
    </w:p>
    <w:p w:rsidR="003F47AB" w:rsidRPr="00460DFC" w:rsidRDefault="003F47AB" w:rsidP="003F47AB">
      <w:pPr>
        <w:jc w:val="center"/>
        <w:rPr>
          <w:b/>
          <w:bCs/>
        </w:rPr>
      </w:pPr>
      <w:r w:rsidRPr="00460DFC">
        <w:rPr>
          <w:b/>
          <w:bCs/>
        </w:rPr>
        <w:t>ЗА ПЪРВОТО ТРИМЕСЕЧИЕ НА 201</w:t>
      </w:r>
      <w:r w:rsidR="00460DFC" w:rsidRPr="00460DFC">
        <w:rPr>
          <w:b/>
          <w:bCs/>
          <w:lang w:val="en-US"/>
        </w:rPr>
        <w:t>8</w:t>
      </w:r>
      <w:r w:rsidRPr="00460DFC">
        <w:rPr>
          <w:b/>
          <w:bCs/>
        </w:rPr>
        <w:t xml:space="preserve"> ГОДИНА</w:t>
      </w:r>
    </w:p>
    <w:p w:rsidR="00430A35" w:rsidRPr="00460DFC" w:rsidRDefault="00430A35" w:rsidP="003A06C5">
      <w:pPr>
        <w:rPr>
          <w:b/>
          <w:bCs/>
        </w:rPr>
      </w:pPr>
    </w:p>
    <w:p w:rsidR="0019151C" w:rsidRPr="00460DFC" w:rsidRDefault="0019151C" w:rsidP="003A06C5">
      <w:pPr>
        <w:rPr>
          <w:b/>
          <w:bCs/>
        </w:rPr>
      </w:pPr>
    </w:p>
    <w:p w:rsidR="0019151C" w:rsidRPr="00460DFC" w:rsidRDefault="0019151C" w:rsidP="003A06C5">
      <w:pPr>
        <w:rPr>
          <w:b/>
          <w:bCs/>
        </w:rPr>
      </w:pPr>
    </w:p>
    <w:p w:rsidR="0019151C" w:rsidRPr="00460DFC" w:rsidRDefault="0019151C" w:rsidP="0019151C">
      <w:pPr>
        <w:ind w:firstLine="567"/>
        <w:jc w:val="both"/>
        <w:rPr>
          <w:b/>
          <w:bCs/>
          <w:u w:val="single"/>
        </w:rPr>
      </w:pPr>
      <w:r w:rsidRPr="00460DFC">
        <w:rPr>
          <w:b/>
          <w:bCs/>
          <w:u w:val="single"/>
        </w:rPr>
        <w:t>Развитие на икономическата среда</w:t>
      </w:r>
    </w:p>
    <w:p w:rsidR="0019151C" w:rsidRPr="00B53232" w:rsidRDefault="0019151C" w:rsidP="0019151C">
      <w:pPr>
        <w:spacing w:line="276" w:lineRule="auto"/>
        <w:ind w:firstLine="567"/>
        <w:jc w:val="both"/>
        <w:rPr>
          <w:color w:val="0070C0"/>
          <w:sz w:val="8"/>
          <w:szCs w:val="8"/>
        </w:rPr>
      </w:pPr>
    </w:p>
    <w:p w:rsidR="0039334A" w:rsidRDefault="0039334A" w:rsidP="0039334A">
      <w:pPr>
        <w:spacing w:after="120"/>
        <w:jc w:val="both"/>
      </w:pPr>
      <w:r w:rsidRPr="008A26DA">
        <w:t>Краткосрочните индикатори за първите месеци на 2018 г. показват благоприятно развитие на икономическата среда.</w:t>
      </w:r>
      <w:r>
        <w:t xml:space="preserve"> </w:t>
      </w:r>
      <w:r w:rsidRPr="00C03AC4">
        <w:t>Довери</w:t>
      </w:r>
      <w:r>
        <w:t>ето на потребителите, както и общ</w:t>
      </w:r>
      <w:r w:rsidRPr="00C03AC4">
        <w:t>ият</w:t>
      </w:r>
      <w:r>
        <w:t xml:space="preserve"> индикатор за бизнес климата в страната се повишиха през първото тримесечие на годината. В същото време, за периода януари-февруари</w:t>
      </w:r>
      <w:r w:rsidRPr="004D2BE2">
        <w:t xml:space="preserve"> 2018 г., промишленото производство нарасна средно с 2,4</w:t>
      </w:r>
      <w:r w:rsidR="00AB4667">
        <w:rPr>
          <w:lang w:val="en-US"/>
        </w:rPr>
        <w:t xml:space="preserve"> </w:t>
      </w:r>
      <w:r w:rsidRPr="004D2BE2">
        <w:t xml:space="preserve">% спрямо същия период на предходната година, </w:t>
      </w:r>
      <w:r w:rsidRPr="00CE2349">
        <w:t>а растежът при промишлените продажби достигна 5,1</w:t>
      </w:r>
      <w:r w:rsidR="00AB4667">
        <w:rPr>
          <w:lang w:val="en-US"/>
        </w:rPr>
        <w:t xml:space="preserve"> </w:t>
      </w:r>
      <w:r w:rsidRPr="00CE2349">
        <w:t>%,</w:t>
      </w:r>
      <w:r w:rsidRPr="00291ED8">
        <w:rPr>
          <w:color w:val="FF0000"/>
        </w:rPr>
        <w:t xml:space="preserve"> </w:t>
      </w:r>
      <w:r w:rsidRPr="0028624F">
        <w:t xml:space="preserve">подкрепен както от продажбите за вътрешния, така и </w:t>
      </w:r>
      <w:r>
        <w:t xml:space="preserve">от тези </w:t>
      </w:r>
      <w:r w:rsidRPr="0028624F">
        <w:t>за външния пазар.</w:t>
      </w:r>
      <w:r w:rsidRPr="00291ED8">
        <w:rPr>
          <w:color w:val="FF0000"/>
        </w:rPr>
        <w:t xml:space="preserve"> </w:t>
      </w:r>
      <w:r w:rsidRPr="00892E33">
        <w:t>Търговията на дребно също отчете р</w:t>
      </w:r>
      <w:r>
        <w:t>астеж</w:t>
      </w:r>
      <w:r w:rsidRPr="00892E33">
        <w:t xml:space="preserve"> </w:t>
      </w:r>
      <w:r>
        <w:t>-</w:t>
      </w:r>
      <w:r w:rsidRPr="00892E33">
        <w:t xml:space="preserve"> 4,1</w:t>
      </w:r>
      <w:r w:rsidR="00AB4667">
        <w:rPr>
          <w:lang w:val="en-US"/>
        </w:rPr>
        <w:t xml:space="preserve"> </w:t>
      </w:r>
      <w:r w:rsidRPr="00892E33">
        <w:t xml:space="preserve">% за съответния период, </w:t>
      </w:r>
      <w:r>
        <w:t>а</w:t>
      </w:r>
      <w:r w:rsidRPr="00000A7C">
        <w:t xml:space="preserve"> индексът на строителната продукция се повиши с 15,5</w:t>
      </w:r>
      <w:r w:rsidR="00AB4667">
        <w:rPr>
          <w:lang w:val="en-US"/>
        </w:rPr>
        <w:t xml:space="preserve"> </w:t>
      </w:r>
      <w:r w:rsidRPr="00000A7C">
        <w:t xml:space="preserve">% в резултат на благоприятното развитие при </w:t>
      </w:r>
      <w:proofErr w:type="spellStart"/>
      <w:r w:rsidRPr="00000A7C">
        <w:t>сградното</w:t>
      </w:r>
      <w:proofErr w:type="spellEnd"/>
      <w:r w:rsidRPr="00000A7C">
        <w:t xml:space="preserve"> и гражданското строителство.</w:t>
      </w:r>
    </w:p>
    <w:p w:rsidR="0039334A" w:rsidRDefault="0039334A" w:rsidP="0039334A">
      <w:pPr>
        <w:spacing w:after="120"/>
        <w:jc w:val="both"/>
      </w:pPr>
      <w:r w:rsidRPr="00FE4CEF">
        <w:t>За първите два месеца на годината</w:t>
      </w:r>
      <w:r>
        <w:t>,</w:t>
      </w:r>
      <w:r w:rsidRPr="00FE4CEF">
        <w:t xml:space="preserve"> износът нарасна с 5,</w:t>
      </w:r>
      <w:r w:rsidRPr="00FE4CEF">
        <w:rPr>
          <w:lang w:val="en-US"/>
        </w:rPr>
        <w:t>5</w:t>
      </w:r>
      <w:r w:rsidR="00AB4667">
        <w:rPr>
          <w:lang w:val="en-US"/>
        </w:rPr>
        <w:t xml:space="preserve"> </w:t>
      </w:r>
      <w:r w:rsidRPr="00FE4CEF">
        <w:t>% (по текущи цени) спрямо съответния период на предходната година, а вносът - с 11,1</w:t>
      </w:r>
      <w:r w:rsidR="00AB4667">
        <w:rPr>
          <w:lang w:val="en-US"/>
        </w:rPr>
        <w:t xml:space="preserve"> </w:t>
      </w:r>
      <w:r w:rsidRPr="00FE4CEF">
        <w:t>%. По данни на НСИ, общата динамика на вноса на стоки бе подкрепена както от търговията с ЕС, така и от тази с държави извън Съюза. При износа бе регистрирано номинално увеличение на търговията към държави</w:t>
      </w:r>
      <w:r w:rsidR="00B12935">
        <w:t>-</w:t>
      </w:r>
      <w:r w:rsidRPr="00FE4CEF">
        <w:t>членки и спад към трети страни. Същевременно, воден от увеличение на постъпления от посещения в страна</w:t>
      </w:r>
      <w:r>
        <w:t>та</w:t>
      </w:r>
      <w:r w:rsidRPr="00FE4CEF">
        <w:t>, износът на услуги нарасна с 5,6</w:t>
      </w:r>
      <w:r w:rsidR="00AB4667">
        <w:rPr>
          <w:lang w:val="en-US"/>
        </w:rPr>
        <w:t xml:space="preserve"> </w:t>
      </w:r>
      <w:r w:rsidRPr="00FE4CEF">
        <w:t>%, при регистриран спад на вноса. Общият баланс по търговията със стоки и услуги се понижи до дефицит от 0,7</w:t>
      </w:r>
      <w:r w:rsidR="00AB4667">
        <w:rPr>
          <w:lang w:val="en-US"/>
        </w:rPr>
        <w:t xml:space="preserve"> </w:t>
      </w:r>
      <w:r w:rsidRPr="00FE4CEF">
        <w:t>% от прогнозното БВП, при отрицателна стойност от 0,2</w:t>
      </w:r>
      <w:r w:rsidR="00AB4667">
        <w:rPr>
          <w:lang w:val="en-US"/>
        </w:rPr>
        <w:t xml:space="preserve"> </w:t>
      </w:r>
      <w:r w:rsidRPr="00FE4CEF">
        <w:t>% за същия период на 201</w:t>
      </w:r>
      <w:r w:rsidRPr="00FE4CEF">
        <w:rPr>
          <w:lang w:val="en-US"/>
        </w:rPr>
        <w:t>7</w:t>
      </w:r>
      <w:r w:rsidRPr="00FE4CEF">
        <w:t xml:space="preserve"> г. Входящите трансфери по линия на фондове от ЕС компенсираха напълно дефицита в търговията и текущата сметка достигна излишък от 0,1</w:t>
      </w:r>
      <w:r w:rsidR="00AB4667">
        <w:rPr>
          <w:lang w:val="en-US"/>
        </w:rPr>
        <w:t xml:space="preserve"> </w:t>
      </w:r>
      <w:r w:rsidRPr="00FE4CEF">
        <w:t xml:space="preserve">% </w:t>
      </w:r>
      <w:r>
        <w:t>от БВП за първите два месеца.</w:t>
      </w:r>
    </w:p>
    <w:p w:rsidR="0039334A" w:rsidRDefault="0039334A" w:rsidP="0039334A">
      <w:pPr>
        <w:spacing w:after="120"/>
        <w:jc w:val="both"/>
      </w:pPr>
      <w:r w:rsidRPr="009F5ABC">
        <w:t>След отбелязаното сезонно покачване в нивото на регистрираната безработица през януари спрямо края на предходната година, през следващите два месеца коефициентът се понижи и достигна 6,8</w:t>
      </w:r>
      <w:r w:rsidR="00AB4667">
        <w:rPr>
          <w:lang w:val="en-US"/>
        </w:rPr>
        <w:t xml:space="preserve"> </w:t>
      </w:r>
      <w:r w:rsidRPr="009F5ABC">
        <w:t>% към края на март. Низходящата динамика бе подкрепена от съживяването на сезонно зависимите дейности на икономиката, което доведе до повишено търсене на труд на първичния трудов пазар. Коефициентът на безработица остана по-нисък на годишна база и през трите месеца, ка</w:t>
      </w:r>
      <w:r>
        <w:t>то средният спад възлезе на 1,</w:t>
      </w:r>
      <w:proofErr w:type="spellStart"/>
      <w:r>
        <w:t>1</w:t>
      </w:r>
      <w:proofErr w:type="spellEnd"/>
      <w:r>
        <w:t xml:space="preserve"> </w:t>
      </w:r>
      <w:r w:rsidRPr="009F5ABC">
        <w:t xml:space="preserve">пр.п. Според бизнес наблюденията на НСИ, нагласите на предприемачите за наемането на персонал също се подобриха в </w:t>
      </w:r>
      <w:r>
        <w:t>периода ян</w:t>
      </w:r>
      <w:r w:rsidRPr="009F5ABC">
        <w:t>у</w:t>
      </w:r>
      <w:r>
        <w:t>а</w:t>
      </w:r>
      <w:r w:rsidRPr="009F5ABC">
        <w:t>ри-март, което дава основание да се очаква благоприятното развитие на пазара на труда да продължи и през следващите месеци.</w:t>
      </w:r>
    </w:p>
    <w:p w:rsidR="0039334A" w:rsidRPr="007A3A9B" w:rsidRDefault="0039334A" w:rsidP="0039334A">
      <w:pPr>
        <w:spacing w:after="120"/>
        <w:jc w:val="both"/>
        <w:rPr>
          <w:lang w:val="en-US"/>
        </w:rPr>
      </w:pPr>
      <w:r w:rsidRPr="0098095A">
        <w:t>Годишният темп на инфлация според ХИПЦ достигна 1,9</w:t>
      </w:r>
      <w:r w:rsidR="00AB4667">
        <w:rPr>
          <w:lang w:val="en-US"/>
        </w:rPr>
        <w:t xml:space="preserve"> </w:t>
      </w:r>
      <w:r w:rsidRPr="0098095A">
        <w:t xml:space="preserve">% през март. </w:t>
      </w:r>
      <w:r>
        <w:t>Наблюдаваното ускорение</w:t>
      </w:r>
      <w:r w:rsidRPr="0098095A">
        <w:t xml:space="preserve"> бе основно</w:t>
      </w:r>
      <w:r>
        <w:t xml:space="preserve"> по</w:t>
      </w:r>
      <w:r w:rsidRPr="0098095A">
        <w:t xml:space="preserve"> </w:t>
      </w:r>
      <w:r>
        <w:t xml:space="preserve">линия на </w:t>
      </w:r>
      <w:r w:rsidRPr="0098095A">
        <w:t>на</w:t>
      </w:r>
      <w:r>
        <w:t>растване на цените на услугите,</w:t>
      </w:r>
      <w:r>
        <w:rPr>
          <w:lang w:val="en-US"/>
        </w:rPr>
        <w:t xml:space="preserve"> </w:t>
      </w:r>
      <w:r>
        <w:t>които имаха и най-голям принос за повишението на общия индекс. В</w:t>
      </w:r>
      <w:r w:rsidRPr="004E4D76">
        <w:t xml:space="preserve">ъв връзка с </w:t>
      </w:r>
      <w:r>
        <w:t>това бе наблюдавано и ускорение на</w:t>
      </w:r>
      <w:r w:rsidRPr="004E4D76">
        <w:t xml:space="preserve"> базисната инфлация</w:t>
      </w:r>
      <w:r>
        <w:rPr>
          <w:rStyle w:val="FootnoteReference"/>
        </w:rPr>
        <w:footnoteReference w:id="2"/>
      </w:r>
      <w:r>
        <w:t>, която също б</w:t>
      </w:r>
      <w:r w:rsidRPr="004E4D76">
        <w:t xml:space="preserve">е </w:t>
      </w:r>
      <w:r>
        <w:t>1</w:t>
      </w:r>
      <w:r>
        <w:rPr>
          <w:lang w:val="en-US"/>
        </w:rPr>
        <w:t>,</w:t>
      </w:r>
      <w:r w:rsidRPr="004E4D76">
        <w:t>9</w:t>
      </w:r>
      <w:r w:rsidR="00061758">
        <w:rPr>
          <w:lang w:val="en-US"/>
        </w:rPr>
        <w:t xml:space="preserve"> </w:t>
      </w:r>
      <w:r w:rsidRPr="004E4D76">
        <w:t>% на годишна база</w:t>
      </w:r>
      <w:r>
        <w:t xml:space="preserve">. Продължи и увеличението при административните цени, като то </w:t>
      </w:r>
      <w:r w:rsidRPr="0098095A">
        <w:t>достигна 2,9</w:t>
      </w:r>
      <w:r w:rsidR="00061758">
        <w:rPr>
          <w:lang w:val="en-US"/>
        </w:rPr>
        <w:t xml:space="preserve"> </w:t>
      </w:r>
      <w:r w:rsidRPr="007A3A9B">
        <w:t xml:space="preserve">%. </w:t>
      </w:r>
    </w:p>
    <w:p w:rsidR="0039334A" w:rsidRDefault="0039334A" w:rsidP="0039334A">
      <w:pPr>
        <w:spacing w:after="120"/>
        <w:jc w:val="both"/>
      </w:pPr>
      <w:r w:rsidRPr="007271BF">
        <w:t>Търсенето на кредити продължи да нараства през първото тримесечие на 2018 г. в синхрон с благоприятната икономическа среда и положителните очаквания за развитието на пазара на труда и реалния растеж на БВП</w:t>
      </w:r>
      <w:r>
        <w:t xml:space="preserve">. </w:t>
      </w:r>
      <w:r w:rsidRPr="00B81E74">
        <w:t>Кредитът за частния сектор ускори растежа си през</w:t>
      </w:r>
      <w:r>
        <w:t xml:space="preserve"> февруари и март, съответно до 5</w:t>
      </w:r>
      <w:r w:rsidR="00061758">
        <w:rPr>
          <w:lang w:val="en-US"/>
        </w:rPr>
        <w:t xml:space="preserve"> </w:t>
      </w:r>
      <w:r>
        <w:t>% и 5,6</w:t>
      </w:r>
      <w:r w:rsidR="00061758">
        <w:rPr>
          <w:lang w:val="en-US"/>
        </w:rPr>
        <w:t xml:space="preserve"> </w:t>
      </w:r>
      <w:r>
        <w:t>%</w:t>
      </w:r>
      <w:r w:rsidR="00061758">
        <w:rPr>
          <w:lang w:val="en-US"/>
        </w:rPr>
        <w:t xml:space="preserve"> </w:t>
      </w:r>
      <w:r>
        <w:t>на годишна база, при 4,8</w:t>
      </w:r>
      <w:r w:rsidR="00AB4667">
        <w:rPr>
          <w:lang w:val="en-US"/>
        </w:rPr>
        <w:t xml:space="preserve"> </w:t>
      </w:r>
      <w:r w:rsidRPr="00B81E74">
        <w:t>% в края на 2017 г. Тенденцията на намаление при лошите и преструктурирани кредити се запази и през първите три месеца на 2018 г. Кредитите за домакинства се ускориха повече и отбелязаха растеж от 6,1</w:t>
      </w:r>
      <w:r w:rsidR="00AB4667">
        <w:rPr>
          <w:lang w:val="en-US"/>
        </w:rPr>
        <w:t xml:space="preserve"> </w:t>
      </w:r>
      <w:r w:rsidRPr="00B81E74">
        <w:t>% и 6,3</w:t>
      </w:r>
      <w:r w:rsidR="00AB4667">
        <w:rPr>
          <w:lang w:val="en-US"/>
        </w:rPr>
        <w:t xml:space="preserve"> </w:t>
      </w:r>
      <w:r w:rsidRPr="00B81E74">
        <w:t xml:space="preserve">% </w:t>
      </w:r>
      <w:r>
        <w:lastRenderedPageBreak/>
        <w:t xml:space="preserve">съответно </w:t>
      </w:r>
      <w:r w:rsidRPr="00B81E74">
        <w:t>през февруари и март, докато тези за нефинансови предпри</w:t>
      </w:r>
      <w:r>
        <w:t>ятия се увеличиха съответно с 2</w:t>
      </w:r>
      <w:r w:rsidR="00AB4667">
        <w:rPr>
          <w:lang w:val="en-US"/>
        </w:rPr>
        <w:t xml:space="preserve"> </w:t>
      </w:r>
      <w:r>
        <w:t>% и 2,3</w:t>
      </w:r>
      <w:r w:rsidR="00AB4667">
        <w:rPr>
          <w:lang w:val="en-US"/>
        </w:rPr>
        <w:t xml:space="preserve"> </w:t>
      </w:r>
      <w:r w:rsidRPr="00B81E74">
        <w:t xml:space="preserve">%. </w:t>
      </w:r>
    </w:p>
    <w:p w:rsidR="0039334A" w:rsidRDefault="0039334A" w:rsidP="0039334A">
      <w:pPr>
        <w:spacing w:after="120"/>
        <w:jc w:val="both"/>
      </w:pPr>
      <w:r w:rsidRPr="00B81E74">
        <w:t xml:space="preserve">Депозитите в банковата система продължиха да нарастват стабилно въпреки средата на ниски лихвени проценти. Претеглената цена по ипотечните кредити продължи да се задържа на исторически ниски нива и </w:t>
      </w:r>
      <w:r>
        <w:t>към края на март възлезе на 3,6</w:t>
      </w:r>
      <w:r w:rsidR="00AB4667">
        <w:rPr>
          <w:lang w:val="en-US"/>
        </w:rPr>
        <w:t xml:space="preserve"> </w:t>
      </w:r>
      <w:r w:rsidRPr="00B81E74">
        <w:t>% в синхрон с ускорението при растежа на жилищните кредити, които към края на февруари</w:t>
      </w:r>
      <w:r>
        <w:t xml:space="preserve"> и март нараснаха съответно с 8,5</w:t>
      </w:r>
      <w:r w:rsidR="00AB4667">
        <w:rPr>
          <w:lang w:val="en-US"/>
        </w:rPr>
        <w:t> </w:t>
      </w:r>
      <w:r>
        <w:t>% и 9,1</w:t>
      </w:r>
      <w:r w:rsidR="00AB4667">
        <w:rPr>
          <w:lang w:val="en-US"/>
        </w:rPr>
        <w:t xml:space="preserve"> </w:t>
      </w:r>
      <w:r w:rsidRPr="00B81E74">
        <w:t>%</w:t>
      </w:r>
      <w:r>
        <w:t>,</w:t>
      </w:r>
      <w:r w:rsidRPr="00B81E74">
        <w:t xml:space="preserve"> спрямо същия период на предходната година.</w:t>
      </w:r>
    </w:p>
    <w:p w:rsidR="0039334A" w:rsidRPr="008E1E9A" w:rsidRDefault="0039334A" w:rsidP="0039334A">
      <w:pPr>
        <w:ind w:firstLine="567"/>
        <w:jc w:val="both"/>
        <w:rPr>
          <w:b/>
          <w:color w:val="000000"/>
          <w:u w:val="single"/>
        </w:rPr>
      </w:pPr>
      <w:r w:rsidRPr="008E1E9A">
        <w:rPr>
          <w:b/>
          <w:color w:val="000000"/>
          <w:u w:val="single"/>
        </w:rPr>
        <w:t>Пролетна прогноза на ЕК</w:t>
      </w:r>
    </w:p>
    <w:p w:rsidR="0039334A" w:rsidRPr="008E1E9A" w:rsidRDefault="0039334A" w:rsidP="0039334A">
      <w:pPr>
        <w:spacing w:after="120"/>
        <w:jc w:val="both"/>
        <w:rPr>
          <w:sz w:val="8"/>
          <w:szCs w:val="8"/>
        </w:rPr>
      </w:pPr>
    </w:p>
    <w:p w:rsidR="0039334A" w:rsidRDefault="0039334A" w:rsidP="0039334A">
      <w:pPr>
        <w:spacing w:after="120"/>
        <w:jc w:val="both"/>
      </w:pPr>
      <w:r w:rsidRPr="008E1E9A">
        <w:t>В своята пролетна макроикономическа прогноза, Европейската комисия повиши прогнозата си за растежа на българската икономика до 3,8 % през 2018 г. и 3,7 % през 2019 г. в сравнение с очакван растеж, съответно от 3,7 % и 3,5 % в зимната прогноза. Растежът на БВП ще бъде движен от вътрешното търсене през целия прогнозен период. Положителните развития на пазара на труда и нарастването на реалния разполагаем доход на домакинствата ще подкрепят растежа на частното потребление, а ниските лихвени проценти ще имат положително влияние върху частните инвестиции. Очаква се повишение и на публичното потребление и инвестиции. Капиталовите разходи на правителството ще нараснат, в резултат на ускореното усвояване на средствата от фондове на ЕС и ще имат основен принос за по-високия растеж на инвестициите в основен капитал. Нетният износ ще има отрицателен принос за растежа на БВП.</w:t>
      </w:r>
    </w:p>
    <w:p w:rsidR="0039334A" w:rsidRPr="0019151C" w:rsidRDefault="0039334A" w:rsidP="0039334A">
      <w:pPr>
        <w:spacing w:after="120"/>
        <w:jc w:val="both"/>
      </w:pPr>
      <w:r>
        <w:t>Прогнозата</w:t>
      </w:r>
      <w:r w:rsidRPr="008E1E9A">
        <w:t xml:space="preserve"> предвижда запазване на силната фискална позиция през настоящата и следващата година, като </w:t>
      </w:r>
      <w:r>
        <w:t xml:space="preserve">според нея </w:t>
      </w:r>
      <w:r w:rsidRPr="008E1E9A">
        <w:t xml:space="preserve">сектор „Държавно управление“ ще </w:t>
      </w:r>
      <w:r>
        <w:t>отчете положително салдо в размер на</w:t>
      </w:r>
      <w:r w:rsidRPr="008E1E9A">
        <w:t xml:space="preserve"> 0,6 % от </w:t>
      </w:r>
      <w:r>
        <w:t xml:space="preserve">прогнозния </w:t>
      </w:r>
      <w:r w:rsidRPr="008E1E9A">
        <w:t xml:space="preserve">БВП и за двете години. Намалението на бюджетния излишък </w:t>
      </w:r>
      <w:r>
        <w:t xml:space="preserve">през 2018 г. </w:t>
      </w:r>
      <w:r w:rsidRPr="008E1E9A">
        <w:t xml:space="preserve">спрямо </w:t>
      </w:r>
      <w:r>
        <w:t>отчетения за</w:t>
      </w:r>
      <w:r w:rsidRPr="008E1E9A">
        <w:t xml:space="preserve"> 2017 г. е в резултат от по-високи</w:t>
      </w:r>
      <w:r>
        <w:t>те</w:t>
      </w:r>
      <w:r w:rsidRPr="008E1E9A">
        <w:t xml:space="preserve"> капиталови разходи, свързани с финансиране на проекти по фондовете на ЕС, както и повишаване на разходите за персонал. Същевременно, както приходите от косвени данъци, така и тези от преки данъци и социално-осигурителни вноски ще следват положителната динамика на вътрешното търсене и заплатите.</w:t>
      </w:r>
    </w:p>
    <w:p w:rsidR="0039334A" w:rsidRPr="0019151C" w:rsidRDefault="0039334A" w:rsidP="0039334A">
      <w:pPr>
        <w:ind w:firstLine="567"/>
        <w:jc w:val="both"/>
        <w:rPr>
          <w:color w:val="000000"/>
          <w:u w:val="single"/>
        </w:rPr>
      </w:pPr>
      <w:r w:rsidRPr="0019151C">
        <w:rPr>
          <w:b/>
          <w:color w:val="000000"/>
          <w:u w:val="single"/>
        </w:rPr>
        <w:t xml:space="preserve">Априлски </w:t>
      </w:r>
      <w:proofErr w:type="spellStart"/>
      <w:r w:rsidRPr="0019151C">
        <w:rPr>
          <w:b/>
          <w:color w:val="000000"/>
          <w:u w:val="single"/>
        </w:rPr>
        <w:t>Нотификационни</w:t>
      </w:r>
      <w:proofErr w:type="spellEnd"/>
      <w:r w:rsidRPr="0019151C">
        <w:rPr>
          <w:b/>
          <w:color w:val="000000"/>
          <w:u w:val="single"/>
        </w:rPr>
        <w:t xml:space="preserve"> таблици за дефицита и дълга на България</w:t>
      </w:r>
    </w:p>
    <w:p w:rsidR="0039334A" w:rsidRPr="0019151C" w:rsidRDefault="0039334A" w:rsidP="0039334A">
      <w:pPr>
        <w:ind w:firstLine="567"/>
        <w:jc w:val="both"/>
        <w:rPr>
          <w:color w:val="000000"/>
        </w:rPr>
      </w:pPr>
    </w:p>
    <w:p w:rsidR="0039334A" w:rsidRPr="0019151C" w:rsidRDefault="0039334A" w:rsidP="0039334A">
      <w:pPr>
        <w:spacing w:after="120"/>
        <w:jc w:val="both"/>
      </w:pPr>
      <w:r w:rsidRPr="0019151C">
        <w:t xml:space="preserve">Съгласно априлските </w:t>
      </w:r>
      <w:proofErr w:type="spellStart"/>
      <w:r w:rsidRPr="0019151C">
        <w:t>Нотификационни</w:t>
      </w:r>
      <w:proofErr w:type="spellEnd"/>
      <w:r w:rsidRPr="0019151C">
        <w:t xml:space="preserve"> таблици за дефицита и дълга на България салдото на сект</w:t>
      </w:r>
      <w:r>
        <w:t>ор „Държавно управление“ за 2017</w:t>
      </w:r>
      <w:r w:rsidRPr="0019151C">
        <w:t xml:space="preserve"> г. е </w:t>
      </w:r>
      <w:r>
        <w:t>положително</w:t>
      </w:r>
      <w:r w:rsidRPr="0019151C">
        <w:t xml:space="preserve"> в размер на 0,</w:t>
      </w:r>
      <w:r>
        <w:t>9 % от БВП</w:t>
      </w:r>
      <w:r w:rsidRPr="0019151C">
        <w:t>, а оценката по програмата за 201</w:t>
      </w:r>
      <w:r>
        <w:t>8</w:t>
      </w:r>
      <w:r w:rsidRPr="0019151C">
        <w:t> г. е бюджетна</w:t>
      </w:r>
      <w:r>
        <w:t>та позиция да остане близка до балансирана</w:t>
      </w:r>
      <w:r w:rsidRPr="0019151C">
        <w:t xml:space="preserve">. </w:t>
      </w:r>
    </w:p>
    <w:p w:rsidR="009020AD" w:rsidRPr="009020AD" w:rsidRDefault="009020AD" w:rsidP="009020AD">
      <w:pPr>
        <w:spacing w:after="120"/>
        <w:jc w:val="both"/>
      </w:pPr>
      <w:r w:rsidRPr="009020AD">
        <w:t xml:space="preserve">На база на публикуваните в края на април данни на </w:t>
      </w:r>
      <w:proofErr w:type="spellStart"/>
      <w:r w:rsidRPr="009020AD">
        <w:t>Евростат</w:t>
      </w:r>
      <w:proofErr w:type="spellEnd"/>
      <w:r w:rsidRPr="009020AD">
        <w:t xml:space="preserve"> за дефицита и дълга на държавите-членки през 2017 г. се отчита подобрение и на двата показателя средно за ЕС. Осреднената стойност на дефицита за държавите-членки на ЕС за 2017 г. се равнява на 1,0 % от БВП (подобрение от дефицит в размер на 1,6 % от БВП за 2016 г.), а за страните от еврозоната – 0,9 % от БВП (подобрение от 1,5 % от БВП за 2016 г.). Дванадесет държави-членки отчитат излишък за 2017 г., други тринадесет отчитат дефицит в рамките на референтната стойност на Пакта за стабилност и растеж (до 3% от БВП). Словения отчита балансирано бюджетно салдо за сектор „Държавно управление“. Само две държави-членки (Испания и Португалия) отчитат дефицит по-висок или равен на референтната стойност. </w:t>
      </w:r>
    </w:p>
    <w:p w:rsidR="009020AD" w:rsidRPr="009020AD" w:rsidRDefault="009020AD" w:rsidP="009020AD">
      <w:pPr>
        <w:spacing w:after="120"/>
        <w:jc w:val="both"/>
      </w:pPr>
      <w:r w:rsidRPr="009020AD">
        <w:t xml:space="preserve">По отношение на дълга, България е трета </w:t>
      </w:r>
      <w:r w:rsidRPr="009020AD">
        <w:rPr>
          <w:lang w:val="en-US"/>
        </w:rPr>
        <w:t>(</w:t>
      </w:r>
      <w:r w:rsidRPr="009020AD">
        <w:t>след Естония и Люксембург</w:t>
      </w:r>
      <w:r w:rsidRPr="009020AD">
        <w:rPr>
          <w:lang w:val="en-US"/>
        </w:rPr>
        <w:t>)</w:t>
      </w:r>
      <w:r w:rsidRPr="009020AD">
        <w:t xml:space="preserve">, с най-нисък дълг на сектор „Държавно управление“ в ЕС за 2017 г. </w:t>
      </w:r>
      <w:r w:rsidRPr="009020AD">
        <w:rPr>
          <w:lang w:val="en-US"/>
        </w:rPr>
        <w:t xml:space="preserve">– </w:t>
      </w:r>
      <w:r w:rsidRPr="009020AD">
        <w:t>25</w:t>
      </w:r>
      <w:proofErr w:type="gramStart"/>
      <w:r w:rsidRPr="009020AD">
        <w:t>,4</w:t>
      </w:r>
      <w:proofErr w:type="gramEnd"/>
      <w:r w:rsidRPr="009020AD">
        <w:t xml:space="preserve"> % от БВП, като спрямо предходната година се отчита понижение с 3,6 пр. п. Петнадесет държави-членки надвишават референтната стойност от 60 % от БВП в Пакта за стабилност и растеж, като средно за ЕС дългът се свива с 1,7 пр. п. на годишна база до 81,6 % от БВП за 2017 година. </w:t>
      </w:r>
    </w:p>
    <w:p w:rsidR="0039334A" w:rsidRPr="002A75FC" w:rsidRDefault="009020AD" w:rsidP="009020AD">
      <w:pPr>
        <w:spacing w:after="120"/>
        <w:jc w:val="both"/>
        <w:rPr>
          <w:rFonts w:cs="Arial"/>
          <w:lang w:eastAsia="bg-BG"/>
        </w:rPr>
      </w:pPr>
      <w:r w:rsidRPr="009020AD">
        <w:t xml:space="preserve">Постигнатото подобрение на бюджетната позиция на България и отчетеното </w:t>
      </w:r>
      <w:proofErr w:type="spellStart"/>
      <w:r w:rsidRPr="009020AD">
        <w:t>превишение</w:t>
      </w:r>
      <w:proofErr w:type="spellEnd"/>
      <w:r w:rsidRPr="009020AD">
        <w:t xml:space="preserve"> на приходите над разходите за последните две години (2016 г. и 2017 г.) позволи през 2017 г. дългът на сектор „Държавно управление“ да бъде намален номинално с около 2,3 млрд. лв. Въз основа на допусканията в </w:t>
      </w:r>
      <w:proofErr w:type="spellStart"/>
      <w:r w:rsidRPr="009020AD">
        <w:t>Конвергентната</w:t>
      </w:r>
      <w:proofErr w:type="spellEnd"/>
      <w:r w:rsidRPr="009020AD">
        <w:t xml:space="preserve"> програма на Република България 2018-2021 г. </w:t>
      </w:r>
      <w:r w:rsidRPr="009020AD">
        <w:lastRenderedPageBreak/>
        <w:t>се очаква той да продължи да се свива през целия хоризонт на прогнозата и към края на 2021 г. да намалее до 19,4 % от прогнозния БВП.</w:t>
      </w:r>
      <w:r w:rsidR="0039334A" w:rsidRPr="006270A2">
        <w:rPr>
          <w:rFonts w:cs="Arial"/>
          <w:lang w:eastAsia="bg-BG"/>
        </w:rPr>
        <w:t>.</w:t>
      </w:r>
      <w:r w:rsidR="0039334A">
        <w:rPr>
          <w:rFonts w:cs="Arial"/>
          <w:lang w:eastAsia="bg-BG"/>
        </w:rPr>
        <w:t xml:space="preserve"> </w:t>
      </w:r>
    </w:p>
    <w:p w:rsidR="0019151C" w:rsidRPr="00B53232" w:rsidRDefault="0019151C" w:rsidP="00120CC7">
      <w:pPr>
        <w:spacing w:before="120" w:after="120"/>
        <w:jc w:val="both"/>
        <w:rPr>
          <w:color w:val="0070C0"/>
          <w:sz w:val="12"/>
          <w:szCs w:val="12"/>
        </w:rPr>
      </w:pPr>
    </w:p>
    <w:p w:rsidR="00E74802" w:rsidRPr="00B90E95" w:rsidRDefault="00E74802" w:rsidP="00E74802">
      <w:pPr>
        <w:pStyle w:val="Heading1"/>
        <w:numPr>
          <w:ilvl w:val="0"/>
          <w:numId w:val="10"/>
        </w:numPr>
        <w:ind w:right="-108"/>
        <w:jc w:val="both"/>
        <w:rPr>
          <w:sz w:val="24"/>
        </w:rPr>
      </w:pPr>
      <w:r w:rsidRPr="00B90E95">
        <w:rPr>
          <w:sz w:val="24"/>
        </w:rPr>
        <w:t>Основни показатели по консолидираната фискална програма</w:t>
      </w:r>
      <w:r w:rsidRPr="00B90E95">
        <w:rPr>
          <w:rStyle w:val="FootnoteReference"/>
          <w:sz w:val="24"/>
        </w:rPr>
        <w:footnoteReference w:id="3"/>
      </w:r>
      <w:r w:rsidRPr="00B90E95">
        <w:rPr>
          <w:sz w:val="24"/>
        </w:rPr>
        <w:t xml:space="preserve"> за първото тримесечие на 201</w:t>
      </w:r>
      <w:r w:rsidR="00B90E95" w:rsidRPr="00B90E95">
        <w:rPr>
          <w:sz w:val="24"/>
          <w:lang w:val="en-US"/>
        </w:rPr>
        <w:t>8</w:t>
      </w:r>
      <w:r w:rsidRPr="00B90E95">
        <w:rPr>
          <w:sz w:val="24"/>
        </w:rPr>
        <w:t> г.</w:t>
      </w:r>
    </w:p>
    <w:p w:rsidR="00430A35" w:rsidRPr="00B90E95" w:rsidRDefault="00430A35" w:rsidP="00430A35">
      <w:pPr>
        <w:rPr>
          <w:sz w:val="12"/>
          <w:szCs w:val="12"/>
        </w:rPr>
      </w:pPr>
    </w:p>
    <w:p w:rsidR="00987CE4" w:rsidRPr="00B90E95" w:rsidRDefault="00987CE4" w:rsidP="00AF205D">
      <w:pPr>
        <w:ind w:firstLine="360"/>
        <w:jc w:val="both"/>
      </w:pPr>
      <w:r w:rsidRPr="00B90E95">
        <w:t xml:space="preserve">Изпълнението на основните показатели по консолидираната фискална програма за </w:t>
      </w:r>
      <w:r w:rsidR="00EF4853" w:rsidRPr="00B90E95">
        <w:t>първото тримесечие</w:t>
      </w:r>
      <w:r w:rsidR="00E00282" w:rsidRPr="00B90E95">
        <w:t xml:space="preserve"> </w:t>
      </w:r>
      <w:r w:rsidRPr="00B90E95">
        <w:t>на 201</w:t>
      </w:r>
      <w:r w:rsidR="00B90E95" w:rsidRPr="00B90E95">
        <w:rPr>
          <w:lang w:val="en-US"/>
        </w:rPr>
        <w:t>8</w:t>
      </w:r>
      <w:r w:rsidRPr="00B90E95">
        <w:t xml:space="preserve"> г. е представено на следната таблица:</w:t>
      </w:r>
    </w:p>
    <w:p w:rsidR="00E74802" w:rsidRPr="00B90E95" w:rsidRDefault="00E74802" w:rsidP="00AF205D">
      <w:pPr>
        <w:ind w:firstLine="360"/>
        <w:jc w:val="both"/>
      </w:pPr>
    </w:p>
    <w:p w:rsidR="004923E3" w:rsidRPr="00B90E95" w:rsidRDefault="004923E3" w:rsidP="00AF205D">
      <w:pPr>
        <w:ind w:firstLine="360"/>
        <w:jc w:val="both"/>
        <w:rPr>
          <w:sz w:val="4"/>
          <w:szCs w:val="4"/>
        </w:rPr>
      </w:pPr>
    </w:p>
    <w:p w:rsidR="00987CE4" w:rsidRPr="00B90E95" w:rsidRDefault="00987CE4" w:rsidP="00987CE4">
      <w:pPr>
        <w:jc w:val="both"/>
        <w:rPr>
          <w:sz w:val="4"/>
          <w:szCs w:val="4"/>
        </w:rPr>
      </w:pPr>
    </w:p>
    <w:p w:rsidR="00987CE4" w:rsidRPr="00B90E95" w:rsidRDefault="00987CE4" w:rsidP="00987CE4">
      <w:pPr>
        <w:jc w:val="both"/>
        <w:rPr>
          <w:sz w:val="4"/>
          <w:szCs w:val="4"/>
        </w:rPr>
      </w:pPr>
    </w:p>
    <w:p w:rsidR="00987CE4" w:rsidRPr="00B90E95" w:rsidRDefault="00987CE4" w:rsidP="00987CE4">
      <w:pPr>
        <w:rPr>
          <w:b/>
          <w:i/>
          <w:sz w:val="18"/>
          <w:szCs w:val="18"/>
        </w:rPr>
      </w:pPr>
      <w:r w:rsidRPr="00B90E95">
        <w:rPr>
          <w:b/>
          <w:i/>
          <w:sz w:val="22"/>
          <w:szCs w:val="22"/>
        </w:rPr>
        <w:t>Таблица</w:t>
      </w:r>
      <w:r w:rsidR="00E74802" w:rsidRPr="00B90E95">
        <w:rPr>
          <w:b/>
          <w:i/>
          <w:sz w:val="22"/>
          <w:szCs w:val="22"/>
          <w:vertAlign w:val="superscript"/>
        </w:rPr>
        <w:footnoteReference w:id="4"/>
      </w:r>
      <w:r w:rsidRPr="00B90E95">
        <w:rPr>
          <w:b/>
          <w:i/>
          <w:sz w:val="22"/>
          <w:szCs w:val="22"/>
        </w:rPr>
        <w:t xml:space="preserve"> №1</w:t>
      </w:r>
      <w:r w:rsidRPr="00B90E95">
        <w:rPr>
          <w:b/>
          <w:i/>
          <w:sz w:val="22"/>
          <w:szCs w:val="22"/>
        </w:rPr>
        <w:tab/>
      </w:r>
      <w:r w:rsidRPr="00B90E95">
        <w:rPr>
          <w:b/>
          <w:i/>
          <w:sz w:val="22"/>
          <w:szCs w:val="22"/>
        </w:rPr>
        <w:tab/>
      </w:r>
      <w:r w:rsidRPr="00B90E95">
        <w:rPr>
          <w:b/>
          <w:i/>
          <w:sz w:val="22"/>
          <w:szCs w:val="22"/>
        </w:rPr>
        <w:tab/>
      </w:r>
      <w:r w:rsidRPr="00B90E95">
        <w:rPr>
          <w:b/>
          <w:i/>
          <w:sz w:val="22"/>
          <w:szCs w:val="22"/>
        </w:rPr>
        <w:tab/>
      </w:r>
      <w:r w:rsidRPr="00B90E95">
        <w:rPr>
          <w:b/>
          <w:i/>
          <w:sz w:val="22"/>
          <w:szCs w:val="22"/>
        </w:rPr>
        <w:tab/>
      </w:r>
      <w:r w:rsidRPr="00B90E95">
        <w:rPr>
          <w:b/>
          <w:i/>
          <w:sz w:val="22"/>
          <w:szCs w:val="22"/>
        </w:rPr>
        <w:tab/>
      </w:r>
      <w:r w:rsidRPr="00B90E95">
        <w:rPr>
          <w:b/>
          <w:i/>
          <w:sz w:val="22"/>
          <w:szCs w:val="22"/>
        </w:rPr>
        <w:tab/>
      </w:r>
      <w:r w:rsidRPr="00B90E95">
        <w:rPr>
          <w:b/>
          <w:i/>
          <w:sz w:val="22"/>
          <w:szCs w:val="22"/>
        </w:rPr>
        <w:tab/>
      </w:r>
      <w:r w:rsidRPr="00B90E95">
        <w:rPr>
          <w:b/>
          <w:i/>
          <w:sz w:val="22"/>
          <w:szCs w:val="22"/>
        </w:rPr>
        <w:tab/>
      </w:r>
      <w:r w:rsidRPr="00B90E95">
        <w:rPr>
          <w:b/>
          <w:i/>
          <w:sz w:val="22"/>
          <w:szCs w:val="22"/>
        </w:rPr>
        <w:tab/>
      </w:r>
      <w:r w:rsidRPr="00B90E95">
        <w:rPr>
          <w:b/>
          <w:i/>
          <w:sz w:val="22"/>
          <w:szCs w:val="22"/>
        </w:rPr>
        <w:tab/>
      </w:r>
      <w:r w:rsidRPr="00B90E95">
        <w:rPr>
          <w:b/>
          <w:i/>
          <w:sz w:val="18"/>
          <w:szCs w:val="18"/>
        </w:rPr>
        <w:t>(млн. лв.)</w:t>
      </w:r>
    </w:p>
    <w:tbl>
      <w:tblPr>
        <w:tblW w:w="10093" w:type="dxa"/>
        <w:tblInd w:w="98" w:type="dxa"/>
        <w:tblLook w:val="04A0" w:firstRow="1" w:lastRow="0" w:firstColumn="1" w:lastColumn="0" w:noHBand="0" w:noVBand="1"/>
      </w:tblPr>
      <w:tblGrid>
        <w:gridCol w:w="4263"/>
        <w:gridCol w:w="992"/>
        <w:gridCol w:w="1087"/>
        <w:gridCol w:w="1252"/>
        <w:gridCol w:w="1199"/>
        <w:gridCol w:w="1300"/>
      </w:tblGrid>
      <w:tr w:rsidR="00B53232" w:rsidRPr="00B53232" w:rsidTr="00F52838">
        <w:trPr>
          <w:trHeight w:val="270"/>
        </w:trPr>
        <w:tc>
          <w:tcPr>
            <w:tcW w:w="4263"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rsidR="00500DD6" w:rsidRPr="00373E32" w:rsidRDefault="00500DD6">
            <w:pPr>
              <w:jc w:val="center"/>
              <w:rPr>
                <w:b/>
                <w:bCs/>
                <w:sz w:val="18"/>
                <w:szCs w:val="18"/>
              </w:rPr>
            </w:pPr>
            <w:r w:rsidRPr="00373E32">
              <w:rPr>
                <w:b/>
                <w:bCs/>
                <w:sz w:val="18"/>
                <w:szCs w:val="18"/>
              </w:rPr>
              <w:t>ПОКАЗАТЕЛ</w:t>
            </w:r>
          </w:p>
        </w:tc>
        <w:tc>
          <w:tcPr>
            <w:tcW w:w="992" w:type="dxa"/>
            <w:tcBorders>
              <w:top w:val="single" w:sz="8" w:space="0" w:color="auto"/>
              <w:left w:val="single" w:sz="4" w:space="0" w:color="auto"/>
              <w:bottom w:val="nil"/>
              <w:right w:val="single" w:sz="4" w:space="0" w:color="auto"/>
            </w:tcBorders>
            <w:shd w:val="clear" w:color="000000" w:fill="D9D9D9"/>
            <w:noWrap/>
            <w:vAlign w:val="bottom"/>
            <w:hideMark/>
          </w:tcPr>
          <w:p w:rsidR="00500DD6" w:rsidRPr="00373E32" w:rsidRDefault="00500DD6" w:rsidP="00373E32">
            <w:pPr>
              <w:jc w:val="center"/>
              <w:rPr>
                <w:b/>
                <w:bCs/>
                <w:sz w:val="18"/>
                <w:szCs w:val="18"/>
              </w:rPr>
            </w:pPr>
            <w:r w:rsidRPr="00373E32">
              <w:rPr>
                <w:b/>
                <w:bCs/>
                <w:sz w:val="18"/>
                <w:szCs w:val="18"/>
              </w:rPr>
              <w:t>Разчет 201</w:t>
            </w:r>
            <w:r w:rsidR="00373E32" w:rsidRPr="00373E32">
              <w:rPr>
                <w:b/>
                <w:bCs/>
                <w:sz w:val="18"/>
                <w:szCs w:val="18"/>
                <w:lang w:val="en-US"/>
              </w:rPr>
              <w:t>8</w:t>
            </w:r>
            <w:r w:rsidRPr="00373E32">
              <w:rPr>
                <w:b/>
                <w:bCs/>
                <w:sz w:val="18"/>
                <w:szCs w:val="18"/>
              </w:rPr>
              <w:t xml:space="preserve"> г.</w:t>
            </w:r>
          </w:p>
        </w:tc>
        <w:tc>
          <w:tcPr>
            <w:tcW w:w="3538" w:type="dxa"/>
            <w:gridSpan w:val="3"/>
            <w:tcBorders>
              <w:top w:val="single" w:sz="8" w:space="0" w:color="auto"/>
              <w:left w:val="nil"/>
              <w:bottom w:val="single" w:sz="4" w:space="0" w:color="auto"/>
              <w:right w:val="single" w:sz="4" w:space="0" w:color="auto"/>
            </w:tcBorders>
            <w:shd w:val="clear" w:color="000000" w:fill="D9D9D9"/>
            <w:noWrap/>
            <w:vAlign w:val="center"/>
            <w:hideMark/>
          </w:tcPr>
          <w:p w:rsidR="00500DD6" w:rsidRPr="00373E32" w:rsidRDefault="00500DD6" w:rsidP="00373E32">
            <w:pPr>
              <w:jc w:val="center"/>
              <w:rPr>
                <w:b/>
                <w:bCs/>
                <w:sz w:val="18"/>
                <w:szCs w:val="18"/>
              </w:rPr>
            </w:pPr>
            <w:r w:rsidRPr="00373E32">
              <w:rPr>
                <w:b/>
                <w:bCs/>
                <w:sz w:val="18"/>
                <w:szCs w:val="18"/>
              </w:rPr>
              <w:t>Отчет към 3</w:t>
            </w:r>
            <w:r w:rsidR="00EF4853" w:rsidRPr="00373E32">
              <w:rPr>
                <w:b/>
                <w:bCs/>
                <w:sz w:val="18"/>
                <w:szCs w:val="18"/>
              </w:rPr>
              <w:t>1</w:t>
            </w:r>
            <w:r w:rsidRPr="00373E32">
              <w:rPr>
                <w:b/>
                <w:bCs/>
                <w:sz w:val="18"/>
                <w:szCs w:val="18"/>
              </w:rPr>
              <w:t>.0</w:t>
            </w:r>
            <w:r w:rsidR="00EF4853" w:rsidRPr="00373E32">
              <w:rPr>
                <w:b/>
                <w:bCs/>
                <w:sz w:val="18"/>
                <w:szCs w:val="18"/>
              </w:rPr>
              <w:t>3</w:t>
            </w:r>
            <w:r w:rsidRPr="00373E32">
              <w:rPr>
                <w:b/>
                <w:bCs/>
                <w:sz w:val="18"/>
                <w:szCs w:val="18"/>
              </w:rPr>
              <w:t>.201</w:t>
            </w:r>
            <w:r w:rsidR="00373E32" w:rsidRPr="00373E32">
              <w:rPr>
                <w:b/>
                <w:bCs/>
                <w:sz w:val="18"/>
                <w:szCs w:val="18"/>
                <w:lang w:val="en-US"/>
              </w:rPr>
              <w:t>8</w:t>
            </w:r>
            <w:r w:rsidRPr="00373E32">
              <w:rPr>
                <w:b/>
                <w:bCs/>
                <w:sz w:val="18"/>
                <w:szCs w:val="18"/>
              </w:rPr>
              <w:t xml:space="preserve"> г.</w:t>
            </w:r>
          </w:p>
        </w:tc>
        <w:tc>
          <w:tcPr>
            <w:tcW w:w="1300" w:type="dxa"/>
            <w:tcBorders>
              <w:top w:val="single" w:sz="8" w:space="0" w:color="auto"/>
              <w:left w:val="nil"/>
              <w:bottom w:val="nil"/>
              <w:right w:val="single" w:sz="8" w:space="0" w:color="auto"/>
            </w:tcBorders>
            <w:shd w:val="clear" w:color="000000" w:fill="D9D9D9"/>
            <w:noWrap/>
            <w:vAlign w:val="bottom"/>
            <w:hideMark/>
          </w:tcPr>
          <w:p w:rsidR="00500DD6" w:rsidRPr="00373E32" w:rsidRDefault="00500DD6">
            <w:pPr>
              <w:jc w:val="center"/>
              <w:rPr>
                <w:b/>
                <w:bCs/>
                <w:sz w:val="18"/>
                <w:szCs w:val="18"/>
              </w:rPr>
            </w:pPr>
            <w:r w:rsidRPr="00373E32">
              <w:rPr>
                <w:b/>
                <w:bCs/>
                <w:sz w:val="18"/>
                <w:szCs w:val="18"/>
              </w:rPr>
              <w:t>Изпълнение</w:t>
            </w:r>
          </w:p>
        </w:tc>
      </w:tr>
      <w:tr w:rsidR="00B53232" w:rsidRPr="00B53232" w:rsidTr="00F52838">
        <w:trPr>
          <w:trHeight w:val="255"/>
        </w:trPr>
        <w:tc>
          <w:tcPr>
            <w:tcW w:w="4263" w:type="dxa"/>
            <w:vMerge/>
            <w:tcBorders>
              <w:top w:val="single" w:sz="8" w:space="0" w:color="auto"/>
              <w:left w:val="single" w:sz="8" w:space="0" w:color="auto"/>
              <w:bottom w:val="single" w:sz="4" w:space="0" w:color="000000"/>
              <w:right w:val="nil"/>
            </w:tcBorders>
            <w:vAlign w:val="center"/>
            <w:hideMark/>
          </w:tcPr>
          <w:p w:rsidR="00500DD6" w:rsidRPr="00373E32" w:rsidRDefault="00500DD6">
            <w:pPr>
              <w:rPr>
                <w:b/>
                <w:bCs/>
                <w:sz w:val="18"/>
                <w:szCs w:val="18"/>
              </w:rPr>
            </w:pPr>
          </w:p>
        </w:tc>
        <w:tc>
          <w:tcPr>
            <w:tcW w:w="992" w:type="dxa"/>
            <w:tcBorders>
              <w:top w:val="nil"/>
              <w:left w:val="single" w:sz="4" w:space="0" w:color="auto"/>
              <w:bottom w:val="single" w:sz="4" w:space="0" w:color="auto"/>
              <w:right w:val="single" w:sz="4" w:space="0" w:color="auto"/>
            </w:tcBorders>
            <w:shd w:val="clear" w:color="000000" w:fill="D9D9D9"/>
            <w:noWrap/>
            <w:vAlign w:val="bottom"/>
            <w:hideMark/>
          </w:tcPr>
          <w:p w:rsidR="00500DD6" w:rsidRPr="00373E32" w:rsidRDefault="00500DD6">
            <w:pPr>
              <w:jc w:val="center"/>
              <w:rPr>
                <w:b/>
                <w:bCs/>
                <w:sz w:val="18"/>
                <w:szCs w:val="18"/>
              </w:rPr>
            </w:pPr>
            <w:r w:rsidRPr="00373E32">
              <w:rPr>
                <w:b/>
                <w:bCs/>
                <w:sz w:val="18"/>
                <w:szCs w:val="18"/>
              </w:rPr>
              <w:t xml:space="preserve"> КФП</w:t>
            </w:r>
          </w:p>
        </w:tc>
        <w:tc>
          <w:tcPr>
            <w:tcW w:w="1087" w:type="dxa"/>
            <w:tcBorders>
              <w:top w:val="nil"/>
              <w:left w:val="nil"/>
              <w:bottom w:val="single" w:sz="4" w:space="0" w:color="auto"/>
              <w:right w:val="single" w:sz="4" w:space="0" w:color="auto"/>
            </w:tcBorders>
            <w:shd w:val="clear" w:color="000000" w:fill="D9D9D9"/>
            <w:noWrap/>
            <w:vAlign w:val="bottom"/>
            <w:hideMark/>
          </w:tcPr>
          <w:p w:rsidR="00500DD6" w:rsidRPr="00373E32" w:rsidRDefault="00500DD6">
            <w:pPr>
              <w:jc w:val="center"/>
              <w:rPr>
                <w:b/>
                <w:bCs/>
                <w:sz w:val="18"/>
                <w:szCs w:val="18"/>
              </w:rPr>
            </w:pPr>
            <w:r w:rsidRPr="00373E32">
              <w:rPr>
                <w:b/>
                <w:bCs/>
                <w:sz w:val="18"/>
                <w:szCs w:val="18"/>
              </w:rPr>
              <w:t xml:space="preserve"> КФП</w:t>
            </w:r>
          </w:p>
        </w:tc>
        <w:tc>
          <w:tcPr>
            <w:tcW w:w="1252" w:type="dxa"/>
            <w:tcBorders>
              <w:top w:val="nil"/>
              <w:left w:val="nil"/>
              <w:bottom w:val="single" w:sz="4" w:space="0" w:color="auto"/>
              <w:right w:val="single" w:sz="4" w:space="0" w:color="auto"/>
            </w:tcBorders>
            <w:shd w:val="clear" w:color="000000" w:fill="D9D9D9"/>
            <w:noWrap/>
            <w:vAlign w:val="bottom"/>
            <w:hideMark/>
          </w:tcPr>
          <w:p w:rsidR="00500DD6" w:rsidRPr="00373E32" w:rsidRDefault="00500DD6">
            <w:pPr>
              <w:jc w:val="center"/>
              <w:rPr>
                <w:b/>
                <w:bCs/>
                <w:sz w:val="18"/>
                <w:szCs w:val="18"/>
              </w:rPr>
            </w:pPr>
            <w:r w:rsidRPr="00373E32">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rsidR="00500DD6" w:rsidRPr="00373E32" w:rsidRDefault="00500DD6">
            <w:pPr>
              <w:jc w:val="center"/>
              <w:rPr>
                <w:b/>
                <w:bCs/>
                <w:sz w:val="18"/>
                <w:szCs w:val="18"/>
              </w:rPr>
            </w:pPr>
            <w:r w:rsidRPr="00373E32">
              <w:rPr>
                <w:b/>
                <w:bCs/>
                <w:sz w:val="18"/>
                <w:szCs w:val="18"/>
              </w:rPr>
              <w:t>Европейски средства</w:t>
            </w:r>
          </w:p>
        </w:tc>
        <w:tc>
          <w:tcPr>
            <w:tcW w:w="1300" w:type="dxa"/>
            <w:tcBorders>
              <w:top w:val="nil"/>
              <w:left w:val="nil"/>
              <w:bottom w:val="single" w:sz="4" w:space="0" w:color="auto"/>
              <w:right w:val="single" w:sz="8" w:space="0" w:color="auto"/>
            </w:tcBorders>
            <w:shd w:val="clear" w:color="000000" w:fill="D9D9D9"/>
            <w:noWrap/>
            <w:vAlign w:val="bottom"/>
            <w:hideMark/>
          </w:tcPr>
          <w:p w:rsidR="00500DD6" w:rsidRPr="00373E32" w:rsidRDefault="00500DD6">
            <w:pPr>
              <w:jc w:val="center"/>
              <w:rPr>
                <w:b/>
                <w:bCs/>
                <w:sz w:val="18"/>
                <w:szCs w:val="18"/>
              </w:rPr>
            </w:pPr>
            <w:r w:rsidRPr="00373E32">
              <w:rPr>
                <w:b/>
                <w:bCs/>
                <w:sz w:val="18"/>
                <w:szCs w:val="18"/>
              </w:rPr>
              <w:t>спрямо разчет</w:t>
            </w:r>
          </w:p>
        </w:tc>
      </w:tr>
      <w:tr w:rsidR="00B53232" w:rsidRPr="00B53232" w:rsidTr="00F52838">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rsidR="00500DD6" w:rsidRPr="00373E32" w:rsidRDefault="00500DD6">
            <w:pPr>
              <w:jc w:val="center"/>
              <w:rPr>
                <w:sz w:val="18"/>
                <w:szCs w:val="18"/>
              </w:rPr>
            </w:pPr>
            <w:r w:rsidRPr="00373E32">
              <w:rPr>
                <w:sz w:val="18"/>
                <w:szCs w:val="18"/>
              </w:rPr>
              <w:t>к.1</w:t>
            </w:r>
          </w:p>
        </w:tc>
        <w:tc>
          <w:tcPr>
            <w:tcW w:w="992" w:type="dxa"/>
            <w:tcBorders>
              <w:top w:val="nil"/>
              <w:left w:val="single" w:sz="4" w:space="0" w:color="auto"/>
              <w:bottom w:val="single" w:sz="8" w:space="0" w:color="auto"/>
              <w:right w:val="single" w:sz="4" w:space="0" w:color="auto"/>
            </w:tcBorders>
            <w:shd w:val="clear" w:color="000000" w:fill="D9D9D9"/>
            <w:noWrap/>
            <w:vAlign w:val="bottom"/>
            <w:hideMark/>
          </w:tcPr>
          <w:p w:rsidR="00500DD6" w:rsidRPr="00373E32" w:rsidRDefault="00500DD6">
            <w:pPr>
              <w:jc w:val="center"/>
              <w:rPr>
                <w:sz w:val="18"/>
                <w:szCs w:val="18"/>
              </w:rPr>
            </w:pPr>
            <w:r w:rsidRPr="00373E32">
              <w:rPr>
                <w:sz w:val="18"/>
                <w:szCs w:val="18"/>
              </w:rPr>
              <w:t>к.2</w:t>
            </w:r>
          </w:p>
        </w:tc>
        <w:tc>
          <w:tcPr>
            <w:tcW w:w="1087" w:type="dxa"/>
            <w:tcBorders>
              <w:top w:val="nil"/>
              <w:left w:val="nil"/>
              <w:bottom w:val="single" w:sz="8" w:space="0" w:color="auto"/>
              <w:right w:val="single" w:sz="4" w:space="0" w:color="auto"/>
            </w:tcBorders>
            <w:shd w:val="clear" w:color="000000" w:fill="D9D9D9"/>
            <w:noWrap/>
            <w:vAlign w:val="bottom"/>
            <w:hideMark/>
          </w:tcPr>
          <w:p w:rsidR="00500DD6" w:rsidRPr="00373E32" w:rsidRDefault="00500DD6">
            <w:pPr>
              <w:jc w:val="center"/>
              <w:rPr>
                <w:sz w:val="18"/>
                <w:szCs w:val="18"/>
              </w:rPr>
            </w:pPr>
            <w:r w:rsidRPr="00373E32">
              <w:rPr>
                <w:sz w:val="18"/>
                <w:szCs w:val="18"/>
              </w:rPr>
              <w:t>к.3=к.4+к.5</w:t>
            </w:r>
          </w:p>
        </w:tc>
        <w:tc>
          <w:tcPr>
            <w:tcW w:w="1252" w:type="dxa"/>
            <w:tcBorders>
              <w:top w:val="nil"/>
              <w:left w:val="nil"/>
              <w:bottom w:val="single" w:sz="8" w:space="0" w:color="auto"/>
              <w:right w:val="single" w:sz="4" w:space="0" w:color="auto"/>
            </w:tcBorders>
            <w:shd w:val="clear" w:color="000000" w:fill="D9D9D9"/>
            <w:noWrap/>
            <w:vAlign w:val="bottom"/>
            <w:hideMark/>
          </w:tcPr>
          <w:p w:rsidR="00500DD6" w:rsidRPr="00373E32" w:rsidRDefault="00500DD6">
            <w:pPr>
              <w:jc w:val="center"/>
              <w:rPr>
                <w:sz w:val="18"/>
                <w:szCs w:val="18"/>
              </w:rPr>
            </w:pPr>
            <w:r w:rsidRPr="00373E32">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rsidR="00500DD6" w:rsidRPr="00373E32" w:rsidRDefault="00500DD6">
            <w:pPr>
              <w:jc w:val="center"/>
              <w:rPr>
                <w:sz w:val="18"/>
                <w:szCs w:val="18"/>
              </w:rPr>
            </w:pPr>
            <w:r w:rsidRPr="00373E32">
              <w:rPr>
                <w:sz w:val="18"/>
                <w:szCs w:val="18"/>
              </w:rPr>
              <w:t>к.5</w:t>
            </w:r>
          </w:p>
        </w:tc>
        <w:tc>
          <w:tcPr>
            <w:tcW w:w="1300" w:type="dxa"/>
            <w:tcBorders>
              <w:top w:val="nil"/>
              <w:left w:val="nil"/>
              <w:bottom w:val="single" w:sz="8" w:space="0" w:color="auto"/>
              <w:right w:val="single" w:sz="8" w:space="0" w:color="auto"/>
            </w:tcBorders>
            <w:shd w:val="clear" w:color="000000" w:fill="D9D9D9"/>
            <w:noWrap/>
            <w:vAlign w:val="bottom"/>
            <w:hideMark/>
          </w:tcPr>
          <w:p w:rsidR="00500DD6" w:rsidRPr="00373E32" w:rsidRDefault="00500DD6">
            <w:pPr>
              <w:jc w:val="center"/>
              <w:rPr>
                <w:sz w:val="18"/>
                <w:szCs w:val="18"/>
              </w:rPr>
            </w:pPr>
            <w:r w:rsidRPr="00373E32">
              <w:rPr>
                <w:sz w:val="18"/>
                <w:szCs w:val="18"/>
              </w:rPr>
              <w:t>к.6=к.3:к.2</w:t>
            </w:r>
          </w:p>
        </w:tc>
      </w:tr>
      <w:tr w:rsidR="00F52838" w:rsidRPr="00B53232" w:rsidTr="00F52838">
        <w:trPr>
          <w:trHeight w:val="255"/>
        </w:trPr>
        <w:tc>
          <w:tcPr>
            <w:tcW w:w="4263" w:type="dxa"/>
            <w:tcBorders>
              <w:top w:val="nil"/>
              <w:left w:val="single" w:sz="8" w:space="0" w:color="auto"/>
              <w:bottom w:val="nil"/>
              <w:right w:val="nil"/>
            </w:tcBorders>
            <w:shd w:val="clear" w:color="auto" w:fill="auto"/>
            <w:noWrap/>
            <w:vAlign w:val="bottom"/>
            <w:hideMark/>
          </w:tcPr>
          <w:p w:rsidR="00F52838" w:rsidRPr="00373E32" w:rsidRDefault="00F52838">
            <w:pPr>
              <w:rPr>
                <w:b/>
                <w:bCs/>
                <w:sz w:val="18"/>
                <w:szCs w:val="18"/>
              </w:rPr>
            </w:pPr>
            <w:r w:rsidRPr="00373E32">
              <w:rPr>
                <w:b/>
                <w:bCs/>
                <w:sz w:val="18"/>
                <w:szCs w:val="18"/>
              </w:rPr>
              <w:t>ПРИХОДИ И ПОМОЩИ</w:t>
            </w:r>
          </w:p>
        </w:tc>
        <w:tc>
          <w:tcPr>
            <w:tcW w:w="992" w:type="dxa"/>
            <w:tcBorders>
              <w:top w:val="nil"/>
              <w:left w:val="nil"/>
              <w:bottom w:val="nil"/>
              <w:right w:val="nil"/>
            </w:tcBorders>
            <w:shd w:val="clear" w:color="auto" w:fill="auto"/>
            <w:noWrap/>
            <w:vAlign w:val="bottom"/>
            <w:hideMark/>
          </w:tcPr>
          <w:p w:rsidR="00F52838" w:rsidRDefault="00F52838">
            <w:pPr>
              <w:jc w:val="right"/>
              <w:rPr>
                <w:b/>
                <w:bCs/>
                <w:sz w:val="18"/>
                <w:szCs w:val="18"/>
              </w:rPr>
            </w:pPr>
            <w:r>
              <w:rPr>
                <w:b/>
                <w:bCs/>
                <w:sz w:val="18"/>
                <w:szCs w:val="18"/>
              </w:rPr>
              <w:t>38 213,9</w:t>
            </w:r>
          </w:p>
        </w:tc>
        <w:tc>
          <w:tcPr>
            <w:tcW w:w="1087" w:type="dxa"/>
            <w:tcBorders>
              <w:top w:val="nil"/>
              <w:left w:val="nil"/>
              <w:bottom w:val="nil"/>
              <w:right w:val="nil"/>
            </w:tcBorders>
            <w:shd w:val="clear" w:color="auto" w:fill="auto"/>
            <w:noWrap/>
            <w:vAlign w:val="bottom"/>
            <w:hideMark/>
          </w:tcPr>
          <w:p w:rsidR="00F52838" w:rsidRDefault="00F52838">
            <w:pPr>
              <w:jc w:val="right"/>
              <w:rPr>
                <w:b/>
                <w:bCs/>
                <w:sz w:val="18"/>
                <w:szCs w:val="18"/>
              </w:rPr>
            </w:pPr>
            <w:r>
              <w:rPr>
                <w:b/>
                <w:bCs/>
                <w:sz w:val="18"/>
                <w:szCs w:val="18"/>
              </w:rPr>
              <w:t>9 218,8</w:t>
            </w:r>
          </w:p>
        </w:tc>
        <w:tc>
          <w:tcPr>
            <w:tcW w:w="1252" w:type="dxa"/>
            <w:tcBorders>
              <w:top w:val="nil"/>
              <w:left w:val="nil"/>
              <w:bottom w:val="nil"/>
              <w:right w:val="nil"/>
            </w:tcBorders>
            <w:shd w:val="clear" w:color="auto" w:fill="auto"/>
            <w:noWrap/>
            <w:vAlign w:val="bottom"/>
            <w:hideMark/>
          </w:tcPr>
          <w:p w:rsidR="00F52838" w:rsidRDefault="00F52838">
            <w:pPr>
              <w:jc w:val="right"/>
              <w:rPr>
                <w:b/>
                <w:bCs/>
                <w:color w:val="000000"/>
                <w:sz w:val="18"/>
                <w:szCs w:val="18"/>
              </w:rPr>
            </w:pPr>
            <w:r>
              <w:rPr>
                <w:b/>
                <w:bCs/>
                <w:color w:val="000000"/>
                <w:sz w:val="18"/>
                <w:szCs w:val="18"/>
              </w:rPr>
              <w:t>9 092,1</w:t>
            </w:r>
          </w:p>
        </w:tc>
        <w:tc>
          <w:tcPr>
            <w:tcW w:w="1199" w:type="dxa"/>
            <w:tcBorders>
              <w:top w:val="nil"/>
              <w:left w:val="nil"/>
              <w:bottom w:val="nil"/>
              <w:right w:val="nil"/>
            </w:tcBorders>
            <w:shd w:val="clear" w:color="auto" w:fill="auto"/>
            <w:noWrap/>
            <w:vAlign w:val="bottom"/>
            <w:hideMark/>
          </w:tcPr>
          <w:p w:rsidR="00F52838" w:rsidRDefault="00F52838">
            <w:pPr>
              <w:jc w:val="right"/>
              <w:rPr>
                <w:b/>
                <w:bCs/>
                <w:color w:val="000000"/>
                <w:sz w:val="18"/>
                <w:szCs w:val="18"/>
              </w:rPr>
            </w:pPr>
            <w:r>
              <w:rPr>
                <w:b/>
                <w:bCs/>
                <w:color w:val="000000"/>
                <w:sz w:val="18"/>
                <w:szCs w:val="18"/>
              </w:rPr>
              <w:t>126,7</w:t>
            </w:r>
          </w:p>
        </w:tc>
        <w:tc>
          <w:tcPr>
            <w:tcW w:w="1300" w:type="dxa"/>
            <w:tcBorders>
              <w:top w:val="nil"/>
              <w:left w:val="nil"/>
              <w:bottom w:val="nil"/>
              <w:right w:val="single" w:sz="8" w:space="0" w:color="auto"/>
            </w:tcBorders>
            <w:shd w:val="clear" w:color="auto" w:fill="auto"/>
            <w:noWrap/>
            <w:vAlign w:val="bottom"/>
            <w:hideMark/>
          </w:tcPr>
          <w:p w:rsidR="00F52838" w:rsidRDefault="00F52838">
            <w:pPr>
              <w:jc w:val="right"/>
              <w:rPr>
                <w:b/>
                <w:bCs/>
                <w:sz w:val="18"/>
                <w:szCs w:val="18"/>
              </w:rPr>
            </w:pPr>
            <w:r>
              <w:rPr>
                <w:b/>
                <w:bCs/>
                <w:sz w:val="18"/>
                <w:szCs w:val="18"/>
              </w:rPr>
              <w:t>24,1%</w:t>
            </w:r>
          </w:p>
        </w:tc>
      </w:tr>
      <w:tr w:rsidR="00F52838" w:rsidRPr="00B53232" w:rsidTr="00F52838">
        <w:trPr>
          <w:trHeight w:val="255"/>
        </w:trPr>
        <w:tc>
          <w:tcPr>
            <w:tcW w:w="4263" w:type="dxa"/>
            <w:tcBorders>
              <w:top w:val="nil"/>
              <w:left w:val="single" w:sz="8" w:space="0" w:color="auto"/>
              <w:bottom w:val="nil"/>
              <w:right w:val="nil"/>
            </w:tcBorders>
            <w:shd w:val="clear" w:color="auto" w:fill="auto"/>
            <w:noWrap/>
            <w:vAlign w:val="bottom"/>
            <w:hideMark/>
          </w:tcPr>
          <w:p w:rsidR="00F52838" w:rsidRPr="00373E32" w:rsidRDefault="00F52838">
            <w:pPr>
              <w:rPr>
                <w:sz w:val="18"/>
                <w:szCs w:val="18"/>
              </w:rPr>
            </w:pPr>
            <w:r w:rsidRPr="00373E32">
              <w:rPr>
                <w:sz w:val="18"/>
                <w:szCs w:val="18"/>
              </w:rPr>
              <w:t xml:space="preserve">  Данъчни приходи</w:t>
            </w:r>
          </w:p>
        </w:tc>
        <w:tc>
          <w:tcPr>
            <w:tcW w:w="992"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31 142,3</w:t>
            </w:r>
          </w:p>
        </w:tc>
        <w:tc>
          <w:tcPr>
            <w:tcW w:w="1087"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7 828,6</w:t>
            </w:r>
          </w:p>
        </w:tc>
        <w:tc>
          <w:tcPr>
            <w:tcW w:w="1252" w:type="dxa"/>
            <w:tcBorders>
              <w:top w:val="nil"/>
              <w:left w:val="nil"/>
              <w:bottom w:val="nil"/>
              <w:right w:val="nil"/>
            </w:tcBorders>
            <w:shd w:val="clear" w:color="auto" w:fill="auto"/>
            <w:noWrap/>
            <w:vAlign w:val="bottom"/>
            <w:hideMark/>
          </w:tcPr>
          <w:p w:rsidR="00F52838" w:rsidRDefault="00F52838">
            <w:pPr>
              <w:jc w:val="right"/>
              <w:rPr>
                <w:color w:val="000000"/>
                <w:sz w:val="18"/>
                <w:szCs w:val="18"/>
              </w:rPr>
            </w:pPr>
            <w:r>
              <w:rPr>
                <w:color w:val="000000"/>
                <w:sz w:val="18"/>
                <w:szCs w:val="18"/>
              </w:rPr>
              <w:t>7 828,6</w:t>
            </w:r>
          </w:p>
        </w:tc>
        <w:tc>
          <w:tcPr>
            <w:tcW w:w="1199" w:type="dxa"/>
            <w:tcBorders>
              <w:top w:val="nil"/>
              <w:left w:val="nil"/>
              <w:bottom w:val="nil"/>
              <w:right w:val="nil"/>
            </w:tcBorders>
            <w:shd w:val="clear" w:color="auto" w:fill="auto"/>
            <w:noWrap/>
            <w:vAlign w:val="bottom"/>
            <w:hideMark/>
          </w:tcPr>
          <w:p w:rsidR="00F52838" w:rsidRDefault="00F52838">
            <w:pPr>
              <w:jc w:val="right"/>
              <w:rPr>
                <w:color w:val="000000"/>
                <w:sz w:val="18"/>
                <w:szCs w:val="18"/>
              </w:rPr>
            </w:pPr>
            <w:r>
              <w:rPr>
                <w:color w:val="000000"/>
                <w:sz w:val="18"/>
                <w:szCs w:val="18"/>
              </w:rPr>
              <w:t>0,</w:t>
            </w:r>
            <w:proofErr w:type="spellStart"/>
            <w:r>
              <w:rPr>
                <w:color w:val="000000"/>
                <w:sz w:val="18"/>
                <w:szCs w:val="18"/>
              </w:rPr>
              <w:t>0</w:t>
            </w:r>
            <w:proofErr w:type="spellEnd"/>
          </w:p>
        </w:tc>
        <w:tc>
          <w:tcPr>
            <w:tcW w:w="1300" w:type="dxa"/>
            <w:tcBorders>
              <w:top w:val="nil"/>
              <w:left w:val="nil"/>
              <w:bottom w:val="nil"/>
              <w:right w:val="single" w:sz="8" w:space="0" w:color="auto"/>
            </w:tcBorders>
            <w:shd w:val="clear" w:color="auto" w:fill="auto"/>
            <w:noWrap/>
            <w:vAlign w:val="bottom"/>
            <w:hideMark/>
          </w:tcPr>
          <w:p w:rsidR="00F52838" w:rsidRDefault="00F52838">
            <w:pPr>
              <w:jc w:val="right"/>
              <w:rPr>
                <w:sz w:val="18"/>
                <w:szCs w:val="18"/>
              </w:rPr>
            </w:pPr>
            <w:r>
              <w:rPr>
                <w:sz w:val="18"/>
                <w:szCs w:val="18"/>
              </w:rPr>
              <w:t>25,1%</w:t>
            </w:r>
          </w:p>
        </w:tc>
      </w:tr>
      <w:tr w:rsidR="00F52838" w:rsidRPr="00B53232" w:rsidTr="00F52838">
        <w:trPr>
          <w:trHeight w:val="255"/>
        </w:trPr>
        <w:tc>
          <w:tcPr>
            <w:tcW w:w="4263" w:type="dxa"/>
            <w:tcBorders>
              <w:top w:val="nil"/>
              <w:left w:val="single" w:sz="8" w:space="0" w:color="auto"/>
              <w:bottom w:val="nil"/>
              <w:right w:val="nil"/>
            </w:tcBorders>
            <w:shd w:val="clear" w:color="auto" w:fill="auto"/>
            <w:noWrap/>
            <w:vAlign w:val="bottom"/>
            <w:hideMark/>
          </w:tcPr>
          <w:p w:rsidR="00F52838" w:rsidRPr="00373E32" w:rsidRDefault="00F52838">
            <w:pPr>
              <w:rPr>
                <w:sz w:val="18"/>
                <w:szCs w:val="18"/>
              </w:rPr>
            </w:pPr>
            <w:r w:rsidRPr="00373E32">
              <w:rPr>
                <w:sz w:val="18"/>
                <w:szCs w:val="18"/>
              </w:rPr>
              <w:t xml:space="preserve">  Неданъчни приходи</w:t>
            </w:r>
          </w:p>
        </w:tc>
        <w:tc>
          <w:tcPr>
            <w:tcW w:w="992"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4 703,4</w:t>
            </w:r>
          </w:p>
        </w:tc>
        <w:tc>
          <w:tcPr>
            <w:tcW w:w="1087"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1 254,1</w:t>
            </w:r>
          </w:p>
        </w:tc>
        <w:tc>
          <w:tcPr>
            <w:tcW w:w="1252" w:type="dxa"/>
            <w:tcBorders>
              <w:top w:val="nil"/>
              <w:left w:val="nil"/>
              <w:bottom w:val="nil"/>
              <w:right w:val="nil"/>
            </w:tcBorders>
            <w:shd w:val="clear" w:color="auto" w:fill="auto"/>
            <w:noWrap/>
            <w:vAlign w:val="bottom"/>
            <w:hideMark/>
          </w:tcPr>
          <w:p w:rsidR="00F52838" w:rsidRDefault="00F52838">
            <w:pPr>
              <w:jc w:val="right"/>
              <w:rPr>
                <w:color w:val="000000"/>
                <w:sz w:val="18"/>
                <w:szCs w:val="18"/>
              </w:rPr>
            </w:pPr>
            <w:r>
              <w:rPr>
                <w:color w:val="000000"/>
                <w:sz w:val="18"/>
                <w:szCs w:val="18"/>
              </w:rPr>
              <w:t>1 253,9</w:t>
            </w:r>
          </w:p>
        </w:tc>
        <w:tc>
          <w:tcPr>
            <w:tcW w:w="1199" w:type="dxa"/>
            <w:tcBorders>
              <w:top w:val="nil"/>
              <w:left w:val="nil"/>
              <w:bottom w:val="nil"/>
              <w:right w:val="nil"/>
            </w:tcBorders>
            <w:shd w:val="clear" w:color="auto" w:fill="auto"/>
            <w:noWrap/>
            <w:vAlign w:val="bottom"/>
            <w:hideMark/>
          </w:tcPr>
          <w:p w:rsidR="00F52838" w:rsidRDefault="00F52838">
            <w:pPr>
              <w:jc w:val="right"/>
              <w:rPr>
                <w:color w:val="000000"/>
                <w:sz w:val="18"/>
                <w:szCs w:val="18"/>
              </w:rPr>
            </w:pPr>
            <w:r>
              <w:rPr>
                <w:color w:val="000000"/>
                <w:sz w:val="18"/>
                <w:szCs w:val="18"/>
              </w:rPr>
              <w:t>0,2</w:t>
            </w:r>
          </w:p>
        </w:tc>
        <w:tc>
          <w:tcPr>
            <w:tcW w:w="1300" w:type="dxa"/>
            <w:tcBorders>
              <w:top w:val="nil"/>
              <w:left w:val="nil"/>
              <w:bottom w:val="nil"/>
              <w:right w:val="single" w:sz="8" w:space="0" w:color="auto"/>
            </w:tcBorders>
            <w:shd w:val="clear" w:color="auto" w:fill="auto"/>
            <w:noWrap/>
            <w:vAlign w:val="bottom"/>
            <w:hideMark/>
          </w:tcPr>
          <w:p w:rsidR="00F52838" w:rsidRDefault="00F52838">
            <w:pPr>
              <w:jc w:val="right"/>
              <w:rPr>
                <w:sz w:val="18"/>
                <w:szCs w:val="18"/>
              </w:rPr>
            </w:pPr>
            <w:r>
              <w:rPr>
                <w:sz w:val="18"/>
                <w:szCs w:val="18"/>
              </w:rPr>
              <w:t>26,7%</w:t>
            </w:r>
          </w:p>
        </w:tc>
      </w:tr>
      <w:tr w:rsidR="00F52838" w:rsidRPr="00B53232" w:rsidTr="00F52838">
        <w:trPr>
          <w:trHeight w:val="255"/>
        </w:trPr>
        <w:tc>
          <w:tcPr>
            <w:tcW w:w="4263" w:type="dxa"/>
            <w:tcBorders>
              <w:top w:val="nil"/>
              <w:left w:val="single" w:sz="8" w:space="0" w:color="auto"/>
              <w:bottom w:val="nil"/>
              <w:right w:val="nil"/>
            </w:tcBorders>
            <w:shd w:val="clear" w:color="auto" w:fill="auto"/>
            <w:noWrap/>
            <w:vAlign w:val="bottom"/>
            <w:hideMark/>
          </w:tcPr>
          <w:p w:rsidR="00F52838" w:rsidRPr="00373E32" w:rsidRDefault="00F52838">
            <w:pPr>
              <w:rPr>
                <w:sz w:val="18"/>
                <w:szCs w:val="18"/>
              </w:rPr>
            </w:pPr>
            <w:r w:rsidRPr="00373E32">
              <w:rPr>
                <w:sz w:val="18"/>
                <w:szCs w:val="18"/>
              </w:rPr>
              <w:t xml:space="preserve">  Помощи</w:t>
            </w:r>
          </w:p>
        </w:tc>
        <w:tc>
          <w:tcPr>
            <w:tcW w:w="992"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2 368,2</w:t>
            </w:r>
          </w:p>
        </w:tc>
        <w:tc>
          <w:tcPr>
            <w:tcW w:w="1087"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136,2</w:t>
            </w:r>
          </w:p>
        </w:tc>
        <w:tc>
          <w:tcPr>
            <w:tcW w:w="1252" w:type="dxa"/>
            <w:tcBorders>
              <w:top w:val="nil"/>
              <w:left w:val="nil"/>
              <w:bottom w:val="nil"/>
              <w:right w:val="nil"/>
            </w:tcBorders>
            <w:shd w:val="clear" w:color="auto" w:fill="auto"/>
            <w:noWrap/>
            <w:vAlign w:val="bottom"/>
            <w:hideMark/>
          </w:tcPr>
          <w:p w:rsidR="00F52838" w:rsidRDefault="00F52838">
            <w:pPr>
              <w:jc w:val="right"/>
              <w:rPr>
                <w:color w:val="000000"/>
                <w:sz w:val="18"/>
                <w:szCs w:val="18"/>
              </w:rPr>
            </w:pPr>
            <w:r>
              <w:rPr>
                <w:color w:val="000000"/>
                <w:sz w:val="18"/>
                <w:szCs w:val="18"/>
              </w:rPr>
              <w:t>9,7</w:t>
            </w:r>
          </w:p>
        </w:tc>
        <w:tc>
          <w:tcPr>
            <w:tcW w:w="1199" w:type="dxa"/>
            <w:tcBorders>
              <w:top w:val="nil"/>
              <w:left w:val="nil"/>
              <w:bottom w:val="single" w:sz="4" w:space="0" w:color="auto"/>
              <w:right w:val="nil"/>
            </w:tcBorders>
            <w:shd w:val="clear" w:color="auto" w:fill="auto"/>
            <w:noWrap/>
            <w:vAlign w:val="bottom"/>
            <w:hideMark/>
          </w:tcPr>
          <w:p w:rsidR="00F52838" w:rsidRDefault="00F52838">
            <w:pPr>
              <w:jc w:val="right"/>
              <w:rPr>
                <w:color w:val="000000"/>
                <w:sz w:val="18"/>
                <w:szCs w:val="18"/>
              </w:rPr>
            </w:pPr>
            <w:r>
              <w:rPr>
                <w:color w:val="000000"/>
                <w:sz w:val="18"/>
                <w:szCs w:val="18"/>
              </w:rPr>
              <w:t>126,5</w:t>
            </w:r>
          </w:p>
        </w:tc>
        <w:tc>
          <w:tcPr>
            <w:tcW w:w="1300" w:type="dxa"/>
            <w:tcBorders>
              <w:top w:val="nil"/>
              <w:left w:val="nil"/>
              <w:bottom w:val="nil"/>
              <w:right w:val="single" w:sz="8" w:space="0" w:color="auto"/>
            </w:tcBorders>
            <w:shd w:val="clear" w:color="auto" w:fill="auto"/>
            <w:noWrap/>
            <w:vAlign w:val="bottom"/>
            <w:hideMark/>
          </w:tcPr>
          <w:p w:rsidR="00F52838" w:rsidRDefault="00F52838">
            <w:pPr>
              <w:jc w:val="right"/>
              <w:rPr>
                <w:sz w:val="18"/>
                <w:szCs w:val="18"/>
              </w:rPr>
            </w:pPr>
            <w:r>
              <w:rPr>
                <w:sz w:val="18"/>
                <w:szCs w:val="18"/>
              </w:rPr>
              <w:t>5,7%</w:t>
            </w:r>
          </w:p>
        </w:tc>
      </w:tr>
      <w:tr w:rsidR="00F52838" w:rsidRPr="00B53232" w:rsidTr="00F52838">
        <w:trPr>
          <w:trHeight w:val="480"/>
        </w:trPr>
        <w:tc>
          <w:tcPr>
            <w:tcW w:w="4263" w:type="dxa"/>
            <w:tcBorders>
              <w:top w:val="single" w:sz="4" w:space="0" w:color="auto"/>
              <w:left w:val="single" w:sz="8" w:space="0" w:color="auto"/>
              <w:bottom w:val="nil"/>
              <w:right w:val="nil"/>
            </w:tcBorders>
            <w:shd w:val="clear" w:color="auto" w:fill="auto"/>
            <w:vAlign w:val="bottom"/>
            <w:hideMark/>
          </w:tcPr>
          <w:p w:rsidR="00F52838" w:rsidRPr="00373E32" w:rsidRDefault="00F52838">
            <w:pPr>
              <w:rPr>
                <w:b/>
                <w:bCs/>
                <w:sz w:val="18"/>
                <w:szCs w:val="18"/>
              </w:rPr>
            </w:pPr>
            <w:r w:rsidRPr="00373E32">
              <w:rPr>
                <w:b/>
                <w:bCs/>
                <w:sz w:val="18"/>
                <w:szCs w:val="18"/>
              </w:rPr>
              <w:t>РАЗХОДИ И ВНОСКА ЗА ОБЩИЯ БЮДЖЕТ НА ЕС</w:t>
            </w:r>
          </w:p>
        </w:tc>
        <w:tc>
          <w:tcPr>
            <w:tcW w:w="992" w:type="dxa"/>
            <w:tcBorders>
              <w:top w:val="single" w:sz="4" w:space="0" w:color="auto"/>
              <w:left w:val="nil"/>
              <w:bottom w:val="nil"/>
              <w:right w:val="nil"/>
            </w:tcBorders>
            <w:shd w:val="clear" w:color="auto" w:fill="auto"/>
            <w:noWrap/>
            <w:vAlign w:val="bottom"/>
            <w:hideMark/>
          </w:tcPr>
          <w:p w:rsidR="00F52838" w:rsidRDefault="00F52838">
            <w:pPr>
              <w:jc w:val="right"/>
              <w:rPr>
                <w:b/>
                <w:bCs/>
                <w:sz w:val="18"/>
                <w:szCs w:val="18"/>
              </w:rPr>
            </w:pPr>
            <w:r>
              <w:rPr>
                <w:b/>
                <w:bCs/>
                <w:sz w:val="18"/>
                <w:szCs w:val="18"/>
              </w:rPr>
              <w:t>39 313,9</w:t>
            </w:r>
          </w:p>
        </w:tc>
        <w:tc>
          <w:tcPr>
            <w:tcW w:w="1087" w:type="dxa"/>
            <w:tcBorders>
              <w:top w:val="single" w:sz="4" w:space="0" w:color="auto"/>
              <w:left w:val="nil"/>
              <w:bottom w:val="nil"/>
              <w:right w:val="nil"/>
            </w:tcBorders>
            <w:shd w:val="clear" w:color="auto" w:fill="auto"/>
            <w:noWrap/>
            <w:vAlign w:val="bottom"/>
            <w:hideMark/>
          </w:tcPr>
          <w:p w:rsidR="00F52838" w:rsidRDefault="00F52838">
            <w:pPr>
              <w:jc w:val="right"/>
              <w:rPr>
                <w:b/>
                <w:bCs/>
                <w:sz w:val="18"/>
                <w:szCs w:val="18"/>
              </w:rPr>
            </w:pPr>
            <w:r>
              <w:rPr>
                <w:b/>
                <w:bCs/>
                <w:sz w:val="18"/>
                <w:szCs w:val="18"/>
              </w:rPr>
              <w:t>8 626,2</w:t>
            </w:r>
          </w:p>
        </w:tc>
        <w:tc>
          <w:tcPr>
            <w:tcW w:w="1252" w:type="dxa"/>
            <w:tcBorders>
              <w:top w:val="single" w:sz="4" w:space="0" w:color="auto"/>
              <w:left w:val="nil"/>
              <w:bottom w:val="nil"/>
              <w:right w:val="nil"/>
            </w:tcBorders>
            <w:shd w:val="clear" w:color="auto" w:fill="auto"/>
            <w:noWrap/>
            <w:vAlign w:val="bottom"/>
            <w:hideMark/>
          </w:tcPr>
          <w:p w:rsidR="00F52838" w:rsidRDefault="00F52838">
            <w:pPr>
              <w:jc w:val="right"/>
              <w:rPr>
                <w:b/>
                <w:bCs/>
                <w:color w:val="000000"/>
                <w:sz w:val="18"/>
                <w:szCs w:val="18"/>
              </w:rPr>
            </w:pPr>
            <w:r>
              <w:rPr>
                <w:b/>
                <w:bCs/>
                <w:color w:val="000000"/>
                <w:sz w:val="18"/>
                <w:szCs w:val="18"/>
              </w:rPr>
              <w:t>8 084,6</w:t>
            </w:r>
          </w:p>
        </w:tc>
        <w:tc>
          <w:tcPr>
            <w:tcW w:w="1199" w:type="dxa"/>
            <w:tcBorders>
              <w:top w:val="nil"/>
              <w:left w:val="nil"/>
              <w:bottom w:val="nil"/>
              <w:right w:val="nil"/>
            </w:tcBorders>
            <w:shd w:val="clear" w:color="auto" w:fill="auto"/>
            <w:noWrap/>
            <w:vAlign w:val="bottom"/>
            <w:hideMark/>
          </w:tcPr>
          <w:p w:rsidR="00F52838" w:rsidRDefault="00F52838">
            <w:pPr>
              <w:jc w:val="right"/>
              <w:rPr>
                <w:b/>
                <w:bCs/>
                <w:color w:val="000000"/>
                <w:sz w:val="18"/>
                <w:szCs w:val="18"/>
              </w:rPr>
            </w:pPr>
            <w:r>
              <w:rPr>
                <w:b/>
                <w:bCs/>
                <w:color w:val="000000"/>
                <w:sz w:val="18"/>
                <w:szCs w:val="18"/>
              </w:rPr>
              <w:t>541,6</w:t>
            </w:r>
          </w:p>
        </w:tc>
        <w:tc>
          <w:tcPr>
            <w:tcW w:w="1300" w:type="dxa"/>
            <w:tcBorders>
              <w:top w:val="single" w:sz="4" w:space="0" w:color="auto"/>
              <w:left w:val="nil"/>
              <w:bottom w:val="nil"/>
              <w:right w:val="single" w:sz="8" w:space="0" w:color="auto"/>
            </w:tcBorders>
            <w:shd w:val="clear" w:color="auto" w:fill="auto"/>
            <w:noWrap/>
            <w:vAlign w:val="bottom"/>
            <w:hideMark/>
          </w:tcPr>
          <w:p w:rsidR="00F52838" w:rsidRDefault="00F52838">
            <w:pPr>
              <w:jc w:val="right"/>
              <w:rPr>
                <w:b/>
                <w:bCs/>
                <w:sz w:val="18"/>
                <w:szCs w:val="18"/>
              </w:rPr>
            </w:pPr>
            <w:r>
              <w:rPr>
                <w:b/>
                <w:bCs/>
                <w:sz w:val="18"/>
                <w:szCs w:val="18"/>
              </w:rPr>
              <w:t>21,9%</w:t>
            </w:r>
          </w:p>
        </w:tc>
      </w:tr>
      <w:tr w:rsidR="00F52838" w:rsidRPr="00B53232" w:rsidTr="00F52838">
        <w:trPr>
          <w:trHeight w:val="255"/>
        </w:trPr>
        <w:tc>
          <w:tcPr>
            <w:tcW w:w="4263" w:type="dxa"/>
            <w:tcBorders>
              <w:top w:val="nil"/>
              <w:left w:val="single" w:sz="8" w:space="0" w:color="auto"/>
              <w:bottom w:val="nil"/>
              <w:right w:val="nil"/>
            </w:tcBorders>
            <w:shd w:val="clear" w:color="auto" w:fill="auto"/>
            <w:noWrap/>
            <w:vAlign w:val="bottom"/>
            <w:hideMark/>
          </w:tcPr>
          <w:p w:rsidR="00F52838" w:rsidRPr="00373E32" w:rsidRDefault="00F52838">
            <w:pPr>
              <w:rPr>
                <w:sz w:val="18"/>
                <w:szCs w:val="18"/>
              </w:rPr>
            </w:pPr>
            <w:r w:rsidRPr="00373E32">
              <w:rPr>
                <w:sz w:val="18"/>
                <w:szCs w:val="18"/>
              </w:rPr>
              <w:t xml:space="preserve">  Нелихвени</w:t>
            </w:r>
          </w:p>
        </w:tc>
        <w:tc>
          <w:tcPr>
            <w:tcW w:w="992"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37 271,9</w:t>
            </w:r>
          </w:p>
        </w:tc>
        <w:tc>
          <w:tcPr>
            <w:tcW w:w="1087"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7 939,6</w:t>
            </w:r>
          </w:p>
        </w:tc>
        <w:tc>
          <w:tcPr>
            <w:tcW w:w="1252"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7 398,0</w:t>
            </w:r>
          </w:p>
        </w:tc>
        <w:tc>
          <w:tcPr>
            <w:tcW w:w="1199"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541,6</w:t>
            </w:r>
          </w:p>
        </w:tc>
        <w:tc>
          <w:tcPr>
            <w:tcW w:w="1300" w:type="dxa"/>
            <w:tcBorders>
              <w:top w:val="nil"/>
              <w:left w:val="nil"/>
              <w:bottom w:val="nil"/>
              <w:right w:val="single" w:sz="8" w:space="0" w:color="auto"/>
            </w:tcBorders>
            <w:shd w:val="clear" w:color="auto" w:fill="auto"/>
            <w:noWrap/>
            <w:vAlign w:val="bottom"/>
            <w:hideMark/>
          </w:tcPr>
          <w:p w:rsidR="00F52838" w:rsidRDefault="00F52838">
            <w:pPr>
              <w:jc w:val="right"/>
              <w:rPr>
                <w:sz w:val="18"/>
                <w:szCs w:val="18"/>
              </w:rPr>
            </w:pPr>
            <w:r>
              <w:rPr>
                <w:sz w:val="18"/>
                <w:szCs w:val="18"/>
              </w:rPr>
              <w:t>21,3%</w:t>
            </w:r>
          </w:p>
        </w:tc>
      </w:tr>
      <w:tr w:rsidR="00F52838" w:rsidRPr="00B53232" w:rsidTr="00F52838">
        <w:trPr>
          <w:trHeight w:val="255"/>
        </w:trPr>
        <w:tc>
          <w:tcPr>
            <w:tcW w:w="4263" w:type="dxa"/>
            <w:tcBorders>
              <w:top w:val="nil"/>
              <w:left w:val="single" w:sz="8" w:space="0" w:color="auto"/>
              <w:bottom w:val="nil"/>
              <w:right w:val="nil"/>
            </w:tcBorders>
            <w:shd w:val="clear" w:color="auto" w:fill="auto"/>
            <w:noWrap/>
            <w:vAlign w:val="bottom"/>
            <w:hideMark/>
          </w:tcPr>
          <w:p w:rsidR="00F52838" w:rsidRPr="00373E32" w:rsidRDefault="00F52838">
            <w:pPr>
              <w:rPr>
                <w:sz w:val="18"/>
                <w:szCs w:val="18"/>
              </w:rPr>
            </w:pPr>
            <w:r w:rsidRPr="00373E32">
              <w:rPr>
                <w:sz w:val="18"/>
                <w:szCs w:val="18"/>
              </w:rPr>
              <w:t xml:space="preserve">    Текущи</w:t>
            </w:r>
          </w:p>
        </w:tc>
        <w:tc>
          <w:tcPr>
            <w:tcW w:w="992"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31 106,2</w:t>
            </w:r>
          </w:p>
        </w:tc>
        <w:tc>
          <w:tcPr>
            <w:tcW w:w="1087"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7 378,6</w:t>
            </w:r>
          </w:p>
        </w:tc>
        <w:tc>
          <w:tcPr>
            <w:tcW w:w="1252" w:type="dxa"/>
            <w:tcBorders>
              <w:top w:val="nil"/>
              <w:left w:val="nil"/>
              <w:bottom w:val="nil"/>
              <w:right w:val="nil"/>
            </w:tcBorders>
            <w:shd w:val="clear" w:color="auto" w:fill="auto"/>
            <w:noWrap/>
            <w:vAlign w:val="bottom"/>
            <w:hideMark/>
          </w:tcPr>
          <w:p w:rsidR="00F52838" w:rsidRDefault="00F52838">
            <w:pPr>
              <w:jc w:val="right"/>
              <w:rPr>
                <w:color w:val="000000"/>
                <w:sz w:val="18"/>
                <w:szCs w:val="18"/>
              </w:rPr>
            </w:pPr>
            <w:r>
              <w:rPr>
                <w:color w:val="000000"/>
                <w:sz w:val="18"/>
                <w:szCs w:val="18"/>
              </w:rPr>
              <w:t>7 145,0</w:t>
            </w:r>
          </w:p>
        </w:tc>
        <w:tc>
          <w:tcPr>
            <w:tcW w:w="1199" w:type="dxa"/>
            <w:tcBorders>
              <w:top w:val="nil"/>
              <w:left w:val="nil"/>
              <w:bottom w:val="nil"/>
              <w:right w:val="nil"/>
            </w:tcBorders>
            <w:shd w:val="clear" w:color="auto" w:fill="auto"/>
            <w:noWrap/>
            <w:vAlign w:val="bottom"/>
            <w:hideMark/>
          </w:tcPr>
          <w:p w:rsidR="00F52838" w:rsidRDefault="00F52838">
            <w:pPr>
              <w:jc w:val="right"/>
              <w:rPr>
                <w:color w:val="000000"/>
                <w:sz w:val="18"/>
                <w:szCs w:val="18"/>
              </w:rPr>
            </w:pPr>
            <w:r>
              <w:rPr>
                <w:color w:val="000000"/>
                <w:sz w:val="18"/>
                <w:szCs w:val="18"/>
              </w:rPr>
              <w:t>233,6</w:t>
            </w:r>
          </w:p>
        </w:tc>
        <w:tc>
          <w:tcPr>
            <w:tcW w:w="1300" w:type="dxa"/>
            <w:tcBorders>
              <w:top w:val="nil"/>
              <w:left w:val="nil"/>
              <w:bottom w:val="nil"/>
              <w:right w:val="single" w:sz="8" w:space="0" w:color="auto"/>
            </w:tcBorders>
            <w:shd w:val="clear" w:color="auto" w:fill="auto"/>
            <w:noWrap/>
            <w:vAlign w:val="bottom"/>
            <w:hideMark/>
          </w:tcPr>
          <w:p w:rsidR="00F52838" w:rsidRDefault="00F52838">
            <w:pPr>
              <w:jc w:val="right"/>
              <w:rPr>
                <w:sz w:val="18"/>
                <w:szCs w:val="18"/>
              </w:rPr>
            </w:pPr>
            <w:r>
              <w:rPr>
                <w:sz w:val="18"/>
                <w:szCs w:val="18"/>
              </w:rPr>
              <w:t>23,7%</w:t>
            </w:r>
          </w:p>
        </w:tc>
      </w:tr>
      <w:tr w:rsidR="00F52838" w:rsidRPr="00B53232" w:rsidTr="00F52838">
        <w:trPr>
          <w:trHeight w:val="255"/>
        </w:trPr>
        <w:tc>
          <w:tcPr>
            <w:tcW w:w="4263" w:type="dxa"/>
            <w:tcBorders>
              <w:top w:val="nil"/>
              <w:left w:val="single" w:sz="8" w:space="0" w:color="auto"/>
              <w:bottom w:val="nil"/>
              <w:right w:val="nil"/>
            </w:tcBorders>
            <w:shd w:val="clear" w:color="auto" w:fill="auto"/>
            <w:noWrap/>
            <w:vAlign w:val="bottom"/>
          </w:tcPr>
          <w:p w:rsidR="00F52838" w:rsidRPr="00373E32" w:rsidRDefault="00F52838">
            <w:pPr>
              <w:rPr>
                <w:sz w:val="18"/>
                <w:szCs w:val="18"/>
              </w:rPr>
            </w:pPr>
            <w:r w:rsidRPr="00373E32">
              <w:rPr>
                <w:sz w:val="18"/>
                <w:szCs w:val="18"/>
                <w:lang w:val="en-US"/>
              </w:rPr>
              <w:t xml:space="preserve">    </w:t>
            </w:r>
            <w:r w:rsidRPr="00373E32">
              <w:rPr>
                <w:sz w:val="18"/>
                <w:szCs w:val="18"/>
              </w:rPr>
              <w:t xml:space="preserve">Предоставени </w:t>
            </w:r>
            <w:proofErr w:type="spellStart"/>
            <w:r w:rsidRPr="00373E32">
              <w:rPr>
                <w:sz w:val="18"/>
                <w:szCs w:val="18"/>
              </w:rPr>
              <w:t>тек</w:t>
            </w:r>
            <w:proofErr w:type="spellEnd"/>
            <w:r w:rsidRPr="00373E32">
              <w:rPr>
                <w:sz w:val="18"/>
                <w:szCs w:val="18"/>
              </w:rPr>
              <w:t xml:space="preserve">. и </w:t>
            </w:r>
            <w:proofErr w:type="spellStart"/>
            <w:r w:rsidRPr="00373E32">
              <w:rPr>
                <w:sz w:val="18"/>
                <w:szCs w:val="18"/>
              </w:rPr>
              <w:t>капит</w:t>
            </w:r>
            <w:proofErr w:type="spellEnd"/>
            <w:r w:rsidRPr="00373E32">
              <w:rPr>
                <w:sz w:val="18"/>
                <w:szCs w:val="18"/>
              </w:rPr>
              <w:t>. трансфери за чужбина</w:t>
            </w:r>
          </w:p>
        </w:tc>
        <w:tc>
          <w:tcPr>
            <w:tcW w:w="992" w:type="dxa"/>
            <w:tcBorders>
              <w:top w:val="nil"/>
              <w:left w:val="nil"/>
              <w:bottom w:val="nil"/>
              <w:right w:val="nil"/>
            </w:tcBorders>
            <w:shd w:val="clear" w:color="auto" w:fill="auto"/>
            <w:noWrap/>
            <w:vAlign w:val="bottom"/>
          </w:tcPr>
          <w:p w:rsidR="00F52838" w:rsidRDefault="00F52838">
            <w:pPr>
              <w:jc w:val="right"/>
              <w:rPr>
                <w:sz w:val="18"/>
                <w:szCs w:val="18"/>
              </w:rPr>
            </w:pPr>
            <w:r>
              <w:rPr>
                <w:sz w:val="18"/>
                <w:szCs w:val="18"/>
              </w:rPr>
              <w:t>14,4</w:t>
            </w:r>
          </w:p>
        </w:tc>
        <w:tc>
          <w:tcPr>
            <w:tcW w:w="1087" w:type="dxa"/>
            <w:tcBorders>
              <w:top w:val="nil"/>
              <w:left w:val="nil"/>
              <w:bottom w:val="nil"/>
              <w:right w:val="nil"/>
            </w:tcBorders>
            <w:shd w:val="clear" w:color="auto" w:fill="auto"/>
            <w:noWrap/>
            <w:vAlign w:val="bottom"/>
          </w:tcPr>
          <w:p w:rsidR="00F52838" w:rsidRDefault="00F52838">
            <w:pPr>
              <w:jc w:val="right"/>
              <w:rPr>
                <w:sz w:val="18"/>
                <w:szCs w:val="18"/>
              </w:rPr>
            </w:pPr>
            <w:r>
              <w:rPr>
                <w:sz w:val="18"/>
                <w:szCs w:val="18"/>
              </w:rPr>
              <w:t>6,9</w:t>
            </w:r>
          </w:p>
        </w:tc>
        <w:tc>
          <w:tcPr>
            <w:tcW w:w="1252" w:type="dxa"/>
            <w:tcBorders>
              <w:top w:val="nil"/>
              <w:left w:val="nil"/>
              <w:bottom w:val="nil"/>
              <w:right w:val="nil"/>
            </w:tcBorders>
            <w:shd w:val="clear" w:color="auto" w:fill="auto"/>
            <w:noWrap/>
            <w:vAlign w:val="bottom"/>
          </w:tcPr>
          <w:p w:rsidR="00F52838" w:rsidRDefault="00F52838">
            <w:pPr>
              <w:jc w:val="right"/>
              <w:rPr>
                <w:color w:val="000000"/>
                <w:sz w:val="18"/>
                <w:szCs w:val="18"/>
              </w:rPr>
            </w:pPr>
            <w:r>
              <w:rPr>
                <w:color w:val="000000"/>
                <w:sz w:val="18"/>
                <w:szCs w:val="18"/>
              </w:rPr>
              <w:t>2,5</w:t>
            </w:r>
          </w:p>
        </w:tc>
        <w:tc>
          <w:tcPr>
            <w:tcW w:w="1199" w:type="dxa"/>
            <w:tcBorders>
              <w:top w:val="nil"/>
              <w:left w:val="nil"/>
              <w:bottom w:val="nil"/>
              <w:right w:val="nil"/>
            </w:tcBorders>
            <w:shd w:val="clear" w:color="auto" w:fill="auto"/>
            <w:noWrap/>
            <w:vAlign w:val="bottom"/>
          </w:tcPr>
          <w:p w:rsidR="00F52838" w:rsidRDefault="00F52838">
            <w:pPr>
              <w:jc w:val="right"/>
              <w:rPr>
                <w:color w:val="000000"/>
                <w:sz w:val="18"/>
                <w:szCs w:val="18"/>
              </w:rPr>
            </w:pPr>
            <w:r>
              <w:rPr>
                <w:color w:val="000000"/>
                <w:sz w:val="18"/>
                <w:szCs w:val="18"/>
              </w:rPr>
              <w:t>4,</w:t>
            </w:r>
            <w:proofErr w:type="spellStart"/>
            <w:r>
              <w:rPr>
                <w:color w:val="000000"/>
                <w:sz w:val="18"/>
                <w:szCs w:val="18"/>
              </w:rPr>
              <w:t>4</w:t>
            </w:r>
            <w:proofErr w:type="spellEnd"/>
          </w:p>
        </w:tc>
        <w:tc>
          <w:tcPr>
            <w:tcW w:w="1300" w:type="dxa"/>
            <w:tcBorders>
              <w:top w:val="nil"/>
              <w:left w:val="nil"/>
              <w:bottom w:val="nil"/>
              <w:right w:val="single" w:sz="8" w:space="0" w:color="auto"/>
            </w:tcBorders>
            <w:shd w:val="clear" w:color="auto" w:fill="auto"/>
            <w:noWrap/>
            <w:vAlign w:val="bottom"/>
          </w:tcPr>
          <w:p w:rsidR="00F52838" w:rsidRDefault="00F52838">
            <w:pPr>
              <w:jc w:val="right"/>
              <w:rPr>
                <w:sz w:val="18"/>
                <w:szCs w:val="18"/>
              </w:rPr>
            </w:pPr>
            <w:r>
              <w:rPr>
                <w:sz w:val="18"/>
                <w:szCs w:val="18"/>
              </w:rPr>
              <w:t>48,0%</w:t>
            </w:r>
          </w:p>
        </w:tc>
      </w:tr>
      <w:tr w:rsidR="00F52838" w:rsidRPr="00B53232" w:rsidTr="00F52838">
        <w:trPr>
          <w:trHeight w:val="255"/>
        </w:trPr>
        <w:tc>
          <w:tcPr>
            <w:tcW w:w="4263" w:type="dxa"/>
            <w:tcBorders>
              <w:top w:val="nil"/>
              <w:left w:val="single" w:sz="8" w:space="0" w:color="auto"/>
              <w:bottom w:val="nil"/>
              <w:right w:val="nil"/>
            </w:tcBorders>
            <w:shd w:val="clear" w:color="auto" w:fill="auto"/>
            <w:noWrap/>
            <w:vAlign w:val="bottom"/>
            <w:hideMark/>
          </w:tcPr>
          <w:p w:rsidR="00F52838" w:rsidRPr="00373E32" w:rsidRDefault="00F52838">
            <w:pPr>
              <w:rPr>
                <w:sz w:val="18"/>
                <w:szCs w:val="18"/>
              </w:rPr>
            </w:pPr>
            <w:r w:rsidRPr="00373E32">
              <w:rPr>
                <w:sz w:val="18"/>
                <w:szCs w:val="18"/>
              </w:rPr>
              <w:t xml:space="preserve">    Капиталови</w:t>
            </w:r>
          </w:p>
        </w:tc>
        <w:tc>
          <w:tcPr>
            <w:tcW w:w="992"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6 151,3</w:t>
            </w:r>
          </w:p>
        </w:tc>
        <w:tc>
          <w:tcPr>
            <w:tcW w:w="1087"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554,1</w:t>
            </w:r>
          </w:p>
        </w:tc>
        <w:tc>
          <w:tcPr>
            <w:tcW w:w="1252" w:type="dxa"/>
            <w:tcBorders>
              <w:top w:val="nil"/>
              <w:left w:val="nil"/>
              <w:bottom w:val="nil"/>
              <w:right w:val="nil"/>
            </w:tcBorders>
            <w:shd w:val="clear" w:color="auto" w:fill="auto"/>
            <w:noWrap/>
            <w:vAlign w:val="bottom"/>
            <w:hideMark/>
          </w:tcPr>
          <w:p w:rsidR="00F52838" w:rsidRDefault="00F52838">
            <w:pPr>
              <w:jc w:val="right"/>
              <w:rPr>
                <w:color w:val="000000"/>
                <w:sz w:val="18"/>
                <w:szCs w:val="18"/>
              </w:rPr>
            </w:pPr>
            <w:r>
              <w:rPr>
                <w:color w:val="000000"/>
                <w:sz w:val="18"/>
                <w:szCs w:val="18"/>
              </w:rPr>
              <w:t>250,5</w:t>
            </w:r>
          </w:p>
        </w:tc>
        <w:tc>
          <w:tcPr>
            <w:tcW w:w="1199" w:type="dxa"/>
            <w:tcBorders>
              <w:top w:val="nil"/>
              <w:left w:val="nil"/>
              <w:bottom w:val="nil"/>
              <w:right w:val="nil"/>
            </w:tcBorders>
            <w:shd w:val="clear" w:color="auto" w:fill="auto"/>
            <w:noWrap/>
            <w:vAlign w:val="bottom"/>
            <w:hideMark/>
          </w:tcPr>
          <w:p w:rsidR="00F52838" w:rsidRDefault="00F52838">
            <w:pPr>
              <w:jc w:val="right"/>
              <w:rPr>
                <w:color w:val="000000"/>
                <w:sz w:val="18"/>
                <w:szCs w:val="18"/>
              </w:rPr>
            </w:pPr>
            <w:r>
              <w:rPr>
                <w:color w:val="000000"/>
                <w:sz w:val="18"/>
                <w:szCs w:val="18"/>
              </w:rPr>
              <w:t>303,6</w:t>
            </w:r>
          </w:p>
        </w:tc>
        <w:tc>
          <w:tcPr>
            <w:tcW w:w="1300" w:type="dxa"/>
            <w:tcBorders>
              <w:top w:val="nil"/>
              <w:left w:val="nil"/>
              <w:bottom w:val="nil"/>
              <w:right w:val="single" w:sz="8" w:space="0" w:color="auto"/>
            </w:tcBorders>
            <w:shd w:val="clear" w:color="auto" w:fill="auto"/>
            <w:noWrap/>
            <w:vAlign w:val="bottom"/>
            <w:hideMark/>
          </w:tcPr>
          <w:p w:rsidR="00F52838" w:rsidRDefault="00F52838">
            <w:pPr>
              <w:jc w:val="right"/>
              <w:rPr>
                <w:sz w:val="18"/>
                <w:szCs w:val="18"/>
              </w:rPr>
            </w:pPr>
            <w:r>
              <w:rPr>
                <w:sz w:val="18"/>
                <w:szCs w:val="18"/>
              </w:rPr>
              <w:t>9,0%</w:t>
            </w:r>
          </w:p>
        </w:tc>
      </w:tr>
      <w:tr w:rsidR="00F52838" w:rsidRPr="00B53232" w:rsidTr="00F52838">
        <w:trPr>
          <w:trHeight w:val="255"/>
        </w:trPr>
        <w:tc>
          <w:tcPr>
            <w:tcW w:w="4263" w:type="dxa"/>
            <w:tcBorders>
              <w:top w:val="nil"/>
              <w:left w:val="single" w:sz="8" w:space="0" w:color="auto"/>
              <w:bottom w:val="nil"/>
              <w:right w:val="nil"/>
            </w:tcBorders>
            <w:shd w:val="clear" w:color="auto" w:fill="auto"/>
            <w:noWrap/>
            <w:vAlign w:val="bottom"/>
            <w:hideMark/>
          </w:tcPr>
          <w:p w:rsidR="00F52838" w:rsidRPr="00373E32" w:rsidRDefault="00F52838">
            <w:pPr>
              <w:rPr>
                <w:sz w:val="18"/>
                <w:szCs w:val="18"/>
              </w:rPr>
            </w:pPr>
            <w:r w:rsidRPr="00373E32">
              <w:rPr>
                <w:sz w:val="18"/>
                <w:szCs w:val="18"/>
              </w:rPr>
              <w:t xml:space="preserve">           в т.ч. нетен прираст на държавния резерв</w:t>
            </w:r>
          </w:p>
        </w:tc>
        <w:tc>
          <w:tcPr>
            <w:tcW w:w="992"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19,2</w:t>
            </w:r>
          </w:p>
        </w:tc>
        <w:tc>
          <w:tcPr>
            <w:tcW w:w="1087"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0,6</w:t>
            </w:r>
          </w:p>
        </w:tc>
        <w:tc>
          <w:tcPr>
            <w:tcW w:w="1252" w:type="dxa"/>
            <w:tcBorders>
              <w:top w:val="nil"/>
              <w:left w:val="nil"/>
              <w:bottom w:val="nil"/>
              <w:right w:val="nil"/>
            </w:tcBorders>
            <w:shd w:val="clear" w:color="auto" w:fill="auto"/>
            <w:noWrap/>
            <w:vAlign w:val="bottom"/>
            <w:hideMark/>
          </w:tcPr>
          <w:p w:rsidR="00F52838" w:rsidRDefault="00F52838">
            <w:pPr>
              <w:jc w:val="right"/>
              <w:rPr>
                <w:color w:val="000000"/>
                <w:sz w:val="18"/>
                <w:szCs w:val="18"/>
              </w:rPr>
            </w:pPr>
            <w:r>
              <w:rPr>
                <w:color w:val="000000"/>
                <w:sz w:val="18"/>
                <w:szCs w:val="18"/>
              </w:rPr>
              <w:t>0,6</w:t>
            </w:r>
          </w:p>
        </w:tc>
        <w:tc>
          <w:tcPr>
            <w:tcW w:w="1199" w:type="dxa"/>
            <w:tcBorders>
              <w:top w:val="nil"/>
              <w:left w:val="nil"/>
              <w:bottom w:val="nil"/>
              <w:right w:val="nil"/>
            </w:tcBorders>
            <w:shd w:val="clear" w:color="auto" w:fill="auto"/>
            <w:noWrap/>
            <w:vAlign w:val="bottom"/>
            <w:hideMark/>
          </w:tcPr>
          <w:p w:rsidR="00F52838" w:rsidRDefault="00F52838">
            <w:pPr>
              <w:jc w:val="right"/>
              <w:rPr>
                <w:color w:val="000000"/>
                <w:sz w:val="18"/>
                <w:szCs w:val="18"/>
              </w:rPr>
            </w:pPr>
            <w:r>
              <w:rPr>
                <w:color w:val="000000"/>
                <w:sz w:val="18"/>
                <w:szCs w:val="18"/>
              </w:rPr>
              <w:t>0,</w:t>
            </w:r>
            <w:proofErr w:type="spellStart"/>
            <w:r>
              <w:rPr>
                <w:color w:val="000000"/>
                <w:sz w:val="18"/>
                <w:szCs w:val="18"/>
              </w:rPr>
              <w:t>0</w:t>
            </w:r>
            <w:proofErr w:type="spellEnd"/>
          </w:p>
        </w:tc>
        <w:tc>
          <w:tcPr>
            <w:tcW w:w="1300" w:type="dxa"/>
            <w:tcBorders>
              <w:top w:val="nil"/>
              <w:left w:val="nil"/>
              <w:bottom w:val="nil"/>
              <w:right w:val="single" w:sz="8" w:space="0" w:color="auto"/>
            </w:tcBorders>
            <w:shd w:val="clear" w:color="auto" w:fill="auto"/>
            <w:noWrap/>
            <w:vAlign w:val="bottom"/>
            <w:hideMark/>
          </w:tcPr>
          <w:p w:rsidR="00F52838" w:rsidRDefault="00F52838">
            <w:pPr>
              <w:jc w:val="right"/>
              <w:rPr>
                <w:sz w:val="18"/>
                <w:szCs w:val="18"/>
              </w:rPr>
            </w:pPr>
            <w:r>
              <w:rPr>
                <w:sz w:val="18"/>
                <w:szCs w:val="18"/>
              </w:rPr>
              <w:t>3,3%</w:t>
            </w:r>
          </w:p>
        </w:tc>
      </w:tr>
      <w:tr w:rsidR="00F52838" w:rsidRPr="00B53232" w:rsidTr="00F52838">
        <w:trPr>
          <w:trHeight w:val="255"/>
        </w:trPr>
        <w:tc>
          <w:tcPr>
            <w:tcW w:w="4263" w:type="dxa"/>
            <w:tcBorders>
              <w:top w:val="nil"/>
              <w:left w:val="single" w:sz="8" w:space="0" w:color="auto"/>
              <w:bottom w:val="nil"/>
              <w:right w:val="nil"/>
            </w:tcBorders>
            <w:shd w:val="clear" w:color="auto" w:fill="auto"/>
            <w:noWrap/>
            <w:vAlign w:val="bottom"/>
            <w:hideMark/>
          </w:tcPr>
          <w:p w:rsidR="00F52838" w:rsidRPr="00373E32" w:rsidRDefault="00F52838">
            <w:pPr>
              <w:rPr>
                <w:sz w:val="18"/>
                <w:szCs w:val="18"/>
              </w:rPr>
            </w:pPr>
            <w:r w:rsidRPr="00373E32">
              <w:rPr>
                <w:sz w:val="18"/>
                <w:szCs w:val="18"/>
              </w:rPr>
              <w:t xml:space="preserve">  Лихвени</w:t>
            </w:r>
          </w:p>
        </w:tc>
        <w:tc>
          <w:tcPr>
            <w:tcW w:w="992"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722,4</w:t>
            </w:r>
          </w:p>
        </w:tc>
        <w:tc>
          <w:tcPr>
            <w:tcW w:w="1087"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378,4</w:t>
            </w:r>
          </w:p>
        </w:tc>
        <w:tc>
          <w:tcPr>
            <w:tcW w:w="1252" w:type="dxa"/>
            <w:tcBorders>
              <w:top w:val="nil"/>
              <w:left w:val="nil"/>
              <w:bottom w:val="nil"/>
              <w:right w:val="nil"/>
            </w:tcBorders>
            <w:shd w:val="clear" w:color="auto" w:fill="auto"/>
            <w:noWrap/>
            <w:vAlign w:val="bottom"/>
            <w:hideMark/>
          </w:tcPr>
          <w:p w:rsidR="00F52838" w:rsidRDefault="00F52838">
            <w:pPr>
              <w:jc w:val="right"/>
              <w:rPr>
                <w:color w:val="000000"/>
                <w:sz w:val="18"/>
                <w:szCs w:val="18"/>
              </w:rPr>
            </w:pPr>
            <w:r>
              <w:rPr>
                <w:color w:val="000000"/>
                <w:sz w:val="18"/>
                <w:szCs w:val="18"/>
              </w:rPr>
              <w:t>378,4</w:t>
            </w:r>
          </w:p>
        </w:tc>
        <w:tc>
          <w:tcPr>
            <w:tcW w:w="1199" w:type="dxa"/>
            <w:tcBorders>
              <w:top w:val="nil"/>
              <w:left w:val="nil"/>
              <w:bottom w:val="nil"/>
              <w:right w:val="nil"/>
            </w:tcBorders>
            <w:shd w:val="clear" w:color="auto" w:fill="auto"/>
            <w:noWrap/>
            <w:vAlign w:val="bottom"/>
            <w:hideMark/>
          </w:tcPr>
          <w:p w:rsidR="00F52838" w:rsidRDefault="00F52838">
            <w:pPr>
              <w:jc w:val="right"/>
              <w:rPr>
                <w:color w:val="000000"/>
                <w:sz w:val="18"/>
                <w:szCs w:val="18"/>
              </w:rPr>
            </w:pPr>
            <w:r>
              <w:rPr>
                <w:color w:val="000000"/>
                <w:sz w:val="18"/>
                <w:szCs w:val="18"/>
              </w:rPr>
              <w:t>0,</w:t>
            </w:r>
            <w:proofErr w:type="spellStart"/>
            <w:r>
              <w:rPr>
                <w:color w:val="000000"/>
                <w:sz w:val="18"/>
                <w:szCs w:val="18"/>
              </w:rPr>
              <w:t>0</w:t>
            </w:r>
            <w:proofErr w:type="spellEnd"/>
          </w:p>
        </w:tc>
        <w:tc>
          <w:tcPr>
            <w:tcW w:w="1300" w:type="dxa"/>
            <w:tcBorders>
              <w:top w:val="nil"/>
              <w:left w:val="nil"/>
              <w:bottom w:val="nil"/>
              <w:right w:val="single" w:sz="8" w:space="0" w:color="auto"/>
            </w:tcBorders>
            <w:shd w:val="clear" w:color="auto" w:fill="auto"/>
            <w:noWrap/>
            <w:vAlign w:val="bottom"/>
            <w:hideMark/>
          </w:tcPr>
          <w:p w:rsidR="00F52838" w:rsidRDefault="00F52838">
            <w:pPr>
              <w:jc w:val="right"/>
              <w:rPr>
                <w:sz w:val="18"/>
                <w:szCs w:val="18"/>
              </w:rPr>
            </w:pPr>
            <w:r>
              <w:rPr>
                <w:sz w:val="18"/>
                <w:szCs w:val="18"/>
              </w:rPr>
              <w:t>52,4%</w:t>
            </w:r>
          </w:p>
        </w:tc>
      </w:tr>
      <w:tr w:rsidR="00F52838" w:rsidRPr="00B53232" w:rsidTr="00F52838">
        <w:trPr>
          <w:trHeight w:val="255"/>
        </w:trPr>
        <w:tc>
          <w:tcPr>
            <w:tcW w:w="4263" w:type="dxa"/>
            <w:tcBorders>
              <w:top w:val="nil"/>
              <w:left w:val="single" w:sz="8" w:space="0" w:color="auto"/>
              <w:bottom w:val="nil"/>
              <w:right w:val="nil"/>
            </w:tcBorders>
            <w:shd w:val="clear" w:color="auto" w:fill="auto"/>
            <w:noWrap/>
            <w:vAlign w:val="bottom"/>
            <w:hideMark/>
          </w:tcPr>
          <w:p w:rsidR="00F52838" w:rsidRPr="00373E32" w:rsidRDefault="00F52838">
            <w:pPr>
              <w:rPr>
                <w:sz w:val="18"/>
                <w:szCs w:val="18"/>
              </w:rPr>
            </w:pPr>
            <w:r w:rsidRPr="00373E32">
              <w:rPr>
                <w:sz w:val="18"/>
                <w:szCs w:val="18"/>
              </w:rPr>
              <w:t xml:space="preserve">  Резерв за неотложни и непредвидени разходи</w:t>
            </w:r>
          </w:p>
        </w:tc>
        <w:tc>
          <w:tcPr>
            <w:tcW w:w="992" w:type="dxa"/>
            <w:tcBorders>
              <w:top w:val="nil"/>
              <w:left w:val="nil"/>
              <w:bottom w:val="nil"/>
              <w:right w:val="nil"/>
            </w:tcBorders>
            <w:shd w:val="clear" w:color="auto" w:fill="auto"/>
            <w:noWrap/>
            <w:vAlign w:val="bottom"/>
            <w:hideMark/>
          </w:tcPr>
          <w:p w:rsidR="00F52838" w:rsidRDefault="00F52838">
            <w:pPr>
              <w:jc w:val="right"/>
              <w:rPr>
                <w:sz w:val="18"/>
                <w:szCs w:val="18"/>
              </w:rPr>
            </w:pPr>
            <w:r>
              <w:rPr>
                <w:sz w:val="18"/>
                <w:szCs w:val="18"/>
              </w:rPr>
              <w:t>185,7</w:t>
            </w:r>
          </w:p>
        </w:tc>
        <w:tc>
          <w:tcPr>
            <w:tcW w:w="1087" w:type="dxa"/>
            <w:tcBorders>
              <w:top w:val="nil"/>
              <w:left w:val="nil"/>
              <w:bottom w:val="nil"/>
              <w:right w:val="nil"/>
            </w:tcBorders>
            <w:shd w:val="clear" w:color="auto" w:fill="auto"/>
            <w:noWrap/>
            <w:vAlign w:val="bottom"/>
            <w:hideMark/>
          </w:tcPr>
          <w:p w:rsidR="00F52838" w:rsidRDefault="00F52838">
            <w:pPr>
              <w:rPr>
                <w:sz w:val="18"/>
                <w:szCs w:val="18"/>
              </w:rPr>
            </w:pPr>
            <w:r>
              <w:rPr>
                <w:sz w:val="18"/>
                <w:szCs w:val="18"/>
              </w:rPr>
              <w:t> </w:t>
            </w:r>
          </w:p>
        </w:tc>
        <w:tc>
          <w:tcPr>
            <w:tcW w:w="1252" w:type="dxa"/>
            <w:tcBorders>
              <w:top w:val="nil"/>
              <w:left w:val="nil"/>
              <w:bottom w:val="nil"/>
              <w:right w:val="nil"/>
            </w:tcBorders>
            <w:shd w:val="clear" w:color="auto" w:fill="auto"/>
            <w:noWrap/>
            <w:vAlign w:val="bottom"/>
            <w:hideMark/>
          </w:tcPr>
          <w:p w:rsidR="00F52838" w:rsidRDefault="00F52838">
            <w:pPr>
              <w:rPr>
                <w:color w:val="000000"/>
                <w:sz w:val="18"/>
                <w:szCs w:val="18"/>
              </w:rPr>
            </w:pPr>
          </w:p>
        </w:tc>
        <w:tc>
          <w:tcPr>
            <w:tcW w:w="1199" w:type="dxa"/>
            <w:tcBorders>
              <w:top w:val="nil"/>
              <w:left w:val="nil"/>
              <w:bottom w:val="nil"/>
              <w:right w:val="nil"/>
            </w:tcBorders>
            <w:shd w:val="clear" w:color="auto" w:fill="auto"/>
            <w:noWrap/>
            <w:vAlign w:val="bottom"/>
            <w:hideMark/>
          </w:tcPr>
          <w:p w:rsidR="00F52838" w:rsidRDefault="00F52838">
            <w:pPr>
              <w:rPr>
                <w:color w:val="000000"/>
                <w:sz w:val="18"/>
                <w:szCs w:val="18"/>
              </w:rPr>
            </w:pPr>
          </w:p>
        </w:tc>
        <w:tc>
          <w:tcPr>
            <w:tcW w:w="1300" w:type="dxa"/>
            <w:tcBorders>
              <w:top w:val="nil"/>
              <w:left w:val="nil"/>
              <w:bottom w:val="nil"/>
              <w:right w:val="single" w:sz="8" w:space="0" w:color="auto"/>
            </w:tcBorders>
            <w:shd w:val="clear" w:color="auto" w:fill="auto"/>
            <w:noWrap/>
            <w:vAlign w:val="bottom"/>
            <w:hideMark/>
          </w:tcPr>
          <w:p w:rsidR="00F52838" w:rsidRDefault="00F52838">
            <w:pPr>
              <w:rPr>
                <w:sz w:val="18"/>
                <w:szCs w:val="18"/>
              </w:rPr>
            </w:pPr>
            <w:r>
              <w:rPr>
                <w:sz w:val="18"/>
                <w:szCs w:val="18"/>
              </w:rPr>
              <w:t> </w:t>
            </w:r>
          </w:p>
        </w:tc>
      </w:tr>
      <w:tr w:rsidR="00F52838" w:rsidRPr="00B53232" w:rsidTr="00F52838">
        <w:trPr>
          <w:trHeight w:val="255"/>
        </w:trPr>
        <w:tc>
          <w:tcPr>
            <w:tcW w:w="4263" w:type="dxa"/>
            <w:tcBorders>
              <w:top w:val="nil"/>
              <w:left w:val="single" w:sz="8" w:space="0" w:color="auto"/>
              <w:bottom w:val="single" w:sz="4" w:space="0" w:color="auto"/>
              <w:right w:val="nil"/>
            </w:tcBorders>
            <w:shd w:val="clear" w:color="auto" w:fill="auto"/>
            <w:noWrap/>
            <w:vAlign w:val="bottom"/>
            <w:hideMark/>
          </w:tcPr>
          <w:p w:rsidR="00F52838" w:rsidRPr="00373E32" w:rsidRDefault="00F52838">
            <w:pPr>
              <w:rPr>
                <w:sz w:val="18"/>
                <w:szCs w:val="18"/>
              </w:rPr>
            </w:pPr>
            <w:r w:rsidRPr="00373E32">
              <w:rPr>
                <w:sz w:val="18"/>
                <w:szCs w:val="18"/>
              </w:rPr>
              <w:t xml:space="preserve">  Вноска за общия бюджет на ЕС</w:t>
            </w:r>
          </w:p>
        </w:tc>
        <w:tc>
          <w:tcPr>
            <w:tcW w:w="992" w:type="dxa"/>
            <w:tcBorders>
              <w:top w:val="nil"/>
              <w:left w:val="nil"/>
              <w:bottom w:val="single" w:sz="4" w:space="0" w:color="auto"/>
              <w:right w:val="nil"/>
            </w:tcBorders>
            <w:shd w:val="clear" w:color="auto" w:fill="auto"/>
            <w:noWrap/>
            <w:vAlign w:val="bottom"/>
            <w:hideMark/>
          </w:tcPr>
          <w:p w:rsidR="00F52838" w:rsidRDefault="00F52838">
            <w:pPr>
              <w:jc w:val="right"/>
              <w:rPr>
                <w:sz w:val="18"/>
                <w:szCs w:val="18"/>
              </w:rPr>
            </w:pPr>
            <w:r>
              <w:rPr>
                <w:sz w:val="18"/>
                <w:szCs w:val="18"/>
              </w:rPr>
              <w:t>1 133,9</w:t>
            </w:r>
          </w:p>
        </w:tc>
        <w:tc>
          <w:tcPr>
            <w:tcW w:w="1087" w:type="dxa"/>
            <w:tcBorders>
              <w:top w:val="nil"/>
              <w:left w:val="nil"/>
              <w:bottom w:val="single" w:sz="4" w:space="0" w:color="auto"/>
              <w:right w:val="nil"/>
            </w:tcBorders>
            <w:shd w:val="clear" w:color="auto" w:fill="auto"/>
            <w:noWrap/>
            <w:vAlign w:val="bottom"/>
            <w:hideMark/>
          </w:tcPr>
          <w:p w:rsidR="00F52838" w:rsidRDefault="00F52838">
            <w:pPr>
              <w:jc w:val="right"/>
              <w:rPr>
                <w:sz w:val="18"/>
                <w:szCs w:val="18"/>
              </w:rPr>
            </w:pPr>
            <w:r>
              <w:rPr>
                <w:sz w:val="18"/>
                <w:szCs w:val="18"/>
              </w:rPr>
              <w:t>308,2</w:t>
            </w:r>
          </w:p>
        </w:tc>
        <w:tc>
          <w:tcPr>
            <w:tcW w:w="1252" w:type="dxa"/>
            <w:tcBorders>
              <w:top w:val="nil"/>
              <w:left w:val="nil"/>
              <w:bottom w:val="single" w:sz="4" w:space="0" w:color="auto"/>
              <w:right w:val="nil"/>
            </w:tcBorders>
            <w:shd w:val="clear" w:color="auto" w:fill="auto"/>
            <w:noWrap/>
            <w:vAlign w:val="bottom"/>
            <w:hideMark/>
          </w:tcPr>
          <w:p w:rsidR="00F52838" w:rsidRDefault="00F52838">
            <w:pPr>
              <w:jc w:val="right"/>
              <w:rPr>
                <w:color w:val="000000"/>
                <w:sz w:val="18"/>
                <w:szCs w:val="18"/>
              </w:rPr>
            </w:pPr>
            <w:r>
              <w:rPr>
                <w:color w:val="000000"/>
                <w:sz w:val="18"/>
                <w:szCs w:val="18"/>
              </w:rPr>
              <w:t>308,2</w:t>
            </w:r>
          </w:p>
        </w:tc>
        <w:tc>
          <w:tcPr>
            <w:tcW w:w="1199" w:type="dxa"/>
            <w:tcBorders>
              <w:top w:val="nil"/>
              <w:left w:val="nil"/>
              <w:bottom w:val="single" w:sz="4" w:space="0" w:color="auto"/>
              <w:right w:val="nil"/>
            </w:tcBorders>
            <w:shd w:val="clear" w:color="auto" w:fill="auto"/>
            <w:noWrap/>
            <w:vAlign w:val="bottom"/>
            <w:hideMark/>
          </w:tcPr>
          <w:p w:rsidR="00F52838" w:rsidRDefault="00F52838">
            <w:pPr>
              <w:jc w:val="right"/>
              <w:rPr>
                <w:color w:val="000000"/>
                <w:sz w:val="18"/>
                <w:szCs w:val="18"/>
              </w:rPr>
            </w:pPr>
            <w:r>
              <w:rPr>
                <w:color w:val="000000"/>
                <w:sz w:val="18"/>
                <w:szCs w:val="18"/>
              </w:rPr>
              <w:t>0,</w:t>
            </w:r>
            <w:proofErr w:type="spellStart"/>
            <w:r>
              <w:rPr>
                <w:color w:val="000000"/>
                <w:sz w:val="18"/>
                <w:szCs w:val="18"/>
              </w:rPr>
              <w:t>0</w:t>
            </w:r>
            <w:proofErr w:type="spellEnd"/>
          </w:p>
        </w:tc>
        <w:tc>
          <w:tcPr>
            <w:tcW w:w="1300" w:type="dxa"/>
            <w:tcBorders>
              <w:top w:val="nil"/>
              <w:left w:val="nil"/>
              <w:bottom w:val="single" w:sz="4" w:space="0" w:color="auto"/>
              <w:right w:val="single" w:sz="8" w:space="0" w:color="auto"/>
            </w:tcBorders>
            <w:shd w:val="clear" w:color="auto" w:fill="auto"/>
            <w:noWrap/>
            <w:vAlign w:val="bottom"/>
            <w:hideMark/>
          </w:tcPr>
          <w:p w:rsidR="00F52838" w:rsidRDefault="00F52838">
            <w:pPr>
              <w:jc w:val="right"/>
              <w:rPr>
                <w:sz w:val="18"/>
                <w:szCs w:val="18"/>
              </w:rPr>
            </w:pPr>
            <w:r>
              <w:rPr>
                <w:sz w:val="18"/>
                <w:szCs w:val="18"/>
              </w:rPr>
              <w:t>27,2%</w:t>
            </w:r>
          </w:p>
        </w:tc>
      </w:tr>
      <w:tr w:rsidR="00F52838" w:rsidRPr="00B53232" w:rsidTr="00F52838">
        <w:trPr>
          <w:trHeight w:val="255"/>
        </w:trPr>
        <w:tc>
          <w:tcPr>
            <w:tcW w:w="4263" w:type="dxa"/>
            <w:tcBorders>
              <w:top w:val="nil"/>
              <w:left w:val="single" w:sz="8" w:space="0" w:color="auto"/>
              <w:bottom w:val="single" w:sz="4" w:space="0" w:color="auto"/>
              <w:right w:val="nil"/>
            </w:tcBorders>
            <w:shd w:val="clear" w:color="auto" w:fill="auto"/>
            <w:noWrap/>
            <w:vAlign w:val="bottom"/>
            <w:hideMark/>
          </w:tcPr>
          <w:p w:rsidR="00F52838" w:rsidRPr="00373E32" w:rsidRDefault="00F52838">
            <w:pPr>
              <w:rPr>
                <w:sz w:val="18"/>
                <w:szCs w:val="18"/>
              </w:rPr>
            </w:pPr>
            <w:r w:rsidRPr="00373E32">
              <w:rPr>
                <w:sz w:val="18"/>
                <w:szCs w:val="18"/>
              </w:rPr>
              <w:t>Трансфер от централния бюджет</w:t>
            </w:r>
          </w:p>
        </w:tc>
        <w:tc>
          <w:tcPr>
            <w:tcW w:w="992" w:type="dxa"/>
            <w:tcBorders>
              <w:top w:val="nil"/>
              <w:left w:val="nil"/>
              <w:bottom w:val="single" w:sz="4" w:space="0" w:color="auto"/>
              <w:right w:val="nil"/>
            </w:tcBorders>
            <w:shd w:val="clear" w:color="auto" w:fill="auto"/>
            <w:noWrap/>
            <w:vAlign w:val="bottom"/>
            <w:hideMark/>
          </w:tcPr>
          <w:p w:rsidR="00F52838" w:rsidRDefault="00F52838">
            <w:pPr>
              <w:rPr>
                <w:color w:val="538DD5"/>
                <w:sz w:val="18"/>
                <w:szCs w:val="18"/>
              </w:rPr>
            </w:pPr>
          </w:p>
        </w:tc>
        <w:tc>
          <w:tcPr>
            <w:tcW w:w="1087" w:type="dxa"/>
            <w:tcBorders>
              <w:top w:val="nil"/>
              <w:left w:val="nil"/>
              <w:bottom w:val="single" w:sz="4" w:space="0" w:color="auto"/>
              <w:right w:val="nil"/>
            </w:tcBorders>
            <w:shd w:val="clear" w:color="auto" w:fill="auto"/>
            <w:noWrap/>
            <w:vAlign w:val="bottom"/>
            <w:hideMark/>
          </w:tcPr>
          <w:p w:rsidR="00F52838" w:rsidRDefault="00F52838">
            <w:pPr>
              <w:jc w:val="right"/>
              <w:rPr>
                <w:b/>
                <w:bCs/>
                <w:sz w:val="18"/>
                <w:szCs w:val="18"/>
              </w:rPr>
            </w:pPr>
            <w:r>
              <w:rPr>
                <w:b/>
                <w:bCs/>
                <w:sz w:val="18"/>
                <w:szCs w:val="18"/>
              </w:rPr>
              <w:t>0,</w:t>
            </w:r>
            <w:proofErr w:type="spellStart"/>
            <w:r>
              <w:rPr>
                <w:b/>
                <w:bCs/>
                <w:sz w:val="18"/>
                <w:szCs w:val="18"/>
              </w:rPr>
              <w:t>0</w:t>
            </w:r>
            <w:proofErr w:type="spellEnd"/>
          </w:p>
        </w:tc>
        <w:tc>
          <w:tcPr>
            <w:tcW w:w="1252" w:type="dxa"/>
            <w:tcBorders>
              <w:top w:val="nil"/>
              <w:left w:val="nil"/>
              <w:bottom w:val="single" w:sz="4" w:space="0" w:color="auto"/>
              <w:right w:val="nil"/>
            </w:tcBorders>
            <w:shd w:val="clear" w:color="auto" w:fill="auto"/>
            <w:noWrap/>
            <w:vAlign w:val="bottom"/>
            <w:hideMark/>
          </w:tcPr>
          <w:p w:rsidR="00F52838" w:rsidRDefault="00F52838">
            <w:pPr>
              <w:jc w:val="right"/>
              <w:rPr>
                <w:color w:val="000000"/>
                <w:sz w:val="18"/>
                <w:szCs w:val="18"/>
              </w:rPr>
            </w:pPr>
            <w:r>
              <w:rPr>
                <w:color w:val="000000"/>
                <w:sz w:val="18"/>
                <w:szCs w:val="18"/>
              </w:rPr>
              <w:t>-127,3</w:t>
            </w:r>
          </w:p>
        </w:tc>
        <w:tc>
          <w:tcPr>
            <w:tcW w:w="1199" w:type="dxa"/>
            <w:tcBorders>
              <w:top w:val="nil"/>
              <w:left w:val="nil"/>
              <w:bottom w:val="single" w:sz="4" w:space="0" w:color="auto"/>
              <w:right w:val="nil"/>
            </w:tcBorders>
            <w:shd w:val="clear" w:color="auto" w:fill="auto"/>
            <w:noWrap/>
            <w:vAlign w:val="bottom"/>
            <w:hideMark/>
          </w:tcPr>
          <w:p w:rsidR="00F52838" w:rsidRDefault="00F52838">
            <w:pPr>
              <w:jc w:val="right"/>
              <w:rPr>
                <w:color w:val="000000"/>
                <w:sz w:val="18"/>
                <w:szCs w:val="18"/>
              </w:rPr>
            </w:pPr>
            <w:r>
              <w:rPr>
                <w:color w:val="000000"/>
                <w:sz w:val="18"/>
                <w:szCs w:val="18"/>
              </w:rPr>
              <w:t>127,3</w:t>
            </w:r>
          </w:p>
        </w:tc>
        <w:tc>
          <w:tcPr>
            <w:tcW w:w="1300" w:type="dxa"/>
            <w:tcBorders>
              <w:top w:val="nil"/>
              <w:left w:val="nil"/>
              <w:bottom w:val="single" w:sz="4" w:space="0" w:color="auto"/>
              <w:right w:val="single" w:sz="8" w:space="0" w:color="auto"/>
            </w:tcBorders>
            <w:shd w:val="clear" w:color="auto" w:fill="auto"/>
            <w:noWrap/>
            <w:vAlign w:val="bottom"/>
            <w:hideMark/>
          </w:tcPr>
          <w:p w:rsidR="00F52838" w:rsidRDefault="00F52838">
            <w:pPr>
              <w:rPr>
                <w:b/>
                <w:bCs/>
                <w:sz w:val="18"/>
                <w:szCs w:val="18"/>
              </w:rPr>
            </w:pPr>
            <w:r>
              <w:rPr>
                <w:b/>
                <w:bCs/>
                <w:sz w:val="18"/>
                <w:szCs w:val="18"/>
              </w:rPr>
              <w:t> </w:t>
            </w:r>
          </w:p>
        </w:tc>
      </w:tr>
      <w:tr w:rsidR="00F52838" w:rsidRPr="00B53232" w:rsidTr="00F52838">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rsidR="00F52838" w:rsidRPr="00373E32" w:rsidRDefault="00F52838">
            <w:pPr>
              <w:rPr>
                <w:b/>
                <w:bCs/>
                <w:sz w:val="18"/>
                <w:szCs w:val="18"/>
              </w:rPr>
            </w:pPr>
            <w:r w:rsidRPr="00373E32">
              <w:rPr>
                <w:b/>
                <w:bCs/>
                <w:sz w:val="18"/>
                <w:szCs w:val="18"/>
              </w:rPr>
              <w:t>БЮДЖЕТНО САЛДО</w:t>
            </w:r>
          </w:p>
        </w:tc>
        <w:tc>
          <w:tcPr>
            <w:tcW w:w="992" w:type="dxa"/>
            <w:tcBorders>
              <w:top w:val="nil"/>
              <w:left w:val="nil"/>
              <w:bottom w:val="single" w:sz="8" w:space="0" w:color="auto"/>
              <w:right w:val="nil"/>
            </w:tcBorders>
            <w:shd w:val="clear" w:color="000000" w:fill="D9D9D9"/>
            <w:noWrap/>
            <w:vAlign w:val="bottom"/>
            <w:hideMark/>
          </w:tcPr>
          <w:p w:rsidR="00F52838" w:rsidRDefault="00F52838">
            <w:pPr>
              <w:jc w:val="right"/>
              <w:rPr>
                <w:b/>
                <w:bCs/>
                <w:sz w:val="18"/>
                <w:szCs w:val="18"/>
              </w:rPr>
            </w:pPr>
            <w:r>
              <w:rPr>
                <w:b/>
                <w:bCs/>
                <w:sz w:val="18"/>
                <w:szCs w:val="18"/>
              </w:rPr>
              <w:t>-1 100,0</w:t>
            </w:r>
          </w:p>
        </w:tc>
        <w:tc>
          <w:tcPr>
            <w:tcW w:w="1087" w:type="dxa"/>
            <w:tcBorders>
              <w:top w:val="nil"/>
              <w:left w:val="nil"/>
              <w:bottom w:val="single" w:sz="8" w:space="0" w:color="auto"/>
              <w:right w:val="nil"/>
            </w:tcBorders>
            <w:shd w:val="clear" w:color="000000" w:fill="D9D9D9"/>
            <w:noWrap/>
            <w:vAlign w:val="bottom"/>
            <w:hideMark/>
          </w:tcPr>
          <w:p w:rsidR="00F52838" w:rsidRDefault="00F52838">
            <w:pPr>
              <w:jc w:val="right"/>
              <w:rPr>
                <w:b/>
                <w:bCs/>
                <w:sz w:val="18"/>
                <w:szCs w:val="18"/>
              </w:rPr>
            </w:pPr>
            <w:r>
              <w:rPr>
                <w:b/>
                <w:bCs/>
                <w:sz w:val="18"/>
                <w:szCs w:val="18"/>
              </w:rPr>
              <w:t>592,7</w:t>
            </w:r>
          </w:p>
        </w:tc>
        <w:tc>
          <w:tcPr>
            <w:tcW w:w="1252" w:type="dxa"/>
            <w:tcBorders>
              <w:top w:val="nil"/>
              <w:left w:val="nil"/>
              <w:bottom w:val="single" w:sz="8" w:space="0" w:color="auto"/>
              <w:right w:val="nil"/>
            </w:tcBorders>
            <w:shd w:val="clear" w:color="000000" w:fill="D9D9D9"/>
            <w:noWrap/>
            <w:vAlign w:val="bottom"/>
            <w:hideMark/>
          </w:tcPr>
          <w:p w:rsidR="00F52838" w:rsidRDefault="00F52838">
            <w:pPr>
              <w:jc w:val="right"/>
              <w:rPr>
                <w:b/>
                <w:bCs/>
                <w:color w:val="000000"/>
                <w:sz w:val="18"/>
                <w:szCs w:val="18"/>
              </w:rPr>
            </w:pPr>
            <w:r>
              <w:rPr>
                <w:b/>
                <w:bCs/>
                <w:color w:val="000000"/>
                <w:sz w:val="18"/>
                <w:szCs w:val="18"/>
              </w:rPr>
              <w:t>880,2</w:t>
            </w:r>
          </w:p>
        </w:tc>
        <w:tc>
          <w:tcPr>
            <w:tcW w:w="1199" w:type="dxa"/>
            <w:tcBorders>
              <w:top w:val="nil"/>
              <w:left w:val="nil"/>
              <w:bottom w:val="single" w:sz="8" w:space="0" w:color="auto"/>
              <w:right w:val="nil"/>
            </w:tcBorders>
            <w:shd w:val="clear" w:color="000000" w:fill="D9D9D9"/>
            <w:noWrap/>
            <w:vAlign w:val="bottom"/>
            <w:hideMark/>
          </w:tcPr>
          <w:p w:rsidR="00F52838" w:rsidRDefault="00F52838">
            <w:pPr>
              <w:jc w:val="right"/>
              <w:rPr>
                <w:b/>
                <w:bCs/>
                <w:color w:val="000000"/>
                <w:sz w:val="18"/>
                <w:szCs w:val="18"/>
              </w:rPr>
            </w:pPr>
            <w:r>
              <w:rPr>
                <w:b/>
                <w:bCs/>
                <w:color w:val="000000"/>
                <w:sz w:val="18"/>
                <w:szCs w:val="18"/>
              </w:rPr>
              <w:t>-287,6</w:t>
            </w:r>
          </w:p>
        </w:tc>
        <w:tc>
          <w:tcPr>
            <w:tcW w:w="1300" w:type="dxa"/>
            <w:tcBorders>
              <w:top w:val="nil"/>
              <w:left w:val="nil"/>
              <w:bottom w:val="single" w:sz="8" w:space="0" w:color="auto"/>
              <w:right w:val="single" w:sz="8" w:space="0" w:color="auto"/>
            </w:tcBorders>
            <w:shd w:val="clear" w:color="000000" w:fill="D9D9D9"/>
            <w:noWrap/>
            <w:vAlign w:val="bottom"/>
            <w:hideMark/>
          </w:tcPr>
          <w:p w:rsidR="00F52838" w:rsidRDefault="00F52838">
            <w:pPr>
              <w:rPr>
                <w:b/>
                <w:bCs/>
                <w:sz w:val="18"/>
                <w:szCs w:val="18"/>
              </w:rPr>
            </w:pPr>
            <w:r>
              <w:rPr>
                <w:b/>
                <w:bCs/>
                <w:sz w:val="18"/>
                <w:szCs w:val="18"/>
              </w:rPr>
              <w:t> </w:t>
            </w:r>
          </w:p>
        </w:tc>
      </w:tr>
    </w:tbl>
    <w:p w:rsidR="004923E3" w:rsidRPr="00B53232" w:rsidRDefault="004923E3" w:rsidP="00987CE4">
      <w:pPr>
        <w:rPr>
          <w:b/>
          <w:i/>
          <w:color w:val="0070C0"/>
          <w:sz w:val="18"/>
          <w:szCs w:val="18"/>
        </w:rPr>
      </w:pPr>
    </w:p>
    <w:p w:rsidR="00E74802" w:rsidRPr="00B53232" w:rsidRDefault="00E74802" w:rsidP="00E74802">
      <w:pPr>
        <w:ind w:left="360"/>
        <w:jc w:val="both"/>
        <w:rPr>
          <w:color w:val="0070C0"/>
        </w:rPr>
      </w:pPr>
    </w:p>
    <w:p w:rsidR="00987CE4" w:rsidRPr="00B53232" w:rsidRDefault="00987CE4" w:rsidP="00337CA7">
      <w:pPr>
        <w:numPr>
          <w:ilvl w:val="1"/>
          <w:numId w:val="11"/>
        </w:numPr>
        <w:tabs>
          <w:tab w:val="clear" w:pos="2160"/>
          <w:tab w:val="num" w:pos="720"/>
        </w:tabs>
        <w:ind w:left="0" w:firstLine="360"/>
        <w:jc w:val="both"/>
        <w:rPr>
          <w:color w:val="0070C0"/>
        </w:rPr>
      </w:pPr>
      <w:r w:rsidRPr="008A680B">
        <w:rPr>
          <w:b/>
        </w:rPr>
        <w:t>Приходите</w:t>
      </w:r>
      <w:r w:rsidR="00867198" w:rsidRPr="008A680B">
        <w:rPr>
          <w:b/>
        </w:rPr>
        <w:t xml:space="preserve"> и помощите</w:t>
      </w:r>
      <w:r w:rsidRPr="008A680B">
        <w:rPr>
          <w:b/>
        </w:rPr>
        <w:t xml:space="preserve"> по консолидираната фискална програма</w:t>
      </w:r>
      <w:r w:rsidRPr="008A680B">
        <w:t xml:space="preserve"> (КФП) </w:t>
      </w:r>
      <w:r w:rsidR="00D03F6C" w:rsidRPr="008A680B">
        <w:t>към края на</w:t>
      </w:r>
      <w:r w:rsidR="00D03F6C" w:rsidRPr="008A680B">
        <w:rPr>
          <w:b/>
        </w:rPr>
        <w:t xml:space="preserve"> </w:t>
      </w:r>
      <w:r w:rsidR="00D03F6C" w:rsidRPr="008A680B">
        <w:t xml:space="preserve">месец </w:t>
      </w:r>
      <w:r w:rsidR="006E0F71" w:rsidRPr="008A680B">
        <w:t>март</w:t>
      </w:r>
      <w:r w:rsidR="00D03F6C" w:rsidRPr="008A680B">
        <w:rPr>
          <w:b/>
        </w:rPr>
        <w:t xml:space="preserve"> </w:t>
      </w:r>
      <w:r w:rsidRPr="008A680B">
        <w:t>201</w:t>
      </w:r>
      <w:r w:rsidR="004D6524" w:rsidRPr="008A680B">
        <w:rPr>
          <w:lang w:val="en-US"/>
        </w:rPr>
        <w:t>8</w:t>
      </w:r>
      <w:r w:rsidRPr="008A680B">
        <w:t xml:space="preserve"> г. са в размер на </w:t>
      </w:r>
      <w:r w:rsidR="004D6524" w:rsidRPr="008A680B">
        <w:rPr>
          <w:b/>
          <w:bCs/>
        </w:rPr>
        <w:t>9 218,8 </w:t>
      </w:r>
      <w:r w:rsidRPr="008A680B">
        <w:rPr>
          <w:b/>
        </w:rPr>
        <w:t>млн. лв.,</w:t>
      </w:r>
      <w:r w:rsidRPr="008A680B">
        <w:t xml:space="preserve"> което представлява </w:t>
      </w:r>
      <w:r w:rsidR="00743DC3" w:rsidRPr="008A680B">
        <w:t>24,</w:t>
      </w:r>
      <w:r w:rsidR="004D6524" w:rsidRPr="008A680B">
        <w:rPr>
          <w:lang w:val="en-US"/>
        </w:rPr>
        <w:t>1</w:t>
      </w:r>
      <w:r w:rsidRPr="008A680B">
        <w:t> % от годишните разчети към ЗДБРБ за 201</w:t>
      </w:r>
      <w:r w:rsidR="004D6524" w:rsidRPr="008A680B">
        <w:rPr>
          <w:lang w:val="en-US"/>
        </w:rPr>
        <w:t>8</w:t>
      </w:r>
      <w:r w:rsidRPr="008A680B">
        <w:t xml:space="preserve"> г. </w:t>
      </w:r>
      <w:r w:rsidR="006E0F71" w:rsidRPr="008A680B">
        <w:rPr>
          <w:rFonts w:eastAsia="Calibri"/>
        </w:rPr>
        <w:t xml:space="preserve">Съпоставени със същия период на предходната година, данъчните и неданъчните приходи нарастват с </w:t>
      </w:r>
      <w:r w:rsidR="008A680B" w:rsidRPr="008A680B">
        <w:rPr>
          <w:rFonts w:eastAsia="Calibri"/>
          <w:lang w:val="en-US"/>
        </w:rPr>
        <w:t>621</w:t>
      </w:r>
      <w:r w:rsidR="008A680B" w:rsidRPr="008A680B">
        <w:rPr>
          <w:rFonts w:eastAsia="Calibri"/>
        </w:rPr>
        <w:t>,</w:t>
      </w:r>
      <w:r w:rsidR="008A680B" w:rsidRPr="008A680B">
        <w:rPr>
          <w:rFonts w:eastAsia="Calibri"/>
          <w:lang w:val="en-US"/>
        </w:rPr>
        <w:t>1</w:t>
      </w:r>
      <w:r w:rsidR="006E0F71" w:rsidRPr="008A680B">
        <w:rPr>
          <w:rFonts w:eastAsia="Calibri"/>
        </w:rPr>
        <w:t xml:space="preserve"> млн. лв. (</w:t>
      </w:r>
      <w:r w:rsidR="008A680B" w:rsidRPr="008A680B">
        <w:rPr>
          <w:rFonts w:eastAsia="Calibri"/>
        </w:rPr>
        <w:t>7,3</w:t>
      </w:r>
      <w:r w:rsidR="006E0F71" w:rsidRPr="008A680B">
        <w:rPr>
          <w:rFonts w:eastAsia="Calibri"/>
        </w:rPr>
        <w:t xml:space="preserve"> %), докато постъпленията от помощи са по-ниски</w:t>
      </w:r>
      <w:r w:rsidR="008A680B">
        <w:rPr>
          <w:rFonts w:eastAsia="Calibri"/>
        </w:rPr>
        <w:t>.</w:t>
      </w:r>
      <w:r w:rsidR="00996BA8" w:rsidRPr="00B53232">
        <w:rPr>
          <w:rFonts w:eastAsia="Calibri"/>
          <w:color w:val="0070C0"/>
        </w:rPr>
        <w:t xml:space="preserve"> </w:t>
      </w:r>
    </w:p>
    <w:p w:rsidR="00D9270B" w:rsidRPr="007C6E65" w:rsidRDefault="00A04FFB" w:rsidP="00D4646A">
      <w:pPr>
        <w:spacing w:before="120"/>
        <w:jc w:val="both"/>
      </w:pPr>
      <w:r w:rsidRPr="00091BCE">
        <w:t>Общата сума</w:t>
      </w:r>
      <w:r w:rsidRPr="00091BCE">
        <w:rPr>
          <w:b/>
        </w:rPr>
        <w:t xml:space="preserve"> </w:t>
      </w:r>
      <w:r w:rsidRPr="00091BCE">
        <w:t>на</w:t>
      </w:r>
      <w:r w:rsidRPr="00091BCE">
        <w:rPr>
          <w:b/>
        </w:rPr>
        <w:t xml:space="preserve"> </w:t>
      </w:r>
      <w:r w:rsidRPr="00091BCE">
        <w:rPr>
          <w:b/>
          <w:i/>
        </w:rPr>
        <w:t>данъчните постъпления</w:t>
      </w:r>
      <w:r w:rsidRPr="00091BCE">
        <w:t xml:space="preserve"> (вкл. приходите от осигурителни вноски) </w:t>
      </w:r>
      <w:r w:rsidR="006E0F71" w:rsidRPr="00091BCE">
        <w:t xml:space="preserve">са в размер на </w:t>
      </w:r>
      <w:r w:rsidR="00091BCE" w:rsidRPr="00091BCE">
        <w:rPr>
          <w:b/>
          <w:i/>
        </w:rPr>
        <w:t xml:space="preserve">7 828,6 </w:t>
      </w:r>
      <w:r w:rsidR="006E0F71" w:rsidRPr="00091BCE">
        <w:rPr>
          <w:b/>
          <w:i/>
        </w:rPr>
        <w:t>млн. лв</w:t>
      </w:r>
      <w:r w:rsidR="006E0F71" w:rsidRPr="00091BCE">
        <w:rPr>
          <w:i/>
        </w:rPr>
        <w:t>.</w:t>
      </w:r>
      <w:r w:rsidR="006E0F71" w:rsidRPr="00091BCE">
        <w:t xml:space="preserve">, което представлява </w:t>
      </w:r>
      <w:r w:rsidR="00091BCE" w:rsidRPr="00091BCE">
        <w:t>84,9</w:t>
      </w:r>
      <w:r w:rsidR="006E0F71" w:rsidRPr="00091BCE">
        <w:t xml:space="preserve"> % от общите постъпления по КФП за периода. Постъпленията в групата представляват </w:t>
      </w:r>
      <w:r w:rsidR="00091BCE" w:rsidRPr="00091BCE">
        <w:t>25,1</w:t>
      </w:r>
      <w:r w:rsidR="006E0F71" w:rsidRPr="00091BCE">
        <w:t xml:space="preserve"> % от разчета за годината и нарастват </w:t>
      </w:r>
      <w:r w:rsidR="006E0F71" w:rsidRPr="005E12E0">
        <w:t xml:space="preserve">номинално с </w:t>
      </w:r>
      <w:r w:rsidR="00091BCE" w:rsidRPr="005E12E0">
        <w:t xml:space="preserve">539,8 млн. лв. (7,4 %) </w:t>
      </w:r>
      <w:r w:rsidR="006E0F71" w:rsidRPr="005E12E0">
        <w:t>спрямо отчетените към март 201</w:t>
      </w:r>
      <w:r w:rsidR="00091BCE" w:rsidRPr="005E12E0">
        <w:t>7</w:t>
      </w:r>
      <w:r w:rsidR="006E0F71" w:rsidRPr="005E12E0">
        <w:t xml:space="preserve"> г.</w:t>
      </w:r>
      <w:r w:rsidRPr="005E12E0">
        <w:t xml:space="preserve"> Приходите в частта на </w:t>
      </w:r>
      <w:r w:rsidRPr="005E12E0">
        <w:rPr>
          <w:i/>
        </w:rPr>
        <w:t>преките</w:t>
      </w:r>
      <w:r w:rsidR="00821B89" w:rsidRPr="005E12E0">
        <w:rPr>
          <w:i/>
        </w:rPr>
        <w:t xml:space="preserve"> данъци</w:t>
      </w:r>
      <w:r w:rsidRPr="005E12E0">
        <w:rPr>
          <w:i/>
        </w:rPr>
        <w:t xml:space="preserve"> </w:t>
      </w:r>
      <w:r w:rsidR="006E0F71" w:rsidRPr="005E12E0">
        <w:t xml:space="preserve">възлизат на </w:t>
      </w:r>
      <w:r w:rsidR="005E12E0" w:rsidRPr="005E12E0">
        <w:t xml:space="preserve">1 453,2 </w:t>
      </w:r>
      <w:r w:rsidR="006E0F71" w:rsidRPr="005E12E0">
        <w:t xml:space="preserve">млн. лв., което представлява </w:t>
      </w:r>
      <w:r w:rsidR="005E12E0" w:rsidRPr="005E12E0">
        <w:t>25,2</w:t>
      </w:r>
      <w:r w:rsidR="006E0F71" w:rsidRPr="005E12E0">
        <w:t> % от разчета за 201</w:t>
      </w:r>
      <w:r w:rsidR="005E12E0" w:rsidRPr="005E12E0">
        <w:t>8</w:t>
      </w:r>
      <w:r w:rsidR="006E0F71" w:rsidRPr="005E12E0">
        <w:t xml:space="preserve"> г.</w:t>
      </w:r>
      <w:r w:rsidR="001E44C8" w:rsidRPr="005E12E0">
        <w:t xml:space="preserve"> Съпоставени със същия период на 201</w:t>
      </w:r>
      <w:r w:rsidR="005E12E0" w:rsidRPr="005E12E0">
        <w:t>7</w:t>
      </w:r>
      <w:r w:rsidR="001E44C8" w:rsidRPr="005E12E0">
        <w:t xml:space="preserve"> г.</w:t>
      </w:r>
      <w:r w:rsidR="003579F2" w:rsidRPr="005E12E0">
        <w:t>,</w:t>
      </w:r>
      <w:r w:rsidR="001E44C8" w:rsidRPr="005E12E0">
        <w:t xml:space="preserve"> преките данъци нарастват с </w:t>
      </w:r>
      <w:r w:rsidR="005E12E0" w:rsidRPr="005E12E0">
        <w:t>9,2</w:t>
      </w:r>
      <w:r w:rsidR="003579F2" w:rsidRPr="005E12E0">
        <w:t xml:space="preserve"> </w:t>
      </w:r>
      <w:r w:rsidR="001E44C8" w:rsidRPr="005E12E0">
        <w:t>% (</w:t>
      </w:r>
      <w:r w:rsidR="005E12E0" w:rsidRPr="005E12E0">
        <w:t>122,4</w:t>
      </w:r>
      <w:r w:rsidR="001E44C8" w:rsidRPr="005E12E0">
        <w:t xml:space="preserve"> млн. лв.).</w:t>
      </w:r>
      <w:r w:rsidRPr="005E12E0">
        <w:rPr>
          <w:rFonts w:ascii="Arial" w:hAnsi="Arial" w:cs="Arial"/>
        </w:rPr>
        <w:t xml:space="preserve"> </w:t>
      </w:r>
      <w:r w:rsidRPr="005E12E0">
        <w:t xml:space="preserve">Приходите от </w:t>
      </w:r>
      <w:r w:rsidRPr="005E12E0">
        <w:rPr>
          <w:i/>
        </w:rPr>
        <w:t>косвени данъци</w:t>
      </w:r>
      <w:r w:rsidRPr="005E12E0">
        <w:t xml:space="preserve"> са в размер на </w:t>
      </w:r>
      <w:r w:rsidR="005E12E0" w:rsidRPr="005E12E0">
        <w:t xml:space="preserve">3 829,3 </w:t>
      </w:r>
      <w:r w:rsidRPr="005E12E0">
        <w:t xml:space="preserve">млн. лв., което представлява </w:t>
      </w:r>
      <w:r w:rsidR="005E12E0" w:rsidRPr="005E12E0">
        <w:t>25,3</w:t>
      </w:r>
      <w:r w:rsidRPr="005E12E0">
        <w:t xml:space="preserve"> % от </w:t>
      </w:r>
      <w:r w:rsidR="009947C7" w:rsidRPr="005E12E0">
        <w:t>г</w:t>
      </w:r>
      <w:r w:rsidRPr="005E12E0">
        <w:t xml:space="preserve">одишния разчет. </w:t>
      </w:r>
      <w:r w:rsidR="001E44C8" w:rsidRPr="005E12E0">
        <w:t xml:space="preserve">Съпоставени с </w:t>
      </w:r>
      <w:r w:rsidR="006E0F71" w:rsidRPr="005E12E0">
        <w:t xml:space="preserve">първото тримесечие </w:t>
      </w:r>
      <w:r w:rsidR="001E44C8" w:rsidRPr="005E12E0">
        <w:t>на 201</w:t>
      </w:r>
      <w:r w:rsidR="005E12E0" w:rsidRPr="005E12E0">
        <w:t>7</w:t>
      </w:r>
      <w:r w:rsidR="001E44C8" w:rsidRPr="005E12E0">
        <w:t xml:space="preserve"> г. косвените данъци бележат </w:t>
      </w:r>
      <w:r w:rsidR="001E44C8" w:rsidRPr="002D72DE">
        <w:t xml:space="preserve">ръст от </w:t>
      </w:r>
      <w:r w:rsidR="005E12E0" w:rsidRPr="002D72DE">
        <w:t>3,1</w:t>
      </w:r>
      <w:r w:rsidR="001E44C8" w:rsidRPr="002D72DE">
        <w:t xml:space="preserve"> % (</w:t>
      </w:r>
      <w:r w:rsidR="005E12E0" w:rsidRPr="002D72DE">
        <w:t>115,3</w:t>
      </w:r>
      <w:r w:rsidR="001E44C8" w:rsidRPr="002D72DE">
        <w:t xml:space="preserve"> млн. лв.). </w:t>
      </w:r>
      <w:r w:rsidRPr="002D72DE">
        <w:t xml:space="preserve">Постъпленията от </w:t>
      </w:r>
      <w:r w:rsidRPr="002D72DE">
        <w:rPr>
          <w:i/>
        </w:rPr>
        <w:t>други данъци</w:t>
      </w:r>
      <w:r w:rsidRPr="002D72DE">
        <w:t xml:space="preserve"> (включват други данъци по ЗКПО, имуществени данъци и др.) са в размер на </w:t>
      </w:r>
      <w:r w:rsidR="002D72DE" w:rsidRPr="002D72DE">
        <w:t xml:space="preserve">330,0 </w:t>
      </w:r>
      <w:r w:rsidRPr="002D72DE">
        <w:t xml:space="preserve">млн. лв., което представлява </w:t>
      </w:r>
      <w:r w:rsidR="002D72DE" w:rsidRPr="002D72DE">
        <w:t>30,1</w:t>
      </w:r>
      <w:r w:rsidRPr="002D72DE">
        <w:t> % от разчетите към ЗДБРБ за 201</w:t>
      </w:r>
      <w:r w:rsidR="002D72DE" w:rsidRPr="002D72DE">
        <w:t>8</w:t>
      </w:r>
      <w:r w:rsidRPr="002D72DE">
        <w:t xml:space="preserve"> г. </w:t>
      </w:r>
      <w:r w:rsidR="001E44C8" w:rsidRPr="002D72DE">
        <w:t xml:space="preserve">и нарастват с </w:t>
      </w:r>
      <w:r w:rsidR="002D72DE" w:rsidRPr="002D72DE">
        <w:t>6,4</w:t>
      </w:r>
      <w:r w:rsidR="001E44C8" w:rsidRPr="002D72DE">
        <w:t xml:space="preserve"> % (</w:t>
      </w:r>
      <w:r w:rsidR="002D72DE" w:rsidRPr="002D72DE">
        <w:t>19,9</w:t>
      </w:r>
      <w:r w:rsidR="001E44C8" w:rsidRPr="002D72DE">
        <w:t xml:space="preserve"> млн. лв.) спрямо </w:t>
      </w:r>
      <w:r w:rsidR="006E0F71" w:rsidRPr="002D72DE">
        <w:t>март</w:t>
      </w:r>
      <w:r w:rsidR="001E44C8" w:rsidRPr="002D72DE">
        <w:t xml:space="preserve"> 201</w:t>
      </w:r>
      <w:r w:rsidR="002D72DE" w:rsidRPr="002D72DE">
        <w:t>7</w:t>
      </w:r>
      <w:r w:rsidR="001E44C8" w:rsidRPr="002D72DE">
        <w:t xml:space="preserve"> г. </w:t>
      </w:r>
      <w:r w:rsidRPr="007C6E65">
        <w:lastRenderedPageBreak/>
        <w:t xml:space="preserve">Приходите от </w:t>
      </w:r>
      <w:proofErr w:type="spellStart"/>
      <w:r w:rsidRPr="007C6E65">
        <w:rPr>
          <w:b/>
          <w:i/>
        </w:rPr>
        <w:t>социалноосигурителни</w:t>
      </w:r>
      <w:proofErr w:type="spellEnd"/>
      <w:r w:rsidRPr="007C6E65">
        <w:rPr>
          <w:b/>
          <w:i/>
        </w:rPr>
        <w:t xml:space="preserve"> и здравни вноски</w:t>
      </w:r>
      <w:r w:rsidRPr="007C6E65">
        <w:rPr>
          <w:b/>
        </w:rPr>
        <w:t xml:space="preserve"> </w:t>
      </w:r>
      <w:r w:rsidRPr="007C6E65">
        <w:t>към 3</w:t>
      </w:r>
      <w:r w:rsidR="006E0F71" w:rsidRPr="007C6E65">
        <w:t>1</w:t>
      </w:r>
      <w:r w:rsidRPr="007C6E65">
        <w:t>.</w:t>
      </w:r>
      <w:r w:rsidR="006E0F71" w:rsidRPr="007C6E65">
        <w:t>03</w:t>
      </w:r>
      <w:r w:rsidRPr="007C6E65">
        <w:t>.201</w:t>
      </w:r>
      <w:r w:rsidR="007C6E65" w:rsidRPr="007C6E65">
        <w:t>8</w:t>
      </w:r>
      <w:r w:rsidRPr="007C6E65">
        <w:t xml:space="preserve"> г. са в размер на </w:t>
      </w:r>
      <w:r w:rsidR="007C6E65" w:rsidRPr="007C6E65">
        <w:t xml:space="preserve">2 216,1 </w:t>
      </w:r>
      <w:r w:rsidRPr="007C6E65">
        <w:t xml:space="preserve">млн. лв. или </w:t>
      </w:r>
      <w:r w:rsidR="007A34B2" w:rsidRPr="007C6E65">
        <w:t>24,</w:t>
      </w:r>
      <w:r w:rsidR="007C6E65" w:rsidRPr="007C6E65">
        <w:t>3</w:t>
      </w:r>
      <w:r w:rsidRPr="007C6E65">
        <w:t xml:space="preserve"> % от планираните за годината, като спрямо същия период на предходната година нарастват </w:t>
      </w:r>
      <w:r w:rsidR="00073DF5" w:rsidRPr="007C6E65">
        <w:t>с</w:t>
      </w:r>
      <w:r w:rsidRPr="007C6E65">
        <w:t xml:space="preserve"> </w:t>
      </w:r>
      <w:r w:rsidR="007C6E65" w:rsidRPr="007C6E65">
        <w:t>282,2</w:t>
      </w:r>
      <w:r w:rsidRPr="007C6E65">
        <w:t xml:space="preserve"> млн. лева. </w:t>
      </w:r>
      <w:r w:rsidR="001E44C8" w:rsidRPr="007C6E65">
        <w:t>(</w:t>
      </w:r>
      <w:r w:rsidR="007A34B2" w:rsidRPr="007C6E65">
        <w:t>14,</w:t>
      </w:r>
      <w:r w:rsidR="007C6E65" w:rsidRPr="007C6E65">
        <w:t>6</w:t>
      </w:r>
      <w:r w:rsidR="001E44C8" w:rsidRPr="007C6E65">
        <w:t xml:space="preserve"> %).</w:t>
      </w:r>
      <w:r w:rsidR="00073DF5" w:rsidRPr="007C6E65">
        <w:t xml:space="preserve"> </w:t>
      </w:r>
    </w:p>
    <w:p w:rsidR="00BF3B6B" w:rsidRPr="00853509" w:rsidRDefault="00741E2F" w:rsidP="00671112">
      <w:pPr>
        <w:spacing w:before="120"/>
        <w:jc w:val="both"/>
      </w:pPr>
      <w:r w:rsidRPr="00853509">
        <w:rPr>
          <w:b/>
          <w:bCs/>
          <w:i/>
          <w:iCs/>
        </w:rPr>
        <w:t xml:space="preserve">Неданъчните приходи </w:t>
      </w:r>
      <w:r w:rsidR="00BF3B6B" w:rsidRPr="00853509">
        <w:t xml:space="preserve">са в размер на </w:t>
      </w:r>
      <w:r w:rsidR="00853509" w:rsidRPr="00853509">
        <w:rPr>
          <w:b/>
        </w:rPr>
        <w:t>1 254,1  млн. лв</w:t>
      </w:r>
      <w:r w:rsidR="00853509" w:rsidRPr="00853509">
        <w:t>., което представлява 26,7 % изпълнение на годишните разчети</w:t>
      </w:r>
      <w:r w:rsidR="00BF3B6B" w:rsidRPr="00853509">
        <w:t xml:space="preserve">. </w:t>
      </w:r>
    </w:p>
    <w:p w:rsidR="00BF3B6B" w:rsidRPr="00AF1E89" w:rsidRDefault="00BF3B6B" w:rsidP="00671112">
      <w:pPr>
        <w:spacing w:before="120"/>
        <w:jc w:val="both"/>
      </w:pPr>
      <w:r w:rsidRPr="00AF1E89">
        <w:t xml:space="preserve">Постъпленията от </w:t>
      </w:r>
      <w:r w:rsidRPr="00AF1E89">
        <w:rPr>
          <w:b/>
          <w:i/>
        </w:rPr>
        <w:t>помощи</w:t>
      </w:r>
      <w:r w:rsidRPr="00AF1E89">
        <w:t xml:space="preserve"> от страната и чужбина (</w:t>
      </w:r>
      <w:r w:rsidR="005B4689" w:rsidRPr="00AF1E89">
        <w:t>основно</w:t>
      </w:r>
      <w:r w:rsidRPr="00AF1E89">
        <w:t xml:space="preserve"> помощи от фондовете на ЕС) са в размер на </w:t>
      </w:r>
      <w:r w:rsidR="00AF1E89" w:rsidRPr="00AF1E89">
        <w:rPr>
          <w:b/>
        </w:rPr>
        <w:t>136,2</w:t>
      </w:r>
      <w:r w:rsidRPr="00AF1E89">
        <w:rPr>
          <w:b/>
        </w:rPr>
        <w:t xml:space="preserve"> млн. лв.</w:t>
      </w:r>
      <w:r w:rsidR="006916AA" w:rsidRPr="00AF1E89">
        <w:t xml:space="preserve"> </w:t>
      </w:r>
    </w:p>
    <w:p w:rsidR="00D4646A" w:rsidRDefault="00987CE4" w:rsidP="00D4646A">
      <w:pPr>
        <w:spacing w:before="120" w:after="120"/>
        <w:jc w:val="both"/>
        <w:rPr>
          <w:color w:val="0070C0"/>
          <w:lang w:val="en-US"/>
        </w:rPr>
      </w:pPr>
      <w:r w:rsidRPr="009A38EA">
        <w:rPr>
          <w:b/>
        </w:rPr>
        <w:t>Разходите по консолидиран</w:t>
      </w:r>
      <w:r w:rsidR="006F2870" w:rsidRPr="009A38EA">
        <w:rPr>
          <w:b/>
        </w:rPr>
        <w:t>ата</w:t>
      </w:r>
      <w:r w:rsidRPr="009A38EA">
        <w:rPr>
          <w:b/>
        </w:rPr>
        <w:t xml:space="preserve"> </w:t>
      </w:r>
      <w:r w:rsidR="006F2870" w:rsidRPr="009A38EA">
        <w:rPr>
          <w:b/>
        </w:rPr>
        <w:t>фискална програма</w:t>
      </w:r>
      <w:r w:rsidRPr="009A38EA">
        <w:rPr>
          <w:b/>
        </w:rPr>
        <w:t xml:space="preserve"> </w:t>
      </w:r>
      <w:r w:rsidRPr="009A38EA">
        <w:t xml:space="preserve">(вкл. вноската на Република България в общия бюджет на ЕС) </w:t>
      </w:r>
      <w:r w:rsidR="0084568A" w:rsidRPr="009A38EA">
        <w:t>към 3</w:t>
      </w:r>
      <w:r w:rsidR="00D03BB9" w:rsidRPr="009A38EA">
        <w:t>1</w:t>
      </w:r>
      <w:r w:rsidR="0084568A" w:rsidRPr="009A38EA">
        <w:t>.0</w:t>
      </w:r>
      <w:r w:rsidR="00D03BB9" w:rsidRPr="009A38EA">
        <w:t>3</w:t>
      </w:r>
      <w:r w:rsidR="0084568A" w:rsidRPr="009A38EA">
        <w:t>.201</w:t>
      </w:r>
      <w:r w:rsidR="009A38EA" w:rsidRPr="009A38EA">
        <w:t>8</w:t>
      </w:r>
      <w:r w:rsidR="0084568A" w:rsidRPr="009A38EA">
        <w:t xml:space="preserve"> г.</w:t>
      </w:r>
      <w:r w:rsidR="0084568A" w:rsidRPr="009A38EA">
        <w:rPr>
          <w:b/>
        </w:rPr>
        <w:t xml:space="preserve"> са в размер на </w:t>
      </w:r>
      <w:r w:rsidR="009A38EA" w:rsidRPr="009A38EA">
        <w:rPr>
          <w:b/>
        </w:rPr>
        <w:t xml:space="preserve">8 626,2 млн. лв., </w:t>
      </w:r>
      <w:r w:rsidR="009A38EA" w:rsidRPr="009A38EA">
        <w:t xml:space="preserve">което представлява 21,9 % от годишния разчет. За сравнение разходите за същия период на предходната година </w:t>
      </w:r>
      <w:r w:rsidR="009A38EA" w:rsidRPr="00641FD6">
        <w:t xml:space="preserve">са в размер на 7 780,6 млн. лева. Номиналното нарастване се дължи </w:t>
      </w:r>
      <w:r w:rsidR="009A38EA" w:rsidRPr="00131CF9">
        <w:t>както на по-високия размер на разходите по националния бюджет, така и на нарастването на разходите по сметките за средствата от Европейския съюз. Ръстът на разходите спрямо същия период на 2017 г. е основно поради по-високия размер на социалните плащания, свързан с базов ефект при разходите за пенсии от увеличението им от юли 201</w:t>
      </w:r>
      <w:r w:rsidR="009A38EA" w:rsidRPr="00131CF9">
        <w:rPr>
          <w:lang w:val="en-US"/>
        </w:rPr>
        <w:t>7</w:t>
      </w:r>
      <w:r w:rsidR="009A38EA" w:rsidRPr="00131CF9">
        <w:t xml:space="preserve"> г.</w:t>
      </w:r>
      <w:r w:rsidR="009A38EA" w:rsidRPr="00131CF9">
        <w:rPr>
          <w:lang w:val="en-US"/>
        </w:rPr>
        <w:t xml:space="preserve"> </w:t>
      </w:r>
      <w:r w:rsidR="009A38EA" w:rsidRPr="00131CF9">
        <w:t xml:space="preserve">и увеличението на две стъпки през 2017 г. на размера на минималната пенсия </w:t>
      </w:r>
      <w:r w:rsidR="009A38EA" w:rsidRPr="00131CF9">
        <w:rPr>
          <w:lang w:val="en-US"/>
        </w:rPr>
        <w:t>(</w:t>
      </w:r>
      <w:r w:rsidR="009A38EA" w:rsidRPr="00131CF9">
        <w:t>от юли и октомври</w:t>
      </w:r>
      <w:r w:rsidR="009A38EA" w:rsidRPr="00131CF9">
        <w:rPr>
          <w:lang w:val="en-US"/>
        </w:rPr>
        <w:t>)</w:t>
      </w:r>
      <w:r w:rsidR="009A38EA" w:rsidRPr="00131CF9">
        <w:t xml:space="preserve">, </w:t>
      </w:r>
      <w:r w:rsidR="009A38EA" w:rsidRPr="00131CF9">
        <w:rPr>
          <w:rFonts w:eastAsia="Calibri"/>
          <w:bCs/>
        </w:rPr>
        <w:t xml:space="preserve">по-високи разходи за персонал </w:t>
      </w:r>
      <w:r w:rsidR="009A38EA" w:rsidRPr="00772777">
        <w:rPr>
          <w:rFonts w:eastAsia="Calibri"/>
          <w:bCs/>
          <w:lang w:val="en-US"/>
        </w:rPr>
        <w:t>(</w:t>
      </w:r>
      <w:proofErr w:type="spellStart"/>
      <w:r w:rsidR="009A38EA" w:rsidRPr="00772777">
        <w:rPr>
          <w:rFonts w:eastAsia="Calibri"/>
          <w:bCs/>
          <w:lang w:val="en-US"/>
        </w:rPr>
        <w:t>основно</w:t>
      </w:r>
      <w:proofErr w:type="spellEnd"/>
      <w:r w:rsidR="009A38EA" w:rsidRPr="00772777">
        <w:rPr>
          <w:rFonts w:eastAsia="Calibri"/>
          <w:bCs/>
          <w:lang w:val="en-US"/>
        </w:rPr>
        <w:t xml:space="preserve"> </w:t>
      </w:r>
      <w:proofErr w:type="spellStart"/>
      <w:r w:rsidR="009A38EA" w:rsidRPr="00772777">
        <w:rPr>
          <w:rFonts w:eastAsia="Calibri"/>
          <w:bCs/>
          <w:lang w:val="en-US"/>
        </w:rPr>
        <w:t>поради</w:t>
      </w:r>
      <w:proofErr w:type="spellEnd"/>
      <w:r w:rsidR="009A38EA" w:rsidRPr="00772777">
        <w:rPr>
          <w:rFonts w:eastAsia="Calibri"/>
          <w:bCs/>
          <w:lang w:val="en-US"/>
        </w:rPr>
        <w:t xml:space="preserve"> </w:t>
      </w:r>
      <w:proofErr w:type="spellStart"/>
      <w:r w:rsidR="009A38EA" w:rsidRPr="00772777">
        <w:rPr>
          <w:rFonts w:eastAsia="Calibri"/>
          <w:bCs/>
          <w:lang w:val="en-US"/>
        </w:rPr>
        <w:t>увеличението</w:t>
      </w:r>
      <w:proofErr w:type="spellEnd"/>
      <w:r w:rsidR="009A38EA" w:rsidRPr="00BF2186">
        <w:rPr>
          <w:rFonts w:eastAsia="Calibri"/>
          <w:bCs/>
          <w:lang w:val="en-US"/>
        </w:rPr>
        <w:t xml:space="preserve"> на </w:t>
      </w:r>
      <w:proofErr w:type="spellStart"/>
      <w:r w:rsidR="009A38EA" w:rsidRPr="00BF2186">
        <w:rPr>
          <w:rFonts w:eastAsia="Calibri"/>
          <w:bCs/>
          <w:lang w:val="en-US"/>
        </w:rPr>
        <w:t>възнагражденията</w:t>
      </w:r>
      <w:proofErr w:type="spellEnd"/>
      <w:r w:rsidR="009A38EA" w:rsidRPr="00BF2186">
        <w:rPr>
          <w:rFonts w:eastAsia="Calibri"/>
          <w:bCs/>
          <w:lang w:val="en-US"/>
        </w:rPr>
        <w:t xml:space="preserve"> на </w:t>
      </w:r>
      <w:proofErr w:type="spellStart"/>
      <w:r w:rsidR="009A38EA" w:rsidRPr="00BF2186">
        <w:rPr>
          <w:rFonts w:eastAsia="Calibri"/>
          <w:bCs/>
          <w:lang w:val="en-US"/>
        </w:rPr>
        <w:t>педагогическия</w:t>
      </w:r>
      <w:proofErr w:type="spellEnd"/>
      <w:r w:rsidR="009A38EA" w:rsidRPr="00BF2186">
        <w:rPr>
          <w:rFonts w:eastAsia="Calibri"/>
          <w:bCs/>
          <w:lang w:val="en-US"/>
        </w:rPr>
        <w:t xml:space="preserve"> </w:t>
      </w:r>
      <w:proofErr w:type="spellStart"/>
      <w:r w:rsidR="009A38EA" w:rsidRPr="00BF2186">
        <w:rPr>
          <w:rFonts w:eastAsia="Calibri"/>
          <w:bCs/>
          <w:lang w:val="en-US"/>
        </w:rPr>
        <w:t>персонал</w:t>
      </w:r>
      <w:proofErr w:type="spellEnd"/>
      <w:r w:rsidR="009A38EA" w:rsidRPr="00BF2186">
        <w:rPr>
          <w:rFonts w:eastAsia="Calibri"/>
          <w:bCs/>
          <w:lang w:val="en-US"/>
        </w:rPr>
        <w:t xml:space="preserve"> в </w:t>
      </w:r>
      <w:proofErr w:type="spellStart"/>
      <w:r w:rsidR="009A38EA" w:rsidRPr="00BF2186">
        <w:rPr>
          <w:rFonts w:eastAsia="Calibri"/>
          <w:bCs/>
          <w:lang w:val="en-US"/>
        </w:rPr>
        <w:t>системата</w:t>
      </w:r>
      <w:proofErr w:type="spellEnd"/>
      <w:r w:rsidR="009A38EA" w:rsidRPr="00BF2186">
        <w:rPr>
          <w:rFonts w:eastAsia="Calibri"/>
          <w:bCs/>
          <w:lang w:val="en-US"/>
        </w:rPr>
        <w:t xml:space="preserve"> на </w:t>
      </w:r>
      <w:proofErr w:type="spellStart"/>
      <w:r w:rsidR="009A38EA" w:rsidRPr="00BF2186">
        <w:rPr>
          <w:rFonts w:eastAsia="Calibri"/>
          <w:bCs/>
          <w:lang w:val="en-US"/>
        </w:rPr>
        <w:t>средното</w:t>
      </w:r>
      <w:proofErr w:type="spellEnd"/>
      <w:r w:rsidR="009A38EA" w:rsidRPr="00BF2186">
        <w:rPr>
          <w:rFonts w:eastAsia="Calibri"/>
          <w:bCs/>
          <w:lang w:val="en-US"/>
        </w:rPr>
        <w:t xml:space="preserve"> </w:t>
      </w:r>
      <w:proofErr w:type="spellStart"/>
      <w:r w:rsidR="009A38EA" w:rsidRPr="00B30E92">
        <w:rPr>
          <w:rFonts w:eastAsia="Calibri"/>
          <w:bCs/>
          <w:lang w:val="en-US"/>
        </w:rPr>
        <w:t>образование</w:t>
      </w:r>
      <w:proofErr w:type="spellEnd"/>
      <w:r w:rsidR="009A38EA" w:rsidRPr="00B30E92">
        <w:rPr>
          <w:rFonts w:eastAsia="Calibri"/>
          <w:bCs/>
          <w:lang w:val="en-US"/>
        </w:rPr>
        <w:t>)</w:t>
      </w:r>
      <w:r w:rsidR="009A38EA" w:rsidRPr="00553FAD">
        <w:rPr>
          <w:rFonts w:eastAsia="Calibri"/>
          <w:bCs/>
        </w:rPr>
        <w:t xml:space="preserve"> и нарастването на капиталовите разходи </w:t>
      </w:r>
      <w:r w:rsidR="009A38EA" w:rsidRPr="00553FAD">
        <w:rPr>
          <w:rFonts w:eastAsia="Calibri"/>
          <w:bCs/>
          <w:lang w:val="en-US"/>
        </w:rPr>
        <w:t>(</w:t>
      </w:r>
      <w:r w:rsidR="009A38EA" w:rsidRPr="00553FAD">
        <w:rPr>
          <w:rFonts w:eastAsia="Calibri"/>
          <w:bCs/>
        </w:rPr>
        <w:t xml:space="preserve">основно по </w:t>
      </w:r>
      <w:r w:rsidR="009A38EA" w:rsidRPr="009A38EA">
        <w:rPr>
          <w:rFonts w:eastAsia="Calibri"/>
          <w:bCs/>
        </w:rPr>
        <w:t>сметките за средства от ЕС</w:t>
      </w:r>
      <w:r w:rsidR="009A38EA" w:rsidRPr="009A38EA">
        <w:rPr>
          <w:rFonts w:eastAsia="Calibri"/>
          <w:bCs/>
          <w:lang w:val="en-US"/>
        </w:rPr>
        <w:t>)</w:t>
      </w:r>
      <w:r w:rsidR="00D64E02" w:rsidRPr="009A38EA">
        <w:rPr>
          <w:color w:val="0070C0"/>
        </w:rPr>
        <w:t>.</w:t>
      </w:r>
    </w:p>
    <w:p w:rsidR="00D8005C" w:rsidRPr="00B53232" w:rsidRDefault="003A4129" w:rsidP="00D4646A">
      <w:pPr>
        <w:spacing w:before="120" w:after="120"/>
        <w:jc w:val="both"/>
        <w:rPr>
          <w:color w:val="0070C0"/>
        </w:rPr>
      </w:pPr>
      <w:r w:rsidRPr="00553FAD">
        <w:rPr>
          <w:b/>
          <w:i/>
        </w:rPr>
        <w:t>Нелихвените разходи</w:t>
      </w:r>
      <w:r w:rsidRPr="00553FAD">
        <w:t xml:space="preserve"> са в размер на 7 939,6 млн. лв., което представлява 21,3 % от годишния разчет. </w:t>
      </w:r>
      <w:r w:rsidRPr="00553FAD">
        <w:rPr>
          <w:i/>
        </w:rPr>
        <w:t>Текущите нелихвени разходи</w:t>
      </w:r>
      <w:r w:rsidRPr="00553FAD">
        <w:t xml:space="preserve"> са в размер на 7 378,6 млн. лв. (23,7 % от разчета за годината). </w:t>
      </w:r>
      <w:r w:rsidRPr="00553FAD">
        <w:rPr>
          <w:i/>
        </w:rPr>
        <w:t>Капиталовите разходи</w:t>
      </w:r>
      <w:r w:rsidRPr="00553FAD">
        <w:t xml:space="preserve"> (вкл. нетния прираст на държавния резерв) възлизат на 554,1 млн. лв. (9,0 % от разчетите към ЗДБРБ за 2018 г.). </w:t>
      </w:r>
      <w:r w:rsidRPr="008441D8">
        <w:rPr>
          <w:i/>
        </w:rPr>
        <w:t>Предоставените текущи и капиталови трансфери за чужбина</w:t>
      </w:r>
      <w:r w:rsidRPr="00553FAD">
        <w:t xml:space="preserve"> са в размер на 6,9 млн. лв. (48,0 % от разчета за годината). </w:t>
      </w:r>
      <w:r w:rsidRPr="00553FAD">
        <w:rPr>
          <w:b/>
          <w:i/>
        </w:rPr>
        <w:t>Лихвените плащания</w:t>
      </w:r>
      <w:r w:rsidRPr="00553FAD">
        <w:t xml:space="preserve"> са в размер на 378,4 млн. лв. (52,4 % от планираните за 2018 година).</w:t>
      </w:r>
    </w:p>
    <w:p w:rsidR="006176D9" w:rsidRPr="004A2C3A" w:rsidRDefault="009B1713" w:rsidP="0080396D">
      <w:pPr>
        <w:spacing w:before="120"/>
        <w:jc w:val="both"/>
      </w:pPr>
      <w:r w:rsidRPr="004A2C3A">
        <w:rPr>
          <w:b/>
        </w:rPr>
        <w:t>Частта от вноската на Република България в общия бюджет на ЕС</w:t>
      </w:r>
      <w:r w:rsidRPr="004A2C3A">
        <w:t>,</w:t>
      </w:r>
      <w:r w:rsidR="006176D9" w:rsidRPr="004A2C3A">
        <w:t xml:space="preserve"> изплатена към 31.03.201</w:t>
      </w:r>
      <w:r w:rsidR="004A2C3A" w:rsidRPr="004A2C3A">
        <w:t>8</w:t>
      </w:r>
      <w:r w:rsidR="006176D9" w:rsidRPr="004A2C3A">
        <w:t xml:space="preserve"> г. от централния бюджет, възлиза на </w:t>
      </w:r>
      <w:r w:rsidR="004A2C3A" w:rsidRPr="004A2C3A">
        <w:rPr>
          <w:b/>
        </w:rPr>
        <w:t>308,2</w:t>
      </w:r>
      <w:r w:rsidR="006176D9" w:rsidRPr="004A2C3A">
        <w:rPr>
          <w:b/>
        </w:rPr>
        <w:t xml:space="preserve"> млн. лв.</w:t>
      </w:r>
      <w:r w:rsidR="006176D9" w:rsidRPr="004A2C3A">
        <w:t xml:space="preserve">, което е в изпълнение на действащото към момента законодателство в областта на собствените ресурси на ЕС - Решение на Съвета 2014/335/ЕС, </w:t>
      </w:r>
      <w:proofErr w:type="spellStart"/>
      <w:r w:rsidR="006176D9" w:rsidRPr="004A2C3A">
        <w:t>Евратом</w:t>
      </w:r>
      <w:proofErr w:type="spellEnd"/>
      <w:r w:rsidR="006176D9" w:rsidRPr="004A2C3A">
        <w:t xml:space="preserve"> относно системата на собствените ресурси на Европейския съюз, Регламент (ЕС, </w:t>
      </w:r>
      <w:proofErr w:type="spellStart"/>
      <w:r w:rsidR="006176D9" w:rsidRPr="004A2C3A">
        <w:t>Евратом</w:t>
      </w:r>
      <w:proofErr w:type="spellEnd"/>
      <w:r w:rsidR="006176D9" w:rsidRPr="004A2C3A">
        <w:t xml:space="preserve">) № 608/2014 на Съвета от 26 май 2014 г. за определяне на мерки за прилагане на системата на собствените ресурси на ЕС и Регламент (EС, </w:t>
      </w:r>
      <w:proofErr w:type="spellStart"/>
      <w:r w:rsidR="006176D9" w:rsidRPr="004A2C3A">
        <w:t>Евратом</w:t>
      </w:r>
      <w:proofErr w:type="spellEnd"/>
      <w:r w:rsidR="006176D9" w:rsidRPr="004A2C3A">
        <w:t xml:space="preserve">)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изменен с Регламент (EС, </w:t>
      </w:r>
      <w:proofErr w:type="spellStart"/>
      <w:r w:rsidR="006176D9" w:rsidRPr="004A2C3A">
        <w:t>Евратом</w:t>
      </w:r>
      <w:proofErr w:type="spellEnd"/>
      <w:r w:rsidR="006176D9" w:rsidRPr="004A2C3A">
        <w:t>) 2016/804 на Съвета от 17 май 2016 г., в т.ч.:</w:t>
      </w:r>
    </w:p>
    <w:p w:rsidR="0080396D" w:rsidRPr="009B3B5D" w:rsidRDefault="0080396D" w:rsidP="0080396D">
      <w:pPr>
        <w:numPr>
          <w:ilvl w:val="0"/>
          <w:numId w:val="13"/>
        </w:numPr>
        <w:tabs>
          <w:tab w:val="clear" w:pos="1500"/>
          <w:tab w:val="num" w:pos="720"/>
        </w:tabs>
        <w:spacing w:before="120"/>
        <w:ind w:left="709" w:hanging="283"/>
        <w:jc w:val="both"/>
      </w:pPr>
      <w:r w:rsidRPr="009B3B5D">
        <w:t>ресурс на база брутен национален доход – 185,8 млн. лв.;</w:t>
      </w:r>
    </w:p>
    <w:p w:rsidR="0080396D" w:rsidRPr="009B3B5D" w:rsidRDefault="0080396D" w:rsidP="0080396D">
      <w:pPr>
        <w:numPr>
          <w:ilvl w:val="0"/>
          <w:numId w:val="13"/>
        </w:numPr>
        <w:tabs>
          <w:tab w:val="clear" w:pos="1500"/>
          <w:tab w:val="num" w:pos="720"/>
        </w:tabs>
        <w:ind w:left="709" w:hanging="283"/>
        <w:jc w:val="both"/>
      </w:pPr>
      <w:r w:rsidRPr="009B3B5D">
        <w:t>ресурс на база данък върху добавената стойност – 52,7 млн. лв.;</w:t>
      </w:r>
    </w:p>
    <w:p w:rsidR="0080396D" w:rsidRPr="009B3B5D" w:rsidRDefault="0080396D" w:rsidP="0080396D">
      <w:pPr>
        <w:numPr>
          <w:ilvl w:val="0"/>
          <w:numId w:val="13"/>
        </w:numPr>
        <w:tabs>
          <w:tab w:val="clear" w:pos="1500"/>
          <w:tab w:val="num" w:pos="720"/>
        </w:tabs>
        <w:ind w:left="709" w:hanging="283"/>
        <w:jc w:val="both"/>
      </w:pPr>
      <w:r w:rsidRPr="009B3B5D">
        <w:t>корекция за Обединеното кралство – 19,9 млн. лв.;</w:t>
      </w:r>
    </w:p>
    <w:p w:rsidR="0080396D" w:rsidRPr="009B3B5D" w:rsidRDefault="0080396D" w:rsidP="0080396D">
      <w:pPr>
        <w:numPr>
          <w:ilvl w:val="0"/>
          <w:numId w:val="13"/>
        </w:numPr>
        <w:tabs>
          <w:tab w:val="clear" w:pos="1500"/>
          <w:tab w:val="num" w:pos="720"/>
        </w:tabs>
        <w:ind w:left="709" w:hanging="283"/>
        <w:jc w:val="both"/>
      </w:pPr>
      <w:r w:rsidRPr="009B3B5D">
        <w:t>традиционни собствени ресурси (мита и налози върху захарта) – 47,1 млн. лв.;</w:t>
      </w:r>
    </w:p>
    <w:p w:rsidR="0080396D" w:rsidRPr="009B3B5D" w:rsidRDefault="0080396D" w:rsidP="0080396D">
      <w:pPr>
        <w:numPr>
          <w:ilvl w:val="0"/>
          <w:numId w:val="13"/>
        </w:numPr>
        <w:tabs>
          <w:tab w:val="clear" w:pos="1500"/>
        </w:tabs>
        <w:ind w:left="709" w:hanging="283"/>
        <w:jc w:val="both"/>
      </w:pPr>
      <w:r w:rsidRPr="009B3B5D">
        <w:t>участие във финансиране на брутното намаление за Нидерландия, Швеция, Дания и Австрия – 2,7 млн. лв.</w:t>
      </w:r>
    </w:p>
    <w:p w:rsidR="0055394B" w:rsidRPr="00B53232" w:rsidRDefault="008B21AD" w:rsidP="00D4646A">
      <w:pPr>
        <w:spacing w:before="120"/>
        <w:jc w:val="both"/>
        <w:rPr>
          <w:bCs/>
          <w:color w:val="0070C0"/>
        </w:rPr>
      </w:pPr>
      <w:r w:rsidRPr="00F81A9F">
        <w:rPr>
          <w:b/>
        </w:rPr>
        <w:t>Бюджетното салдо</w:t>
      </w:r>
      <w:r w:rsidRPr="00F81A9F">
        <w:rPr>
          <w:bCs/>
        </w:rPr>
        <w:t xml:space="preserve"> по консолидираната фискална програма </w:t>
      </w:r>
      <w:r w:rsidRPr="00F81A9F">
        <w:t>към</w:t>
      </w:r>
      <w:r w:rsidRPr="00F81A9F">
        <w:rPr>
          <w:bCs/>
        </w:rPr>
        <w:t xml:space="preserve"> март</w:t>
      </w:r>
      <w:r w:rsidRPr="00F81A9F">
        <w:rPr>
          <w:b/>
        </w:rPr>
        <w:t xml:space="preserve"> </w:t>
      </w:r>
      <w:r w:rsidRPr="00F81A9F">
        <w:rPr>
          <w:bCs/>
        </w:rPr>
        <w:t xml:space="preserve">2018 г. е </w:t>
      </w:r>
      <w:r w:rsidRPr="00F81A9F">
        <w:rPr>
          <w:b/>
          <w:bCs/>
        </w:rPr>
        <w:t>положително</w:t>
      </w:r>
      <w:r w:rsidRPr="00F81A9F">
        <w:rPr>
          <w:bCs/>
        </w:rPr>
        <w:t xml:space="preserve"> в размер на </w:t>
      </w:r>
      <w:r w:rsidRPr="00F81A9F">
        <w:rPr>
          <w:b/>
          <w:bCs/>
        </w:rPr>
        <w:t xml:space="preserve">592,7 </w:t>
      </w:r>
      <w:r w:rsidRPr="00F81A9F">
        <w:rPr>
          <w:b/>
        </w:rPr>
        <w:t>млн. лв.</w:t>
      </w:r>
      <w:r w:rsidRPr="00F81A9F">
        <w:t xml:space="preserve"> (0,6 % от прогнозния БВП) и </w:t>
      </w:r>
      <w:r w:rsidRPr="00F81A9F">
        <w:rPr>
          <w:bCs/>
        </w:rPr>
        <w:t xml:space="preserve">се формира от </w:t>
      </w:r>
      <w:r w:rsidRPr="00F81A9F">
        <w:t>излишък по националния бюджет в размер на 880,2 млн. лв. и дефицит по европейските средства в размер на 287,6 млн. лева</w:t>
      </w:r>
      <w:r w:rsidR="00284488" w:rsidRPr="00B53232">
        <w:rPr>
          <w:color w:val="0070C0"/>
        </w:rPr>
        <w:t>.</w:t>
      </w:r>
    </w:p>
    <w:p w:rsidR="00987CE4" w:rsidRPr="009006AA" w:rsidRDefault="00987CE4" w:rsidP="00337CA7">
      <w:pPr>
        <w:numPr>
          <w:ilvl w:val="0"/>
          <w:numId w:val="9"/>
        </w:numPr>
        <w:tabs>
          <w:tab w:val="num" w:pos="0"/>
          <w:tab w:val="left" w:pos="540"/>
          <w:tab w:val="left" w:pos="720"/>
        </w:tabs>
        <w:spacing w:before="120" w:after="60"/>
        <w:ind w:left="0" w:firstLine="425"/>
        <w:jc w:val="both"/>
      </w:pPr>
      <w:r w:rsidRPr="009006AA">
        <w:rPr>
          <w:b/>
          <w:bCs/>
        </w:rPr>
        <w:t xml:space="preserve">Общият размер на касовите постъпления от </w:t>
      </w:r>
      <w:r w:rsidR="0055394B" w:rsidRPr="009006AA">
        <w:rPr>
          <w:b/>
          <w:bCs/>
        </w:rPr>
        <w:t>ЕС</w:t>
      </w:r>
      <w:r w:rsidR="0055394B" w:rsidRPr="009006AA">
        <w:rPr>
          <w:bCs/>
        </w:rPr>
        <w:t xml:space="preserve"> (от Структурните и </w:t>
      </w:r>
      <w:proofErr w:type="spellStart"/>
      <w:r w:rsidR="0055394B" w:rsidRPr="009006AA">
        <w:rPr>
          <w:bCs/>
        </w:rPr>
        <w:t>Кохезионния</w:t>
      </w:r>
      <w:proofErr w:type="spellEnd"/>
      <w:r w:rsidR="0055394B" w:rsidRPr="009006AA">
        <w:rPr>
          <w:bCs/>
        </w:rPr>
        <w:t xml:space="preserve"> фондове, от</w:t>
      </w:r>
      <w:r w:rsidR="0055394B" w:rsidRPr="009006AA">
        <w:t xml:space="preserve"> ЕЗФРСР и ЕФР</w:t>
      </w:r>
      <w:r w:rsidR="0055394B" w:rsidRPr="009006AA">
        <w:rPr>
          <w:bCs/>
        </w:rPr>
        <w:t xml:space="preserve">, от средства за директни плащания към земеделските производители и плащания по пазарни мерки и др.) за </w:t>
      </w:r>
      <w:r w:rsidR="00FD6EA3" w:rsidRPr="009006AA">
        <w:rPr>
          <w:bCs/>
        </w:rPr>
        <w:t xml:space="preserve">първото тримесечие </w:t>
      </w:r>
      <w:r w:rsidR="0055394B" w:rsidRPr="009006AA">
        <w:rPr>
          <w:bCs/>
        </w:rPr>
        <w:t>на 201</w:t>
      </w:r>
      <w:r w:rsidR="009006AA" w:rsidRPr="009006AA">
        <w:rPr>
          <w:bCs/>
        </w:rPr>
        <w:t>8</w:t>
      </w:r>
      <w:r w:rsidR="0055394B" w:rsidRPr="009006AA">
        <w:rPr>
          <w:bCs/>
        </w:rPr>
        <w:t xml:space="preserve"> г. е </w:t>
      </w:r>
      <w:r w:rsidR="009006AA" w:rsidRPr="009006AA">
        <w:rPr>
          <w:b/>
          <w:bCs/>
        </w:rPr>
        <w:t>876,1</w:t>
      </w:r>
      <w:r w:rsidR="0055394B" w:rsidRPr="009006AA">
        <w:rPr>
          <w:b/>
          <w:bCs/>
        </w:rPr>
        <w:t xml:space="preserve"> </w:t>
      </w:r>
      <w:r w:rsidR="0055394B" w:rsidRPr="009006AA">
        <w:rPr>
          <w:b/>
          <w:bCs/>
        </w:rPr>
        <w:lastRenderedPageBreak/>
        <w:t>млн. лв.</w:t>
      </w:r>
      <w:r w:rsidR="0055394B" w:rsidRPr="009006AA">
        <w:rPr>
          <w:b/>
        </w:rPr>
        <w:t xml:space="preserve"> </w:t>
      </w:r>
      <w:r w:rsidR="0055394B" w:rsidRPr="009006AA">
        <w:rPr>
          <w:b/>
          <w:bCs/>
        </w:rPr>
        <w:t>Нетните постъпления от ЕС към 3</w:t>
      </w:r>
      <w:r w:rsidR="004C009E" w:rsidRPr="009006AA">
        <w:rPr>
          <w:b/>
          <w:bCs/>
        </w:rPr>
        <w:t>1</w:t>
      </w:r>
      <w:r w:rsidR="0055394B" w:rsidRPr="009006AA">
        <w:rPr>
          <w:b/>
          <w:bCs/>
        </w:rPr>
        <w:t>.</w:t>
      </w:r>
      <w:r w:rsidR="00C40557" w:rsidRPr="009006AA">
        <w:rPr>
          <w:b/>
          <w:bCs/>
        </w:rPr>
        <w:t>0</w:t>
      </w:r>
      <w:r w:rsidR="004C009E" w:rsidRPr="009006AA">
        <w:rPr>
          <w:b/>
          <w:bCs/>
        </w:rPr>
        <w:t>3</w:t>
      </w:r>
      <w:r w:rsidR="0055394B" w:rsidRPr="009006AA">
        <w:rPr>
          <w:b/>
          <w:bCs/>
        </w:rPr>
        <w:t>.201</w:t>
      </w:r>
      <w:r w:rsidR="009006AA" w:rsidRPr="009006AA">
        <w:rPr>
          <w:b/>
          <w:bCs/>
        </w:rPr>
        <w:t>8</w:t>
      </w:r>
      <w:r w:rsidR="0055394B" w:rsidRPr="009006AA">
        <w:rPr>
          <w:b/>
          <w:bCs/>
        </w:rPr>
        <w:t xml:space="preserve"> г. </w:t>
      </w:r>
      <w:r w:rsidR="0055394B" w:rsidRPr="009006AA">
        <w:rPr>
          <w:bCs/>
        </w:rPr>
        <w:t xml:space="preserve">(касови постъпления от ЕС, намалени </w:t>
      </w:r>
      <w:r w:rsidR="005C0F0A" w:rsidRPr="009006AA">
        <w:rPr>
          <w:bCs/>
        </w:rPr>
        <w:t xml:space="preserve">с </w:t>
      </w:r>
      <w:r w:rsidR="0055394B" w:rsidRPr="009006AA">
        <w:rPr>
          <w:bCs/>
        </w:rPr>
        <w:t xml:space="preserve">вноската в общия бюджет на ЕС) са положителни в размер на </w:t>
      </w:r>
      <w:r w:rsidR="009006AA" w:rsidRPr="009006AA">
        <w:rPr>
          <w:b/>
          <w:bCs/>
        </w:rPr>
        <w:t>567,8</w:t>
      </w:r>
      <w:r w:rsidR="0055394B" w:rsidRPr="009006AA">
        <w:rPr>
          <w:b/>
          <w:bCs/>
        </w:rPr>
        <w:t xml:space="preserve"> млн. лева</w:t>
      </w:r>
      <w:r w:rsidR="0055394B" w:rsidRPr="009006AA">
        <w:t>.</w:t>
      </w:r>
    </w:p>
    <w:p w:rsidR="00987CE4" w:rsidRPr="00B53232" w:rsidRDefault="00987CE4" w:rsidP="00337CA7">
      <w:pPr>
        <w:numPr>
          <w:ilvl w:val="2"/>
          <w:numId w:val="17"/>
        </w:numPr>
        <w:tabs>
          <w:tab w:val="clear" w:pos="2880"/>
        </w:tabs>
        <w:spacing w:before="120" w:after="120"/>
        <w:ind w:left="0" w:firstLine="357"/>
        <w:jc w:val="both"/>
        <w:rPr>
          <w:color w:val="0070C0"/>
          <w:sz w:val="8"/>
          <w:szCs w:val="8"/>
        </w:rPr>
      </w:pPr>
      <w:r w:rsidRPr="00BD4E44">
        <w:rPr>
          <w:b/>
        </w:rPr>
        <w:t>Фискалният резерв</w:t>
      </w:r>
      <w:r w:rsidR="00E74802" w:rsidRPr="00BD4E44">
        <w:rPr>
          <w:b/>
          <w:bCs/>
          <w:vertAlign w:val="superscript"/>
          <w:lang w:eastAsia="bg-BG"/>
        </w:rPr>
        <w:footnoteReference w:id="5"/>
      </w:r>
      <w:r w:rsidR="007E28C4" w:rsidRPr="00BD4E44">
        <w:rPr>
          <w:bCs/>
          <w:lang w:eastAsia="bg-BG"/>
        </w:rPr>
        <w:t xml:space="preserve"> към 31.03.201</w:t>
      </w:r>
      <w:r w:rsidR="00BD4E44" w:rsidRPr="00BD4E44">
        <w:rPr>
          <w:bCs/>
          <w:lang w:eastAsia="bg-BG"/>
        </w:rPr>
        <w:t>8</w:t>
      </w:r>
      <w:r w:rsidR="007E28C4" w:rsidRPr="00BD4E44">
        <w:rPr>
          <w:bCs/>
          <w:lang w:eastAsia="bg-BG"/>
        </w:rPr>
        <w:t xml:space="preserve"> г. е </w:t>
      </w:r>
      <w:r w:rsidR="00BD4E44" w:rsidRPr="00BD4E44">
        <w:rPr>
          <w:b/>
          <w:bCs/>
        </w:rPr>
        <w:t>10,1 млрд. лв</w:t>
      </w:r>
      <w:r w:rsidR="00BD4E44" w:rsidRPr="00BD4E44">
        <w:rPr>
          <w:bCs/>
        </w:rPr>
        <w:t xml:space="preserve">., в т.ч. 9,5 млрд. лв. депозити на </w:t>
      </w:r>
      <w:r w:rsidR="00BD4E44" w:rsidRPr="00D35750">
        <w:rPr>
          <w:bCs/>
        </w:rPr>
        <w:t>фискалния резерв в БНБ и банки и 0,6 млрд. лв. вземания от фондовете на Европейския съюз за сертифицирани разходи, аванси и други</w:t>
      </w:r>
      <w:r w:rsidR="007E28C4" w:rsidRPr="00B53232">
        <w:rPr>
          <w:bCs/>
          <w:color w:val="0070C0"/>
          <w:lang w:eastAsia="bg-BG"/>
        </w:rPr>
        <w:t>.</w:t>
      </w:r>
      <w:r w:rsidRPr="00B53232">
        <w:rPr>
          <w:bCs/>
          <w:color w:val="0070C0"/>
        </w:rPr>
        <w:t xml:space="preserve"> </w:t>
      </w:r>
    </w:p>
    <w:p w:rsidR="00EF4853" w:rsidRPr="00136DA4" w:rsidRDefault="00EF4853" w:rsidP="00337CA7">
      <w:pPr>
        <w:pStyle w:val="Heading1"/>
        <w:numPr>
          <w:ilvl w:val="0"/>
          <w:numId w:val="10"/>
        </w:numPr>
        <w:tabs>
          <w:tab w:val="clear" w:pos="532"/>
          <w:tab w:val="num" w:pos="750"/>
        </w:tabs>
        <w:spacing w:before="120"/>
        <w:ind w:left="748" w:right="-108" w:hanging="391"/>
        <w:jc w:val="both"/>
        <w:rPr>
          <w:sz w:val="24"/>
        </w:rPr>
      </w:pPr>
      <w:r w:rsidRPr="00136DA4">
        <w:rPr>
          <w:sz w:val="24"/>
        </w:rPr>
        <w:t>Промени в данъчното законодателство от 201</w:t>
      </w:r>
      <w:r w:rsidR="00C70E7B" w:rsidRPr="00136DA4">
        <w:rPr>
          <w:sz w:val="24"/>
          <w:lang w:val="en-US"/>
        </w:rPr>
        <w:t>8</w:t>
      </w:r>
      <w:r w:rsidRPr="00136DA4">
        <w:rPr>
          <w:sz w:val="24"/>
        </w:rPr>
        <w:t xml:space="preserve"> г.</w:t>
      </w:r>
    </w:p>
    <w:p w:rsidR="00EF4853" w:rsidRPr="00B53232" w:rsidRDefault="00EF4853" w:rsidP="00EF4853">
      <w:pPr>
        <w:rPr>
          <w:color w:val="0070C0"/>
          <w:sz w:val="8"/>
          <w:szCs w:val="8"/>
        </w:rPr>
      </w:pPr>
    </w:p>
    <w:p w:rsidR="007766A4" w:rsidRPr="003A4E42" w:rsidRDefault="007766A4" w:rsidP="007766A4">
      <w:pPr>
        <w:ind w:firstLine="709"/>
        <w:jc w:val="both"/>
      </w:pPr>
      <w:r>
        <w:t xml:space="preserve">Приетите изменения в данъчното законодателство за 2018 г. са свързани с въвеждане на нови и </w:t>
      </w:r>
      <w:r w:rsidRPr="005A3625">
        <w:rPr>
          <w:bCs/>
        </w:rPr>
        <w:t xml:space="preserve">разширяване на </w:t>
      </w:r>
      <w:r>
        <w:rPr>
          <w:bCs/>
        </w:rPr>
        <w:t xml:space="preserve">действащи </w:t>
      </w:r>
      <w:r w:rsidRPr="005A3625">
        <w:rPr>
          <w:bCs/>
          <w:iCs/>
        </w:rPr>
        <w:t>мерки</w:t>
      </w:r>
      <w:r w:rsidRPr="005A3625">
        <w:t xml:space="preserve"> </w:t>
      </w:r>
      <w:r w:rsidRPr="003A4E42">
        <w:t xml:space="preserve">за увеличаване на бюджетните приходи, </w:t>
      </w:r>
      <w:r>
        <w:t xml:space="preserve">справяне със сенчестата икономика, намаляване на административната тежест за бизнеса и гражданите, </w:t>
      </w:r>
      <w:r w:rsidRPr="003A4E42">
        <w:t xml:space="preserve">засилване на </w:t>
      </w:r>
      <w:proofErr w:type="spellStart"/>
      <w:r w:rsidRPr="003A4E42">
        <w:t>междуинституционалното</w:t>
      </w:r>
      <w:proofErr w:type="spellEnd"/>
      <w:r w:rsidRPr="003A4E42">
        <w:t xml:space="preserve"> сътрудничество, координация и ефективен обмен на информация както на национално ниво, така и с държав</w:t>
      </w:r>
      <w:r>
        <w:t>ите-членки на ЕС и трети страни</w:t>
      </w:r>
      <w:r w:rsidRPr="003A4E42">
        <w:t>.</w:t>
      </w:r>
    </w:p>
    <w:p w:rsidR="007766A4" w:rsidRPr="00D308E5" w:rsidRDefault="007766A4" w:rsidP="007766A4">
      <w:pPr>
        <w:autoSpaceDE w:val="0"/>
        <w:autoSpaceDN w:val="0"/>
        <w:adjustRightInd w:val="0"/>
        <w:spacing w:after="120"/>
        <w:jc w:val="both"/>
      </w:pPr>
      <w:r>
        <w:rPr>
          <w:lang w:val="en-US"/>
        </w:rPr>
        <w:tab/>
      </w:r>
      <w:r>
        <w:t xml:space="preserve">С промените в данъчната нормативна уредба се </w:t>
      </w:r>
      <w:r>
        <w:rPr>
          <w:bCs/>
        </w:rPr>
        <w:t xml:space="preserve">отстраняват несъответствия на националното данъчно законодателство с правото на Европейския съюз и с решения на Съда на Европейския съюз и се прецизират </w:t>
      </w:r>
      <w:r>
        <w:rPr>
          <w:bCs/>
          <w:iCs/>
        </w:rPr>
        <w:t>разпоредби, във връзка с възникнали затруднения при практическото прилагане на закона.</w:t>
      </w:r>
    </w:p>
    <w:p w:rsidR="007766A4" w:rsidRPr="009E04AF" w:rsidRDefault="007766A4" w:rsidP="007766A4">
      <w:pPr>
        <w:widowControl w:val="0"/>
        <w:suppressAutoHyphens/>
        <w:spacing w:after="120"/>
        <w:ind w:right="-284" w:firstLine="709"/>
        <w:jc w:val="both"/>
        <w:rPr>
          <w:rFonts w:eastAsia="DejaVu Sans"/>
          <w:bCs/>
          <w:kern w:val="1"/>
          <w:lang w:eastAsia="hi-IN" w:bidi="hi-IN"/>
        </w:rPr>
      </w:pPr>
      <w:r w:rsidRPr="009E04AF">
        <w:rPr>
          <w:b/>
          <w:u w:val="single"/>
        </w:rPr>
        <w:t>Промени в Закона за данък върху добавената стойност</w:t>
      </w:r>
    </w:p>
    <w:p w:rsidR="007766A4" w:rsidRPr="009E04AF" w:rsidRDefault="007766A4" w:rsidP="007766A4">
      <w:pPr>
        <w:widowControl w:val="0"/>
        <w:suppressAutoHyphens/>
        <w:spacing w:after="120"/>
        <w:ind w:firstLine="709"/>
        <w:jc w:val="both"/>
        <w:rPr>
          <w:b/>
          <w:bCs/>
          <w:i/>
        </w:rPr>
      </w:pPr>
      <w:r w:rsidRPr="009E04AF">
        <w:rPr>
          <w:b/>
          <w:bCs/>
          <w:i/>
        </w:rPr>
        <w:t>Промени, свързани с по-нататъшното хармонизиране с правилата на Директива 2006/112/ЕО относно общата система на ДДС</w:t>
      </w:r>
    </w:p>
    <w:p w:rsidR="007766A4" w:rsidRDefault="007766A4" w:rsidP="007766A4">
      <w:pPr>
        <w:widowControl w:val="0"/>
        <w:suppressAutoHyphens/>
        <w:spacing w:after="120"/>
        <w:ind w:firstLine="709"/>
        <w:jc w:val="both"/>
        <w:rPr>
          <w:bCs/>
        </w:rPr>
      </w:pPr>
      <w:r>
        <w:rPr>
          <w:bCs/>
        </w:rPr>
        <w:t xml:space="preserve">Направени са допълнения на </w:t>
      </w:r>
      <w:r w:rsidRPr="00CD0CB1">
        <w:rPr>
          <w:bCs/>
        </w:rPr>
        <w:t>разпоредбите, с които се регламентират квалифицирането на златните монети като инвестиционно злато, с оглед прилагането на специалната схема за инвестиционно злато, в съответствие с правилата на членове 344 и 345 от Директивата 2006/112/ЕО относно общата система за д</w:t>
      </w:r>
      <w:r>
        <w:rPr>
          <w:bCs/>
        </w:rPr>
        <w:t>анъка върху добавената стойност.</w:t>
      </w:r>
    </w:p>
    <w:p w:rsidR="007766A4" w:rsidRPr="00CD0CB1" w:rsidRDefault="007766A4" w:rsidP="007766A4">
      <w:pPr>
        <w:widowControl w:val="0"/>
        <w:suppressAutoHyphens/>
        <w:spacing w:after="120"/>
        <w:ind w:firstLine="709"/>
        <w:jc w:val="both"/>
        <w:rPr>
          <w:bCs/>
        </w:rPr>
      </w:pPr>
      <w:r>
        <w:rPr>
          <w:bCs/>
        </w:rPr>
        <w:t>П</w:t>
      </w:r>
      <w:r w:rsidRPr="004C27E4">
        <w:rPr>
          <w:bCs/>
        </w:rPr>
        <w:t>рецизирана е разпоредбата, регламентираща освобождаване от облагане с данък върху добавената стойност на доставката на „универсална пощенска услуга“ с цел да не се допуска по-широко тълкуване на освобождаването, предвиденото в Директива 2006/112/ЕО относно общата система за данъка върху добавената стойност</w:t>
      </w:r>
      <w:r>
        <w:rPr>
          <w:bCs/>
        </w:rPr>
        <w:t>.</w:t>
      </w:r>
    </w:p>
    <w:p w:rsidR="007766A4" w:rsidRDefault="007766A4" w:rsidP="007766A4">
      <w:pPr>
        <w:widowControl w:val="0"/>
        <w:suppressAutoHyphens/>
        <w:spacing w:after="120"/>
        <w:ind w:firstLine="709"/>
        <w:jc w:val="both"/>
        <w:rPr>
          <w:bCs/>
        </w:rPr>
      </w:pPr>
      <w:r w:rsidRPr="004C27E4">
        <w:rPr>
          <w:bCs/>
        </w:rPr>
        <w:t xml:space="preserve">С оглед </w:t>
      </w:r>
      <w:r>
        <w:rPr>
          <w:bCs/>
        </w:rPr>
        <w:t>не</w:t>
      </w:r>
      <w:r w:rsidRPr="004C27E4">
        <w:rPr>
          <w:bCs/>
        </w:rPr>
        <w:t>допускане на данъчно третиране, несъобразено с правилата на Директива 2006/112/ЕО, е конкретизирано, че прилагането на нулева ставка в случаите на превоз на пътници е приложимо само за техния багаж. Промяната регламентира, че при изпълнение на договори за превоз на товари</w:t>
      </w:r>
      <w:r>
        <w:rPr>
          <w:bCs/>
        </w:rPr>
        <w:t>,</w:t>
      </w:r>
      <w:r w:rsidRPr="004C27E4">
        <w:rPr>
          <w:bCs/>
        </w:rPr>
        <w:t xml:space="preserve"> стоките и моторните превозни средства не са част от багажа на пътник, по отношение на водачите им.</w:t>
      </w:r>
    </w:p>
    <w:p w:rsidR="007766A4" w:rsidRPr="008B6232" w:rsidRDefault="007766A4" w:rsidP="007766A4">
      <w:pPr>
        <w:widowControl w:val="0"/>
        <w:suppressAutoHyphens/>
        <w:spacing w:after="120"/>
        <w:ind w:firstLine="709"/>
        <w:jc w:val="both"/>
        <w:rPr>
          <w:b/>
          <w:bCs/>
          <w:i/>
        </w:rPr>
      </w:pPr>
      <w:r>
        <w:rPr>
          <w:b/>
          <w:bCs/>
          <w:i/>
        </w:rPr>
        <w:t>Изменения, свързани с о</w:t>
      </w:r>
      <w:r w:rsidRPr="00E56BDB">
        <w:rPr>
          <w:b/>
          <w:bCs/>
          <w:i/>
        </w:rPr>
        <w:t xml:space="preserve">птимизиране на контролната дейност, ограничаване на възможностите </w:t>
      </w:r>
      <w:r w:rsidRPr="008B6232">
        <w:rPr>
          <w:b/>
          <w:bCs/>
          <w:i/>
        </w:rPr>
        <w:t>за укриване и невнасяне на данъци и подобряване събираемостта на приходите</w:t>
      </w:r>
    </w:p>
    <w:p w:rsidR="007766A4" w:rsidRDefault="007766A4" w:rsidP="007766A4">
      <w:pPr>
        <w:widowControl w:val="0"/>
        <w:suppressAutoHyphens/>
        <w:spacing w:after="120"/>
        <w:ind w:firstLine="709"/>
        <w:jc w:val="both"/>
        <w:rPr>
          <w:bCs/>
        </w:rPr>
      </w:pPr>
      <w:r>
        <w:rPr>
          <w:bCs/>
        </w:rPr>
        <w:t xml:space="preserve">С промените се въвежда </w:t>
      </w:r>
      <w:r w:rsidRPr="000F5CE2">
        <w:rPr>
          <w:bCs/>
        </w:rPr>
        <w:t>задължителна регистрация по ЗДДС на неперсонифицирано дружество, в което са внесени стоки или услуги от съдружник, регистрирано по закона лице, за случаите, когато съдружникът е регистриран по закона след датата на създаване на не</w:t>
      </w:r>
      <w:r>
        <w:rPr>
          <w:bCs/>
        </w:rPr>
        <w:t>персонифицираното дружество.</w:t>
      </w:r>
    </w:p>
    <w:p w:rsidR="007766A4" w:rsidRPr="000F5CE2" w:rsidRDefault="007766A4" w:rsidP="007766A4">
      <w:pPr>
        <w:widowControl w:val="0"/>
        <w:suppressAutoHyphens/>
        <w:spacing w:after="120"/>
        <w:ind w:firstLine="709"/>
        <w:jc w:val="both"/>
        <w:rPr>
          <w:bCs/>
        </w:rPr>
      </w:pPr>
      <w:r>
        <w:rPr>
          <w:bCs/>
        </w:rPr>
        <w:t xml:space="preserve">Въвежда се задължение, с което </w:t>
      </w:r>
      <w:r w:rsidRPr="000F5CE2">
        <w:rPr>
          <w:bCs/>
        </w:rPr>
        <w:t>принудителната административна мярка „запечатване на обект за срок до един месец“ да може да се прилага и към трето лице, когато към момента на запечатване обекта или обектите се стопанисват от това трето лице, ако то е знаело или е могло да знае, че е започната процедура по запечатване</w:t>
      </w:r>
      <w:r>
        <w:rPr>
          <w:bCs/>
        </w:rPr>
        <w:t>.</w:t>
      </w:r>
    </w:p>
    <w:p w:rsidR="007766A4" w:rsidRDefault="007766A4" w:rsidP="007766A4">
      <w:pPr>
        <w:widowControl w:val="0"/>
        <w:suppressAutoHyphens/>
        <w:spacing w:after="120"/>
        <w:ind w:firstLine="709"/>
        <w:jc w:val="both"/>
        <w:rPr>
          <w:bCs/>
        </w:rPr>
      </w:pPr>
      <w:r>
        <w:rPr>
          <w:bCs/>
        </w:rPr>
        <w:t>Извършва се п</w:t>
      </w:r>
      <w:r w:rsidRPr="000F5CE2">
        <w:rPr>
          <w:bCs/>
        </w:rPr>
        <w:t>рецизира</w:t>
      </w:r>
      <w:r>
        <w:rPr>
          <w:bCs/>
        </w:rPr>
        <w:t>не</w:t>
      </w:r>
      <w:r w:rsidRPr="000F5CE2">
        <w:rPr>
          <w:bCs/>
        </w:rPr>
        <w:t xml:space="preserve"> </w:t>
      </w:r>
      <w:r>
        <w:rPr>
          <w:bCs/>
        </w:rPr>
        <w:t xml:space="preserve">на </w:t>
      </w:r>
      <w:r w:rsidRPr="000F5CE2">
        <w:rPr>
          <w:bCs/>
        </w:rPr>
        <w:t xml:space="preserve">разпоредбата, предвиждаща обезпечение при доставки на течни горива, като при определени обстоятелства отпада задължението за предоставяне на обезпечения от крайните потребители – лица, които не търгуват, а само пряко </w:t>
      </w:r>
      <w:proofErr w:type="spellStart"/>
      <w:r w:rsidRPr="000F5CE2">
        <w:rPr>
          <w:bCs/>
        </w:rPr>
        <w:t>потребяват</w:t>
      </w:r>
      <w:proofErr w:type="spellEnd"/>
      <w:r w:rsidRPr="000F5CE2">
        <w:rPr>
          <w:bCs/>
        </w:rPr>
        <w:t xml:space="preserve"> </w:t>
      </w:r>
      <w:r w:rsidRPr="000F5CE2">
        <w:rPr>
          <w:bCs/>
        </w:rPr>
        <w:lastRenderedPageBreak/>
        <w:t>течни горива. Целта на механизма (борба с ДДС измами при търговия с течни горива) се запазва, като същевременно се осигурява правна сигурност на коректните и добросъвестни данъкоплатци</w:t>
      </w:r>
      <w:r>
        <w:rPr>
          <w:bCs/>
        </w:rPr>
        <w:t>.</w:t>
      </w:r>
    </w:p>
    <w:p w:rsidR="007766A4" w:rsidRPr="00761715" w:rsidRDefault="007766A4" w:rsidP="007766A4">
      <w:pPr>
        <w:widowControl w:val="0"/>
        <w:suppressAutoHyphens/>
        <w:spacing w:after="120"/>
        <w:ind w:firstLine="709"/>
        <w:jc w:val="both"/>
        <w:rPr>
          <w:b/>
          <w:i/>
        </w:rPr>
      </w:pPr>
      <w:r w:rsidRPr="00761715">
        <w:rPr>
          <w:b/>
          <w:i/>
        </w:rPr>
        <w:t>Прецизиране на разпоредби поради възникнали затруднения при практическото прилагане на закона</w:t>
      </w:r>
    </w:p>
    <w:p w:rsidR="007766A4" w:rsidRPr="00761715" w:rsidRDefault="007766A4" w:rsidP="007766A4">
      <w:pPr>
        <w:widowControl w:val="0"/>
        <w:suppressAutoHyphens/>
        <w:spacing w:after="120"/>
        <w:ind w:firstLine="709"/>
        <w:jc w:val="both"/>
        <w:rPr>
          <w:bCs/>
        </w:rPr>
      </w:pPr>
      <w:r w:rsidRPr="00761715">
        <w:rPr>
          <w:bCs/>
        </w:rPr>
        <w:t>С направените измененията се прецизират разпоредбите за корекция на ползван данъчен кредит по ЗДДС, с цел създаване на законова уредба за случаите, в които за лицата възниква задължение за извършване на еднократни и годишни корекция в рамките на една и съща година.</w:t>
      </w:r>
    </w:p>
    <w:p w:rsidR="007766A4" w:rsidRPr="00761715" w:rsidRDefault="007766A4" w:rsidP="007766A4">
      <w:pPr>
        <w:widowControl w:val="0"/>
        <w:suppressAutoHyphens/>
        <w:spacing w:after="120"/>
        <w:ind w:firstLine="709"/>
        <w:jc w:val="both"/>
        <w:rPr>
          <w:bCs/>
        </w:rPr>
      </w:pPr>
      <w:r w:rsidRPr="00761715">
        <w:rPr>
          <w:bCs/>
        </w:rPr>
        <w:t>Регламентират се общите правила при определяне на: размера на пропорцията на използване на стоката за осъществяване на независима икономическа дейност, спрямо общото използване в съответната година и коефициента, отразяващ размера на частичния данъчен кредит при използване на стока/услуга, когато през съответната година регистрираното лице е използвало/възнамерявало да използва стоката или услугата за определен вид доставки.</w:t>
      </w:r>
    </w:p>
    <w:p w:rsidR="007766A4" w:rsidRDefault="007766A4" w:rsidP="007766A4">
      <w:pPr>
        <w:widowControl w:val="0"/>
        <w:suppressAutoHyphens/>
        <w:spacing w:after="120"/>
        <w:ind w:firstLine="709"/>
        <w:jc w:val="both"/>
        <w:rPr>
          <w:bCs/>
        </w:rPr>
      </w:pPr>
      <w:r w:rsidRPr="00761715">
        <w:rPr>
          <w:bCs/>
        </w:rPr>
        <w:t>Извършено е прецизиране на разпоредбата за възникване на данъчно събитие в случаите на доставка с поетапно изпълнение и са регламентирани случаите, в които задължението за извършване на годишни корекция отпада.</w:t>
      </w:r>
    </w:p>
    <w:p w:rsidR="007766A4" w:rsidRPr="000E2C1A" w:rsidRDefault="007766A4" w:rsidP="007766A4">
      <w:pPr>
        <w:widowControl w:val="0"/>
        <w:suppressAutoHyphens/>
        <w:spacing w:after="120"/>
        <w:ind w:firstLine="709"/>
        <w:jc w:val="both"/>
        <w:rPr>
          <w:b/>
          <w:bCs/>
          <w:i/>
        </w:rPr>
      </w:pPr>
      <w:r w:rsidRPr="000E2C1A">
        <w:rPr>
          <w:b/>
          <w:bCs/>
          <w:i/>
        </w:rPr>
        <w:t>Промени, свързани с намаляване на административната тежест и разходите за бизнеса и гражданите</w:t>
      </w:r>
    </w:p>
    <w:p w:rsidR="007766A4" w:rsidRPr="000E2C1A" w:rsidRDefault="007766A4" w:rsidP="007766A4">
      <w:pPr>
        <w:widowControl w:val="0"/>
        <w:suppressAutoHyphens/>
        <w:spacing w:after="120"/>
        <w:ind w:firstLine="709"/>
        <w:jc w:val="both"/>
        <w:rPr>
          <w:bCs/>
        </w:rPr>
      </w:pPr>
      <w:r w:rsidRPr="000E2C1A">
        <w:rPr>
          <w:bCs/>
        </w:rPr>
        <w:t>Направени са промени, с които се извършва облекчаване и оптимизиране на процеса на деклариране, като подаването на справка-декларацията, VIES-декларацията и отчетните регистри ще става само по електронен път при условията и по реда на Данъчно-осигурителния процесуален кодекс, освен в изрично предвидени в закона случаи.</w:t>
      </w:r>
    </w:p>
    <w:p w:rsidR="007766A4" w:rsidRPr="00761715" w:rsidRDefault="007766A4" w:rsidP="007766A4">
      <w:pPr>
        <w:widowControl w:val="0"/>
        <w:suppressAutoHyphens/>
        <w:spacing w:after="120"/>
        <w:ind w:firstLine="709"/>
        <w:jc w:val="both"/>
        <w:rPr>
          <w:bCs/>
        </w:rPr>
      </w:pPr>
      <w:r w:rsidRPr="000E2C1A">
        <w:rPr>
          <w:bCs/>
        </w:rPr>
        <w:t xml:space="preserve">Прието е изменение, свързано със служебно </w:t>
      </w:r>
      <w:proofErr w:type="spellStart"/>
      <w:r w:rsidRPr="000E2C1A">
        <w:rPr>
          <w:bCs/>
        </w:rPr>
        <w:t>дерегистриране</w:t>
      </w:r>
      <w:proofErr w:type="spellEnd"/>
      <w:r w:rsidRPr="000E2C1A">
        <w:rPr>
          <w:bCs/>
        </w:rPr>
        <w:t xml:space="preserve"> по ЗДДС на данъчно задължените лица, при прекратяване на юридическо лице без ликвидация, или на неперсонифицирано дружество, или на осигурителна каса.</w:t>
      </w:r>
    </w:p>
    <w:p w:rsidR="007766A4" w:rsidRPr="009E04AF" w:rsidRDefault="007766A4" w:rsidP="007766A4">
      <w:pPr>
        <w:widowControl w:val="0"/>
        <w:suppressAutoHyphens/>
        <w:spacing w:after="120"/>
        <w:ind w:right="-284" w:firstLine="709"/>
        <w:jc w:val="both"/>
        <w:rPr>
          <w:rFonts w:eastAsia="DejaVu Sans"/>
          <w:b/>
          <w:bCs/>
          <w:kern w:val="1"/>
          <w:u w:val="single"/>
          <w:lang w:eastAsia="hi-IN" w:bidi="hi-IN"/>
        </w:rPr>
      </w:pPr>
      <w:r w:rsidRPr="009E04AF">
        <w:rPr>
          <w:rFonts w:eastAsia="DejaVu Sans"/>
          <w:b/>
          <w:bCs/>
          <w:kern w:val="1"/>
          <w:u w:val="single"/>
          <w:lang w:eastAsia="hi-IN" w:bidi="hi-IN"/>
        </w:rPr>
        <w:t>Промени в Закона за акцизите и данъчните складове</w:t>
      </w:r>
    </w:p>
    <w:p w:rsidR="007766A4" w:rsidRPr="009E04AF" w:rsidRDefault="007766A4" w:rsidP="007766A4">
      <w:pPr>
        <w:widowControl w:val="0"/>
        <w:suppressAutoHyphens/>
        <w:spacing w:after="120"/>
        <w:ind w:firstLine="709"/>
        <w:jc w:val="both"/>
        <w:rPr>
          <w:b/>
          <w:bCs/>
        </w:rPr>
      </w:pPr>
      <w:r w:rsidRPr="009E04AF">
        <w:rPr>
          <w:b/>
          <w:bCs/>
          <w:i/>
        </w:rPr>
        <w:t>Изменение на съотношението между специфичния и пропорционалния акциз за цигарите</w:t>
      </w:r>
    </w:p>
    <w:p w:rsidR="007766A4" w:rsidRDefault="007766A4" w:rsidP="007766A4">
      <w:pPr>
        <w:widowControl w:val="0"/>
        <w:suppressAutoHyphens/>
        <w:spacing w:after="120"/>
        <w:ind w:firstLine="709"/>
        <w:jc w:val="both"/>
      </w:pPr>
      <w:r w:rsidRPr="00BA09CA">
        <w:t>С цел достигане на минималните нива на акцизните ставки в ЕС</w:t>
      </w:r>
      <w:r>
        <w:t>,</w:t>
      </w:r>
      <w:r w:rsidRPr="00BA09CA">
        <w:t xml:space="preserve"> съгласно разпоредбите на Директива 2011/64/ЕС на Съвета е прието поетапно увеличаване на акцизната ставка на цигарите и времеви график за достигане на минималния акциз от 90 евро за 1000 къса (177 лв. за 1000 къса) към 01.</w:t>
      </w:r>
      <w:proofErr w:type="spellStart"/>
      <w:r w:rsidRPr="00BA09CA">
        <w:t>01</w:t>
      </w:r>
      <w:proofErr w:type="spellEnd"/>
      <w:r w:rsidRPr="00BA09CA">
        <w:t>.2018 г</w:t>
      </w:r>
      <w:r>
        <w:t>.</w:t>
      </w:r>
    </w:p>
    <w:p w:rsidR="007766A4" w:rsidRDefault="007766A4" w:rsidP="007766A4">
      <w:pPr>
        <w:widowControl w:val="0"/>
        <w:suppressAutoHyphens/>
        <w:spacing w:after="120"/>
        <w:ind w:firstLine="709"/>
        <w:jc w:val="both"/>
      </w:pPr>
      <w:r w:rsidRPr="007A463E">
        <w:t xml:space="preserve">В сила от 1 януари 2018 г. специфичният акциз е 109 лв. за 1000 къса, а пропорционалният акциз е 25 </w:t>
      </w:r>
      <w:r>
        <w:t xml:space="preserve">на сто </w:t>
      </w:r>
      <w:r w:rsidRPr="007A463E">
        <w:t xml:space="preserve">от продажната цена за 2018 г. </w:t>
      </w:r>
      <w:r>
        <w:t>Общият р</w:t>
      </w:r>
      <w:r w:rsidRPr="007A463E">
        <w:t>азмер на акциза не трябва да е п</w:t>
      </w:r>
      <w:r>
        <w:t>о-малък от 177 лв. за 1000 къса</w:t>
      </w:r>
      <w:r w:rsidRPr="007A463E">
        <w:t>.</w:t>
      </w:r>
    </w:p>
    <w:p w:rsidR="007766A4" w:rsidRPr="002B694E" w:rsidRDefault="007766A4" w:rsidP="007766A4">
      <w:pPr>
        <w:widowControl w:val="0"/>
        <w:suppressAutoHyphens/>
        <w:spacing w:after="120"/>
        <w:ind w:right="-284" w:firstLine="709"/>
        <w:jc w:val="both"/>
        <w:rPr>
          <w:b/>
          <w:bCs/>
          <w:i/>
        </w:rPr>
      </w:pPr>
      <w:r w:rsidRPr="002B694E">
        <w:rPr>
          <w:b/>
          <w:bCs/>
          <w:i/>
        </w:rPr>
        <w:t>Оптимизиране на контролната дейност и подобряване на събираемостта на акцизите</w:t>
      </w:r>
    </w:p>
    <w:p w:rsidR="007766A4" w:rsidRPr="000A711F" w:rsidRDefault="007766A4" w:rsidP="007766A4">
      <w:pPr>
        <w:widowControl w:val="0"/>
        <w:suppressAutoHyphens/>
        <w:spacing w:after="120"/>
        <w:ind w:right="-284" w:firstLine="709"/>
        <w:jc w:val="both"/>
        <w:rPr>
          <w:bCs/>
          <w:color w:val="FF0000"/>
        </w:rPr>
      </w:pPr>
      <w:r w:rsidRPr="002B694E">
        <w:rPr>
          <w:bCs/>
        </w:rPr>
        <w:t>Приети са следните изменения за оптимизиране на контролната дейност и подобряване на събираемостта на акцизите:</w:t>
      </w:r>
    </w:p>
    <w:p w:rsidR="007766A4" w:rsidRDefault="007766A4" w:rsidP="007766A4">
      <w:pPr>
        <w:widowControl w:val="0"/>
        <w:suppressAutoHyphens/>
        <w:spacing w:after="120"/>
        <w:ind w:right="-284" w:firstLine="709"/>
        <w:jc w:val="both"/>
        <w:rPr>
          <w:bCs/>
        </w:rPr>
      </w:pPr>
      <w:r>
        <w:rPr>
          <w:bCs/>
        </w:rPr>
        <w:t xml:space="preserve">Направени са </w:t>
      </w:r>
      <w:r w:rsidRPr="00C540FC">
        <w:rPr>
          <w:bCs/>
        </w:rPr>
        <w:t xml:space="preserve">изменения, свързани с промяна на Правилата за търговия с природен газ, съгласно които операторите на </w:t>
      </w:r>
      <w:proofErr w:type="spellStart"/>
      <w:r w:rsidRPr="00C540FC">
        <w:rPr>
          <w:bCs/>
        </w:rPr>
        <w:t>газопреносните</w:t>
      </w:r>
      <w:proofErr w:type="spellEnd"/>
      <w:r w:rsidRPr="00C540FC">
        <w:rPr>
          <w:bCs/>
        </w:rPr>
        <w:t xml:space="preserve"> и </w:t>
      </w:r>
      <w:proofErr w:type="spellStart"/>
      <w:r w:rsidRPr="00C540FC">
        <w:rPr>
          <w:bCs/>
        </w:rPr>
        <w:t>газоразпределителните</w:t>
      </w:r>
      <w:proofErr w:type="spellEnd"/>
      <w:r w:rsidRPr="00C540FC">
        <w:rPr>
          <w:bCs/>
        </w:rPr>
        <w:t xml:space="preserve"> мрежи се задължават да предоставят информация в компетентното митническо </w:t>
      </w:r>
      <w:proofErr w:type="spellStart"/>
      <w:r w:rsidRPr="00C540FC">
        <w:rPr>
          <w:bCs/>
        </w:rPr>
        <w:t>учреждение</w:t>
      </w:r>
      <w:proofErr w:type="spellEnd"/>
      <w:r w:rsidRPr="00C540FC">
        <w:rPr>
          <w:bCs/>
        </w:rPr>
        <w:t xml:space="preserve"> на електронен носител, която да съдържа данните от средствата за търговско измерване</w:t>
      </w:r>
      <w:r>
        <w:rPr>
          <w:bCs/>
        </w:rPr>
        <w:t>.</w:t>
      </w:r>
    </w:p>
    <w:p w:rsidR="007766A4" w:rsidRDefault="007766A4" w:rsidP="007766A4">
      <w:pPr>
        <w:widowControl w:val="0"/>
        <w:suppressAutoHyphens/>
        <w:spacing w:after="120"/>
        <w:ind w:right="-284" w:firstLine="709"/>
        <w:jc w:val="both"/>
        <w:rPr>
          <w:bCs/>
        </w:rPr>
      </w:pPr>
      <w:r w:rsidRPr="001F00C0">
        <w:rPr>
          <w:bCs/>
        </w:rPr>
        <w:t>Приета е нова разпоредба в чл.</w:t>
      </w:r>
      <w:r>
        <w:rPr>
          <w:bCs/>
        </w:rPr>
        <w:t xml:space="preserve"> 80, с която се в</w:t>
      </w:r>
      <w:r w:rsidRPr="001C4B06">
        <w:rPr>
          <w:bCs/>
        </w:rPr>
        <w:t>ъвежда минимален срок от 1 година за валидност на банковите гаранции, предоставя</w:t>
      </w:r>
      <w:r>
        <w:rPr>
          <w:bCs/>
        </w:rPr>
        <w:t xml:space="preserve">ни от икономическите оператори. Промяната улеснява </w:t>
      </w:r>
      <w:r w:rsidRPr="001C4B06">
        <w:rPr>
          <w:bCs/>
        </w:rPr>
        <w:t>администриран</w:t>
      </w:r>
      <w:r>
        <w:rPr>
          <w:bCs/>
        </w:rPr>
        <w:t>ето</w:t>
      </w:r>
      <w:r w:rsidRPr="001C4B06">
        <w:rPr>
          <w:bCs/>
        </w:rPr>
        <w:t xml:space="preserve"> на процеса от страна на митническите органи</w:t>
      </w:r>
      <w:r>
        <w:rPr>
          <w:bCs/>
        </w:rPr>
        <w:t xml:space="preserve"> и </w:t>
      </w:r>
      <w:r w:rsidRPr="001C4B06">
        <w:rPr>
          <w:bCs/>
        </w:rPr>
        <w:t xml:space="preserve">кореспондира със </w:t>
      </w:r>
      <w:r w:rsidRPr="001C4B06">
        <w:rPr>
          <w:bCs/>
        </w:rPr>
        <w:lastRenderedPageBreak/>
        <w:t>срока за предоставяне на банкови гаранции, посочен в Закона за данъка върху добавената стойност</w:t>
      </w:r>
      <w:r>
        <w:rPr>
          <w:bCs/>
        </w:rPr>
        <w:t>.</w:t>
      </w:r>
    </w:p>
    <w:p w:rsidR="007766A4" w:rsidRDefault="007766A4" w:rsidP="007766A4">
      <w:pPr>
        <w:widowControl w:val="0"/>
        <w:suppressAutoHyphens/>
        <w:spacing w:after="120"/>
        <w:ind w:right="-284" w:firstLine="709"/>
        <w:jc w:val="both"/>
        <w:rPr>
          <w:bCs/>
        </w:rPr>
      </w:pPr>
      <w:r>
        <w:rPr>
          <w:bCs/>
        </w:rPr>
        <w:t xml:space="preserve">Въведени са нови </w:t>
      </w:r>
      <w:r w:rsidRPr="00D4446B">
        <w:rPr>
          <w:bCs/>
        </w:rPr>
        <w:t xml:space="preserve">забрани в чл. 91б, свързани със зачестили случаи на фиктивни трансгранични сделки с акцизни стоки и участие на български лицензирани </w:t>
      </w:r>
      <w:proofErr w:type="spellStart"/>
      <w:r w:rsidRPr="00D4446B">
        <w:rPr>
          <w:bCs/>
        </w:rPr>
        <w:t>складодържатели</w:t>
      </w:r>
      <w:proofErr w:type="spellEnd"/>
      <w:r w:rsidRPr="00D4446B">
        <w:rPr>
          <w:bCs/>
        </w:rPr>
        <w:t xml:space="preserve"> и български търговски дружества, собственост на европейски граждани в международни схеми за измама. </w:t>
      </w:r>
      <w:r>
        <w:rPr>
          <w:bCs/>
        </w:rPr>
        <w:t xml:space="preserve">С измененията се налагат </w:t>
      </w:r>
      <w:r w:rsidRPr="00D4446B">
        <w:rPr>
          <w:bCs/>
        </w:rPr>
        <w:t>забран</w:t>
      </w:r>
      <w:r>
        <w:rPr>
          <w:bCs/>
        </w:rPr>
        <w:t>и</w:t>
      </w:r>
      <w:r w:rsidRPr="00D4446B">
        <w:rPr>
          <w:bCs/>
        </w:rPr>
        <w:t xml:space="preserve"> за издаване/приключване на документи за акцизни стоки, които не са били произведени или не са постъпили физически в данъчния склад/обекта, като доказването на това обстоятелство е в тежест на митническите органи</w:t>
      </w:r>
      <w:r>
        <w:rPr>
          <w:bCs/>
        </w:rPr>
        <w:t>.</w:t>
      </w:r>
    </w:p>
    <w:p w:rsidR="007766A4" w:rsidRDefault="007766A4" w:rsidP="007766A4">
      <w:pPr>
        <w:widowControl w:val="0"/>
        <w:suppressAutoHyphens/>
        <w:spacing w:after="120"/>
        <w:ind w:right="-284" w:firstLine="709"/>
        <w:jc w:val="both"/>
        <w:rPr>
          <w:bCs/>
        </w:rPr>
      </w:pPr>
      <w:r>
        <w:rPr>
          <w:bCs/>
        </w:rPr>
        <w:t xml:space="preserve">Приети са разпоредби, с които се въвеждат нови </w:t>
      </w:r>
      <w:r w:rsidRPr="000E29EA">
        <w:rPr>
          <w:bCs/>
        </w:rPr>
        <w:t>забрани за публикуване на обяви или съобщения в електронен вид, чрез които се предлагат за продажба акцизни стоки без бандерол и за които акцизът не е заплатен. Основната цел е да се възпрепятстват нерегламентираните продажби на акцизни стоки</w:t>
      </w:r>
      <w:r>
        <w:rPr>
          <w:bCs/>
        </w:rPr>
        <w:t>.</w:t>
      </w:r>
    </w:p>
    <w:p w:rsidR="007766A4" w:rsidRDefault="007766A4" w:rsidP="007766A4">
      <w:pPr>
        <w:widowControl w:val="0"/>
        <w:suppressAutoHyphens/>
        <w:spacing w:after="120"/>
        <w:ind w:right="-284" w:firstLine="709"/>
        <w:jc w:val="both"/>
        <w:rPr>
          <w:bCs/>
        </w:rPr>
      </w:pPr>
      <w:r>
        <w:rPr>
          <w:bCs/>
        </w:rPr>
        <w:t xml:space="preserve">Въведена е </w:t>
      </w:r>
      <w:r w:rsidRPr="00610614">
        <w:rPr>
          <w:bCs/>
        </w:rPr>
        <w:t xml:space="preserve">нова разпоредба, свързана със случаите на разпространение на акцизни стоки чрез куриерски (пощенски) услуги. </w:t>
      </w:r>
      <w:r>
        <w:rPr>
          <w:bCs/>
        </w:rPr>
        <w:t xml:space="preserve">С измененията се предвижда </w:t>
      </w:r>
      <w:r w:rsidRPr="00FD78D9">
        <w:rPr>
          <w:bCs/>
        </w:rPr>
        <w:t>пощенските оператори да изискват от подателите да декларират, че изпращаните акцизни стоки или отпадъци от тютюн са с платен, начислен или обезпечен акциз, както и че същите са с бандерол, когато такъв е задължителен</w:t>
      </w:r>
      <w:r>
        <w:rPr>
          <w:bCs/>
        </w:rPr>
        <w:t xml:space="preserve">. </w:t>
      </w:r>
      <w:r w:rsidRPr="00610614">
        <w:rPr>
          <w:bCs/>
        </w:rPr>
        <w:t>Промяната е с превантивна цел и ще допринесе за разширяване на оперативното взаимодействие между бизнеса и администрацията, по отношение контрола върху акцизните стоки и противодействието на нелегалното им разпространение</w:t>
      </w:r>
      <w:r>
        <w:rPr>
          <w:bCs/>
        </w:rPr>
        <w:t>.</w:t>
      </w:r>
    </w:p>
    <w:p w:rsidR="007766A4" w:rsidRDefault="007766A4" w:rsidP="007766A4">
      <w:pPr>
        <w:widowControl w:val="0"/>
        <w:suppressAutoHyphens/>
        <w:spacing w:after="120"/>
        <w:ind w:right="-284" w:firstLine="709"/>
        <w:jc w:val="both"/>
        <w:rPr>
          <w:bCs/>
          <w:iCs/>
        </w:rPr>
      </w:pPr>
      <w:r w:rsidRPr="00A70F6C">
        <w:rPr>
          <w:bCs/>
        </w:rPr>
        <w:t>Създа</w:t>
      </w:r>
      <w:r>
        <w:rPr>
          <w:bCs/>
        </w:rPr>
        <w:t>дена</w:t>
      </w:r>
      <w:r w:rsidRPr="00A70F6C">
        <w:rPr>
          <w:bCs/>
        </w:rPr>
        <w:t xml:space="preserve"> </w:t>
      </w:r>
      <w:r>
        <w:rPr>
          <w:bCs/>
        </w:rPr>
        <w:t xml:space="preserve">е </w:t>
      </w:r>
      <w:r w:rsidRPr="00A70F6C">
        <w:rPr>
          <w:bCs/>
        </w:rPr>
        <w:t xml:space="preserve">нова </w:t>
      </w:r>
      <w:proofErr w:type="spellStart"/>
      <w:r w:rsidRPr="00A70F6C">
        <w:rPr>
          <w:bCs/>
          <w:iCs/>
        </w:rPr>
        <w:t>административнонаказателна</w:t>
      </w:r>
      <w:proofErr w:type="spellEnd"/>
      <w:r w:rsidRPr="00A70F6C">
        <w:rPr>
          <w:bCs/>
        </w:rPr>
        <w:t xml:space="preserve"> разпоредба във връзка със зачестилите случаи в рамките на една година, при които митническите органи установяват превозване на укрити акцизни стоки с валиден български бандерол за други държави членки, като промяната е с цел засилване на превантивния ефект. </w:t>
      </w:r>
      <w:r w:rsidRPr="00A70F6C">
        <w:rPr>
          <w:bCs/>
          <w:iCs/>
        </w:rPr>
        <w:t xml:space="preserve">Лицата, които държат и превозват акцизни стоки без опростен </w:t>
      </w:r>
      <w:proofErr w:type="spellStart"/>
      <w:r w:rsidRPr="00A70F6C">
        <w:rPr>
          <w:bCs/>
          <w:iCs/>
        </w:rPr>
        <w:t>придружителен</w:t>
      </w:r>
      <w:proofErr w:type="spellEnd"/>
      <w:r w:rsidRPr="00A70F6C">
        <w:rPr>
          <w:bCs/>
          <w:iCs/>
        </w:rPr>
        <w:t xml:space="preserve"> документ, ще се наказват с глоба в размер от 1000 до 4000 лв. или с имуществена санкция за юридическите лица и едноличните търговци в размер от 2000 до 6000 лева.</w:t>
      </w:r>
    </w:p>
    <w:p w:rsidR="007766A4" w:rsidRDefault="007766A4" w:rsidP="007766A4">
      <w:pPr>
        <w:widowControl w:val="0"/>
        <w:suppressAutoHyphens/>
        <w:spacing w:after="120"/>
        <w:ind w:right="-284" w:firstLine="709"/>
        <w:jc w:val="both"/>
        <w:rPr>
          <w:bCs/>
        </w:rPr>
      </w:pPr>
      <w:r>
        <w:rPr>
          <w:color w:val="000000"/>
        </w:rPr>
        <w:t>Р</w:t>
      </w:r>
      <w:r w:rsidRPr="006279BF">
        <w:rPr>
          <w:color w:val="000000"/>
        </w:rPr>
        <w:t>егламентира</w:t>
      </w:r>
      <w:r>
        <w:rPr>
          <w:color w:val="000000"/>
        </w:rPr>
        <w:t xml:space="preserve">т се </w:t>
      </w:r>
      <w:r w:rsidRPr="006279BF">
        <w:rPr>
          <w:color w:val="000000"/>
        </w:rPr>
        <w:t>задължения</w:t>
      </w:r>
      <w:r>
        <w:rPr>
          <w:color w:val="000000"/>
        </w:rPr>
        <w:t>та</w:t>
      </w:r>
      <w:r w:rsidRPr="006279BF">
        <w:rPr>
          <w:color w:val="000000"/>
        </w:rPr>
        <w:t xml:space="preserve"> за лицата, управляващи транспортни средства, с които се превозват акцизни стоки и получателите на тези стоки на територията на страната. Контролът по реда на новия чл. 102б ще обхваща движението на акцизни стоки на територията на страната, независимо от това, дали те ще са натоварени/ще се разтоварват в друга държава или в България, с оглед на което е налице предпоставка за постигане на </w:t>
      </w:r>
      <w:proofErr w:type="spellStart"/>
      <w:r w:rsidRPr="006279BF">
        <w:rPr>
          <w:color w:val="000000"/>
        </w:rPr>
        <w:t>равнопоставеност</w:t>
      </w:r>
      <w:proofErr w:type="spellEnd"/>
      <w:r w:rsidRPr="006279BF">
        <w:rPr>
          <w:color w:val="000000"/>
        </w:rPr>
        <w:t xml:space="preserve"> между лицата и постепенно легализиране на целия пазар на акцизни стоки в страната</w:t>
      </w:r>
      <w:r>
        <w:rPr>
          <w:color w:val="000000"/>
        </w:rPr>
        <w:t>. Със заповед на министъра на финансите (</w:t>
      </w:r>
      <w:r w:rsidRPr="000F7336">
        <w:rPr>
          <w:iCs/>
          <w:color w:val="000000"/>
        </w:rPr>
        <w:t>ЗМФ-1092</w:t>
      </w:r>
      <w:r>
        <w:rPr>
          <w:iCs/>
          <w:color w:val="000000"/>
        </w:rPr>
        <w:t>)</w:t>
      </w:r>
      <w:r w:rsidRPr="000F7336">
        <w:rPr>
          <w:iCs/>
          <w:color w:val="000000"/>
        </w:rPr>
        <w:t xml:space="preserve"> от</w:t>
      </w:r>
      <w:r w:rsidRPr="000F7336">
        <w:rPr>
          <w:color w:val="000000"/>
        </w:rPr>
        <w:t xml:space="preserve"> </w:t>
      </w:r>
      <w:r>
        <w:rPr>
          <w:color w:val="000000"/>
        </w:rPr>
        <w:t>16.11.2017 г., г</w:t>
      </w:r>
      <w:r w:rsidRPr="00AD73A8">
        <w:rPr>
          <w:iCs/>
          <w:color w:val="000000"/>
        </w:rPr>
        <w:t>оривата са включени в списъка на стоките с висок фискален риск</w:t>
      </w:r>
      <w:r>
        <w:rPr>
          <w:iCs/>
          <w:color w:val="000000"/>
        </w:rPr>
        <w:t xml:space="preserve">, </w:t>
      </w:r>
      <w:r w:rsidRPr="000F7336">
        <w:rPr>
          <w:iCs/>
          <w:color w:val="000000"/>
        </w:rPr>
        <w:t>с което продължава процесът за засилване на контрола върху акцизните стоки и борбата с данъчните измами</w:t>
      </w:r>
      <w:r>
        <w:rPr>
          <w:iCs/>
          <w:color w:val="000000"/>
        </w:rPr>
        <w:t>.</w:t>
      </w:r>
    </w:p>
    <w:p w:rsidR="007766A4" w:rsidRDefault="007766A4" w:rsidP="007766A4">
      <w:pPr>
        <w:widowControl w:val="0"/>
        <w:suppressAutoHyphens/>
        <w:spacing w:after="120"/>
        <w:ind w:right="-284" w:firstLine="709"/>
        <w:jc w:val="both"/>
        <w:rPr>
          <w:bCs/>
        </w:rPr>
      </w:pPr>
      <w:r>
        <w:rPr>
          <w:bCs/>
          <w:iCs/>
        </w:rPr>
        <w:t xml:space="preserve">Приет е </w:t>
      </w:r>
      <w:r w:rsidRPr="00E90FF2">
        <w:rPr>
          <w:bCs/>
          <w:iCs/>
        </w:rPr>
        <w:t xml:space="preserve">нов чл. 102в, чрез който се въвеждат задължения, идентични на задълженията на водачите на превозни средства, предвидени в новия член чл. 102б, но само в частта им представяне на документи за самоличност и товара, както и декларирането на данни за вида и количеството на акцизните стоки, за изпращача и получателя, за мястото и датата на получаване на стоките и заявяването на очаквания час на получаване/разтоварване. По този начин </w:t>
      </w:r>
      <w:r>
        <w:rPr>
          <w:bCs/>
          <w:iCs/>
        </w:rPr>
        <w:t xml:space="preserve">се </w:t>
      </w:r>
      <w:r w:rsidRPr="00E90FF2">
        <w:rPr>
          <w:bCs/>
          <w:iCs/>
        </w:rPr>
        <w:t>уеднакв</w:t>
      </w:r>
      <w:r>
        <w:rPr>
          <w:bCs/>
          <w:iCs/>
        </w:rPr>
        <w:t>ява</w:t>
      </w:r>
      <w:r w:rsidRPr="00E90FF2">
        <w:rPr>
          <w:bCs/>
          <w:iCs/>
        </w:rPr>
        <w:t xml:space="preserve"> подходът за контрол по време на движението на акцизни стоки, както и се създа</w:t>
      </w:r>
      <w:r>
        <w:rPr>
          <w:bCs/>
          <w:iCs/>
        </w:rPr>
        <w:t>ва</w:t>
      </w:r>
      <w:r w:rsidRPr="00E90FF2">
        <w:rPr>
          <w:bCs/>
          <w:iCs/>
        </w:rPr>
        <w:t xml:space="preserve"> </w:t>
      </w:r>
      <w:proofErr w:type="spellStart"/>
      <w:r w:rsidRPr="00E90FF2">
        <w:rPr>
          <w:bCs/>
          <w:iCs/>
        </w:rPr>
        <w:t>равнопоставеност</w:t>
      </w:r>
      <w:proofErr w:type="spellEnd"/>
      <w:r w:rsidRPr="00E90FF2">
        <w:rPr>
          <w:bCs/>
          <w:iCs/>
        </w:rPr>
        <w:t xml:space="preserve"> между лицата, управляващи транспортни средства, в едните и в</w:t>
      </w:r>
      <w:r w:rsidRPr="00E90FF2">
        <w:rPr>
          <w:bCs/>
          <w:iCs/>
          <w:lang w:val="en-US"/>
        </w:rPr>
        <w:t xml:space="preserve"> </w:t>
      </w:r>
      <w:r w:rsidRPr="00E90FF2">
        <w:rPr>
          <w:bCs/>
          <w:iCs/>
        </w:rPr>
        <w:t>другите случаи. Предвижда се правна възможност  митническите органи да искат съдействие от други компетентни органи за идентифициране и спиране на транспортни средства (пътни превозни средства, железопътни композиции, плавателни средства и др.), които по обективни причини не е можело да бъдат спрени от тях. В случай че митническите органи са поискали конкретно транспортно средство да бъде спряно и то е послужило за извършването на нарушение на ЗАДС, компетентните органи трябва да го задържат до тяхното идване за осъществяване на контрол</w:t>
      </w:r>
      <w:r>
        <w:rPr>
          <w:bCs/>
          <w:iCs/>
        </w:rPr>
        <w:t>.</w:t>
      </w:r>
    </w:p>
    <w:p w:rsidR="007766A4" w:rsidRDefault="007766A4" w:rsidP="007766A4">
      <w:pPr>
        <w:widowControl w:val="0"/>
        <w:suppressAutoHyphens/>
        <w:spacing w:after="120"/>
        <w:ind w:right="-284" w:firstLine="709"/>
        <w:jc w:val="both"/>
        <w:rPr>
          <w:bCs/>
          <w:iCs/>
        </w:rPr>
      </w:pPr>
      <w:r>
        <w:rPr>
          <w:bCs/>
          <w:iCs/>
        </w:rPr>
        <w:t xml:space="preserve">Допълнени са изискванията на чл. 126, като </w:t>
      </w:r>
      <w:r w:rsidRPr="00393BD2">
        <w:rPr>
          <w:bCs/>
          <w:iCs/>
        </w:rPr>
        <w:t>изменения</w:t>
      </w:r>
      <w:r>
        <w:rPr>
          <w:bCs/>
          <w:iCs/>
        </w:rPr>
        <w:t xml:space="preserve"> са </w:t>
      </w:r>
      <w:r w:rsidRPr="00393BD2">
        <w:rPr>
          <w:bCs/>
          <w:iCs/>
        </w:rPr>
        <w:t xml:space="preserve">свързани с резултатите от проверките, осъществявани от митническите органи в обектите за съхранение и/или продажба на освободени за потребление моторни горива, тъй като в голяма част от случаите се установяват </w:t>
      </w:r>
      <w:r w:rsidRPr="00393BD2">
        <w:rPr>
          <w:bCs/>
          <w:iCs/>
        </w:rPr>
        <w:lastRenderedPageBreak/>
        <w:t xml:space="preserve">несъответствия между документите, които се използват за доказване на произхода на горивата в различни обекти. </w:t>
      </w:r>
      <w:r>
        <w:rPr>
          <w:bCs/>
          <w:iCs/>
        </w:rPr>
        <w:t>Новите разпоредби</w:t>
      </w:r>
      <w:r w:rsidRPr="00393BD2">
        <w:rPr>
          <w:bCs/>
          <w:iCs/>
        </w:rPr>
        <w:t xml:space="preserve"> цел</w:t>
      </w:r>
      <w:r>
        <w:rPr>
          <w:bCs/>
          <w:iCs/>
        </w:rPr>
        <w:t>ят</w:t>
      </w:r>
      <w:r w:rsidRPr="00393BD2">
        <w:rPr>
          <w:bCs/>
          <w:iCs/>
        </w:rPr>
        <w:t xml:space="preserve"> постигането на дисциплиниращ ефект спрямо всички лица, като същевременно ще довед</w:t>
      </w:r>
      <w:r>
        <w:rPr>
          <w:bCs/>
          <w:iCs/>
        </w:rPr>
        <w:t>ат</w:t>
      </w:r>
      <w:r w:rsidRPr="00393BD2">
        <w:rPr>
          <w:bCs/>
          <w:iCs/>
        </w:rPr>
        <w:t xml:space="preserve"> и до „осветляване“ на пазара на горива в страната. </w:t>
      </w:r>
      <w:r>
        <w:rPr>
          <w:bCs/>
          <w:iCs/>
        </w:rPr>
        <w:t>И</w:t>
      </w:r>
      <w:r w:rsidRPr="00393BD2">
        <w:rPr>
          <w:bCs/>
          <w:iCs/>
        </w:rPr>
        <w:t>зградената връзка между системите на АМ и НАП ще се превърне в по-ефективен инструмент за реализация на мерките, свързани с повишаване на приходите от продажбите на моторни горива</w:t>
      </w:r>
      <w:r>
        <w:rPr>
          <w:bCs/>
          <w:iCs/>
        </w:rPr>
        <w:t>.</w:t>
      </w:r>
    </w:p>
    <w:p w:rsidR="007766A4" w:rsidRDefault="007766A4" w:rsidP="007766A4">
      <w:pPr>
        <w:widowControl w:val="0"/>
        <w:suppressAutoHyphens/>
        <w:spacing w:after="120"/>
        <w:ind w:right="-284" w:firstLine="709"/>
        <w:jc w:val="both"/>
        <w:rPr>
          <w:b/>
          <w:bCs/>
          <w:i/>
          <w:iCs/>
        </w:rPr>
      </w:pPr>
      <w:r w:rsidRPr="00C7259E">
        <w:rPr>
          <w:b/>
          <w:bCs/>
          <w:i/>
          <w:iCs/>
        </w:rPr>
        <w:t>Прецизиране на разпоредби</w:t>
      </w:r>
      <w:r w:rsidRPr="00C7259E">
        <w:rPr>
          <w:b/>
          <w:i/>
        </w:rPr>
        <w:t xml:space="preserve"> </w:t>
      </w:r>
      <w:r w:rsidRPr="00761715">
        <w:rPr>
          <w:b/>
          <w:i/>
        </w:rPr>
        <w:t>поради възникнали затруднения при практическото прилагане на закона</w:t>
      </w:r>
      <w:r w:rsidRPr="00C7259E">
        <w:rPr>
          <w:b/>
          <w:bCs/>
          <w:i/>
          <w:iCs/>
        </w:rPr>
        <w:t xml:space="preserve"> и с оглед необходимостта от хармонизиране на българското данъчно законодателство с изискванията на европейските директиви и решения на Съда на Европейския съюз</w:t>
      </w:r>
    </w:p>
    <w:p w:rsidR="007766A4" w:rsidRPr="0021125A" w:rsidRDefault="007766A4" w:rsidP="007766A4">
      <w:pPr>
        <w:widowControl w:val="0"/>
        <w:suppressAutoHyphens/>
        <w:spacing w:after="120"/>
        <w:ind w:right="-284" w:firstLine="709"/>
        <w:jc w:val="both"/>
        <w:rPr>
          <w:bCs/>
          <w:iCs/>
          <w:lang w:val="en-US"/>
        </w:rPr>
      </w:pPr>
      <w:r w:rsidRPr="0021125A">
        <w:rPr>
          <w:bCs/>
        </w:rPr>
        <w:t>Направено е допълнение</w:t>
      </w:r>
      <w:r w:rsidRPr="0021125A">
        <w:rPr>
          <w:bCs/>
          <w:lang w:val="en-US"/>
        </w:rPr>
        <w:t xml:space="preserve"> </w:t>
      </w:r>
      <w:r w:rsidRPr="0021125A">
        <w:rPr>
          <w:bCs/>
          <w:iCs/>
        </w:rPr>
        <w:t>в обхвата за облагане на тютюневите изделия на препаратите за пушене с водна лула (наргиле), които освен тютюн или заместители на тютюна, съдържат и ароматизиращи сиропи</w:t>
      </w:r>
      <w:r>
        <w:rPr>
          <w:bCs/>
          <w:iCs/>
          <w:lang w:val="en-US"/>
        </w:rPr>
        <w:t>.</w:t>
      </w:r>
    </w:p>
    <w:p w:rsidR="007766A4" w:rsidRDefault="007766A4" w:rsidP="007766A4">
      <w:pPr>
        <w:widowControl w:val="0"/>
        <w:suppressAutoHyphens/>
        <w:spacing w:after="120"/>
        <w:ind w:right="-284" w:firstLine="709"/>
        <w:jc w:val="both"/>
        <w:rPr>
          <w:bCs/>
          <w:iCs/>
        </w:rPr>
      </w:pPr>
      <w:r>
        <w:rPr>
          <w:bCs/>
          <w:iCs/>
        </w:rPr>
        <w:t xml:space="preserve">Приета е разпоредба, с която се допълва </w:t>
      </w:r>
      <w:r w:rsidRPr="00F9781C">
        <w:rPr>
          <w:bCs/>
          <w:iCs/>
        </w:rPr>
        <w:t xml:space="preserve">хипотезата </w:t>
      </w:r>
      <w:r>
        <w:rPr>
          <w:bCs/>
          <w:iCs/>
        </w:rPr>
        <w:t>з</w:t>
      </w:r>
      <w:r w:rsidRPr="00F9781C">
        <w:rPr>
          <w:bCs/>
          <w:iCs/>
        </w:rPr>
        <w:t>а избягване на двойно облагане, като се облагат с акциз само суровините за производство на електрическа енергия за собствени нужди, в съответствие с чл. 21, параграф 5 от Директива 2003/96/ЕС</w:t>
      </w:r>
      <w:r>
        <w:rPr>
          <w:bCs/>
          <w:iCs/>
        </w:rPr>
        <w:t>.</w:t>
      </w:r>
    </w:p>
    <w:p w:rsidR="007766A4" w:rsidRDefault="007766A4" w:rsidP="007766A4">
      <w:pPr>
        <w:widowControl w:val="0"/>
        <w:suppressAutoHyphens/>
        <w:spacing w:after="120"/>
        <w:ind w:right="-284" w:firstLine="709"/>
        <w:jc w:val="both"/>
        <w:rPr>
          <w:bCs/>
          <w:iCs/>
        </w:rPr>
      </w:pPr>
      <w:r>
        <w:rPr>
          <w:bCs/>
          <w:iCs/>
        </w:rPr>
        <w:t>Въведена е нова разпоредба, с цел р</w:t>
      </w:r>
      <w:r w:rsidRPr="00F9781C">
        <w:rPr>
          <w:bCs/>
          <w:iCs/>
        </w:rPr>
        <w:t xml:space="preserve">егламентиране на случаите, когато на територията на страната се установят липси при приключване на движение на акцизни стоки под режим отложено плащане на акциз. Промяната </w:t>
      </w:r>
      <w:r>
        <w:rPr>
          <w:bCs/>
          <w:iCs/>
        </w:rPr>
        <w:t xml:space="preserve">е направена </w:t>
      </w:r>
      <w:r w:rsidRPr="00F9781C">
        <w:rPr>
          <w:bCs/>
          <w:iCs/>
        </w:rPr>
        <w:t>във връзка с постановено Решение на Съда на Европейския съюз от 28 януари 2016 г. (Дело C-64/15), с което съдът е приел, че член 10, параграф 4 от Директива 2008/118/ЕО следва да се тълкува в смисъл, че се прилага не само когато цялото количество стоки, движещи се под режим отложено плащане на акциз, не е пристигнало в местоназначението си, но и в случаите, когато само част от тези стоки не е пристигнала по местоназначение</w:t>
      </w:r>
      <w:r>
        <w:rPr>
          <w:bCs/>
          <w:iCs/>
        </w:rPr>
        <w:t>.</w:t>
      </w:r>
    </w:p>
    <w:p w:rsidR="007766A4" w:rsidRPr="00BC1E09" w:rsidRDefault="007766A4" w:rsidP="007766A4">
      <w:pPr>
        <w:widowControl w:val="0"/>
        <w:suppressAutoHyphens/>
        <w:spacing w:after="120"/>
        <w:ind w:right="-284" w:firstLine="709"/>
        <w:jc w:val="both"/>
        <w:rPr>
          <w:bCs/>
          <w:iCs/>
          <w:lang w:val="en-US"/>
        </w:rPr>
      </w:pPr>
      <w:r w:rsidRPr="00BC1E09">
        <w:t>Допълнени са изискванията на чл. 107б, с</w:t>
      </w:r>
      <w:r w:rsidRPr="00BC1E09">
        <w:rPr>
          <w:bCs/>
          <w:iCs/>
        </w:rPr>
        <w:t xml:space="preserve"> което се разширява обхвата на разпоредбата и по отношение на акцизните стоки, отнети и изоставени в полза на държавата. Промяната е свързана с изключителните затруднения, които среща Агенция „Митници“ освен по отношение съхранението на веществени доказателства, събрани при извършване на проверките, така и по отношение на акцизните стоки, след влизането в сила на наказателните постановления и тяхното отнемане.</w:t>
      </w:r>
    </w:p>
    <w:p w:rsidR="007766A4" w:rsidRDefault="007766A4" w:rsidP="007766A4">
      <w:pPr>
        <w:widowControl w:val="0"/>
        <w:suppressAutoHyphens/>
        <w:spacing w:after="120"/>
        <w:ind w:right="-284" w:firstLine="709"/>
        <w:jc w:val="both"/>
        <w:rPr>
          <w:bCs/>
        </w:rPr>
      </w:pPr>
      <w:r>
        <w:rPr>
          <w:bCs/>
        </w:rPr>
        <w:t xml:space="preserve">Направено е изменение, с което се създава </w:t>
      </w:r>
      <w:r w:rsidRPr="0038246F">
        <w:rPr>
          <w:bCs/>
        </w:rPr>
        <w:t>правна възможност за освобождаване от облагане с акциз и чрез възстановяването му за акцизни стоки, когато това е предвидено в международен договор, ратифициран, обнародван и влязъл в сила по съответния ред</w:t>
      </w:r>
      <w:r>
        <w:rPr>
          <w:bCs/>
        </w:rPr>
        <w:t>.</w:t>
      </w:r>
    </w:p>
    <w:p w:rsidR="007766A4" w:rsidRPr="009E04AF" w:rsidRDefault="007766A4" w:rsidP="007766A4">
      <w:pPr>
        <w:widowControl w:val="0"/>
        <w:suppressAutoHyphens/>
        <w:spacing w:after="120"/>
        <w:ind w:right="-284" w:firstLine="709"/>
        <w:jc w:val="both"/>
        <w:rPr>
          <w:rFonts w:eastAsia="DejaVu Sans"/>
          <w:b/>
          <w:bCs/>
          <w:kern w:val="1"/>
          <w:u w:val="single"/>
          <w:lang w:eastAsia="hi-IN" w:bidi="hi-IN"/>
        </w:rPr>
      </w:pPr>
      <w:r w:rsidRPr="009E04AF">
        <w:rPr>
          <w:rFonts w:eastAsia="DejaVu Sans"/>
          <w:b/>
          <w:bCs/>
          <w:kern w:val="1"/>
          <w:u w:val="single"/>
          <w:lang w:eastAsia="hi-IN" w:bidi="hi-IN"/>
        </w:rPr>
        <w:t>Промени в Закона за данъците върху доходите на физическите лица</w:t>
      </w:r>
    </w:p>
    <w:p w:rsidR="007766A4" w:rsidRDefault="007766A4" w:rsidP="007766A4">
      <w:pPr>
        <w:autoSpaceDE w:val="0"/>
        <w:autoSpaceDN w:val="0"/>
        <w:adjustRightInd w:val="0"/>
        <w:spacing w:after="120"/>
        <w:ind w:firstLine="709"/>
        <w:jc w:val="both"/>
        <w:rPr>
          <w:b/>
          <w:bCs/>
          <w:i/>
          <w:iCs/>
        </w:rPr>
      </w:pPr>
      <w:r w:rsidRPr="002B203F">
        <w:rPr>
          <w:b/>
          <w:bCs/>
          <w:i/>
          <w:iCs/>
        </w:rPr>
        <w:t xml:space="preserve">Намаляване административната тежест и разходите за лицата </w:t>
      </w:r>
      <w:r>
        <w:rPr>
          <w:b/>
          <w:bCs/>
          <w:i/>
          <w:iCs/>
        </w:rPr>
        <w:t>и приходната администрация</w:t>
      </w:r>
    </w:p>
    <w:p w:rsidR="007766A4" w:rsidRDefault="007766A4" w:rsidP="007766A4">
      <w:pPr>
        <w:autoSpaceDE w:val="0"/>
        <w:autoSpaceDN w:val="0"/>
        <w:adjustRightInd w:val="0"/>
        <w:spacing w:after="120"/>
        <w:ind w:firstLine="709"/>
        <w:jc w:val="both"/>
        <w:rPr>
          <w:bCs/>
          <w:iCs/>
        </w:rPr>
      </w:pPr>
      <w:r w:rsidRPr="00C23857">
        <w:rPr>
          <w:bCs/>
          <w:iCs/>
        </w:rPr>
        <w:t>Прието е декларацията по чл. 55, ал. 1, която се изготвя и подава от предприятията</w:t>
      </w:r>
      <w:r>
        <w:rPr>
          <w:bCs/>
          <w:iCs/>
        </w:rPr>
        <w:t>-</w:t>
      </w:r>
      <w:r w:rsidRPr="00C23857">
        <w:rPr>
          <w:bCs/>
          <w:iCs/>
        </w:rPr>
        <w:t>платци на доходи, задължени да удържат и внасят данъци, да се подава само по електронен път от 2018 г. Изменението за електронно подаване на декларацията цели, намаляване на административната тежест, както за лицата, така и за приходната администрация. С промяната се унифицира реда за подаването на декларацията с този, регламентиран по отношение на декларацията по чл. 201, ал. 1 от ЗКПО, която се подава само по електронен път</w:t>
      </w:r>
      <w:r>
        <w:rPr>
          <w:bCs/>
          <w:iCs/>
        </w:rPr>
        <w:t>.</w:t>
      </w:r>
    </w:p>
    <w:p w:rsidR="007766A4" w:rsidRDefault="007766A4" w:rsidP="007766A4">
      <w:pPr>
        <w:autoSpaceDE w:val="0"/>
        <w:autoSpaceDN w:val="0"/>
        <w:adjustRightInd w:val="0"/>
        <w:spacing w:after="120"/>
        <w:ind w:firstLine="709"/>
        <w:jc w:val="both"/>
        <w:rPr>
          <w:b/>
          <w:bCs/>
          <w:i/>
          <w:iCs/>
        </w:rPr>
      </w:pPr>
      <w:r>
        <w:rPr>
          <w:b/>
          <w:bCs/>
          <w:i/>
          <w:iCs/>
        </w:rPr>
        <w:t>Промени, свързани с у</w:t>
      </w:r>
      <w:r w:rsidRPr="00FD5A60">
        <w:rPr>
          <w:b/>
          <w:bCs/>
          <w:i/>
          <w:iCs/>
        </w:rPr>
        <w:t>лесняване на лицата, които декларира</w:t>
      </w:r>
      <w:r>
        <w:rPr>
          <w:b/>
          <w:bCs/>
          <w:i/>
          <w:iCs/>
        </w:rPr>
        <w:t>т доходи от източник в чужбина</w:t>
      </w:r>
    </w:p>
    <w:p w:rsidR="007766A4" w:rsidRDefault="007766A4" w:rsidP="007766A4">
      <w:pPr>
        <w:autoSpaceDE w:val="0"/>
        <w:autoSpaceDN w:val="0"/>
        <w:adjustRightInd w:val="0"/>
        <w:spacing w:after="120"/>
        <w:ind w:firstLine="709"/>
        <w:jc w:val="both"/>
        <w:rPr>
          <w:bCs/>
        </w:rPr>
      </w:pPr>
      <w:r w:rsidRPr="002B6E92">
        <w:rPr>
          <w:bCs/>
        </w:rPr>
        <w:t>С направеното изменение</w:t>
      </w:r>
      <w:r>
        <w:rPr>
          <w:bCs/>
          <w:lang w:val="en-US"/>
        </w:rPr>
        <w:t>,</w:t>
      </w:r>
      <w:r w:rsidRPr="002B6E92">
        <w:rPr>
          <w:bCs/>
        </w:rPr>
        <w:t xml:space="preserve"> изискването за прилагане към годишната данъчна декларация на „удостоверения“ за внесения в чужбина данък и задължителни осигурителни вноски, издадени от компетентните власти на другата държава, в случаите на доходи на местни физически лица от източници в чужбина, се заменя с изискване за прилагане на </w:t>
      </w:r>
      <w:r w:rsidRPr="002B6E92">
        <w:rPr>
          <w:bCs/>
        </w:rPr>
        <w:lastRenderedPageBreak/>
        <w:t xml:space="preserve">„доказателства“. </w:t>
      </w:r>
      <w:r>
        <w:rPr>
          <w:bCs/>
        </w:rPr>
        <w:t xml:space="preserve">По този начин се създава </w:t>
      </w:r>
      <w:r w:rsidRPr="002B6E92">
        <w:rPr>
          <w:bCs/>
        </w:rPr>
        <w:t>улесн</w:t>
      </w:r>
      <w:r>
        <w:rPr>
          <w:bCs/>
        </w:rPr>
        <w:t>ение</w:t>
      </w:r>
      <w:r w:rsidRPr="002B6E92">
        <w:rPr>
          <w:bCs/>
        </w:rPr>
        <w:t xml:space="preserve"> </w:t>
      </w:r>
      <w:r>
        <w:rPr>
          <w:bCs/>
        </w:rPr>
        <w:t>з</w:t>
      </w:r>
      <w:r w:rsidRPr="002B6E92">
        <w:rPr>
          <w:bCs/>
        </w:rPr>
        <w:t>а лицата, които декларират доходи от източник в чужбина и представлява по-широка формулировка, даваща възможност да се прилагат различни доказателства за размера на внесените в чужбина данъци. Допълнителен аргумент за промяната е и унифициране текстовете на ЗДДФЛ и ЗКПО</w:t>
      </w:r>
      <w:r>
        <w:rPr>
          <w:bCs/>
          <w:lang w:val="en-US"/>
        </w:rPr>
        <w:t>.</w:t>
      </w:r>
      <w:r w:rsidRPr="002B6E92">
        <w:rPr>
          <w:bCs/>
        </w:rPr>
        <w:t xml:space="preserve">   </w:t>
      </w:r>
    </w:p>
    <w:p w:rsidR="007766A4" w:rsidRDefault="007766A4" w:rsidP="007766A4">
      <w:pPr>
        <w:autoSpaceDE w:val="0"/>
        <w:autoSpaceDN w:val="0"/>
        <w:adjustRightInd w:val="0"/>
        <w:spacing w:after="120"/>
        <w:ind w:firstLine="709"/>
        <w:jc w:val="both"/>
        <w:rPr>
          <w:bCs/>
        </w:rPr>
      </w:pPr>
      <w:r w:rsidRPr="00230645">
        <w:rPr>
          <w:b/>
          <w:bCs/>
          <w:i/>
          <w:iCs/>
        </w:rPr>
        <w:t xml:space="preserve">Промени, свързани </w:t>
      </w:r>
      <w:r>
        <w:rPr>
          <w:b/>
          <w:bCs/>
          <w:i/>
          <w:iCs/>
        </w:rPr>
        <w:t xml:space="preserve">с предоставяне на възможност </w:t>
      </w:r>
      <w:r w:rsidRPr="00230645">
        <w:rPr>
          <w:b/>
          <w:bCs/>
          <w:i/>
          <w:lang w:val="x-none"/>
        </w:rPr>
        <w:t>за деклариране на необлагаеми доходи</w:t>
      </w:r>
    </w:p>
    <w:p w:rsidR="007766A4" w:rsidRDefault="007766A4" w:rsidP="007766A4">
      <w:pPr>
        <w:autoSpaceDE w:val="0"/>
        <w:autoSpaceDN w:val="0"/>
        <w:adjustRightInd w:val="0"/>
        <w:spacing w:after="120"/>
        <w:ind w:firstLine="709"/>
        <w:jc w:val="both"/>
        <w:rPr>
          <w:bCs/>
          <w:iCs/>
        </w:rPr>
      </w:pPr>
      <w:r>
        <w:rPr>
          <w:bCs/>
          <w:iCs/>
        </w:rPr>
        <w:t xml:space="preserve">Въведена е нова разпоредба, с която се дава възможност за </w:t>
      </w:r>
      <w:r w:rsidRPr="00230645">
        <w:rPr>
          <w:bCs/>
          <w:iCs/>
        </w:rPr>
        <w:t>деклариране в годишната данъчна декларация на придобитите през годината необлагаеми доходи, съгласно чл. 13 от</w:t>
      </w:r>
      <w:r>
        <w:rPr>
          <w:bCs/>
          <w:iCs/>
        </w:rPr>
        <w:t xml:space="preserve"> закона (в т.ч. през 2017 г.), като </w:t>
      </w:r>
      <w:r w:rsidRPr="00230645">
        <w:rPr>
          <w:bCs/>
          <w:iCs/>
        </w:rPr>
        <w:t xml:space="preserve">полученото имущество по наследство, завет и дарение, както и полученото имущество с възстановено право на собственост по реда на нормативен акт. С </w:t>
      </w:r>
      <w:r>
        <w:rPr>
          <w:bCs/>
          <w:iCs/>
        </w:rPr>
        <w:t xml:space="preserve">промяната </w:t>
      </w:r>
      <w:r w:rsidRPr="00230645">
        <w:rPr>
          <w:bCs/>
          <w:iCs/>
        </w:rPr>
        <w:t>се цели да се оптимизират процесите, свързани с проверки и ревизии на физическите лица във връзка със съпоставката между имуществото, придобито през течение на годината и декларираните от тях доходи</w:t>
      </w:r>
      <w:r>
        <w:rPr>
          <w:bCs/>
          <w:iCs/>
        </w:rPr>
        <w:t>.</w:t>
      </w:r>
    </w:p>
    <w:p w:rsidR="007766A4" w:rsidRDefault="007766A4" w:rsidP="007766A4">
      <w:pPr>
        <w:autoSpaceDE w:val="0"/>
        <w:autoSpaceDN w:val="0"/>
        <w:adjustRightInd w:val="0"/>
        <w:spacing w:after="120"/>
        <w:ind w:firstLine="709"/>
        <w:jc w:val="both"/>
        <w:rPr>
          <w:bCs/>
        </w:rPr>
      </w:pPr>
      <w:r>
        <w:rPr>
          <w:b/>
          <w:bCs/>
          <w:i/>
          <w:iCs/>
        </w:rPr>
        <w:t xml:space="preserve">Промяна в срока за подаване на справката по чл. 73, ал. 1 от ЗДДФЛ  </w:t>
      </w:r>
    </w:p>
    <w:p w:rsidR="007766A4" w:rsidRDefault="007766A4" w:rsidP="007766A4">
      <w:pPr>
        <w:autoSpaceDE w:val="0"/>
        <w:autoSpaceDN w:val="0"/>
        <w:adjustRightInd w:val="0"/>
        <w:spacing w:after="120"/>
        <w:ind w:firstLine="709"/>
        <w:jc w:val="both"/>
        <w:rPr>
          <w:bCs/>
        </w:rPr>
      </w:pPr>
      <w:r>
        <w:rPr>
          <w:bCs/>
        </w:rPr>
        <w:t xml:space="preserve">Направена </w:t>
      </w:r>
      <w:r w:rsidRPr="00256DBC">
        <w:rPr>
          <w:bCs/>
        </w:rPr>
        <w:t xml:space="preserve">е промяна на срока за подаване на справката, която се предоставя от предприятията и </w:t>
      </w:r>
      <w:proofErr w:type="spellStart"/>
      <w:r w:rsidRPr="00256DBC">
        <w:rPr>
          <w:bCs/>
        </w:rPr>
        <w:t>самоосигуряващите</w:t>
      </w:r>
      <w:proofErr w:type="spellEnd"/>
      <w:r w:rsidRPr="00256DBC">
        <w:rPr>
          <w:bCs/>
        </w:rPr>
        <w:t xml:space="preserve"> се лица – платци на доходи за изплатените през годината доходи на физическите лица (справката по чл. 73, ал. 1 от ЗДДФЛ), </w:t>
      </w:r>
      <w:r w:rsidRPr="003B6FA0">
        <w:rPr>
          <w:bCs/>
          <w:iCs/>
        </w:rPr>
        <w:t>който вместо до 30 април</w:t>
      </w:r>
      <w:r w:rsidRPr="003B6FA0">
        <w:rPr>
          <w:bCs/>
        </w:rPr>
        <w:t xml:space="preserve"> </w:t>
      </w:r>
      <w:r>
        <w:rPr>
          <w:bCs/>
        </w:rPr>
        <w:t xml:space="preserve">се изменя до </w:t>
      </w:r>
      <w:r>
        <w:rPr>
          <w:bCs/>
          <w:lang w:val="x-none"/>
        </w:rPr>
        <w:t xml:space="preserve">15 </w:t>
      </w:r>
      <w:r w:rsidRPr="0085177D">
        <w:rPr>
          <w:bCs/>
          <w:lang w:val="x-none"/>
        </w:rPr>
        <w:t>март</w:t>
      </w:r>
      <w:r w:rsidRPr="0085177D">
        <w:rPr>
          <w:bCs/>
        </w:rPr>
        <w:t xml:space="preserve"> на следващата година.</w:t>
      </w:r>
      <w:r w:rsidRPr="00256DBC">
        <w:rPr>
          <w:bCs/>
        </w:rPr>
        <w:t xml:space="preserve"> Чрез промяната в срока </w:t>
      </w:r>
      <w:r>
        <w:rPr>
          <w:bCs/>
        </w:rPr>
        <w:t xml:space="preserve">се дава </w:t>
      </w:r>
      <w:r w:rsidRPr="00256DBC">
        <w:rPr>
          <w:bCs/>
        </w:rPr>
        <w:t>възможност да се извършва по-ефективен контрол в случаите на възстановяване на данък от органите по приходите във връзка с подадени годишни данъчни декларации</w:t>
      </w:r>
      <w:r>
        <w:rPr>
          <w:bCs/>
        </w:rPr>
        <w:t>.</w:t>
      </w:r>
    </w:p>
    <w:p w:rsidR="007766A4" w:rsidRDefault="007766A4" w:rsidP="007766A4">
      <w:pPr>
        <w:autoSpaceDE w:val="0"/>
        <w:autoSpaceDN w:val="0"/>
        <w:adjustRightInd w:val="0"/>
        <w:spacing w:after="120"/>
        <w:ind w:firstLine="709"/>
        <w:jc w:val="both"/>
        <w:rPr>
          <w:rFonts w:eastAsia="DejaVu Sans"/>
          <w:b/>
          <w:bCs/>
          <w:kern w:val="1"/>
          <w:u w:val="single"/>
          <w:lang w:eastAsia="hi-IN" w:bidi="hi-IN"/>
        </w:rPr>
      </w:pPr>
      <w:r w:rsidRPr="009E04AF">
        <w:rPr>
          <w:rFonts w:eastAsia="DejaVu Sans"/>
          <w:b/>
          <w:bCs/>
          <w:kern w:val="1"/>
          <w:u w:val="single"/>
          <w:lang w:eastAsia="hi-IN" w:bidi="hi-IN"/>
        </w:rPr>
        <w:t xml:space="preserve">Промени в Закона за </w:t>
      </w:r>
      <w:r>
        <w:rPr>
          <w:rFonts w:eastAsia="DejaVu Sans"/>
          <w:b/>
          <w:bCs/>
          <w:kern w:val="1"/>
          <w:u w:val="single"/>
          <w:lang w:eastAsia="hi-IN" w:bidi="hi-IN"/>
        </w:rPr>
        <w:t xml:space="preserve">местните </w:t>
      </w:r>
      <w:r w:rsidRPr="009E04AF">
        <w:rPr>
          <w:rFonts w:eastAsia="DejaVu Sans"/>
          <w:b/>
          <w:bCs/>
          <w:kern w:val="1"/>
          <w:u w:val="single"/>
          <w:lang w:eastAsia="hi-IN" w:bidi="hi-IN"/>
        </w:rPr>
        <w:t>данъци</w:t>
      </w:r>
      <w:r>
        <w:rPr>
          <w:rFonts w:eastAsia="DejaVu Sans"/>
          <w:b/>
          <w:bCs/>
          <w:kern w:val="1"/>
          <w:u w:val="single"/>
          <w:lang w:eastAsia="hi-IN" w:bidi="hi-IN"/>
        </w:rPr>
        <w:t xml:space="preserve"> и такси</w:t>
      </w:r>
    </w:p>
    <w:p w:rsidR="007766A4" w:rsidRPr="00164C5D" w:rsidRDefault="007766A4" w:rsidP="007766A4">
      <w:pPr>
        <w:autoSpaceDE w:val="0"/>
        <w:autoSpaceDN w:val="0"/>
        <w:adjustRightInd w:val="0"/>
        <w:spacing w:after="120"/>
        <w:ind w:firstLine="709"/>
        <w:jc w:val="both"/>
        <w:rPr>
          <w:b/>
          <w:i/>
          <w:color w:val="000000"/>
        </w:rPr>
      </w:pPr>
      <w:r w:rsidRPr="00164C5D">
        <w:rPr>
          <w:b/>
          <w:i/>
          <w:color w:val="000000"/>
        </w:rPr>
        <w:t>Промени, свързани с преодоляване на проблеми при облагането на специализирани ремаркета</w:t>
      </w:r>
    </w:p>
    <w:p w:rsidR="007766A4" w:rsidRDefault="007766A4" w:rsidP="007766A4">
      <w:pPr>
        <w:autoSpaceDE w:val="0"/>
        <w:autoSpaceDN w:val="0"/>
        <w:adjustRightInd w:val="0"/>
        <w:spacing w:after="120"/>
        <w:ind w:firstLine="709"/>
        <w:jc w:val="both"/>
        <w:rPr>
          <w:color w:val="000000"/>
        </w:rPr>
      </w:pPr>
      <w:r>
        <w:rPr>
          <w:color w:val="000000"/>
        </w:rPr>
        <w:t>Въведено е изменение, с което с</w:t>
      </w:r>
      <w:r w:rsidRPr="001061F5">
        <w:rPr>
          <w:color w:val="000000"/>
        </w:rPr>
        <w:t xml:space="preserve">пециализираните ремаркета за превоз на тежки или </w:t>
      </w:r>
      <w:proofErr w:type="spellStart"/>
      <w:r w:rsidRPr="001061F5">
        <w:rPr>
          <w:color w:val="000000"/>
        </w:rPr>
        <w:t>извънгабаритни</w:t>
      </w:r>
      <w:proofErr w:type="spellEnd"/>
      <w:r w:rsidRPr="001061F5">
        <w:rPr>
          <w:color w:val="000000"/>
        </w:rPr>
        <w:t xml:space="preserve"> товари няма да се облагат самостоятелно, а в състав към съответния влекач</w:t>
      </w:r>
      <w:r>
        <w:rPr>
          <w:color w:val="000000"/>
        </w:rPr>
        <w:t xml:space="preserve"> за ремарке</w:t>
      </w:r>
      <w:r w:rsidRPr="001061F5">
        <w:rPr>
          <w:color w:val="000000"/>
        </w:rPr>
        <w:t xml:space="preserve"> и </w:t>
      </w:r>
      <w:proofErr w:type="spellStart"/>
      <w:r w:rsidRPr="001061F5">
        <w:rPr>
          <w:color w:val="000000"/>
        </w:rPr>
        <w:t>седлови</w:t>
      </w:r>
      <w:proofErr w:type="spellEnd"/>
      <w:r w:rsidRPr="001061F5">
        <w:rPr>
          <w:color w:val="000000"/>
        </w:rPr>
        <w:t xml:space="preserve"> влекач. Промяната цели преодоляване на установени при обмена на данните от регистъра на МВР проблеми при облагането на специализирани ремаркета и тяхното коректно категоризиране</w:t>
      </w:r>
      <w:r>
        <w:rPr>
          <w:color w:val="000000"/>
        </w:rPr>
        <w:t>,</w:t>
      </w:r>
      <w:r w:rsidRPr="001061F5">
        <w:rPr>
          <w:color w:val="000000"/>
        </w:rPr>
        <w:t xml:space="preserve"> съгласно разпоредбите на чл. 55 от ЗМДТ</w:t>
      </w:r>
      <w:r>
        <w:rPr>
          <w:color w:val="000000"/>
        </w:rPr>
        <w:t>.</w:t>
      </w:r>
    </w:p>
    <w:p w:rsidR="007766A4" w:rsidRPr="00203A99" w:rsidRDefault="007766A4" w:rsidP="007766A4">
      <w:pPr>
        <w:autoSpaceDE w:val="0"/>
        <w:autoSpaceDN w:val="0"/>
        <w:adjustRightInd w:val="0"/>
        <w:spacing w:after="120"/>
        <w:ind w:firstLine="709"/>
        <w:jc w:val="both"/>
        <w:rPr>
          <w:b/>
          <w:bCs/>
          <w:i/>
        </w:rPr>
      </w:pPr>
      <w:r w:rsidRPr="00203A99">
        <w:rPr>
          <w:b/>
          <w:bCs/>
          <w:i/>
        </w:rPr>
        <w:t xml:space="preserve">Изменения, свързани с облагане на електрическите превозни средства </w:t>
      </w:r>
    </w:p>
    <w:p w:rsidR="007766A4" w:rsidRDefault="007766A4" w:rsidP="007766A4">
      <w:pPr>
        <w:autoSpaceDE w:val="0"/>
        <w:autoSpaceDN w:val="0"/>
        <w:adjustRightInd w:val="0"/>
        <w:spacing w:after="120"/>
        <w:ind w:firstLine="709"/>
        <w:jc w:val="both"/>
        <w:rPr>
          <w:bCs/>
        </w:rPr>
      </w:pPr>
      <w:r w:rsidRPr="001061F5">
        <w:rPr>
          <w:color w:val="000000"/>
        </w:rPr>
        <w:t>Освобождаване от облагане с данък върху превозните средства на електрическите превозни средства</w:t>
      </w:r>
      <w:r>
        <w:rPr>
          <w:color w:val="000000"/>
        </w:rPr>
        <w:t xml:space="preserve"> категории </w:t>
      </w:r>
      <w:r w:rsidRPr="008669E7">
        <w:rPr>
          <w:color w:val="000000"/>
        </w:rPr>
        <w:t>L5е, L6е и L7е</w:t>
      </w:r>
      <w:r w:rsidRPr="001061F5">
        <w:rPr>
          <w:color w:val="000000"/>
        </w:rPr>
        <w:t>, определени в чл. 4 от Регламент (ЕС) № 168/2013 г. Промяната цели намаляване на вредните емисии в атмосферата и продължаване на водената данъчна политика по отношение на електрическите превозни средства</w:t>
      </w:r>
      <w:r>
        <w:rPr>
          <w:color w:val="000000"/>
        </w:rPr>
        <w:t>.</w:t>
      </w:r>
    </w:p>
    <w:p w:rsidR="007766A4" w:rsidRDefault="007766A4" w:rsidP="007766A4">
      <w:pPr>
        <w:autoSpaceDE w:val="0"/>
        <w:autoSpaceDN w:val="0"/>
        <w:adjustRightInd w:val="0"/>
        <w:spacing w:after="120"/>
        <w:ind w:firstLine="709"/>
        <w:jc w:val="both"/>
        <w:rPr>
          <w:bCs/>
        </w:rPr>
      </w:pPr>
      <w:r w:rsidRPr="00C7259E">
        <w:rPr>
          <w:b/>
          <w:bCs/>
          <w:i/>
          <w:iCs/>
        </w:rPr>
        <w:t>Прецизиране на разпоредби</w:t>
      </w:r>
      <w:r w:rsidRPr="00C7259E">
        <w:rPr>
          <w:b/>
          <w:i/>
        </w:rPr>
        <w:t xml:space="preserve"> </w:t>
      </w:r>
      <w:r w:rsidRPr="00761715">
        <w:rPr>
          <w:b/>
          <w:i/>
        </w:rPr>
        <w:t>поради възникнали затруднения при практическото прилагане на закона</w:t>
      </w:r>
    </w:p>
    <w:p w:rsidR="007766A4" w:rsidRDefault="007766A4" w:rsidP="007766A4">
      <w:pPr>
        <w:autoSpaceDE w:val="0"/>
        <w:autoSpaceDN w:val="0"/>
        <w:adjustRightInd w:val="0"/>
        <w:spacing w:after="120"/>
        <w:ind w:firstLine="709"/>
        <w:jc w:val="both"/>
        <w:rPr>
          <w:bCs/>
        </w:rPr>
      </w:pPr>
      <w:r>
        <w:rPr>
          <w:bCs/>
        </w:rPr>
        <w:t xml:space="preserve">Направено е прецизиране на </w:t>
      </w:r>
      <w:r w:rsidRPr="0073107D">
        <w:rPr>
          <w:bCs/>
        </w:rPr>
        <w:t xml:space="preserve">разпоредби в закона, свързани с </w:t>
      </w:r>
      <w:r>
        <w:rPr>
          <w:bCs/>
        </w:rPr>
        <w:t xml:space="preserve">изчисляване и </w:t>
      </w:r>
      <w:r w:rsidRPr="0073107D">
        <w:rPr>
          <w:bCs/>
        </w:rPr>
        <w:t>заплащане на данък върху таксиметров превоз на пътници, като с промяната се постига пълно съответствие между Закона за автомобилните превози и ЗМДТ</w:t>
      </w:r>
      <w:r>
        <w:rPr>
          <w:bCs/>
        </w:rPr>
        <w:t>.</w:t>
      </w:r>
    </w:p>
    <w:p w:rsidR="007766A4" w:rsidRDefault="007766A4" w:rsidP="007766A4">
      <w:pPr>
        <w:autoSpaceDE w:val="0"/>
        <w:autoSpaceDN w:val="0"/>
        <w:adjustRightInd w:val="0"/>
        <w:spacing w:after="120"/>
        <w:ind w:firstLine="709"/>
        <w:jc w:val="both"/>
        <w:rPr>
          <w:bCs/>
        </w:rPr>
      </w:pPr>
      <w:r w:rsidRPr="009E04AF">
        <w:rPr>
          <w:rFonts w:eastAsia="DejaVu Sans"/>
          <w:b/>
          <w:bCs/>
          <w:kern w:val="1"/>
          <w:u w:val="single"/>
          <w:lang w:eastAsia="hi-IN" w:bidi="hi-IN"/>
        </w:rPr>
        <w:t>Промени в</w:t>
      </w:r>
      <w:r w:rsidRPr="00C02903">
        <w:rPr>
          <w:rFonts w:eastAsia="Batang"/>
          <w:b/>
          <w:u w:val="single"/>
        </w:rPr>
        <w:t xml:space="preserve"> </w:t>
      </w:r>
      <w:r w:rsidRPr="00C02903">
        <w:rPr>
          <w:rFonts w:eastAsia="DejaVu Sans"/>
          <w:b/>
          <w:bCs/>
          <w:kern w:val="1"/>
          <w:u w:val="single"/>
          <w:lang w:eastAsia="hi-IN" w:bidi="hi-IN"/>
        </w:rPr>
        <w:t xml:space="preserve">Закона за ограничаване на плащанията в брой </w:t>
      </w:r>
    </w:p>
    <w:p w:rsidR="007766A4" w:rsidRDefault="007766A4" w:rsidP="007766A4">
      <w:pPr>
        <w:autoSpaceDE w:val="0"/>
        <w:autoSpaceDN w:val="0"/>
        <w:adjustRightInd w:val="0"/>
        <w:spacing w:after="120"/>
        <w:ind w:firstLine="709"/>
        <w:jc w:val="both"/>
        <w:rPr>
          <w:bCs/>
        </w:rPr>
      </w:pPr>
      <w:r w:rsidRPr="00722B9C">
        <w:rPr>
          <w:b/>
          <w:bCs/>
          <w:i/>
        </w:rPr>
        <w:t>Въвеждане на възможност за плащане на данъци и осигурителни вноски, администрирани от Националната агенция (НАП) за приходите чрез виртуално терминално устройство ПОС</w:t>
      </w:r>
    </w:p>
    <w:p w:rsidR="007766A4" w:rsidRDefault="007766A4" w:rsidP="007766A4">
      <w:pPr>
        <w:autoSpaceDE w:val="0"/>
        <w:autoSpaceDN w:val="0"/>
        <w:adjustRightInd w:val="0"/>
        <w:spacing w:after="120"/>
        <w:ind w:firstLine="709"/>
        <w:jc w:val="both"/>
        <w:rPr>
          <w:bCs/>
        </w:rPr>
      </w:pPr>
      <w:r w:rsidRPr="00722B9C">
        <w:rPr>
          <w:bCs/>
        </w:rPr>
        <w:t xml:space="preserve">Създава се възможност администрираните от </w:t>
      </w:r>
      <w:r>
        <w:rPr>
          <w:bCs/>
        </w:rPr>
        <w:t xml:space="preserve">НАП </w:t>
      </w:r>
      <w:r w:rsidRPr="00722B9C">
        <w:rPr>
          <w:bCs/>
        </w:rPr>
        <w:t xml:space="preserve">данъци и осигурителни вноски да бъдат плащани чрез виртуално терминално устройство ПОС, като средствата постъпват директно по сметка на НАП в Българската народна банка. С </w:t>
      </w:r>
      <w:r>
        <w:rPr>
          <w:bCs/>
        </w:rPr>
        <w:t xml:space="preserve">приетите изменения </w:t>
      </w:r>
      <w:r w:rsidRPr="00722B9C">
        <w:rPr>
          <w:bCs/>
        </w:rPr>
        <w:t xml:space="preserve">значително ще се намали административната тежест и разходите за бизнеса, тъй като ще се осигури удобна и безплатна за лицата алтернативна възможност за заплащане на данъци и </w:t>
      </w:r>
      <w:r w:rsidRPr="00722B9C">
        <w:rPr>
          <w:bCs/>
        </w:rPr>
        <w:lastRenderedPageBreak/>
        <w:t>осигурителни вноски чрез Интернет, без да е необходимо да бъдат посещавани офиси на НАП или на обслужващата банка</w:t>
      </w:r>
      <w:r>
        <w:rPr>
          <w:bCs/>
        </w:rPr>
        <w:t>.</w:t>
      </w:r>
    </w:p>
    <w:p w:rsidR="007766A4" w:rsidRDefault="007766A4" w:rsidP="007766A4">
      <w:pPr>
        <w:autoSpaceDE w:val="0"/>
        <w:autoSpaceDN w:val="0"/>
        <w:adjustRightInd w:val="0"/>
        <w:spacing w:after="120"/>
        <w:ind w:firstLine="709"/>
        <w:jc w:val="both"/>
        <w:rPr>
          <w:rFonts w:eastAsia="DejaVu Sans"/>
          <w:b/>
          <w:bCs/>
          <w:kern w:val="1"/>
          <w:u w:val="single"/>
          <w:lang w:eastAsia="hi-IN" w:bidi="hi-IN"/>
        </w:rPr>
      </w:pPr>
      <w:r w:rsidRPr="009E04AF">
        <w:rPr>
          <w:rFonts w:eastAsia="DejaVu Sans"/>
          <w:b/>
          <w:bCs/>
          <w:kern w:val="1"/>
          <w:u w:val="single"/>
          <w:lang w:eastAsia="hi-IN" w:bidi="hi-IN"/>
        </w:rPr>
        <w:t>Промени в</w:t>
      </w:r>
      <w:r>
        <w:rPr>
          <w:rFonts w:eastAsia="DejaVu Sans"/>
          <w:b/>
          <w:bCs/>
          <w:kern w:val="1"/>
          <w:u w:val="single"/>
          <w:lang w:eastAsia="hi-IN" w:bidi="hi-IN"/>
        </w:rPr>
        <w:t xml:space="preserve"> Данъчно-осигурителния процесуален кодекс</w:t>
      </w:r>
    </w:p>
    <w:p w:rsidR="007766A4" w:rsidRPr="00D403EC" w:rsidRDefault="007766A4" w:rsidP="007766A4">
      <w:pPr>
        <w:autoSpaceDE w:val="0"/>
        <w:autoSpaceDN w:val="0"/>
        <w:adjustRightInd w:val="0"/>
        <w:spacing w:after="120"/>
        <w:ind w:firstLine="709"/>
        <w:jc w:val="both"/>
        <w:rPr>
          <w:rFonts w:eastAsia="DejaVu Sans"/>
          <w:b/>
          <w:bCs/>
          <w:i/>
          <w:kern w:val="1"/>
          <w:lang w:eastAsia="hi-IN" w:bidi="hi-IN"/>
        </w:rPr>
      </w:pPr>
      <w:r w:rsidRPr="00D403EC">
        <w:rPr>
          <w:rFonts w:eastAsia="DejaVu Sans"/>
          <w:b/>
          <w:bCs/>
          <w:i/>
          <w:kern w:val="1"/>
          <w:lang w:eastAsia="hi-IN" w:bidi="hi-IN"/>
        </w:rPr>
        <w:t>Въвеждане на правила за обмен на информация относно предварителните трансгранични данъчни становища и предварителните споразумения за ценообразуване (Директива (ЕС) 2015/2376 на Съвета от 8 декември 2015 г.)</w:t>
      </w:r>
    </w:p>
    <w:p w:rsidR="007766A4" w:rsidRPr="00D403EC" w:rsidRDefault="007766A4" w:rsidP="007766A4">
      <w:pPr>
        <w:autoSpaceDE w:val="0"/>
        <w:autoSpaceDN w:val="0"/>
        <w:adjustRightInd w:val="0"/>
        <w:spacing w:after="120"/>
        <w:ind w:firstLine="709"/>
        <w:jc w:val="both"/>
        <w:rPr>
          <w:rFonts w:eastAsia="DejaVu Sans"/>
          <w:bCs/>
          <w:kern w:val="1"/>
          <w:lang w:eastAsia="hi-IN" w:bidi="hi-IN"/>
        </w:rPr>
      </w:pPr>
      <w:r w:rsidRPr="00D403EC">
        <w:rPr>
          <w:rFonts w:eastAsia="DejaVu Sans"/>
          <w:bCs/>
          <w:kern w:val="1"/>
          <w:lang w:eastAsia="hi-IN" w:bidi="hi-IN"/>
        </w:rPr>
        <w:t>Основна цел на приетата промяна в ДОПК е засилване на ефективността на административното сътрудничество между данъчните администрации чрез разширяване на обхвата на автоматичния обмен на информация, като се създават правила за обмен на информация относно предварителните трансгранични данъчни становища и предварителните споразумения за ценообразуване, издавани в държавите-членки.</w:t>
      </w:r>
    </w:p>
    <w:p w:rsidR="007766A4" w:rsidRPr="00D403EC" w:rsidRDefault="007766A4" w:rsidP="007766A4">
      <w:pPr>
        <w:autoSpaceDE w:val="0"/>
        <w:autoSpaceDN w:val="0"/>
        <w:adjustRightInd w:val="0"/>
        <w:spacing w:after="120"/>
        <w:ind w:firstLine="709"/>
        <w:jc w:val="both"/>
        <w:rPr>
          <w:rFonts w:eastAsia="DejaVu Sans"/>
          <w:bCs/>
          <w:kern w:val="1"/>
          <w:lang w:eastAsia="hi-IN" w:bidi="hi-IN"/>
        </w:rPr>
      </w:pPr>
      <w:r w:rsidRPr="00D403EC">
        <w:rPr>
          <w:rFonts w:eastAsia="DejaVu Sans"/>
          <w:bCs/>
          <w:kern w:val="1"/>
          <w:lang w:eastAsia="hi-IN" w:bidi="hi-IN"/>
        </w:rPr>
        <w:t>Правилата, въведени с Директива (ЕС) 2015/2376, имат съществено значение за засилване на борбата с укриването на данъци и агресивното данъчно планиране и са в синхрон с няколко взаимно допълващи се инициативи на Европейския съюз, свързани с мерките за данъчна прозрачност. Свиването на данъчната основа намалява значително националните данъчни приходи, което възпрепятства прилагането на благоприятстващи растежа данъчни политики в държавите-членки. Въвеждането на правилата на директивата е от съществено значение и поради това, че по-голямата прозрачност относно издаваните от държавите-членки данъчни становища ще стимулира справедливата конкуренция в областта на данъчното облагане. От своя страна, предварителните споразумения за ценообразуване са ефективна мярка за намаляване на рисковете, свързани с трансферното ценообразуване и предотвратяване укриването на данъци.</w:t>
      </w:r>
    </w:p>
    <w:p w:rsidR="007766A4" w:rsidRPr="00D403EC" w:rsidRDefault="007766A4" w:rsidP="007766A4">
      <w:pPr>
        <w:autoSpaceDE w:val="0"/>
        <w:autoSpaceDN w:val="0"/>
        <w:adjustRightInd w:val="0"/>
        <w:spacing w:after="120"/>
        <w:ind w:firstLine="709"/>
        <w:jc w:val="both"/>
        <w:rPr>
          <w:rFonts w:eastAsia="DejaVu Sans"/>
          <w:bCs/>
          <w:kern w:val="1"/>
          <w:lang w:eastAsia="hi-IN" w:bidi="hi-IN"/>
        </w:rPr>
      </w:pPr>
      <w:r w:rsidRPr="00D403EC">
        <w:rPr>
          <w:rFonts w:eastAsia="DejaVu Sans"/>
          <w:bCs/>
          <w:kern w:val="1"/>
          <w:lang w:eastAsia="hi-IN" w:bidi="hi-IN"/>
        </w:rPr>
        <w:t>В съответствие с изискванията на директивата в ДОПК се създават правила, съгласно които по реда на автоматичния обмен изпълнителният директор на Националната агенция за приходите следва да обменя с компетентните органи на държавите-членки на Европейския съюз и с Европейската комисия информация за предварителни трансгранични данъчни становища и предварителни споразумения за ценообразуване. Информацията се обменя в срок до три месеца след изтичането на шестмесечието, през което становищата или споразуменията са издадени, изменени или подновени, като се използва стандартен формуляр.</w:t>
      </w:r>
    </w:p>
    <w:p w:rsidR="007766A4" w:rsidRPr="00D403EC" w:rsidRDefault="007766A4" w:rsidP="007766A4">
      <w:pPr>
        <w:autoSpaceDE w:val="0"/>
        <w:autoSpaceDN w:val="0"/>
        <w:adjustRightInd w:val="0"/>
        <w:spacing w:after="120"/>
        <w:ind w:firstLine="709"/>
        <w:jc w:val="both"/>
        <w:rPr>
          <w:rFonts w:eastAsia="DejaVu Sans"/>
          <w:b/>
          <w:bCs/>
          <w:i/>
          <w:kern w:val="1"/>
          <w:lang w:eastAsia="hi-IN" w:bidi="hi-IN"/>
        </w:rPr>
      </w:pPr>
      <w:r w:rsidRPr="00D403EC">
        <w:rPr>
          <w:rFonts w:eastAsia="DejaVu Sans"/>
          <w:b/>
          <w:bCs/>
          <w:i/>
          <w:kern w:val="1"/>
          <w:lang w:eastAsia="hi-IN" w:bidi="hi-IN"/>
        </w:rPr>
        <w:t>Въвеждане на правила за обмен на отчети по държави на многонационалните групи предприятия (Директива (ЕС) 2016/881 на Съвета от 25 май 2016 г.)</w:t>
      </w:r>
    </w:p>
    <w:p w:rsidR="007766A4" w:rsidRPr="00D403EC" w:rsidRDefault="007766A4" w:rsidP="007766A4">
      <w:pPr>
        <w:autoSpaceDE w:val="0"/>
        <w:autoSpaceDN w:val="0"/>
        <w:adjustRightInd w:val="0"/>
        <w:spacing w:after="120"/>
        <w:ind w:firstLine="709"/>
        <w:jc w:val="both"/>
        <w:rPr>
          <w:rFonts w:eastAsia="DejaVu Sans"/>
          <w:bCs/>
          <w:kern w:val="1"/>
          <w:lang w:eastAsia="hi-IN" w:bidi="hi-IN"/>
        </w:rPr>
      </w:pPr>
      <w:r w:rsidRPr="00D403EC">
        <w:rPr>
          <w:rFonts w:eastAsia="DejaVu Sans"/>
          <w:bCs/>
          <w:kern w:val="1"/>
          <w:lang w:eastAsia="hi-IN" w:bidi="hi-IN"/>
        </w:rPr>
        <w:t xml:space="preserve">В съответствие с изискванията на Директива (ЕС) 2016/881 в ДОПК са въведени правила за осъществяването на автоматичен обмен на отчети по държави, съдържащи информация за разпределението на приходите, печалбите, активите и данъците на предприятия, които са част от многонационална група предприятия. Основната цел на приетите промени е засилване на прозрачността по отношение на многонационалните групи предприятия. Липсата на прозрачност и нелоялната данъчна конкуренция насърчават големите многонационални групи предприятия да създават такива структури, които позволяват насочването на облагаемите печалби от държавите с високи данъчни ставки, където е реализиран доходът, към такива с ниски данъци. </w:t>
      </w:r>
    </w:p>
    <w:p w:rsidR="007766A4" w:rsidRPr="00D403EC" w:rsidRDefault="007766A4" w:rsidP="007766A4">
      <w:pPr>
        <w:autoSpaceDE w:val="0"/>
        <w:autoSpaceDN w:val="0"/>
        <w:adjustRightInd w:val="0"/>
        <w:spacing w:after="120"/>
        <w:ind w:firstLine="709"/>
        <w:jc w:val="both"/>
        <w:rPr>
          <w:rFonts w:eastAsia="DejaVu Sans"/>
          <w:bCs/>
          <w:kern w:val="1"/>
          <w:lang w:eastAsia="hi-IN" w:bidi="hi-IN"/>
        </w:rPr>
      </w:pPr>
      <w:r w:rsidRPr="00D403EC">
        <w:rPr>
          <w:rFonts w:eastAsia="DejaVu Sans"/>
          <w:bCs/>
          <w:kern w:val="1"/>
          <w:lang w:eastAsia="hi-IN" w:bidi="hi-IN"/>
        </w:rPr>
        <w:t>Обменът на информацията, включена в отчета по държави, ще позволи на данъчните администрации в различните държави да предприемат мерки срещу вредните данъчни практики и да идентифицират лицата (предприятията), които изкуствено прехвърлят значителна част от печалбите си към юрисдикции с по-благоприятни данъчни режими.</w:t>
      </w:r>
    </w:p>
    <w:p w:rsidR="007766A4" w:rsidRDefault="007766A4" w:rsidP="007766A4">
      <w:pPr>
        <w:autoSpaceDE w:val="0"/>
        <w:autoSpaceDN w:val="0"/>
        <w:adjustRightInd w:val="0"/>
        <w:spacing w:after="120"/>
        <w:ind w:firstLine="709"/>
        <w:jc w:val="both"/>
        <w:rPr>
          <w:rFonts w:eastAsia="DejaVu Sans"/>
          <w:bCs/>
          <w:kern w:val="1"/>
          <w:lang w:eastAsia="hi-IN" w:bidi="hi-IN"/>
        </w:rPr>
      </w:pPr>
      <w:r w:rsidRPr="00D403EC">
        <w:rPr>
          <w:rFonts w:eastAsia="DejaVu Sans"/>
          <w:bCs/>
          <w:kern w:val="1"/>
          <w:lang w:eastAsia="hi-IN" w:bidi="hi-IN"/>
        </w:rPr>
        <w:t>Правилата, въведени с директивата, са от съществено значение за България с оглед на по-ефективната борба с укриването на данъци и агресивното данъчно планиране. От друга страна, задължителният автоматичен обмен на информация между държавите, в които многонационалните групи предприятия извършват дейност чрез свои съставни предприятия, ще стимулира тези предприятия да се откажат от определени практики за агресивно данъчно планиране, като внасят справедлив дял данъци в държавата, където е реализирана печалбата.</w:t>
      </w:r>
    </w:p>
    <w:p w:rsidR="007766A4" w:rsidRPr="005B5E34" w:rsidRDefault="007766A4" w:rsidP="007766A4">
      <w:pPr>
        <w:autoSpaceDE w:val="0"/>
        <w:autoSpaceDN w:val="0"/>
        <w:adjustRightInd w:val="0"/>
        <w:spacing w:after="120"/>
        <w:ind w:firstLine="709"/>
        <w:jc w:val="both"/>
        <w:rPr>
          <w:rFonts w:eastAsia="DejaVu Sans"/>
          <w:b/>
          <w:bCs/>
          <w:kern w:val="1"/>
          <w:u w:val="single"/>
          <w:lang w:eastAsia="hi-IN" w:bidi="hi-IN"/>
        </w:rPr>
      </w:pPr>
      <w:r w:rsidRPr="005B5E34">
        <w:rPr>
          <w:rFonts w:eastAsia="DejaVu Sans"/>
          <w:b/>
          <w:bCs/>
          <w:kern w:val="1"/>
          <w:u w:val="single"/>
          <w:lang w:eastAsia="hi-IN" w:bidi="hi-IN"/>
        </w:rPr>
        <w:lastRenderedPageBreak/>
        <w:t>Промени в Наредба № Н-18/2006 г. за регистриране и отчитане на продажби в търговските обекти чрез фискални устройства</w:t>
      </w:r>
    </w:p>
    <w:p w:rsidR="007766A4" w:rsidRPr="00D403EC" w:rsidRDefault="007766A4" w:rsidP="007766A4">
      <w:pPr>
        <w:autoSpaceDE w:val="0"/>
        <w:autoSpaceDN w:val="0"/>
        <w:adjustRightInd w:val="0"/>
        <w:spacing w:after="120"/>
        <w:ind w:firstLine="709"/>
        <w:jc w:val="both"/>
        <w:rPr>
          <w:rFonts w:eastAsia="DejaVu Sans"/>
          <w:b/>
          <w:bCs/>
          <w:i/>
          <w:kern w:val="1"/>
          <w:lang w:eastAsia="hi-IN" w:bidi="hi-IN"/>
        </w:rPr>
      </w:pPr>
      <w:r w:rsidRPr="00D403EC">
        <w:rPr>
          <w:rFonts w:eastAsia="DejaVu Sans"/>
          <w:b/>
          <w:bCs/>
          <w:i/>
          <w:kern w:val="1"/>
          <w:lang w:eastAsia="hi-IN" w:bidi="hi-IN"/>
        </w:rPr>
        <w:t>Подобряване на отчетността на продажбите и усъвършенстване на контрола чрез направени изменения и допъл</w:t>
      </w:r>
      <w:r>
        <w:rPr>
          <w:rFonts w:eastAsia="DejaVu Sans"/>
          <w:b/>
          <w:bCs/>
          <w:i/>
          <w:kern w:val="1"/>
          <w:lang w:eastAsia="hi-IN" w:bidi="hi-IN"/>
        </w:rPr>
        <w:t>нения на Наредба № Н-18/2006 г.</w:t>
      </w:r>
    </w:p>
    <w:p w:rsidR="007766A4" w:rsidRPr="00D403EC" w:rsidRDefault="007766A4" w:rsidP="007766A4">
      <w:pPr>
        <w:autoSpaceDE w:val="0"/>
        <w:autoSpaceDN w:val="0"/>
        <w:adjustRightInd w:val="0"/>
        <w:spacing w:after="120"/>
        <w:ind w:firstLine="709"/>
        <w:jc w:val="both"/>
        <w:rPr>
          <w:bCs/>
        </w:rPr>
      </w:pPr>
      <w:r w:rsidRPr="00D403EC">
        <w:rPr>
          <w:rFonts w:eastAsia="DejaVu Sans"/>
          <w:bCs/>
          <w:kern w:val="1"/>
          <w:lang w:eastAsia="hi-IN" w:bidi="hi-IN"/>
        </w:rPr>
        <w:t>Основните промени в наредбата са свързани с изработване на предварително одобрена от НАП и Българския институт по метрология схема за всеки конкретен обект за продажби на течни горива, която да отразява всички компоненти на електронната система за продажба на течни горива и връзката между тях. Въведени са специфични изисквания към работата на ЕСФП, съгласно които работата на системата да се блокира при прекъсване на връзката/комуникацията между отделните нейни компоненти. Освен това е предвидено задължение към лицата да подават данни към НАП за всяка отпечатана касова бележка. Определени са срокове, в които лицата следва да приведат дейността си в съответствие с промените, като първият от тях е 30.09.2018 г.</w:t>
      </w:r>
    </w:p>
    <w:p w:rsidR="007766A4" w:rsidRPr="009E04AF" w:rsidRDefault="007766A4" w:rsidP="007766A4">
      <w:pPr>
        <w:widowControl w:val="0"/>
        <w:spacing w:after="120"/>
        <w:ind w:firstLine="709"/>
        <w:jc w:val="both"/>
        <w:rPr>
          <w:b/>
          <w:bCs/>
          <w:iCs/>
        </w:rPr>
      </w:pPr>
      <w:r w:rsidRPr="009E04AF">
        <w:rPr>
          <w:b/>
          <w:bCs/>
          <w:iCs/>
          <w:u w:val="single"/>
        </w:rPr>
        <w:t>Промени в Закона за счетоводството</w:t>
      </w:r>
    </w:p>
    <w:p w:rsidR="007766A4" w:rsidRDefault="007766A4" w:rsidP="007766A4">
      <w:pPr>
        <w:widowControl w:val="0"/>
        <w:spacing w:after="120"/>
        <w:ind w:firstLine="709"/>
        <w:jc w:val="both"/>
        <w:rPr>
          <w:color w:val="000000"/>
        </w:rPr>
      </w:pPr>
      <w:r w:rsidRPr="009E04AF">
        <w:rPr>
          <w:bCs/>
          <w:iCs/>
        </w:rPr>
        <w:t xml:space="preserve">Приетите в Закона за счетоводството промени са изготвени във връзка с </w:t>
      </w:r>
      <w:r>
        <w:rPr>
          <w:bCs/>
          <w:iCs/>
        </w:rPr>
        <w:t>п</w:t>
      </w:r>
      <w:r w:rsidRPr="001061F5">
        <w:rPr>
          <w:color w:val="000000"/>
        </w:rPr>
        <w:t>рецизиране, коригиране и допълване на някои разпоредби с цел по-правилното им прилагане в практиката и по-ясното им разбиране и тълкуване, с което ще се избегнат проблеми при практическото прилагане на разпоредбите, както от лицата, така и от администрацията</w:t>
      </w:r>
      <w:r>
        <w:rPr>
          <w:color w:val="000000"/>
        </w:rPr>
        <w:t>.</w:t>
      </w:r>
    </w:p>
    <w:p w:rsidR="007766A4" w:rsidRPr="00B47C9A" w:rsidRDefault="007766A4" w:rsidP="007766A4">
      <w:pPr>
        <w:widowControl w:val="0"/>
        <w:spacing w:after="120"/>
        <w:ind w:firstLine="709"/>
        <w:jc w:val="both"/>
      </w:pPr>
      <w:r w:rsidRPr="00B47C9A">
        <w:t>Направени са следните изменения:</w:t>
      </w:r>
    </w:p>
    <w:p w:rsidR="007766A4" w:rsidRPr="00B47C9A" w:rsidRDefault="007766A4" w:rsidP="007766A4">
      <w:pPr>
        <w:numPr>
          <w:ilvl w:val="0"/>
          <w:numId w:val="32"/>
        </w:numPr>
        <w:spacing w:before="120" w:after="120"/>
        <w:jc w:val="both"/>
        <w:rPr>
          <w:rFonts w:ascii="Calibri" w:eastAsia="Calibri" w:hAnsi="Calibri"/>
        </w:rPr>
      </w:pPr>
      <w:r w:rsidRPr="00B47C9A">
        <w:rPr>
          <w:b/>
        </w:rPr>
        <w:t>По отношение на публикуването на консолидиран финансов отчет на крайното предприятие майка</w:t>
      </w:r>
    </w:p>
    <w:p w:rsidR="007766A4" w:rsidRPr="00B47C9A" w:rsidRDefault="007766A4" w:rsidP="007766A4">
      <w:pPr>
        <w:spacing w:before="120" w:after="120"/>
        <w:ind w:firstLine="709"/>
        <w:jc w:val="both"/>
        <w:rPr>
          <w:rFonts w:eastAsia="Calibri"/>
        </w:rPr>
      </w:pPr>
      <w:r w:rsidRPr="00B47C9A">
        <w:rPr>
          <w:rFonts w:eastAsia="Calibri"/>
        </w:rPr>
        <w:t>Въвежда се нова разпоредба в чл. 38, регламентиращ публикуването на консолидиран финансов отчет на крайното предприятие майка, в случай че предприятието майка е освободено от задължението за съставяне на такъв, съгласно приложимите счетоводни стандарти. Прави се уточнение относно срока за публикуване на отчета, когато отчетният период на крайното  предприятие майка е различен от приетия отчетен период в България.</w:t>
      </w:r>
    </w:p>
    <w:p w:rsidR="007766A4" w:rsidRPr="00B47C9A" w:rsidRDefault="007766A4" w:rsidP="007766A4">
      <w:pPr>
        <w:numPr>
          <w:ilvl w:val="0"/>
          <w:numId w:val="32"/>
        </w:numPr>
        <w:spacing w:before="120" w:after="120"/>
        <w:jc w:val="both"/>
        <w:rPr>
          <w:rFonts w:eastAsia="Calibri"/>
          <w:b/>
        </w:rPr>
      </w:pPr>
      <w:r w:rsidRPr="00B47C9A">
        <w:rPr>
          <w:rFonts w:eastAsia="Calibri"/>
          <w:b/>
        </w:rPr>
        <w:t>По отношение съдържанието на нефинансовата декларация</w:t>
      </w:r>
    </w:p>
    <w:p w:rsidR="007766A4" w:rsidRDefault="007766A4" w:rsidP="007766A4">
      <w:pPr>
        <w:spacing w:before="120" w:after="120"/>
        <w:ind w:firstLine="709"/>
        <w:jc w:val="both"/>
        <w:rPr>
          <w:rFonts w:eastAsia="Calibri"/>
        </w:rPr>
      </w:pPr>
      <w:r w:rsidRPr="00A83499">
        <w:rPr>
          <w:rFonts w:eastAsia="Calibri"/>
        </w:rPr>
        <w:t>Приети са изменения, с цел пълно съответствие с европейското законодателство, в частност с Директива 2014/95/ЕС на Европейския парламент и на Съвета по отношение съдържанието и оповестяването на нефинансова информация.</w:t>
      </w:r>
    </w:p>
    <w:p w:rsidR="007766A4" w:rsidRPr="005539C0" w:rsidRDefault="007766A4" w:rsidP="007766A4">
      <w:pPr>
        <w:numPr>
          <w:ilvl w:val="0"/>
          <w:numId w:val="32"/>
        </w:numPr>
        <w:spacing w:before="120" w:after="120"/>
        <w:jc w:val="both"/>
        <w:rPr>
          <w:rFonts w:eastAsia="Calibri"/>
          <w:b/>
        </w:rPr>
      </w:pPr>
      <w:r w:rsidRPr="005539C0">
        <w:rPr>
          <w:rFonts w:eastAsia="Calibri"/>
          <w:b/>
        </w:rPr>
        <w:t xml:space="preserve">По отношение изготвяне на </w:t>
      </w:r>
      <w:r w:rsidRPr="005539C0">
        <w:rPr>
          <w:rFonts w:eastAsia="Calibri"/>
          <w:b/>
          <w:lang w:val="x-none"/>
        </w:rPr>
        <w:t>Годишният доклад за плащанията към правителства</w:t>
      </w:r>
    </w:p>
    <w:p w:rsidR="007766A4" w:rsidRDefault="007766A4" w:rsidP="007766A4">
      <w:pPr>
        <w:spacing w:before="120" w:after="120"/>
        <w:ind w:firstLine="720"/>
        <w:jc w:val="both"/>
        <w:rPr>
          <w:rFonts w:eastAsia="Calibri"/>
        </w:rPr>
      </w:pPr>
      <w:r w:rsidRPr="005539C0">
        <w:rPr>
          <w:rFonts w:eastAsia="Calibri"/>
        </w:rPr>
        <w:t xml:space="preserve">Направени са допълнения, с които се прецизира текста на закона и се уточнява съдържанието, начинът на представяне на размера на плащанията и езикът на изготвяне на </w:t>
      </w:r>
      <w:r>
        <w:rPr>
          <w:rFonts w:eastAsia="Calibri"/>
        </w:rPr>
        <w:t>Г</w:t>
      </w:r>
      <w:r w:rsidRPr="005539C0">
        <w:rPr>
          <w:rFonts w:eastAsia="Calibri"/>
        </w:rPr>
        <w:t>одишния доклад за плащания</w:t>
      </w:r>
      <w:r>
        <w:rPr>
          <w:rFonts w:eastAsia="Calibri"/>
        </w:rPr>
        <w:t>та</w:t>
      </w:r>
      <w:r w:rsidRPr="005539C0">
        <w:rPr>
          <w:rFonts w:eastAsia="Calibri"/>
        </w:rPr>
        <w:t xml:space="preserve"> към правителства.</w:t>
      </w:r>
    </w:p>
    <w:p w:rsidR="007766A4" w:rsidRPr="00D42489" w:rsidRDefault="007766A4" w:rsidP="007766A4">
      <w:pPr>
        <w:numPr>
          <w:ilvl w:val="0"/>
          <w:numId w:val="32"/>
        </w:numPr>
        <w:spacing w:before="120" w:after="120"/>
        <w:jc w:val="both"/>
        <w:rPr>
          <w:rFonts w:eastAsia="Calibri"/>
          <w:b/>
        </w:rPr>
      </w:pPr>
      <w:r w:rsidRPr="00D42489">
        <w:rPr>
          <w:rFonts w:eastAsia="Calibri"/>
          <w:b/>
        </w:rPr>
        <w:t>Прецизиране на определението за „нетни приходи от продажби“</w:t>
      </w:r>
    </w:p>
    <w:p w:rsidR="007766A4" w:rsidRDefault="007766A4" w:rsidP="007766A4">
      <w:pPr>
        <w:spacing w:before="120" w:after="120"/>
        <w:ind w:firstLine="720"/>
        <w:jc w:val="both"/>
        <w:rPr>
          <w:rFonts w:eastAsia="Calibri"/>
        </w:rPr>
      </w:pPr>
      <w:r w:rsidRPr="00D42489">
        <w:rPr>
          <w:rFonts w:eastAsia="Calibri"/>
        </w:rPr>
        <w:t xml:space="preserve">В </w:t>
      </w:r>
      <w:r w:rsidRPr="00D42489">
        <w:rPr>
          <w:rFonts w:eastAsia="Calibri"/>
          <w:caps/>
        </w:rPr>
        <w:t>д</w:t>
      </w:r>
      <w:r w:rsidRPr="00D42489">
        <w:rPr>
          <w:rFonts w:eastAsia="Calibri"/>
        </w:rPr>
        <w:t xml:space="preserve">опълнителните разпоредби се прецизира определението за „нетни приходи от продажби“ и се привежда в съответствие с определението за „нетен оборот“, дадено в Директива 2013/34/ЕС (Счетоводната директива). </w:t>
      </w:r>
    </w:p>
    <w:p w:rsidR="007766A4" w:rsidRPr="00FD7C5D" w:rsidRDefault="007766A4" w:rsidP="007766A4">
      <w:pPr>
        <w:numPr>
          <w:ilvl w:val="0"/>
          <w:numId w:val="32"/>
        </w:numPr>
        <w:spacing w:before="120" w:after="120"/>
        <w:jc w:val="both"/>
        <w:rPr>
          <w:rFonts w:eastAsia="Calibri"/>
          <w:b/>
        </w:rPr>
      </w:pPr>
      <w:r w:rsidRPr="00FD7C5D">
        <w:rPr>
          <w:rFonts w:eastAsia="Calibri"/>
          <w:b/>
        </w:rPr>
        <w:t xml:space="preserve">Прилагане на закона от предприятията, прилагащи международните счетоводни стандарти </w:t>
      </w:r>
    </w:p>
    <w:p w:rsidR="007766A4" w:rsidRPr="00FD7C5D" w:rsidRDefault="007766A4" w:rsidP="007766A4">
      <w:pPr>
        <w:widowControl w:val="0"/>
        <w:spacing w:after="120"/>
        <w:ind w:firstLine="709"/>
        <w:jc w:val="both"/>
        <w:rPr>
          <w:bCs/>
          <w:iCs/>
        </w:rPr>
      </w:pPr>
      <w:r w:rsidRPr="00FD7C5D">
        <w:rPr>
          <w:rFonts w:eastAsia="Calibri"/>
        </w:rPr>
        <w:t>Създава се нов параграф в Допълнителните разпоредби, с цел да се обезпечи правилното прилагане на закона от предприятия, чиято счетоводна база за съставяне на финансовите отчети са международните счетоводни стандарти. Разпоредбата уточнява, че предприятията, прилагащи международните счетоводни стандарти, приети за прилагане в ЕС с Регламент № 1606/2002 на Европейския парламент и на Съвета, се прилагат изцяло, както са приети, без изменения.</w:t>
      </w:r>
    </w:p>
    <w:p w:rsidR="00EE235A" w:rsidRPr="00EB0322" w:rsidRDefault="00EE235A" w:rsidP="00337CA7">
      <w:pPr>
        <w:pStyle w:val="Heading1"/>
        <w:numPr>
          <w:ilvl w:val="0"/>
          <w:numId w:val="10"/>
        </w:numPr>
        <w:ind w:right="-108"/>
        <w:jc w:val="both"/>
        <w:rPr>
          <w:sz w:val="24"/>
        </w:rPr>
      </w:pPr>
      <w:r w:rsidRPr="00EB0322">
        <w:rPr>
          <w:sz w:val="24"/>
        </w:rPr>
        <w:lastRenderedPageBreak/>
        <w:t>Изпълнение на държавния бюджет</w:t>
      </w:r>
      <w:r w:rsidR="001E7EA4" w:rsidRPr="00EB0322">
        <w:rPr>
          <w:rStyle w:val="FootnoteReference"/>
          <w:bCs w:val="0"/>
          <w:sz w:val="20"/>
          <w:szCs w:val="20"/>
        </w:rPr>
        <w:footnoteReference w:id="6"/>
      </w:r>
      <w:r w:rsidRPr="00EB0322">
        <w:rPr>
          <w:sz w:val="24"/>
        </w:rPr>
        <w:t xml:space="preserve"> към </w:t>
      </w:r>
      <w:r w:rsidR="004B5DC2" w:rsidRPr="00EB0322">
        <w:rPr>
          <w:sz w:val="24"/>
        </w:rPr>
        <w:t>март</w:t>
      </w:r>
      <w:r w:rsidR="00616AAF" w:rsidRPr="00EB0322">
        <w:rPr>
          <w:sz w:val="24"/>
        </w:rPr>
        <w:t xml:space="preserve"> </w:t>
      </w:r>
      <w:r w:rsidRPr="00EB0322">
        <w:rPr>
          <w:sz w:val="24"/>
        </w:rPr>
        <w:t>201</w:t>
      </w:r>
      <w:r w:rsidR="00EB0322" w:rsidRPr="00EB0322">
        <w:rPr>
          <w:sz w:val="24"/>
          <w:lang w:val="en-US"/>
        </w:rPr>
        <w:t>8</w:t>
      </w:r>
      <w:r w:rsidRPr="00EB0322">
        <w:rPr>
          <w:sz w:val="24"/>
        </w:rPr>
        <w:t xml:space="preserve"> г.</w:t>
      </w:r>
    </w:p>
    <w:p w:rsidR="00F226B6" w:rsidRPr="00EB0322" w:rsidRDefault="00F226B6" w:rsidP="00F226B6">
      <w:pPr>
        <w:tabs>
          <w:tab w:val="left" w:pos="1080"/>
        </w:tabs>
        <w:spacing w:before="120"/>
        <w:jc w:val="both"/>
      </w:pPr>
      <w:r w:rsidRPr="00EB0322">
        <w:t>Изпълнението на основните показатели по държавния бюджет, на база месечните отчети на първостепенните разпоредители с бюджет е, както следва:</w:t>
      </w:r>
    </w:p>
    <w:p w:rsidR="00F226B6" w:rsidRPr="00B53232" w:rsidRDefault="00F226B6" w:rsidP="00F226B6">
      <w:pPr>
        <w:tabs>
          <w:tab w:val="left" w:pos="1080"/>
        </w:tabs>
        <w:spacing w:before="120"/>
        <w:jc w:val="both"/>
        <w:rPr>
          <w:color w:val="0070C0"/>
          <w:sz w:val="2"/>
          <w:szCs w:val="2"/>
        </w:rPr>
      </w:pPr>
    </w:p>
    <w:p w:rsidR="00F226B6" w:rsidRPr="00EB0322" w:rsidRDefault="00F226B6" w:rsidP="00F226B6">
      <w:pPr>
        <w:ind w:right="-242"/>
        <w:rPr>
          <w:b/>
          <w:bCs/>
          <w:sz w:val="20"/>
          <w:szCs w:val="20"/>
          <w:lang w:eastAsia="bg-BG"/>
        </w:rPr>
      </w:pPr>
      <w:r w:rsidRPr="00EB0322">
        <w:rPr>
          <w:b/>
          <w:bCs/>
          <w:sz w:val="20"/>
          <w:szCs w:val="20"/>
          <w:lang w:eastAsia="bg-BG"/>
        </w:rPr>
        <w:t xml:space="preserve">            Таблица</w:t>
      </w:r>
      <w:r w:rsidRPr="00EB0322">
        <w:rPr>
          <w:b/>
          <w:bCs/>
          <w:sz w:val="20"/>
          <w:szCs w:val="20"/>
          <w:vertAlign w:val="superscript"/>
          <w:lang w:eastAsia="bg-BG"/>
        </w:rPr>
        <w:footnoteReference w:id="7"/>
      </w:r>
      <w:r w:rsidRPr="00EB0322">
        <w:rPr>
          <w:b/>
          <w:bCs/>
          <w:sz w:val="20"/>
          <w:szCs w:val="20"/>
          <w:lang w:eastAsia="bg-BG"/>
        </w:rPr>
        <w:t xml:space="preserve">  №</w:t>
      </w:r>
      <w:r w:rsidR="00182A94" w:rsidRPr="00EB0322">
        <w:rPr>
          <w:b/>
          <w:bCs/>
          <w:sz w:val="20"/>
          <w:szCs w:val="20"/>
          <w:lang w:eastAsia="bg-BG"/>
        </w:rPr>
        <w:t>2</w:t>
      </w:r>
      <w:r w:rsidRPr="00EB0322">
        <w:rPr>
          <w:b/>
          <w:bCs/>
          <w:sz w:val="20"/>
          <w:szCs w:val="20"/>
          <w:lang w:eastAsia="bg-BG"/>
        </w:rPr>
        <w:t xml:space="preserve">      </w:t>
      </w:r>
      <w:r w:rsidRPr="00EB0322">
        <w:rPr>
          <w:b/>
          <w:bCs/>
          <w:sz w:val="20"/>
          <w:szCs w:val="20"/>
          <w:lang w:eastAsia="bg-BG"/>
        </w:rPr>
        <w:tab/>
      </w:r>
      <w:r w:rsidRPr="00EB0322">
        <w:rPr>
          <w:b/>
          <w:bCs/>
          <w:sz w:val="20"/>
          <w:szCs w:val="20"/>
          <w:lang w:eastAsia="bg-BG"/>
        </w:rPr>
        <w:tab/>
        <w:t xml:space="preserve">                                          </w:t>
      </w:r>
      <w:r w:rsidRPr="00EB0322">
        <w:rPr>
          <w:b/>
          <w:bCs/>
          <w:sz w:val="20"/>
          <w:szCs w:val="20"/>
          <w:lang w:eastAsia="bg-BG"/>
        </w:rPr>
        <w:tab/>
      </w:r>
      <w:r w:rsidRPr="00EB0322">
        <w:rPr>
          <w:b/>
          <w:bCs/>
          <w:sz w:val="20"/>
          <w:szCs w:val="20"/>
          <w:lang w:eastAsia="bg-BG"/>
        </w:rPr>
        <w:tab/>
      </w:r>
      <w:r w:rsidRPr="00EB0322">
        <w:rPr>
          <w:b/>
          <w:bCs/>
          <w:sz w:val="20"/>
          <w:szCs w:val="20"/>
          <w:lang w:eastAsia="bg-BG"/>
        </w:rPr>
        <w:tab/>
      </w:r>
      <w:r w:rsidRPr="00EB0322">
        <w:rPr>
          <w:b/>
          <w:bCs/>
          <w:sz w:val="20"/>
          <w:szCs w:val="20"/>
          <w:lang w:eastAsia="bg-BG"/>
        </w:rPr>
        <w:tab/>
        <w:t xml:space="preserve">  (млн. лв.)</w:t>
      </w:r>
    </w:p>
    <w:p w:rsidR="00F226B6" w:rsidRPr="00B53232" w:rsidRDefault="00F226B6" w:rsidP="00F226B6">
      <w:pPr>
        <w:ind w:right="-242"/>
        <w:rPr>
          <w:b/>
          <w:bCs/>
          <w:color w:val="0070C0"/>
          <w:sz w:val="6"/>
          <w:szCs w:val="6"/>
          <w:lang w:eastAsia="bg-BG"/>
        </w:rPr>
      </w:pPr>
    </w:p>
    <w:tbl>
      <w:tblPr>
        <w:tblW w:w="8642" w:type="dxa"/>
        <w:jc w:val="center"/>
        <w:tblInd w:w="-1068" w:type="dxa"/>
        <w:tblCellMar>
          <w:left w:w="70" w:type="dxa"/>
          <w:right w:w="70" w:type="dxa"/>
        </w:tblCellMar>
        <w:tblLook w:val="0000" w:firstRow="0" w:lastRow="0" w:firstColumn="0" w:lastColumn="0" w:noHBand="0" w:noVBand="0"/>
      </w:tblPr>
      <w:tblGrid>
        <w:gridCol w:w="4853"/>
        <w:gridCol w:w="1276"/>
        <w:gridCol w:w="1209"/>
        <w:gridCol w:w="1304"/>
      </w:tblGrid>
      <w:tr w:rsidR="00EB0322" w:rsidRPr="00E224A2" w:rsidTr="00F521AA">
        <w:trPr>
          <w:trHeight w:val="520"/>
          <w:jc w:val="center"/>
        </w:trPr>
        <w:tc>
          <w:tcPr>
            <w:tcW w:w="4853" w:type="dxa"/>
            <w:tcBorders>
              <w:top w:val="single" w:sz="8" w:space="0" w:color="auto"/>
              <w:left w:val="single" w:sz="8" w:space="0" w:color="auto"/>
              <w:bottom w:val="nil"/>
              <w:right w:val="single" w:sz="8" w:space="0" w:color="auto"/>
            </w:tcBorders>
            <w:shd w:val="clear" w:color="auto" w:fill="auto"/>
            <w:noWrap/>
            <w:vAlign w:val="center"/>
          </w:tcPr>
          <w:p w:rsidR="00EB0322" w:rsidRPr="00E224A2" w:rsidRDefault="00EB0322" w:rsidP="00F521AA">
            <w:pPr>
              <w:jc w:val="center"/>
              <w:rPr>
                <w:b/>
                <w:bCs/>
                <w:sz w:val="18"/>
                <w:szCs w:val="18"/>
              </w:rPr>
            </w:pPr>
            <w:r w:rsidRPr="00E224A2">
              <w:rPr>
                <w:b/>
                <w:bCs/>
                <w:sz w:val="18"/>
                <w:szCs w:val="18"/>
              </w:rPr>
              <w:t>ПОКАЗАТЕЛИ</w:t>
            </w:r>
          </w:p>
        </w:tc>
        <w:tc>
          <w:tcPr>
            <w:tcW w:w="1276" w:type="dxa"/>
            <w:tcBorders>
              <w:top w:val="single" w:sz="8" w:space="0" w:color="auto"/>
              <w:left w:val="nil"/>
              <w:bottom w:val="nil"/>
              <w:right w:val="nil"/>
            </w:tcBorders>
            <w:shd w:val="clear" w:color="auto" w:fill="auto"/>
            <w:vAlign w:val="center"/>
          </w:tcPr>
          <w:p w:rsidR="00EB0322" w:rsidRPr="00E224A2" w:rsidRDefault="00EB0322" w:rsidP="00F521AA">
            <w:pPr>
              <w:jc w:val="center"/>
              <w:rPr>
                <w:b/>
                <w:bCs/>
                <w:sz w:val="18"/>
                <w:szCs w:val="18"/>
              </w:rPr>
            </w:pPr>
            <w:r w:rsidRPr="00E224A2">
              <w:rPr>
                <w:b/>
                <w:bCs/>
                <w:sz w:val="18"/>
                <w:szCs w:val="18"/>
              </w:rPr>
              <w:t>ЗДБРБ     2018 г.</w:t>
            </w:r>
            <w:r w:rsidRPr="00E224A2">
              <w:rPr>
                <w:rStyle w:val="FootnoteReference"/>
                <w:b/>
                <w:bCs/>
                <w:sz w:val="20"/>
                <w:szCs w:val="20"/>
              </w:rPr>
              <w:t xml:space="preserve"> </w:t>
            </w:r>
          </w:p>
        </w:tc>
        <w:tc>
          <w:tcPr>
            <w:tcW w:w="1209" w:type="dxa"/>
            <w:tcBorders>
              <w:top w:val="single" w:sz="8" w:space="0" w:color="auto"/>
              <w:left w:val="nil"/>
              <w:bottom w:val="nil"/>
              <w:right w:val="nil"/>
            </w:tcBorders>
            <w:shd w:val="clear" w:color="auto" w:fill="auto"/>
            <w:vAlign w:val="center"/>
          </w:tcPr>
          <w:p w:rsidR="00EB0322" w:rsidRPr="00E224A2" w:rsidRDefault="00EB0322" w:rsidP="00F521AA">
            <w:pPr>
              <w:jc w:val="center"/>
              <w:rPr>
                <w:b/>
                <w:bCs/>
                <w:sz w:val="18"/>
                <w:szCs w:val="18"/>
              </w:rPr>
            </w:pPr>
            <w:r w:rsidRPr="00E224A2">
              <w:rPr>
                <w:b/>
                <w:bCs/>
                <w:sz w:val="18"/>
                <w:szCs w:val="18"/>
              </w:rPr>
              <w:t xml:space="preserve">Отчет </w:t>
            </w:r>
          </w:p>
          <w:p w:rsidR="00EB0322" w:rsidRPr="00E224A2" w:rsidRDefault="004318F3" w:rsidP="00F521AA">
            <w:pPr>
              <w:jc w:val="center"/>
              <w:rPr>
                <w:b/>
                <w:bCs/>
                <w:sz w:val="18"/>
                <w:szCs w:val="18"/>
              </w:rPr>
            </w:pPr>
            <w:r>
              <w:rPr>
                <w:b/>
                <w:bCs/>
                <w:sz w:val="18"/>
                <w:szCs w:val="18"/>
              </w:rPr>
              <w:t>март</w:t>
            </w:r>
          </w:p>
          <w:p w:rsidR="00EB0322" w:rsidRPr="00E224A2" w:rsidRDefault="00EB0322" w:rsidP="00F521AA">
            <w:pPr>
              <w:jc w:val="center"/>
              <w:rPr>
                <w:b/>
                <w:bCs/>
                <w:sz w:val="18"/>
                <w:szCs w:val="18"/>
              </w:rPr>
            </w:pPr>
            <w:r w:rsidRPr="00E224A2">
              <w:rPr>
                <w:b/>
                <w:bCs/>
                <w:sz w:val="18"/>
                <w:szCs w:val="18"/>
              </w:rPr>
              <w:t xml:space="preserve"> 2018 г.</w:t>
            </w:r>
          </w:p>
        </w:tc>
        <w:tc>
          <w:tcPr>
            <w:tcW w:w="1304" w:type="dxa"/>
            <w:tcBorders>
              <w:top w:val="single" w:sz="8" w:space="0" w:color="auto"/>
              <w:left w:val="nil"/>
              <w:bottom w:val="nil"/>
              <w:right w:val="single" w:sz="8" w:space="0" w:color="auto"/>
            </w:tcBorders>
            <w:shd w:val="clear" w:color="auto" w:fill="auto"/>
            <w:vAlign w:val="center"/>
          </w:tcPr>
          <w:p w:rsidR="00EB0322" w:rsidRPr="00E224A2" w:rsidRDefault="00EB0322" w:rsidP="00F521AA">
            <w:pPr>
              <w:jc w:val="center"/>
              <w:rPr>
                <w:b/>
                <w:bCs/>
                <w:sz w:val="18"/>
                <w:szCs w:val="18"/>
              </w:rPr>
            </w:pPr>
            <w:r w:rsidRPr="00E224A2">
              <w:rPr>
                <w:b/>
                <w:bCs/>
                <w:sz w:val="18"/>
                <w:szCs w:val="18"/>
              </w:rPr>
              <w:t>Изпълнение спрямо    закон 2018 г.</w:t>
            </w:r>
          </w:p>
        </w:tc>
      </w:tr>
      <w:tr w:rsidR="004318F3" w:rsidRPr="00183C14" w:rsidTr="00F521AA">
        <w:trPr>
          <w:trHeight w:val="92"/>
          <w:jc w:val="center"/>
        </w:trPr>
        <w:tc>
          <w:tcPr>
            <w:tcW w:w="4853" w:type="dxa"/>
            <w:tcBorders>
              <w:top w:val="single" w:sz="4" w:space="0" w:color="auto"/>
              <w:left w:val="single" w:sz="8" w:space="0" w:color="auto"/>
              <w:bottom w:val="single" w:sz="4" w:space="0" w:color="auto"/>
              <w:right w:val="single" w:sz="8" w:space="0" w:color="auto"/>
            </w:tcBorders>
            <w:shd w:val="clear" w:color="auto" w:fill="auto"/>
            <w:noWrap/>
            <w:vAlign w:val="bottom"/>
          </w:tcPr>
          <w:p w:rsidR="004318F3" w:rsidRPr="00E224A2" w:rsidRDefault="004318F3" w:rsidP="00F521AA">
            <w:pPr>
              <w:rPr>
                <w:b/>
                <w:bCs/>
                <w:sz w:val="18"/>
                <w:szCs w:val="18"/>
              </w:rPr>
            </w:pPr>
            <w:r w:rsidRPr="00E224A2">
              <w:rPr>
                <w:b/>
                <w:bCs/>
                <w:sz w:val="18"/>
                <w:szCs w:val="18"/>
              </w:rPr>
              <w:t>Общо приходи и помощи</w:t>
            </w:r>
          </w:p>
        </w:tc>
        <w:tc>
          <w:tcPr>
            <w:tcW w:w="1276" w:type="dxa"/>
            <w:tcBorders>
              <w:top w:val="single" w:sz="4" w:space="0" w:color="auto"/>
              <w:left w:val="nil"/>
              <w:bottom w:val="single" w:sz="8" w:space="0" w:color="auto"/>
              <w:right w:val="nil"/>
            </w:tcBorders>
            <w:shd w:val="clear" w:color="auto" w:fill="auto"/>
            <w:noWrap/>
            <w:vAlign w:val="bottom"/>
          </w:tcPr>
          <w:p w:rsidR="004318F3" w:rsidRPr="00E224A2" w:rsidRDefault="004318F3" w:rsidP="00F521AA">
            <w:pPr>
              <w:jc w:val="right"/>
              <w:rPr>
                <w:b/>
                <w:bCs/>
                <w:sz w:val="18"/>
                <w:szCs w:val="18"/>
              </w:rPr>
            </w:pPr>
            <w:r w:rsidRPr="00E224A2">
              <w:rPr>
                <w:b/>
                <w:bCs/>
                <w:sz w:val="18"/>
                <w:szCs w:val="18"/>
              </w:rPr>
              <w:t>23 515,8</w:t>
            </w:r>
          </w:p>
        </w:tc>
        <w:tc>
          <w:tcPr>
            <w:tcW w:w="1209" w:type="dxa"/>
            <w:tcBorders>
              <w:top w:val="single" w:sz="4" w:space="0" w:color="auto"/>
              <w:left w:val="nil"/>
              <w:bottom w:val="single" w:sz="8" w:space="0" w:color="auto"/>
              <w:right w:val="nil"/>
            </w:tcBorders>
            <w:shd w:val="clear" w:color="auto" w:fill="auto"/>
            <w:noWrap/>
            <w:vAlign w:val="bottom"/>
          </w:tcPr>
          <w:p w:rsidR="004318F3" w:rsidRDefault="004318F3" w:rsidP="003C667C">
            <w:pPr>
              <w:jc w:val="right"/>
              <w:rPr>
                <w:b/>
                <w:bCs/>
                <w:sz w:val="18"/>
                <w:szCs w:val="18"/>
              </w:rPr>
            </w:pPr>
            <w:r>
              <w:rPr>
                <w:b/>
                <w:bCs/>
                <w:sz w:val="18"/>
                <w:szCs w:val="18"/>
              </w:rPr>
              <w:t>5 950,6</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4318F3" w:rsidRDefault="004318F3" w:rsidP="003C667C">
            <w:pPr>
              <w:jc w:val="right"/>
              <w:rPr>
                <w:b/>
                <w:bCs/>
                <w:sz w:val="18"/>
                <w:szCs w:val="18"/>
              </w:rPr>
            </w:pPr>
            <w:r>
              <w:rPr>
                <w:b/>
                <w:bCs/>
                <w:sz w:val="18"/>
                <w:szCs w:val="18"/>
              </w:rPr>
              <w:t>25,3%</w:t>
            </w:r>
          </w:p>
        </w:tc>
      </w:tr>
      <w:tr w:rsidR="004318F3" w:rsidRPr="00183C14" w:rsidTr="00F521AA">
        <w:trPr>
          <w:trHeight w:val="80"/>
          <w:jc w:val="center"/>
        </w:trPr>
        <w:tc>
          <w:tcPr>
            <w:tcW w:w="4853" w:type="dxa"/>
            <w:tcBorders>
              <w:top w:val="single" w:sz="4" w:space="0" w:color="auto"/>
              <w:left w:val="single" w:sz="8" w:space="0" w:color="auto"/>
              <w:bottom w:val="nil"/>
              <w:right w:val="single" w:sz="8" w:space="0" w:color="auto"/>
            </w:tcBorders>
            <w:shd w:val="clear" w:color="auto" w:fill="auto"/>
            <w:noWrap/>
            <w:vAlign w:val="bottom"/>
          </w:tcPr>
          <w:p w:rsidR="004318F3" w:rsidRPr="00E224A2" w:rsidRDefault="004318F3" w:rsidP="00F521AA">
            <w:pPr>
              <w:rPr>
                <w:sz w:val="18"/>
                <w:szCs w:val="18"/>
              </w:rPr>
            </w:pPr>
            <w:r w:rsidRPr="00E224A2">
              <w:rPr>
                <w:sz w:val="18"/>
                <w:szCs w:val="18"/>
              </w:rPr>
              <w:t xml:space="preserve">   -Данъчни приходи</w:t>
            </w:r>
          </w:p>
        </w:tc>
        <w:tc>
          <w:tcPr>
            <w:tcW w:w="1276" w:type="dxa"/>
            <w:tcBorders>
              <w:top w:val="single" w:sz="8" w:space="0" w:color="auto"/>
              <w:left w:val="nil"/>
              <w:right w:val="nil"/>
            </w:tcBorders>
            <w:shd w:val="clear" w:color="auto" w:fill="auto"/>
            <w:noWrap/>
            <w:vAlign w:val="bottom"/>
          </w:tcPr>
          <w:p w:rsidR="004318F3" w:rsidRPr="00E224A2" w:rsidRDefault="004318F3" w:rsidP="00F521AA">
            <w:pPr>
              <w:jc w:val="right"/>
              <w:rPr>
                <w:sz w:val="18"/>
                <w:szCs w:val="18"/>
              </w:rPr>
            </w:pPr>
            <w:r w:rsidRPr="00E224A2">
              <w:rPr>
                <w:sz w:val="18"/>
                <w:szCs w:val="18"/>
              </w:rPr>
              <w:t>21 040,6</w:t>
            </w:r>
          </w:p>
        </w:tc>
        <w:tc>
          <w:tcPr>
            <w:tcW w:w="1209" w:type="dxa"/>
            <w:tcBorders>
              <w:top w:val="single" w:sz="8" w:space="0" w:color="auto"/>
              <w:left w:val="nil"/>
              <w:right w:val="nil"/>
            </w:tcBorders>
            <w:shd w:val="clear" w:color="auto" w:fill="auto"/>
            <w:noWrap/>
            <w:vAlign w:val="bottom"/>
          </w:tcPr>
          <w:p w:rsidR="004318F3" w:rsidRDefault="004318F3" w:rsidP="003C667C">
            <w:pPr>
              <w:jc w:val="right"/>
              <w:rPr>
                <w:sz w:val="18"/>
                <w:szCs w:val="18"/>
              </w:rPr>
            </w:pPr>
            <w:r>
              <w:rPr>
                <w:sz w:val="18"/>
                <w:szCs w:val="18"/>
              </w:rPr>
              <w:t>5 355,5</w:t>
            </w:r>
          </w:p>
        </w:tc>
        <w:tc>
          <w:tcPr>
            <w:tcW w:w="1304" w:type="dxa"/>
            <w:tcBorders>
              <w:top w:val="single" w:sz="8" w:space="0" w:color="auto"/>
              <w:left w:val="nil"/>
              <w:right w:val="single" w:sz="8" w:space="0" w:color="auto"/>
            </w:tcBorders>
            <w:shd w:val="clear" w:color="auto" w:fill="auto"/>
            <w:noWrap/>
            <w:vAlign w:val="bottom"/>
          </w:tcPr>
          <w:p w:rsidR="004318F3" w:rsidRDefault="004318F3" w:rsidP="003C667C">
            <w:pPr>
              <w:jc w:val="right"/>
              <w:rPr>
                <w:sz w:val="18"/>
                <w:szCs w:val="18"/>
              </w:rPr>
            </w:pPr>
            <w:r>
              <w:rPr>
                <w:sz w:val="18"/>
                <w:szCs w:val="18"/>
              </w:rPr>
              <w:t>25,5%</w:t>
            </w:r>
          </w:p>
        </w:tc>
      </w:tr>
      <w:tr w:rsidR="004318F3" w:rsidRPr="00183C14" w:rsidTr="00F521AA">
        <w:trPr>
          <w:trHeight w:val="80"/>
          <w:jc w:val="center"/>
        </w:trPr>
        <w:tc>
          <w:tcPr>
            <w:tcW w:w="4853" w:type="dxa"/>
            <w:tcBorders>
              <w:left w:val="single" w:sz="8" w:space="0" w:color="auto"/>
              <w:right w:val="single" w:sz="8" w:space="0" w:color="auto"/>
            </w:tcBorders>
            <w:shd w:val="clear" w:color="auto" w:fill="auto"/>
            <w:noWrap/>
            <w:vAlign w:val="bottom"/>
          </w:tcPr>
          <w:p w:rsidR="004318F3" w:rsidRPr="00E224A2" w:rsidRDefault="004318F3" w:rsidP="00F521AA">
            <w:pPr>
              <w:rPr>
                <w:sz w:val="18"/>
                <w:szCs w:val="18"/>
              </w:rPr>
            </w:pPr>
            <w:r w:rsidRPr="00E224A2">
              <w:rPr>
                <w:sz w:val="18"/>
                <w:szCs w:val="18"/>
              </w:rPr>
              <w:t xml:space="preserve">     </w:t>
            </w:r>
            <w:r w:rsidR="00D375C7">
              <w:rPr>
                <w:sz w:val="18"/>
                <w:szCs w:val="18"/>
              </w:rPr>
              <w:t xml:space="preserve"> </w:t>
            </w:r>
            <w:r w:rsidRPr="00E224A2">
              <w:rPr>
                <w:sz w:val="18"/>
                <w:szCs w:val="18"/>
              </w:rPr>
              <w:t xml:space="preserve"> Корпоративни данъци</w:t>
            </w:r>
          </w:p>
        </w:tc>
        <w:tc>
          <w:tcPr>
            <w:tcW w:w="1276" w:type="dxa"/>
            <w:tcBorders>
              <w:left w:val="nil"/>
              <w:bottom w:val="nil"/>
              <w:right w:val="nil"/>
            </w:tcBorders>
            <w:shd w:val="clear" w:color="auto" w:fill="auto"/>
            <w:noWrap/>
            <w:vAlign w:val="bottom"/>
          </w:tcPr>
          <w:p w:rsidR="004318F3" w:rsidRPr="00484823" w:rsidRDefault="004318F3" w:rsidP="00F521AA">
            <w:pPr>
              <w:jc w:val="right"/>
              <w:rPr>
                <w:sz w:val="18"/>
                <w:szCs w:val="18"/>
              </w:rPr>
            </w:pPr>
            <w:r w:rsidRPr="00484823">
              <w:rPr>
                <w:sz w:val="18"/>
                <w:szCs w:val="18"/>
              </w:rPr>
              <w:t>2 364,0</w:t>
            </w:r>
          </w:p>
        </w:tc>
        <w:tc>
          <w:tcPr>
            <w:tcW w:w="1209" w:type="dxa"/>
            <w:tcBorders>
              <w:left w:val="nil"/>
              <w:bottom w:val="nil"/>
              <w:right w:val="nil"/>
            </w:tcBorders>
            <w:shd w:val="clear" w:color="auto" w:fill="auto"/>
            <w:noWrap/>
            <w:vAlign w:val="bottom"/>
          </w:tcPr>
          <w:p w:rsidR="004318F3" w:rsidRPr="00902109" w:rsidRDefault="004318F3" w:rsidP="003C667C">
            <w:pPr>
              <w:jc w:val="right"/>
              <w:rPr>
                <w:sz w:val="18"/>
                <w:szCs w:val="18"/>
              </w:rPr>
            </w:pPr>
            <w:r w:rsidRPr="00902109">
              <w:rPr>
                <w:sz w:val="18"/>
                <w:szCs w:val="18"/>
              </w:rPr>
              <w:t>593,6</w:t>
            </w:r>
          </w:p>
        </w:tc>
        <w:tc>
          <w:tcPr>
            <w:tcW w:w="1304" w:type="dxa"/>
            <w:tcBorders>
              <w:left w:val="nil"/>
              <w:bottom w:val="nil"/>
              <w:right w:val="single" w:sz="8" w:space="0" w:color="auto"/>
            </w:tcBorders>
            <w:shd w:val="clear" w:color="auto" w:fill="auto"/>
            <w:noWrap/>
            <w:vAlign w:val="bottom"/>
          </w:tcPr>
          <w:p w:rsidR="004318F3" w:rsidRPr="00533A1A" w:rsidRDefault="004318F3" w:rsidP="003C667C">
            <w:pPr>
              <w:jc w:val="right"/>
              <w:rPr>
                <w:sz w:val="18"/>
                <w:szCs w:val="18"/>
              </w:rPr>
            </w:pPr>
            <w:r w:rsidRPr="00533A1A">
              <w:rPr>
                <w:sz w:val="18"/>
                <w:szCs w:val="18"/>
              </w:rPr>
              <w:t>25,1%</w:t>
            </w:r>
          </w:p>
        </w:tc>
      </w:tr>
      <w:tr w:rsidR="004318F3" w:rsidRPr="00183C14" w:rsidTr="00F521AA">
        <w:trPr>
          <w:trHeight w:val="165"/>
          <w:jc w:val="center"/>
        </w:trPr>
        <w:tc>
          <w:tcPr>
            <w:tcW w:w="4853" w:type="dxa"/>
            <w:tcBorders>
              <w:left w:val="single" w:sz="8" w:space="0" w:color="auto"/>
              <w:right w:val="single" w:sz="8" w:space="0" w:color="auto"/>
            </w:tcBorders>
            <w:shd w:val="clear" w:color="auto" w:fill="auto"/>
            <w:noWrap/>
            <w:vAlign w:val="bottom"/>
          </w:tcPr>
          <w:p w:rsidR="004318F3" w:rsidRPr="00E224A2" w:rsidRDefault="004318F3" w:rsidP="00F521AA">
            <w:pPr>
              <w:rPr>
                <w:sz w:val="18"/>
                <w:szCs w:val="18"/>
              </w:rPr>
            </w:pPr>
            <w:r w:rsidRPr="00E224A2">
              <w:rPr>
                <w:sz w:val="18"/>
                <w:szCs w:val="18"/>
              </w:rPr>
              <w:t xml:space="preserve">     </w:t>
            </w:r>
            <w:r w:rsidR="00D375C7">
              <w:rPr>
                <w:sz w:val="18"/>
                <w:szCs w:val="18"/>
              </w:rPr>
              <w:t xml:space="preserve">  </w:t>
            </w:r>
            <w:r w:rsidRPr="00E224A2">
              <w:rPr>
                <w:sz w:val="18"/>
                <w:szCs w:val="18"/>
              </w:rPr>
              <w:t>ДДФЛ</w:t>
            </w:r>
          </w:p>
        </w:tc>
        <w:tc>
          <w:tcPr>
            <w:tcW w:w="1276" w:type="dxa"/>
            <w:tcBorders>
              <w:left w:val="nil"/>
              <w:bottom w:val="nil"/>
              <w:right w:val="nil"/>
            </w:tcBorders>
            <w:shd w:val="clear" w:color="auto" w:fill="auto"/>
            <w:noWrap/>
            <w:vAlign w:val="bottom"/>
          </w:tcPr>
          <w:p w:rsidR="004318F3" w:rsidRPr="00484823" w:rsidRDefault="004318F3" w:rsidP="00F521AA">
            <w:pPr>
              <w:jc w:val="right"/>
              <w:rPr>
                <w:sz w:val="18"/>
                <w:szCs w:val="18"/>
              </w:rPr>
            </w:pPr>
            <w:r w:rsidRPr="00484823">
              <w:rPr>
                <w:sz w:val="18"/>
                <w:szCs w:val="18"/>
              </w:rPr>
              <w:t>3 372,4</w:t>
            </w:r>
          </w:p>
        </w:tc>
        <w:tc>
          <w:tcPr>
            <w:tcW w:w="1209" w:type="dxa"/>
            <w:tcBorders>
              <w:left w:val="nil"/>
              <w:bottom w:val="nil"/>
              <w:right w:val="nil"/>
            </w:tcBorders>
            <w:shd w:val="clear" w:color="auto" w:fill="auto"/>
            <w:noWrap/>
            <w:vAlign w:val="bottom"/>
          </w:tcPr>
          <w:p w:rsidR="004318F3" w:rsidRPr="00902109" w:rsidRDefault="004318F3" w:rsidP="003C667C">
            <w:pPr>
              <w:jc w:val="right"/>
              <w:rPr>
                <w:sz w:val="18"/>
                <w:szCs w:val="18"/>
              </w:rPr>
            </w:pPr>
            <w:r w:rsidRPr="00902109">
              <w:rPr>
                <w:sz w:val="18"/>
                <w:szCs w:val="18"/>
              </w:rPr>
              <w:t>852,8</w:t>
            </w:r>
          </w:p>
        </w:tc>
        <w:tc>
          <w:tcPr>
            <w:tcW w:w="1304" w:type="dxa"/>
            <w:tcBorders>
              <w:left w:val="nil"/>
              <w:bottom w:val="nil"/>
              <w:right w:val="single" w:sz="8" w:space="0" w:color="auto"/>
            </w:tcBorders>
            <w:shd w:val="clear" w:color="auto" w:fill="auto"/>
            <w:noWrap/>
            <w:vAlign w:val="bottom"/>
          </w:tcPr>
          <w:p w:rsidR="004318F3" w:rsidRPr="00533A1A" w:rsidRDefault="004318F3" w:rsidP="003C667C">
            <w:pPr>
              <w:jc w:val="right"/>
              <w:rPr>
                <w:sz w:val="18"/>
                <w:szCs w:val="18"/>
              </w:rPr>
            </w:pPr>
            <w:r w:rsidRPr="00533A1A">
              <w:rPr>
                <w:sz w:val="18"/>
                <w:szCs w:val="18"/>
              </w:rPr>
              <w:t>25,3%</w:t>
            </w:r>
          </w:p>
        </w:tc>
      </w:tr>
      <w:tr w:rsidR="004318F3" w:rsidRPr="00183C14" w:rsidTr="00F521AA">
        <w:trPr>
          <w:trHeight w:val="165"/>
          <w:jc w:val="center"/>
        </w:trPr>
        <w:tc>
          <w:tcPr>
            <w:tcW w:w="4853" w:type="dxa"/>
            <w:tcBorders>
              <w:left w:val="single" w:sz="8" w:space="0" w:color="auto"/>
              <w:right w:val="single" w:sz="8" w:space="0" w:color="auto"/>
            </w:tcBorders>
            <w:shd w:val="clear" w:color="auto" w:fill="auto"/>
            <w:noWrap/>
            <w:vAlign w:val="bottom"/>
          </w:tcPr>
          <w:p w:rsidR="004318F3" w:rsidRPr="00E224A2" w:rsidRDefault="004318F3" w:rsidP="00F521AA">
            <w:pPr>
              <w:rPr>
                <w:sz w:val="18"/>
                <w:szCs w:val="18"/>
              </w:rPr>
            </w:pPr>
            <w:r w:rsidRPr="00E224A2">
              <w:rPr>
                <w:sz w:val="18"/>
                <w:szCs w:val="18"/>
              </w:rPr>
              <w:t xml:space="preserve">       ДДС</w:t>
            </w:r>
          </w:p>
        </w:tc>
        <w:tc>
          <w:tcPr>
            <w:tcW w:w="1276" w:type="dxa"/>
            <w:tcBorders>
              <w:left w:val="nil"/>
              <w:bottom w:val="nil"/>
              <w:right w:val="nil"/>
            </w:tcBorders>
            <w:shd w:val="clear" w:color="auto" w:fill="auto"/>
            <w:noWrap/>
            <w:vAlign w:val="bottom"/>
          </w:tcPr>
          <w:p w:rsidR="004318F3" w:rsidRPr="00484823" w:rsidRDefault="004318F3" w:rsidP="00F521AA">
            <w:pPr>
              <w:jc w:val="right"/>
              <w:rPr>
                <w:sz w:val="18"/>
                <w:szCs w:val="18"/>
              </w:rPr>
            </w:pPr>
            <w:r w:rsidRPr="00484823">
              <w:rPr>
                <w:sz w:val="18"/>
                <w:szCs w:val="18"/>
              </w:rPr>
              <w:t>9 780,0</w:t>
            </w:r>
          </w:p>
        </w:tc>
        <w:tc>
          <w:tcPr>
            <w:tcW w:w="1209" w:type="dxa"/>
            <w:tcBorders>
              <w:left w:val="nil"/>
              <w:bottom w:val="nil"/>
              <w:right w:val="nil"/>
            </w:tcBorders>
            <w:shd w:val="clear" w:color="auto" w:fill="auto"/>
            <w:noWrap/>
            <w:vAlign w:val="bottom"/>
          </w:tcPr>
          <w:p w:rsidR="004318F3" w:rsidRPr="00902109" w:rsidRDefault="004318F3" w:rsidP="003C667C">
            <w:pPr>
              <w:jc w:val="right"/>
              <w:rPr>
                <w:sz w:val="18"/>
                <w:szCs w:val="18"/>
              </w:rPr>
            </w:pPr>
            <w:r w:rsidRPr="00902109">
              <w:rPr>
                <w:sz w:val="18"/>
                <w:szCs w:val="18"/>
              </w:rPr>
              <w:t>2 561,3</w:t>
            </w:r>
          </w:p>
        </w:tc>
        <w:tc>
          <w:tcPr>
            <w:tcW w:w="1304" w:type="dxa"/>
            <w:tcBorders>
              <w:left w:val="nil"/>
              <w:bottom w:val="nil"/>
              <w:right w:val="single" w:sz="8" w:space="0" w:color="auto"/>
            </w:tcBorders>
            <w:shd w:val="clear" w:color="auto" w:fill="auto"/>
            <w:noWrap/>
            <w:vAlign w:val="bottom"/>
          </w:tcPr>
          <w:p w:rsidR="004318F3" w:rsidRPr="00533A1A" w:rsidRDefault="004318F3" w:rsidP="003C667C">
            <w:pPr>
              <w:jc w:val="right"/>
              <w:rPr>
                <w:sz w:val="18"/>
                <w:szCs w:val="18"/>
              </w:rPr>
            </w:pPr>
            <w:r w:rsidRPr="00533A1A">
              <w:rPr>
                <w:sz w:val="18"/>
                <w:szCs w:val="18"/>
              </w:rPr>
              <w:t>26,2%</w:t>
            </w:r>
          </w:p>
        </w:tc>
      </w:tr>
      <w:tr w:rsidR="004318F3" w:rsidRPr="00183C14" w:rsidTr="00F521AA">
        <w:trPr>
          <w:trHeight w:val="165"/>
          <w:jc w:val="center"/>
        </w:trPr>
        <w:tc>
          <w:tcPr>
            <w:tcW w:w="4853" w:type="dxa"/>
            <w:tcBorders>
              <w:left w:val="single" w:sz="8" w:space="0" w:color="auto"/>
              <w:right w:val="single" w:sz="8" w:space="0" w:color="auto"/>
            </w:tcBorders>
            <w:shd w:val="clear" w:color="auto" w:fill="auto"/>
            <w:noWrap/>
            <w:vAlign w:val="bottom"/>
          </w:tcPr>
          <w:p w:rsidR="004318F3" w:rsidRPr="00E224A2" w:rsidRDefault="004318F3" w:rsidP="00F521AA">
            <w:pPr>
              <w:rPr>
                <w:sz w:val="18"/>
                <w:szCs w:val="18"/>
              </w:rPr>
            </w:pPr>
            <w:r w:rsidRPr="00E224A2">
              <w:rPr>
                <w:sz w:val="18"/>
                <w:szCs w:val="18"/>
              </w:rPr>
              <w:t xml:space="preserve">       Акцизи </w:t>
            </w:r>
          </w:p>
        </w:tc>
        <w:tc>
          <w:tcPr>
            <w:tcW w:w="1276" w:type="dxa"/>
            <w:tcBorders>
              <w:left w:val="nil"/>
              <w:bottom w:val="nil"/>
              <w:right w:val="nil"/>
            </w:tcBorders>
            <w:shd w:val="clear" w:color="auto" w:fill="auto"/>
            <w:noWrap/>
            <w:vAlign w:val="bottom"/>
          </w:tcPr>
          <w:p w:rsidR="004318F3" w:rsidRPr="00484823" w:rsidRDefault="004318F3" w:rsidP="00F521AA">
            <w:pPr>
              <w:jc w:val="right"/>
              <w:rPr>
                <w:sz w:val="18"/>
                <w:szCs w:val="18"/>
              </w:rPr>
            </w:pPr>
            <w:r w:rsidRPr="00484823">
              <w:rPr>
                <w:sz w:val="18"/>
                <w:szCs w:val="18"/>
              </w:rPr>
              <w:t>5 150,0</w:t>
            </w:r>
          </w:p>
        </w:tc>
        <w:tc>
          <w:tcPr>
            <w:tcW w:w="1209" w:type="dxa"/>
            <w:tcBorders>
              <w:left w:val="nil"/>
              <w:bottom w:val="nil"/>
              <w:right w:val="nil"/>
            </w:tcBorders>
            <w:shd w:val="clear" w:color="auto" w:fill="auto"/>
            <w:noWrap/>
            <w:vAlign w:val="bottom"/>
          </w:tcPr>
          <w:p w:rsidR="004318F3" w:rsidRPr="00902109" w:rsidRDefault="004318F3" w:rsidP="003C667C">
            <w:pPr>
              <w:jc w:val="right"/>
              <w:rPr>
                <w:sz w:val="18"/>
                <w:szCs w:val="18"/>
              </w:rPr>
            </w:pPr>
            <w:r w:rsidRPr="00902109">
              <w:rPr>
                <w:sz w:val="18"/>
                <w:szCs w:val="18"/>
              </w:rPr>
              <w:t>1 195,6</w:t>
            </w:r>
          </w:p>
        </w:tc>
        <w:tc>
          <w:tcPr>
            <w:tcW w:w="1304" w:type="dxa"/>
            <w:tcBorders>
              <w:left w:val="nil"/>
              <w:bottom w:val="nil"/>
              <w:right w:val="single" w:sz="8" w:space="0" w:color="auto"/>
            </w:tcBorders>
            <w:shd w:val="clear" w:color="auto" w:fill="auto"/>
            <w:noWrap/>
            <w:vAlign w:val="bottom"/>
          </w:tcPr>
          <w:p w:rsidR="004318F3" w:rsidRPr="00533A1A" w:rsidRDefault="004318F3" w:rsidP="003C667C">
            <w:pPr>
              <w:jc w:val="right"/>
              <w:rPr>
                <w:sz w:val="18"/>
                <w:szCs w:val="18"/>
              </w:rPr>
            </w:pPr>
            <w:r w:rsidRPr="00533A1A">
              <w:rPr>
                <w:sz w:val="18"/>
                <w:szCs w:val="18"/>
              </w:rPr>
              <w:t>23,2%</w:t>
            </w:r>
          </w:p>
        </w:tc>
      </w:tr>
      <w:tr w:rsidR="004318F3" w:rsidRPr="00183C14" w:rsidTr="00F521AA">
        <w:trPr>
          <w:trHeight w:val="165"/>
          <w:jc w:val="center"/>
        </w:trPr>
        <w:tc>
          <w:tcPr>
            <w:tcW w:w="4853" w:type="dxa"/>
            <w:tcBorders>
              <w:left w:val="single" w:sz="8" w:space="0" w:color="auto"/>
              <w:right w:val="single" w:sz="8" w:space="0" w:color="auto"/>
            </w:tcBorders>
            <w:shd w:val="clear" w:color="auto" w:fill="auto"/>
            <w:noWrap/>
            <w:vAlign w:val="bottom"/>
          </w:tcPr>
          <w:p w:rsidR="004318F3" w:rsidRPr="00E224A2" w:rsidRDefault="004318F3" w:rsidP="00F521AA">
            <w:pPr>
              <w:rPr>
                <w:sz w:val="18"/>
                <w:szCs w:val="18"/>
              </w:rPr>
            </w:pPr>
            <w:r w:rsidRPr="00E224A2">
              <w:rPr>
                <w:sz w:val="18"/>
                <w:szCs w:val="18"/>
              </w:rPr>
              <w:t xml:space="preserve">       Данък в/у застрахователните премии</w:t>
            </w:r>
          </w:p>
        </w:tc>
        <w:tc>
          <w:tcPr>
            <w:tcW w:w="1276" w:type="dxa"/>
            <w:tcBorders>
              <w:left w:val="nil"/>
              <w:bottom w:val="nil"/>
              <w:right w:val="nil"/>
            </w:tcBorders>
            <w:shd w:val="clear" w:color="auto" w:fill="auto"/>
            <w:noWrap/>
            <w:vAlign w:val="bottom"/>
          </w:tcPr>
          <w:p w:rsidR="004318F3" w:rsidRPr="00484823" w:rsidRDefault="004318F3" w:rsidP="00F521AA">
            <w:pPr>
              <w:jc w:val="right"/>
              <w:rPr>
                <w:sz w:val="18"/>
                <w:szCs w:val="18"/>
              </w:rPr>
            </w:pPr>
            <w:r w:rsidRPr="00484823">
              <w:rPr>
                <w:sz w:val="18"/>
                <w:szCs w:val="18"/>
              </w:rPr>
              <w:t>36,3</w:t>
            </w:r>
          </w:p>
        </w:tc>
        <w:tc>
          <w:tcPr>
            <w:tcW w:w="1209" w:type="dxa"/>
            <w:tcBorders>
              <w:left w:val="nil"/>
              <w:bottom w:val="nil"/>
              <w:right w:val="nil"/>
            </w:tcBorders>
            <w:shd w:val="clear" w:color="auto" w:fill="auto"/>
            <w:noWrap/>
            <w:vAlign w:val="bottom"/>
          </w:tcPr>
          <w:p w:rsidR="004318F3" w:rsidRPr="00902109" w:rsidRDefault="004318F3" w:rsidP="003C667C">
            <w:pPr>
              <w:jc w:val="right"/>
              <w:rPr>
                <w:sz w:val="18"/>
                <w:szCs w:val="18"/>
              </w:rPr>
            </w:pPr>
            <w:r w:rsidRPr="00902109">
              <w:rPr>
                <w:sz w:val="18"/>
                <w:szCs w:val="18"/>
              </w:rPr>
              <w:t>8,6</w:t>
            </w:r>
          </w:p>
        </w:tc>
        <w:tc>
          <w:tcPr>
            <w:tcW w:w="1304" w:type="dxa"/>
            <w:tcBorders>
              <w:left w:val="nil"/>
              <w:bottom w:val="nil"/>
              <w:right w:val="single" w:sz="8" w:space="0" w:color="auto"/>
            </w:tcBorders>
            <w:shd w:val="clear" w:color="auto" w:fill="auto"/>
            <w:noWrap/>
            <w:vAlign w:val="bottom"/>
          </w:tcPr>
          <w:p w:rsidR="004318F3" w:rsidRPr="00533A1A" w:rsidRDefault="004318F3" w:rsidP="003C667C">
            <w:pPr>
              <w:jc w:val="right"/>
              <w:rPr>
                <w:sz w:val="18"/>
                <w:szCs w:val="18"/>
              </w:rPr>
            </w:pPr>
            <w:r w:rsidRPr="00533A1A">
              <w:rPr>
                <w:sz w:val="18"/>
                <w:szCs w:val="18"/>
              </w:rPr>
              <w:t>23,7%</w:t>
            </w:r>
          </w:p>
        </w:tc>
      </w:tr>
      <w:tr w:rsidR="004318F3" w:rsidRPr="00183C14" w:rsidTr="00F521AA">
        <w:trPr>
          <w:trHeight w:val="165"/>
          <w:jc w:val="center"/>
        </w:trPr>
        <w:tc>
          <w:tcPr>
            <w:tcW w:w="4853" w:type="dxa"/>
            <w:tcBorders>
              <w:left w:val="single" w:sz="8" w:space="0" w:color="auto"/>
              <w:right w:val="single" w:sz="8" w:space="0" w:color="auto"/>
            </w:tcBorders>
            <w:shd w:val="clear" w:color="auto" w:fill="auto"/>
            <w:noWrap/>
            <w:vAlign w:val="bottom"/>
          </w:tcPr>
          <w:p w:rsidR="004318F3" w:rsidRPr="00E224A2" w:rsidRDefault="004318F3" w:rsidP="00F521AA">
            <w:pPr>
              <w:rPr>
                <w:sz w:val="18"/>
                <w:szCs w:val="18"/>
              </w:rPr>
            </w:pPr>
            <w:r w:rsidRPr="00E224A2">
              <w:rPr>
                <w:sz w:val="18"/>
                <w:szCs w:val="18"/>
              </w:rPr>
              <w:t xml:space="preserve">       Мита и митнически такси</w:t>
            </w:r>
          </w:p>
        </w:tc>
        <w:tc>
          <w:tcPr>
            <w:tcW w:w="1276" w:type="dxa"/>
            <w:tcBorders>
              <w:left w:val="nil"/>
              <w:bottom w:val="nil"/>
              <w:right w:val="nil"/>
            </w:tcBorders>
            <w:shd w:val="clear" w:color="auto" w:fill="auto"/>
            <w:noWrap/>
            <w:vAlign w:val="bottom"/>
          </w:tcPr>
          <w:p w:rsidR="004318F3" w:rsidRPr="00484823" w:rsidRDefault="004318F3" w:rsidP="00F521AA">
            <w:pPr>
              <w:jc w:val="right"/>
              <w:rPr>
                <w:sz w:val="18"/>
                <w:szCs w:val="18"/>
              </w:rPr>
            </w:pPr>
            <w:r w:rsidRPr="00484823">
              <w:rPr>
                <w:sz w:val="18"/>
                <w:szCs w:val="18"/>
              </w:rPr>
              <w:t>190,1</w:t>
            </w:r>
          </w:p>
        </w:tc>
        <w:tc>
          <w:tcPr>
            <w:tcW w:w="1209" w:type="dxa"/>
            <w:tcBorders>
              <w:left w:val="nil"/>
              <w:bottom w:val="nil"/>
              <w:right w:val="nil"/>
            </w:tcBorders>
            <w:shd w:val="clear" w:color="auto" w:fill="auto"/>
            <w:noWrap/>
            <w:vAlign w:val="bottom"/>
          </w:tcPr>
          <w:p w:rsidR="004318F3" w:rsidRPr="00902109" w:rsidRDefault="004318F3" w:rsidP="003C667C">
            <w:pPr>
              <w:jc w:val="right"/>
              <w:rPr>
                <w:sz w:val="18"/>
                <w:szCs w:val="18"/>
              </w:rPr>
            </w:pPr>
            <w:r w:rsidRPr="00902109">
              <w:rPr>
                <w:sz w:val="18"/>
                <w:szCs w:val="18"/>
              </w:rPr>
              <w:t>63,8</w:t>
            </w:r>
          </w:p>
        </w:tc>
        <w:tc>
          <w:tcPr>
            <w:tcW w:w="1304" w:type="dxa"/>
            <w:tcBorders>
              <w:left w:val="nil"/>
              <w:bottom w:val="nil"/>
              <w:right w:val="single" w:sz="8" w:space="0" w:color="auto"/>
            </w:tcBorders>
            <w:shd w:val="clear" w:color="auto" w:fill="auto"/>
            <w:noWrap/>
            <w:vAlign w:val="bottom"/>
          </w:tcPr>
          <w:p w:rsidR="004318F3" w:rsidRPr="00533A1A" w:rsidRDefault="004318F3" w:rsidP="003C667C">
            <w:pPr>
              <w:jc w:val="right"/>
              <w:rPr>
                <w:sz w:val="18"/>
                <w:szCs w:val="18"/>
              </w:rPr>
            </w:pPr>
            <w:r w:rsidRPr="00533A1A">
              <w:rPr>
                <w:sz w:val="18"/>
                <w:szCs w:val="18"/>
              </w:rPr>
              <w:t>33,5%</w:t>
            </w:r>
          </w:p>
        </w:tc>
      </w:tr>
      <w:tr w:rsidR="004318F3" w:rsidRPr="00183C14" w:rsidTr="00F521AA">
        <w:trPr>
          <w:trHeight w:val="165"/>
          <w:jc w:val="center"/>
        </w:trPr>
        <w:tc>
          <w:tcPr>
            <w:tcW w:w="4853" w:type="dxa"/>
            <w:tcBorders>
              <w:left w:val="single" w:sz="8" w:space="0" w:color="auto"/>
              <w:right w:val="single" w:sz="8" w:space="0" w:color="auto"/>
            </w:tcBorders>
            <w:shd w:val="clear" w:color="auto" w:fill="auto"/>
            <w:noWrap/>
            <w:vAlign w:val="bottom"/>
          </w:tcPr>
          <w:p w:rsidR="004318F3" w:rsidRPr="00E224A2" w:rsidRDefault="004318F3" w:rsidP="00F521AA">
            <w:pPr>
              <w:rPr>
                <w:sz w:val="18"/>
                <w:szCs w:val="18"/>
              </w:rPr>
            </w:pPr>
            <w:r w:rsidRPr="00E224A2">
              <w:rPr>
                <w:sz w:val="18"/>
                <w:szCs w:val="18"/>
              </w:rPr>
              <w:t xml:space="preserve">       Други данъци</w:t>
            </w:r>
          </w:p>
        </w:tc>
        <w:tc>
          <w:tcPr>
            <w:tcW w:w="1276" w:type="dxa"/>
            <w:tcBorders>
              <w:left w:val="nil"/>
              <w:bottom w:val="nil"/>
              <w:right w:val="nil"/>
            </w:tcBorders>
            <w:shd w:val="clear" w:color="auto" w:fill="auto"/>
            <w:noWrap/>
            <w:vAlign w:val="bottom"/>
          </w:tcPr>
          <w:p w:rsidR="004318F3" w:rsidRPr="00484823" w:rsidRDefault="004318F3" w:rsidP="00F521AA">
            <w:pPr>
              <w:jc w:val="right"/>
              <w:rPr>
                <w:sz w:val="18"/>
                <w:szCs w:val="18"/>
              </w:rPr>
            </w:pPr>
            <w:r w:rsidRPr="00484823">
              <w:rPr>
                <w:sz w:val="18"/>
                <w:szCs w:val="18"/>
              </w:rPr>
              <w:t>147,8</w:t>
            </w:r>
          </w:p>
        </w:tc>
        <w:tc>
          <w:tcPr>
            <w:tcW w:w="1209" w:type="dxa"/>
            <w:tcBorders>
              <w:left w:val="nil"/>
              <w:bottom w:val="nil"/>
              <w:right w:val="nil"/>
            </w:tcBorders>
            <w:shd w:val="clear" w:color="auto" w:fill="auto"/>
            <w:noWrap/>
            <w:vAlign w:val="bottom"/>
          </w:tcPr>
          <w:p w:rsidR="004318F3" w:rsidRDefault="004318F3" w:rsidP="003C667C">
            <w:pPr>
              <w:jc w:val="right"/>
              <w:rPr>
                <w:sz w:val="18"/>
                <w:szCs w:val="18"/>
              </w:rPr>
            </w:pPr>
            <w:r>
              <w:rPr>
                <w:sz w:val="18"/>
                <w:szCs w:val="18"/>
              </w:rPr>
              <w:t>79,8</w:t>
            </w:r>
          </w:p>
        </w:tc>
        <w:tc>
          <w:tcPr>
            <w:tcW w:w="1304" w:type="dxa"/>
            <w:tcBorders>
              <w:left w:val="nil"/>
              <w:bottom w:val="nil"/>
              <w:right w:val="single" w:sz="8" w:space="0" w:color="auto"/>
            </w:tcBorders>
            <w:shd w:val="clear" w:color="auto" w:fill="auto"/>
            <w:noWrap/>
            <w:vAlign w:val="bottom"/>
          </w:tcPr>
          <w:p w:rsidR="004318F3" w:rsidRPr="00533A1A" w:rsidRDefault="004318F3" w:rsidP="003C667C">
            <w:pPr>
              <w:jc w:val="right"/>
              <w:rPr>
                <w:sz w:val="18"/>
                <w:szCs w:val="18"/>
              </w:rPr>
            </w:pPr>
            <w:r w:rsidRPr="00533A1A">
              <w:rPr>
                <w:sz w:val="18"/>
                <w:szCs w:val="18"/>
              </w:rPr>
              <w:t>54,0%</w:t>
            </w:r>
          </w:p>
        </w:tc>
      </w:tr>
      <w:tr w:rsidR="004318F3" w:rsidRPr="00183C14" w:rsidTr="00F521AA">
        <w:trPr>
          <w:trHeight w:val="165"/>
          <w:jc w:val="center"/>
        </w:trPr>
        <w:tc>
          <w:tcPr>
            <w:tcW w:w="4853" w:type="dxa"/>
            <w:tcBorders>
              <w:left w:val="single" w:sz="8" w:space="0" w:color="auto"/>
              <w:right w:val="single" w:sz="8" w:space="0" w:color="auto"/>
            </w:tcBorders>
            <w:shd w:val="clear" w:color="auto" w:fill="auto"/>
            <w:noWrap/>
            <w:vAlign w:val="bottom"/>
          </w:tcPr>
          <w:p w:rsidR="004318F3" w:rsidRPr="00E224A2" w:rsidRDefault="004318F3" w:rsidP="00F521AA">
            <w:pPr>
              <w:rPr>
                <w:sz w:val="18"/>
                <w:szCs w:val="18"/>
              </w:rPr>
            </w:pPr>
            <w:r w:rsidRPr="00E224A2">
              <w:rPr>
                <w:sz w:val="18"/>
                <w:szCs w:val="18"/>
              </w:rPr>
              <w:t xml:space="preserve">   -Неданъчни приходи</w:t>
            </w:r>
          </w:p>
        </w:tc>
        <w:tc>
          <w:tcPr>
            <w:tcW w:w="1276" w:type="dxa"/>
            <w:tcBorders>
              <w:left w:val="nil"/>
              <w:bottom w:val="nil"/>
              <w:right w:val="nil"/>
            </w:tcBorders>
            <w:shd w:val="clear" w:color="auto" w:fill="auto"/>
            <w:noWrap/>
            <w:vAlign w:val="bottom"/>
          </w:tcPr>
          <w:p w:rsidR="004318F3" w:rsidRPr="00E224A2" w:rsidRDefault="004318F3" w:rsidP="00F521AA">
            <w:pPr>
              <w:jc w:val="right"/>
              <w:rPr>
                <w:sz w:val="18"/>
                <w:szCs w:val="18"/>
              </w:rPr>
            </w:pPr>
            <w:r w:rsidRPr="00E224A2">
              <w:rPr>
                <w:sz w:val="18"/>
                <w:szCs w:val="18"/>
              </w:rPr>
              <w:t>2 475,2</w:t>
            </w:r>
          </w:p>
        </w:tc>
        <w:tc>
          <w:tcPr>
            <w:tcW w:w="1209" w:type="dxa"/>
            <w:tcBorders>
              <w:left w:val="nil"/>
              <w:bottom w:val="nil"/>
              <w:right w:val="nil"/>
            </w:tcBorders>
            <w:shd w:val="clear" w:color="auto" w:fill="auto"/>
            <w:noWrap/>
            <w:vAlign w:val="bottom"/>
          </w:tcPr>
          <w:p w:rsidR="004318F3" w:rsidRDefault="004318F3" w:rsidP="003C667C">
            <w:pPr>
              <w:jc w:val="right"/>
              <w:rPr>
                <w:sz w:val="18"/>
                <w:szCs w:val="18"/>
              </w:rPr>
            </w:pPr>
            <w:r>
              <w:rPr>
                <w:sz w:val="18"/>
                <w:szCs w:val="18"/>
              </w:rPr>
              <w:t>590,7</w:t>
            </w:r>
          </w:p>
        </w:tc>
        <w:tc>
          <w:tcPr>
            <w:tcW w:w="1304" w:type="dxa"/>
            <w:tcBorders>
              <w:left w:val="nil"/>
              <w:bottom w:val="nil"/>
              <w:right w:val="single" w:sz="8" w:space="0" w:color="auto"/>
            </w:tcBorders>
            <w:shd w:val="clear" w:color="auto" w:fill="auto"/>
            <w:noWrap/>
            <w:vAlign w:val="bottom"/>
          </w:tcPr>
          <w:p w:rsidR="004318F3" w:rsidRPr="00533A1A" w:rsidRDefault="004318F3" w:rsidP="003C667C">
            <w:pPr>
              <w:jc w:val="right"/>
              <w:rPr>
                <w:sz w:val="18"/>
                <w:szCs w:val="18"/>
              </w:rPr>
            </w:pPr>
            <w:r w:rsidRPr="00533A1A">
              <w:rPr>
                <w:sz w:val="18"/>
                <w:szCs w:val="18"/>
              </w:rPr>
              <w:t>23,9%</w:t>
            </w:r>
          </w:p>
        </w:tc>
      </w:tr>
      <w:tr w:rsidR="004318F3" w:rsidRPr="00183C14" w:rsidTr="00F521AA">
        <w:trPr>
          <w:trHeight w:val="165"/>
          <w:jc w:val="center"/>
        </w:trPr>
        <w:tc>
          <w:tcPr>
            <w:tcW w:w="4853" w:type="dxa"/>
            <w:tcBorders>
              <w:left w:val="single" w:sz="8" w:space="0" w:color="auto"/>
              <w:right w:val="single" w:sz="8" w:space="0" w:color="auto"/>
            </w:tcBorders>
            <w:shd w:val="clear" w:color="auto" w:fill="auto"/>
            <w:noWrap/>
            <w:vAlign w:val="bottom"/>
          </w:tcPr>
          <w:p w:rsidR="004318F3" w:rsidRPr="00E224A2" w:rsidRDefault="004318F3" w:rsidP="00F521AA">
            <w:pPr>
              <w:rPr>
                <w:sz w:val="18"/>
                <w:szCs w:val="18"/>
              </w:rPr>
            </w:pPr>
            <w:r w:rsidRPr="00E224A2">
              <w:rPr>
                <w:sz w:val="18"/>
                <w:szCs w:val="18"/>
              </w:rPr>
              <w:t xml:space="preserve">   -Помощи</w:t>
            </w:r>
          </w:p>
        </w:tc>
        <w:tc>
          <w:tcPr>
            <w:tcW w:w="1276" w:type="dxa"/>
            <w:tcBorders>
              <w:left w:val="nil"/>
              <w:bottom w:val="nil"/>
              <w:right w:val="nil"/>
            </w:tcBorders>
            <w:shd w:val="clear" w:color="auto" w:fill="auto"/>
            <w:noWrap/>
            <w:vAlign w:val="bottom"/>
          </w:tcPr>
          <w:p w:rsidR="004318F3" w:rsidRPr="00E224A2" w:rsidRDefault="004318F3" w:rsidP="00F521AA">
            <w:pPr>
              <w:jc w:val="right"/>
              <w:rPr>
                <w:sz w:val="18"/>
                <w:szCs w:val="18"/>
              </w:rPr>
            </w:pPr>
            <w:r w:rsidRPr="00E224A2">
              <w:rPr>
                <w:sz w:val="18"/>
                <w:szCs w:val="18"/>
              </w:rPr>
              <w:t>0,</w:t>
            </w:r>
            <w:proofErr w:type="spellStart"/>
            <w:r w:rsidRPr="00E224A2">
              <w:rPr>
                <w:sz w:val="18"/>
                <w:szCs w:val="18"/>
              </w:rPr>
              <w:t>0</w:t>
            </w:r>
            <w:proofErr w:type="spellEnd"/>
          </w:p>
        </w:tc>
        <w:tc>
          <w:tcPr>
            <w:tcW w:w="1209" w:type="dxa"/>
            <w:tcBorders>
              <w:left w:val="nil"/>
              <w:bottom w:val="nil"/>
              <w:right w:val="nil"/>
            </w:tcBorders>
            <w:shd w:val="clear" w:color="auto" w:fill="auto"/>
            <w:noWrap/>
            <w:vAlign w:val="bottom"/>
          </w:tcPr>
          <w:p w:rsidR="004318F3" w:rsidRDefault="004318F3" w:rsidP="003C667C">
            <w:pPr>
              <w:jc w:val="right"/>
              <w:rPr>
                <w:sz w:val="18"/>
                <w:szCs w:val="18"/>
              </w:rPr>
            </w:pPr>
            <w:r>
              <w:rPr>
                <w:sz w:val="18"/>
                <w:szCs w:val="18"/>
              </w:rPr>
              <w:t>4,</w:t>
            </w:r>
            <w:proofErr w:type="spellStart"/>
            <w:r>
              <w:rPr>
                <w:sz w:val="18"/>
                <w:szCs w:val="18"/>
              </w:rPr>
              <w:t>4</w:t>
            </w:r>
            <w:proofErr w:type="spellEnd"/>
          </w:p>
        </w:tc>
        <w:tc>
          <w:tcPr>
            <w:tcW w:w="1304" w:type="dxa"/>
            <w:tcBorders>
              <w:left w:val="nil"/>
              <w:bottom w:val="nil"/>
              <w:right w:val="single" w:sz="8" w:space="0" w:color="auto"/>
            </w:tcBorders>
            <w:shd w:val="clear" w:color="auto" w:fill="auto"/>
            <w:noWrap/>
            <w:vAlign w:val="bottom"/>
          </w:tcPr>
          <w:p w:rsidR="004318F3" w:rsidRPr="00C115A6" w:rsidRDefault="004318F3" w:rsidP="003C667C">
            <w:pPr>
              <w:rPr>
                <w:color w:val="0070C0"/>
                <w:sz w:val="18"/>
                <w:szCs w:val="18"/>
              </w:rPr>
            </w:pPr>
            <w:r w:rsidRPr="00C115A6">
              <w:rPr>
                <w:color w:val="0070C0"/>
                <w:sz w:val="18"/>
                <w:szCs w:val="18"/>
              </w:rPr>
              <w:t> </w:t>
            </w:r>
          </w:p>
        </w:tc>
      </w:tr>
      <w:tr w:rsidR="004318F3" w:rsidRPr="00183C14" w:rsidTr="00F521AA">
        <w:trPr>
          <w:trHeight w:val="199"/>
          <w:jc w:val="center"/>
        </w:trPr>
        <w:tc>
          <w:tcPr>
            <w:tcW w:w="4853" w:type="dxa"/>
            <w:tcBorders>
              <w:top w:val="single" w:sz="4" w:space="0" w:color="auto"/>
              <w:left w:val="single" w:sz="4" w:space="0" w:color="auto"/>
              <w:bottom w:val="nil"/>
              <w:right w:val="single" w:sz="4" w:space="0" w:color="auto"/>
            </w:tcBorders>
            <w:shd w:val="clear" w:color="auto" w:fill="auto"/>
            <w:noWrap/>
            <w:vAlign w:val="bottom"/>
          </w:tcPr>
          <w:p w:rsidR="004318F3" w:rsidRPr="00E224A2" w:rsidRDefault="004318F3" w:rsidP="00F521AA">
            <w:pPr>
              <w:rPr>
                <w:b/>
                <w:bCs/>
                <w:sz w:val="18"/>
                <w:szCs w:val="18"/>
              </w:rPr>
            </w:pPr>
            <w:r w:rsidRPr="00E224A2">
              <w:rPr>
                <w:b/>
                <w:bCs/>
                <w:sz w:val="18"/>
                <w:szCs w:val="18"/>
              </w:rPr>
              <w:t xml:space="preserve"> Разходи,трансфери и вноска в бюджета на ЕС</w:t>
            </w:r>
          </w:p>
        </w:tc>
        <w:tc>
          <w:tcPr>
            <w:tcW w:w="1276" w:type="dxa"/>
            <w:tcBorders>
              <w:top w:val="single" w:sz="4" w:space="0" w:color="auto"/>
              <w:left w:val="nil"/>
              <w:bottom w:val="nil"/>
              <w:right w:val="nil"/>
            </w:tcBorders>
            <w:shd w:val="clear" w:color="auto" w:fill="auto"/>
            <w:noWrap/>
            <w:vAlign w:val="bottom"/>
          </w:tcPr>
          <w:p w:rsidR="004318F3" w:rsidRPr="00E224A2" w:rsidRDefault="004318F3" w:rsidP="00F521AA">
            <w:pPr>
              <w:jc w:val="right"/>
              <w:rPr>
                <w:b/>
                <w:bCs/>
                <w:sz w:val="18"/>
                <w:szCs w:val="18"/>
              </w:rPr>
            </w:pPr>
            <w:r w:rsidRPr="00E224A2">
              <w:rPr>
                <w:b/>
                <w:bCs/>
                <w:sz w:val="18"/>
                <w:szCs w:val="18"/>
              </w:rPr>
              <w:t>24 139,3</w:t>
            </w:r>
          </w:p>
        </w:tc>
        <w:tc>
          <w:tcPr>
            <w:tcW w:w="1209" w:type="dxa"/>
            <w:tcBorders>
              <w:top w:val="single" w:sz="4" w:space="0" w:color="auto"/>
              <w:left w:val="nil"/>
              <w:bottom w:val="nil"/>
              <w:right w:val="nil"/>
            </w:tcBorders>
            <w:shd w:val="clear" w:color="auto" w:fill="auto"/>
            <w:noWrap/>
            <w:vAlign w:val="bottom"/>
          </w:tcPr>
          <w:p w:rsidR="004318F3" w:rsidRDefault="004318F3" w:rsidP="003C667C">
            <w:pPr>
              <w:jc w:val="right"/>
              <w:rPr>
                <w:b/>
                <w:bCs/>
                <w:sz w:val="18"/>
                <w:szCs w:val="18"/>
              </w:rPr>
            </w:pPr>
            <w:r>
              <w:rPr>
                <w:b/>
                <w:bCs/>
                <w:sz w:val="18"/>
                <w:szCs w:val="18"/>
              </w:rPr>
              <w:t>5 422,3</w:t>
            </w:r>
          </w:p>
        </w:tc>
        <w:tc>
          <w:tcPr>
            <w:tcW w:w="1304" w:type="dxa"/>
            <w:tcBorders>
              <w:top w:val="single" w:sz="4" w:space="0" w:color="auto"/>
              <w:left w:val="nil"/>
              <w:bottom w:val="nil"/>
              <w:right w:val="single" w:sz="8" w:space="0" w:color="auto"/>
            </w:tcBorders>
            <w:shd w:val="clear" w:color="auto" w:fill="auto"/>
            <w:noWrap/>
            <w:vAlign w:val="bottom"/>
          </w:tcPr>
          <w:p w:rsidR="004318F3" w:rsidRDefault="004318F3" w:rsidP="003C667C">
            <w:pPr>
              <w:jc w:val="right"/>
              <w:rPr>
                <w:b/>
                <w:bCs/>
                <w:sz w:val="18"/>
                <w:szCs w:val="18"/>
              </w:rPr>
            </w:pPr>
            <w:r>
              <w:rPr>
                <w:b/>
                <w:bCs/>
                <w:sz w:val="18"/>
                <w:szCs w:val="18"/>
              </w:rPr>
              <w:t>22,5%</w:t>
            </w:r>
          </w:p>
        </w:tc>
      </w:tr>
      <w:tr w:rsidR="004318F3" w:rsidRPr="00183C14" w:rsidTr="00F521AA">
        <w:trPr>
          <w:trHeight w:val="101"/>
          <w:jc w:val="center"/>
        </w:trPr>
        <w:tc>
          <w:tcPr>
            <w:tcW w:w="4853" w:type="dxa"/>
            <w:tcBorders>
              <w:top w:val="nil"/>
              <w:left w:val="single" w:sz="4" w:space="0" w:color="auto"/>
              <w:bottom w:val="nil"/>
              <w:right w:val="single" w:sz="4" w:space="0" w:color="auto"/>
            </w:tcBorders>
            <w:shd w:val="clear" w:color="auto" w:fill="auto"/>
            <w:noWrap/>
            <w:vAlign w:val="bottom"/>
          </w:tcPr>
          <w:p w:rsidR="004318F3" w:rsidRPr="00E224A2" w:rsidRDefault="004318F3" w:rsidP="00F521AA">
            <w:pPr>
              <w:rPr>
                <w:b/>
                <w:i/>
                <w:sz w:val="18"/>
                <w:szCs w:val="18"/>
              </w:rPr>
            </w:pPr>
            <w:r w:rsidRPr="00E224A2">
              <w:rPr>
                <w:b/>
                <w:i/>
                <w:sz w:val="18"/>
                <w:szCs w:val="18"/>
              </w:rPr>
              <w:t xml:space="preserve">   -Нелихвени разходи</w:t>
            </w:r>
          </w:p>
        </w:tc>
        <w:tc>
          <w:tcPr>
            <w:tcW w:w="1276" w:type="dxa"/>
            <w:tcBorders>
              <w:top w:val="nil"/>
              <w:left w:val="nil"/>
              <w:bottom w:val="nil"/>
              <w:right w:val="nil"/>
            </w:tcBorders>
            <w:shd w:val="clear" w:color="auto" w:fill="auto"/>
            <w:noWrap/>
            <w:vAlign w:val="bottom"/>
          </w:tcPr>
          <w:p w:rsidR="004318F3" w:rsidRPr="00E224A2" w:rsidRDefault="004318F3" w:rsidP="00F521AA">
            <w:pPr>
              <w:jc w:val="right"/>
              <w:rPr>
                <w:sz w:val="18"/>
                <w:szCs w:val="18"/>
              </w:rPr>
            </w:pPr>
            <w:r w:rsidRPr="00E224A2">
              <w:rPr>
                <w:sz w:val="18"/>
                <w:szCs w:val="18"/>
              </w:rPr>
              <w:t>11 167,9</w:t>
            </w:r>
          </w:p>
        </w:tc>
        <w:tc>
          <w:tcPr>
            <w:tcW w:w="1209" w:type="dxa"/>
            <w:tcBorders>
              <w:top w:val="nil"/>
              <w:left w:val="nil"/>
              <w:bottom w:val="nil"/>
              <w:right w:val="nil"/>
            </w:tcBorders>
            <w:shd w:val="clear" w:color="auto" w:fill="auto"/>
            <w:noWrap/>
            <w:vAlign w:val="bottom"/>
          </w:tcPr>
          <w:p w:rsidR="004318F3" w:rsidRDefault="004318F3" w:rsidP="003C667C">
            <w:pPr>
              <w:jc w:val="right"/>
              <w:rPr>
                <w:sz w:val="18"/>
                <w:szCs w:val="18"/>
              </w:rPr>
            </w:pPr>
            <w:r>
              <w:rPr>
                <w:sz w:val="18"/>
                <w:szCs w:val="18"/>
              </w:rPr>
              <w:t>2 052,8</w:t>
            </w:r>
          </w:p>
        </w:tc>
        <w:tc>
          <w:tcPr>
            <w:tcW w:w="1304" w:type="dxa"/>
            <w:tcBorders>
              <w:top w:val="nil"/>
              <w:left w:val="nil"/>
              <w:bottom w:val="nil"/>
              <w:right w:val="single" w:sz="8" w:space="0" w:color="auto"/>
            </w:tcBorders>
            <w:shd w:val="clear" w:color="auto" w:fill="auto"/>
            <w:noWrap/>
            <w:vAlign w:val="bottom"/>
          </w:tcPr>
          <w:p w:rsidR="004318F3" w:rsidRDefault="004318F3" w:rsidP="003C667C">
            <w:pPr>
              <w:jc w:val="right"/>
              <w:rPr>
                <w:sz w:val="18"/>
                <w:szCs w:val="18"/>
              </w:rPr>
            </w:pPr>
            <w:r>
              <w:rPr>
                <w:sz w:val="18"/>
                <w:szCs w:val="18"/>
              </w:rPr>
              <w:t>18,4%</w:t>
            </w:r>
          </w:p>
        </w:tc>
      </w:tr>
      <w:tr w:rsidR="004318F3" w:rsidRPr="00183C14" w:rsidTr="00F521AA">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4318F3" w:rsidRPr="00E224A2" w:rsidRDefault="004318F3" w:rsidP="00F521AA">
            <w:pPr>
              <w:rPr>
                <w:sz w:val="18"/>
                <w:szCs w:val="18"/>
              </w:rPr>
            </w:pPr>
            <w:r w:rsidRPr="00E224A2">
              <w:rPr>
                <w:sz w:val="18"/>
                <w:szCs w:val="18"/>
              </w:rPr>
              <w:t xml:space="preserve">      Текущи </w:t>
            </w:r>
          </w:p>
        </w:tc>
        <w:tc>
          <w:tcPr>
            <w:tcW w:w="1276" w:type="dxa"/>
            <w:tcBorders>
              <w:top w:val="nil"/>
              <w:left w:val="nil"/>
              <w:bottom w:val="nil"/>
              <w:right w:val="nil"/>
            </w:tcBorders>
            <w:shd w:val="clear" w:color="auto" w:fill="auto"/>
            <w:noWrap/>
            <w:vAlign w:val="bottom"/>
          </w:tcPr>
          <w:p w:rsidR="004318F3" w:rsidRPr="00E224A2" w:rsidRDefault="004318F3" w:rsidP="00F521AA">
            <w:pPr>
              <w:jc w:val="right"/>
              <w:rPr>
                <w:sz w:val="18"/>
                <w:szCs w:val="18"/>
              </w:rPr>
            </w:pPr>
            <w:r w:rsidRPr="00E224A2">
              <w:rPr>
                <w:sz w:val="18"/>
                <w:szCs w:val="18"/>
              </w:rPr>
              <w:t>8 774,1</w:t>
            </w:r>
          </w:p>
        </w:tc>
        <w:tc>
          <w:tcPr>
            <w:tcW w:w="1209" w:type="dxa"/>
            <w:tcBorders>
              <w:top w:val="nil"/>
              <w:left w:val="nil"/>
              <w:bottom w:val="nil"/>
              <w:right w:val="nil"/>
            </w:tcBorders>
            <w:shd w:val="clear" w:color="auto" w:fill="auto"/>
            <w:noWrap/>
            <w:vAlign w:val="bottom"/>
          </w:tcPr>
          <w:p w:rsidR="004318F3" w:rsidRDefault="004318F3" w:rsidP="003C667C">
            <w:pPr>
              <w:jc w:val="right"/>
              <w:rPr>
                <w:sz w:val="18"/>
                <w:szCs w:val="18"/>
              </w:rPr>
            </w:pPr>
            <w:r>
              <w:rPr>
                <w:sz w:val="18"/>
                <w:szCs w:val="18"/>
              </w:rPr>
              <w:t>1 918,0</w:t>
            </w:r>
          </w:p>
        </w:tc>
        <w:tc>
          <w:tcPr>
            <w:tcW w:w="1304" w:type="dxa"/>
            <w:tcBorders>
              <w:top w:val="nil"/>
              <w:left w:val="nil"/>
              <w:bottom w:val="nil"/>
              <w:right w:val="single" w:sz="8" w:space="0" w:color="auto"/>
            </w:tcBorders>
            <w:shd w:val="clear" w:color="auto" w:fill="auto"/>
            <w:noWrap/>
            <w:vAlign w:val="bottom"/>
          </w:tcPr>
          <w:p w:rsidR="004318F3" w:rsidRDefault="004318F3" w:rsidP="003C667C">
            <w:pPr>
              <w:jc w:val="right"/>
              <w:rPr>
                <w:sz w:val="18"/>
                <w:szCs w:val="18"/>
              </w:rPr>
            </w:pPr>
            <w:r>
              <w:rPr>
                <w:sz w:val="18"/>
                <w:szCs w:val="18"/>
              </w:rPr>
              <w:t>21,9%</w:t>
            </w:r>
          </w:p>
        </w:tc>
      </w:tr>
      <w:tr w:rsidR="004318F3" w:rsidRPr="00183C14" w:rsidTr="00F521AA">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4318F3" w:rsidRPr="00E224A2" w:rsidRDefault="004318F3" w:rsidP="00F521AA">
            <w:pPr>
              <w:rPr>
                <w:sz w:val="18"/>
                <w:szCs w:val="18"/>
              </w:rPr>
            </w:pPr>
            <w:r w:rsidRPr="00E224A2">
              <w:rPr>
                <w:sz w:val="18"/>
                <w:szCs w:val="18"/>
              </w:rPr>
              <w:t xml:space="preserve">      Предоставени </w:t>
            </w:r>
            <w:proofErr w:type="spellStart"/>
            <w:r w:rsidRPr="00E224A2">
              <w:rPr>
                <w:sz w:val="18"/>
                <w:szCs w:val="18"/>
              </w:rPr>
              <w:t>тек</w:t>
            </w:r>
            <w:proofErr w:type="spellEnd"/>
            <w:r w:rsidRPr="00E224A2">
              <w:rPr>
                <w:sz w:val="18"/>
                <w:szCs w:val="18"/>
              </w:rPr>
              <w:t xml:space="preserve">. и </w:t>
            </w:r>
            <w:proofErr w:type="spellStart"/>
            <w:r w:rsidRPr="00E224A2">
              <w:rPr>
                <w:sz w:val="18"/>
                <w:szCs w:val="18"/>
              </w:rPr>
              <w:t>капит</w:t>
            </w:r>
            <w:proofErr w:type="spellEnd"/>
            <w:r w:rsidRPr="00E224A2">
              <w:rPr>
                <w:sz w:val="18"/>
                <w:szCs w:val="18"/>
              </w:rPr>
              <w:t>. трансфери за чужбина</w:t>
            </w:r>
          </w:p>
        </w:tc>
        <w:tc>
          <w:tcPr>
            <w:tcW w:w="1276" w:type="dxa"/>
            <w:tcBorders>
              <w:top w:val="nil"/>
              <w:left w:val="nil"/>
              <w:bottom w:val="nil"/>
              <w:right w:val="nil"/>
            </w:tcBorders>
            <w:shd w:val="clear" w:color="auto" w:fill="auto"/>
            <w:noWrap/>
            <w:vAlign w:val="bottom"/>
          </w:tcPr>
          <w:p w:rsidR="004318F3" w:rsidRPr="00E224A2" w:rsidRDefault="004318F3" w:rsidP="00F521AA">
            <w:pPr>
              <w:jc w:val="right"/>
              <w:rPr>
                <w:sz w:val="18"/>
                <w:szCs w:val="18"/>
              </w:rPr>
            </w:pPr>
            <w:r w:rsidRPr="00E224A2">
              <w:rPr>
                <w:sz w:val="18"/>
                <w:szCs w:val="18"/>
              </w:rPr>
              <w:t>14,4</w:t>
            </w:r>
          </w:p>
        </w:tc>
        <w:tc>
          <w:tcPr>
            <w:tcW w:w="1209" w:type="dxa"/>
            <w:tcBorders>
              <w:top w:val="nil"/>
              <w:left w:val="nil"/>
              <w:bottom w:val="nil"/>
              <w:right w:val="nil"/>
            </w:tcBorders>
            <w:shd w:val="clear" w:color="auto" w:fill="auto"/>
            <w:noWrap/>
            <w:vAlign w:val="bottom"/>
          </w:tcPr>
          <w:p w:rsidR="004318F3" w:rsidRDefault="004318F3" w:rsidP="003C667C">
            <w:pPr>
              <w:jc w:val="right"/>
              <w:rPr>
                <w:sz w:val="18"/>
                <w:szCs w:val="18"/>
              </w:rPr>
            </w:pPr>
            <w:r>
              <w:rPr>
                <w:sz w:val="18"/>
                <w:szCs w:val="18"/>
              </w:rPr>
              <w:t>1,9</w:t>
            </w:r>
          </w:p>
        </w:tc>
        <w:tc>
          <w:tcPr>
            <w:tcW w:w="1304" w:type="dxa"/>
            <w:tcBorders>
              <w:top w:val="nil"/>
              <w:left w:val="nil"/>
              <w:bottom w:val="nil"/>
              <w:right w:val="single" w:sz="8" w:space="0" w:color="auto"/>
            </w:tcBorders>
            <w:shd w:val="clear" w:color="auto" w:fill="auto"/>
            <w:noWrap/>
            <w:vAlign w:val="bottom"/>
          </w:tcPr>
          <w:p w:rsidR="004318F3" w:rsidRDefault="004318F3" w:rsidP="003C667C">
            <w:pPr>
              <w:jc w:val="right"/>
              <w:rPr>
                <w:sz w:val="18"/>
                <w:szCs w:val="18"/>
              </w:rPr>
            </w:pPr>
            <w:r>
              <w:rPr>
                <w:sz w:val="18"/>
                <w:szCs w:val="18"/>
              </w:rPr>
              <w:t>13,3%</w:t>
            </w:r>
          </w:p>
        </w:tc>
      </w:tr>
      <w:tr w:rsidR="004318F3" w:rsidRPr="00183C14" w:rsidTr="00F521AA">
        <w:trPr>
          <w:trHeight w:val="179"/>
          <w:jc w:val="center"/>
        </w:trPr>
        <w:tc>
          <w:tcPr>
            <w:tcW w:w="4853" w:type="dxa"/>
            <w:tcBorders>
              <w:top w:val="nil"/>
              <w:left w:val="single" w:sz="4" w:space="0" w:color="auto"/>
              <w:bottom w:val="nil"/>
              <w:right w:val="single" w:sz="4" w:space="0" w:color="auto"/>
            </w:tcBorders>
            <w:shd w:val="clear" w:color="auto" w:fill="auto"/>
            <w:noWrap/>
            <w:vAlign w:val="bottom"/>
          </w:tcPr>
          <w:p w:rsidR="004318F3" w:rsidRPr="00E224A2" w:rsidRDefault="004318F3" w:rsidP="00F521AA">
            <w:pPr>
              <w:rPr>
                <w:sz w:val="18"/>
                <w:szCs w:val="18"/>
              </w:rPr>
            </w:pPr>
            <w:r w:rsidRPr="00E224A2">
              <w:rPr>
                <w:sz w:val="18"/>
                <w:szCs w:val="18"/>
              </w:rPr>
              <w:t xml:space="preserve">      Капиталови</w:t>
            </w:r>
          </w:p>
        </w:tc>
        <w:tc>
          <w:tcPr>
            <w:tcW w:w="1276" w:type="dxa"/>
            <w:tcBorders>
              <w:top w:val="nil"/>
              <w:left w:val="nil"/>
              <w:bottom w:val="nil"/>
              <w:right w:val="nil"/>
            </w:tcBorders>
            <w:shd w:val="clear" w:color="auto" w:fill="auto"/>
            <w:noWrap/>
            <w:vAlign w:val="bottom"/>
          </w:tcPr>
          <w:p w:rsidR="004318F3" w:rsidRPr="00E224A2" w:rsidRDefault="004318F3" w:rsidP="00F521AA">
            <w:pPr>
              <w:jc w:val="right"/>
              <w:rPr>
                <w:sz w:val="18"/>
                <w:szCs w:val="18"/>
              </w:rPr>
            </w:pPr>
            <w:r w:rsidRPr="00E224A2">
              <w:rPr>
                <w:sz w:val="18"/>
                <w:szCs w:val="18"/>
              </w:rPr>
              <w:t>2 379,5</w:t>
            </w:r>
          </w:p>
        </w:tc>
        <w:tc>
          <w:tcPr>
            <w:tcW w:w="1209" w:type="dxa"/>
            <w:tcBorders>
              <w:top w:val="nil"/>
              <w:left w:val="nil"/>
              <w:bottom w:val="nil"/>
              <w:right w:val="nil"/>
            </w:tcBorders>
            <w:shd w:val="clear" w:color="auto" w:fill="auto"/>
            <w:noWrap/>
            <w:vAlign w:val="bottom"/>
          </w:tcPr>
          <w:p w:rsidR="004318F3" w:rsidRDefault="004318F3" w:rsidP="003C667C">
            <w:pPr>
              <w:jc w:val="right"/>
              <w:rPr>
                <w:sz w:val="18"/>
                <w:szCs w:val="18"/>
              </w:rPr>
            </w:pPr>
            <w:r>
              <w:rPr>
                <w:sz w:val="18"/>
                <w:szCs w:val="18"/>
              </w:rPr>
              <w:t>132,9</w:t>
            </w:r>
          </w:p>
        </w:tc>
        <w:tc>
          <w:tcPr>
            <w:tcW w:w="1304" w:type="dxa"/>
            <w:tcBorders>
              <w:top w:val="nil"/>
              <w:left w:val="nil"/>
              <w:bottom w:val="nil"/>
              <w:right w:val="single" w:sz="8" w:space="0" w:color="auto"/>
            </w:tcBorders>
            <w:shd w:val="clear" w:color="auto" w:fill="auto"/>
            <w:noWrap/>
            <w:vAlign w:val="bottom"/>
          </w:tcPr>
          <w:p w:rsidR="004318F3" w:rsidRDefault="004318F3" w:rsidP="003C667C">
            <w:pPr>
              <w:jc w:val="right"/>
              <w:rPr>
                <w:sz w:val="18"/>
                <w:szCs w:val="18"/>
              </w:rPr>
            </w:pPr>
            <w:r>
              <w:rPr>
                <w:sz w:val="18"/>
                <w:szCs w:val="18"/>
              </w:rPr>
              <w:t>5,6%</w:t>
            </w:r>
          </w:p>
        </w:tc>
      </w:tr>
      <w:tr w:rsidR="004318F3" w:rsidRPr="00183C14" w:rsidTr="00F521AA">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4318F3" w:rsidRPr="00E224A2" w:rsidRDefault="004318F3" w:rsidP="00F521AA">
            <w:pPr>
              <w:rPr>
                <w:b/>
                <w:i/>
                <w:sz w:val="18"/>
                <w:szCs w:val="18"/>
              </w:rPr>
            </w:pPr>
            <w:r w:rsidRPr="00E224A2">
              <w:rPr>
                <w:b/>
                <w:i/>
                <w:sz w:val="18"/>
                <w:szCs w:val="18"/>
              </w:rPr>
              <w:t xml:space="preserve">   -Лихви</w:t>
            </w:r>
          </w:p>
        </w:tc>
        <w:tc>
          <w:tcPr>
            <w:tcW w:w="1276" w:type="dxa"/>
            <w:tcBorders>
              <w:top w:val="nil"/>
              <w:left w:val="nil"/>
              <w:bottom w:val="nil"/>
              <w:right w:val="nil"/>
            </w:tcBorders>
            <w:shd w:val="clear" w:color="auto" w:fill="auto"/>
            <w:noWrap/>
            <w:vAlign w:val="bottom"/>
          </w:tcPr>
          <w:p w:rsidR="004318F3" w:rsidRPr="00E224A2" w:rsidRDefault="004318F3" w:rsidP="00F521AA">
            <w:pPr>
              <w:jc w:val="right"/>
              <w:rPr>
                <w:sz w:val="18"/>
                <w:szCs w:val="18"/>
              </w:rPr>
            </w:pPr>
            <w:r w:rsidRPr="00E224A2">
              <w:rPr>
                <w:sz w:val="18"/>
                <w:szCs w:val="18"/>
              </w:rPr>
              <w:t>684,3</w:t>
            </w:r>
          </w:p>
        </w:tc>
        <w:tc>
          <w:tcPr>
            <w:tcW w:w="1209" w:type="dxa"/>
            <w:tcBorders>
              <w:top w:val="nil"/>
              <w:left w:val="nil"/>
              <w:bottom w:val="nil"/>
              <w:right w:val="nil"/>
            </w:tcBorders>
            <w:shd w:val="clear" w:color="auto" w:fill="auto"/>
            <w:noWrap/>
            <w:vAlign w:val="bottom"/>
          </w:tcPr>
          <w:p w:rsidR="004318F3" w:rsidRDefault="004318F3" w:rsidP="003C667C">
            <w:pPr>
              <w:jc w:val="right"/>
              <w:rPr>
                <w:sz w:val="18"/>
                <w:szCs w:val="18"/>
              </w:rPr>
            </w:pPr>
            <w:r>
              <w:rPr>
                <w:sz w:val="18"/>
                <w:szCs w:val="18"/>
              </w:rPr>
              <w:t>371,0</w:t>
            </w:r>
          </w:p>
        </w:tc>
        <w:tc>
          <w:tcPr>
            <w:tcW w:w="1304" w:type="dxa"/>
            <w:tcBorders>
              <w:top w:val="nil"/>
              <w:left w:val="nil"/>
              <w:bottom w:val="nil"/>
              <w:right w:val="single" w:sz="8" w:space="0" w:color="auto"/>
            </w:tcBorders>
            <w:shd w:val="clear" w:color="auto" w:fill="auto"/>
            <w:noWrap/>
            <w:vAlign w:val="bottom"/>
          </w:tcPr>
          <w:p w:rsidR="004318F3" w:rsidRDefault="004318F3" w:rsidP="003C667C">
            <w:pPr>
              <w:jc w:val="right"/>
              <w:rPr>
                <w:sz w:val="18"/>
                <w:szCs w:val="18"/>
              </w:rPr>
            </w:pPr>
            <w:r>
              <w:rPr>
                <w:sz w:val="18"/>
                <w:szCs w:val="18"/>
              </w:rPr>
              <w:t>54,2%</w:t>
            </w:r>
          </w:p>
        </w:tc>
      </w:tr>
      <w:tr w:rsidR="004318F3" w:rsidRPr="00183C14" w:rsidTr="00F521AA">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4318F3" w:rsidRPr="00E224A2" w:rsidRDefault="004318F3" w:rsidP="00F521AA">
            <w:pPr>
              <w:rPr>
                <w:sz w:val="18"/>
                <w:szCs w:val="18"/>
              </w:rPr>
            </w:pPr>
            <w:r w:rsidRPr="00E224A2">
              <w:rPr>
                <w:sz w:val="18"/>
                <w:szCs w:val="18"/>
              </w:rPr>
              <w:t xml:space="preserve">      По външни заеми</w:t>
            </w:r>
          </w:p>
        </w:tc>
        <w:tc>
          <w:tcPr>
            <w:tcW w:w="1276" w:type="dxa"/>
            <w:tcBorders>
              <w:top w:val="nil"/>
              <w:left w:val="nil"/>
              <w:bottom w:val="nil"/>
              <w:right w:val="nil"/>
            </w:tcBorders>
            <w:shd w:val="clear" w:color="auto" w:fill="auto"/>
            <w:noWrap/>
            <w:vAlign w:val="bottom"/>
          </w:tcPr>
          <w:p w:rsidR="004318F3" w:rsidRPr="00E224A2" w:rsidRDefault="004318F3" w:rsidP="00F521AA">
            <w:pPr>
              <w:jc w:val="right"/>
              <w:rPr>
                <w:sz w:val="18"/>
                <w:szCs w:val="18"/>
              </w:rPr>
            </w:pPr>
            <w:r w:rsidRPr="00E224A2">
              <w:rPr>
                <w:sz w:val="18"/>
                <w:szCs w:val="18"/>
              </w:rPr>
              <w:t>445,4</w:t>
            </w:r>
          </w:p>
        </w:tc>
        <w:tc>
          <w:tcPr>
            <w:tcW w:w="1209" w:type="dxa"/>
            <w:tcBorders>
              <w:top w:val="nil"/>
              <w:left w:val="nil"/>
              <w:bottom w:val="nil"/>
              <w:right w:val="nil"/>
            </w:tcBorders>
            <w:shd w:val="clear" w:color="auto" w:fill="auto"/>
            <w:noWrap/>
            <w:vAlign w:val="bottom"/>
          </w:tcPr>
          <w:p w:rsidR="004318F3" w:rsidRDefault="004318F3" w:rsidP="003C667C">
            <w:pPr>
              <w:jc w:val="right"/>
              <w:rPr>
                <w:sz w:val="18"/>
                <w:szCs w:val="18"/>
              </w:rPr>
            </w:pPr>
            <w:r>
              <w:rPr>
                <w:sz w:val="18"/>
                <w:szCs w:val="18"/>
              </w:rPr>
              <w:t>256,1</w:t>
            </w:r>
          </w:p>
        </w:tc>
        <w:tc>
          <w:tcPr>
            <w:tcW w:w="1304" w:type="dxa"/>
            <w:tcBorders>
              <w:top w:val="nil"/>
              <w:left w:val="nil"/>
              <w:bottom w:val="nil"/>
              <w:right w:val="single" w:sz="8" w:space="0" w:color="auto"/>
            </w:tcBorders>
            <w:shd w:val="clear" w:color="auto" w:fill="auto"/>
            <w:noWrap/>
            <w:vAlign w:val="bottom"/>
          </w:tcPr>
          <w:p w:rsidR="004318F3" w:rsidRDefault="004318F3" w:rsidP="003C667C">
            <w:pPr>
              <w:jc w:val="right"/>
              <w:rPr>
                <w:sz w:val="18"/>
                <w:szCs w:val="18"/>
              </w:rPr>
            </w:pPr>
            <w:r>
              <w:rPr>
                <w:sz w:val="18"/>
                <w:szCs w:val="18"/>
              </w:rPr>
              <w:t>57,5%</w:t>
            </w:r>
          </w:p>
        </w:tc>
      </w:tr>
      <w:tr w:rsidR="004318F3" w:rsidRPr="00183C14" w:rsidTr="00F521AA">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4318F3" w:rsidRPr="00E224A2" w:rsidRDefault="004318F3" w:rsidP="00F521AA">
            <w:pPr>
              <w:rPr>
                <w:sz w:val="18"/>
                <w:szCs w:val="18"/>
              </w:rPr>
            </w:pPr>
            <w:r w:rsidRPr="00E224A2">
              <w:rPr>
                <w:sz w:val="18"/>
                <w:szCs w:val="18"/>
              </w:rPr>
              <w:t xml:space="preserve">      По вътрешни заеми</w:t>
            </w:r>
          </w:p>
        </w:tc>
        <w:tc>
          <w:tcPr>
            <w:tcW w:w="1276" w:type="dxa"/>
            <w:tcBorders>
              <w:top w:val="nil"/>
              <w:left w:val="nil"/>
              <w:bottom w:val="nil"/>
              <w:right w:val="nil"/>
            </w:tcBorders>
            <w:shd w:val="clear" w:color="auto" w:fill="auto"/>
            <w:noWrap/>
            <w:vAlign w:val="bottom"/>
          </w:tcPr>
          <w:p w:rsidR="004318F3" w:rsidRPr="00E224A2" w:rsidRDefault="004318F3" w:rsidP="00F521AA">
            <w:pPr>
              <w:jc w:val="right"/>
              <w:rPr>
                <w:sz w:val="18"/>
                <w:szCs w:val="18"/>
              </w:rPr>
            </w:pPr>
            <w:r w:rsidRPr="00E224A2">
              <w:rPr>
                <w:sz w:val="18"/>
                <w:szCs w:val="18"/>
              </w:rPr>
              <w:t>238,9</w:t>
            </w:r>
          </w:p>
        </w:tc>
        <w:tc>
          <w:tcPr>
            <w:tcW w:w="1209" w:type="dxa"/>
            <w:tcBorders>
              <w:top w:val="nil"/>
              <w:left w:val="nil"/>
              <w:bottom w:val="nil"/>
              <w:right w:val="nil"/>
            </w:tcBorders>
            <w:shd w:val="clear" w:color="auto" w:fill="auto"/>
            <w:noWrap/>
            <w:vAlign w:val="bottom"/>
          </w:tcPr>
          <w:p w:rsidR="004318F3" w:rsidRDefault="004318F3" w:rsidP="003C667C">
            <w:pPr>
              <w:jc w:val="right"/>
              <w:rPr>
                <w:sz w:val="18"/>
                <w:szCs w:val="18"/>
              </w:rPr>
            </w:pPr>
            <w:r>
              <w:rPr>
                <w:sz w:val="18"/>
                <w:szCs w:val="18"/>
              </w:rPr>
              <w:t>115,0</w:t>
            </w:r>
          </w:p>
        </w:tc>
        <w:tc>
          <w:tcPr>
            <w:tcW w:w="1304" w:type="dxa"/>
            <w:tcBorders>
              <w:top w:val="nil"/>
              <w:left w:val="nil"/>
              <w:bottom w:val="nil"/>
              <w:right w:val="single" w:sz="8" w:space="0" w:color="auto"/>
            </w:tcBorders>
            <w:shd w:val="clear" w:color="auto" w:fill="auto"/>
            <w:noWrap/>
            <w:vAlign w:val="bottom"/>
          </w:tcPr>
          <w:p w:rsidR="004318F3" w:rsidRDefault="004318F3" w:rsidP="003C667C">
            <w:pPr>
              <w:jc w:val="right"/>
              <w:rPr>
                <w:sz w:val="18"/>
                <w:szCs w:val="18"/>
              </w:rPr>
            </w:pPr>
            <w:r>
              <w:rPr>
                <w:sz w:val="18"/>
                <w:szCs w:val="18"/>
              </w:rPr>
              <w:t>48,1%</w:t>
            </w:r>
          </w:p>
        </w:tc>
      </w:tr>
      <w:tr w:rsidR="004318F3" w:rsidRPr="00183C14" w:rsidTr="00F521AA">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4318F3" w:rsidRPr="00E224A2" w:rsidRDefault="004318F3" w:rsidP="00F521AA">
            <w:pPr>
              <w:rPr>
                <w:b/>
                <w:i/>
                <w:sz w:val="18"/>
                <w:szCs w:val="18"/>
              </w:rPr>
            </w:pPr>
            <w:r w:rsidRPr="00E224A2">
              <w:rPr>
                <w:b/>
                <w:i/>
                <w:sz w:val="18"/>
                <w:szCs w:val="18"/>
              </w:rPr>
              <w:t xml:space="preserve"> - Резерв за непредвидени и неотложни разходи</w:t>
            </w:r>
            <w:r w:rsidRPr="00E224A2">
              <w:rPr>
                <w:rStyle w:val="FootnoteReference"/>
                <w:b/>
                <w:bCs/>
                <w:sz w:val="20"/>
                <w:szCs w:val="20"/>
              </w:rPr>
              <w:footnoteReference w:id="8"/>
            </w:r>
            <w:r w:rsidRPr="00E224A2">
              <w:rPr>
                <w:b/>
                <w:i/>
                <w:sz w:val="18"/>
                <w:szCs w:val="18"/>
              </w:rPr>
              <w:tab/>
            </w:r>
          </w:p>
        </w:tc>
        <w:tc>
          <w:tcPr>
            <w:tcW w:w="1276" w:type="dxa"/>
            <w:tcBorders>
              <w:top w:val="nil"/>
              <w:left w:val="nil"/>
              <w:bottom w:val="nil"/>
              <w:right w:val="nil"/>
            </w:tcBorders>
            <w:shd w:val="clear" w:color="auto" w:fill="auto"/>
            <w:noWrap/>
            <w:vAlign w:val="bottom"/>
          </w:tcPr>
          <w:p w:rsidR="004318F3" w:rsidRPr="00E224A2" w:rsidRDefault="004318F3" w:rsidP="00F521AA">
            <w:pPr>
              <w:jc w:val="right"/>
              <w:rPr>
                <w:sz w:val="18"/>
                <w:szCs w:val="18"/>
              </w:rPr>
            </w:pPr>
            <w:r w:rsidRPr="00E224A2">
              <w:rPr>
                <w:sz w:val="18"/>
                <w:szCs w:val="18"/>
              </w:rPr>
              <w:t>71,1</w:t>
            </w:r>
          </w:p>
        </w:tc>
        <w:tc>
          <w:tcPr>
            <w:tcW w:w="1209" w:type="dxa"/>
            <w:tcBorders>
              <w:top w:val="nil"/>
              <w:left w:val="nil"/>
              <w:bottom w:val="nil"/>
              <w:right w:val="nil"/>
            </w:tcBorders>
            <w:shd w:val="clear" w:color="auto" w:fill="auto"/>
            <w:noWrap/>
            <w:vAlign w:val="bottom"/>
          </w:tcPr>
          <w:p w:rsidR="004318F3" w:rsidRDefault="004318F3" w:rsidP="003C667C">
            <w:pPr>
              <w:jc w:val="right"/>
              <w:rPr>
                <w:sz w:val="18"/>
                <w:szCs w:val="18"/>
              </w:rPr>
            </w:pPr>
          </w:p>
        </w:tc>
        <w:tc>
          <w:tcPr>
            <w:tcW w:w="1304" w:type="dxa"/>
            <w:tcBorders>
              <w:top w:val="nil"/>
              <w:left w:val="nil"/>
              <w:bottom w:val="nil"/>
              <w:right w:val="single" w:sz="8" w:space="0" w:color="auto"/>
            </w:tcBorders>
            <w:shd w:val="clear" w:color="auto" w:fill="auto"/>
            <w:noWrap/>
            <w:vAlign w:val="bottom"/>
          </w:tcPr>
          <w:p w:rsidR="004318F3" w:rsidRDefault="004318F3" w:rsidP="003C667C">
            <w:pPr>
              <w:jc w:val="right"/>
              <w:rPr>
                <w:sz w:val="18"/>
                <w:szCs w:val="18"/>
              </w:rPr>
            </w:pPr>
          </w:p>
        </w:tc>
      </w:tr>
      <w:tr w:rsidR="004318F3" w:rsidRPr="00183C14" w:rsidTr="00F521AA">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4318F3" w:rsidRPr="00E224A2" w:rsidRDefault="004318F3" w:rsidP="00F521AA">
            <w:pPr>
              <w:rPr>
                <w:b/>
                <w:i/>
                <w:sz w:val="18"/>
                <w:szCs w:val="18"/>
              </w:rPr>
            </w:pPr>
            <w:r w:rsidRPr="00E224A2">
              <w:rPr>
                <w:b/>
                <w:i/>
                <w:sz w:val="18"/>
                <w:szCs w:val="18"/>
              </w:rPr>
              <w:t xml:space="preserve"> -Трансфери за  др. бюджети - нето</w:t>
            </w:r>
          </w:p>
        </w:tc>
        <w:tc>
          <w:tcPr>
            <w:tcW w:w="1276" w:type="dxa"/>
            <w:tcBorders>
              <w:top w:val="nil"/>
              <w:left w:val="nil"/>
              <w:bottom w:val="nil"/>
              <w:right w:val="nil"/>
            </w:tcBorders>
            <w:shd w:val="clear" w:color="auto" w:fill="auto"/>
            <w:noWrap/>
            <w:vAlign w:val="bottom"/>
          </w:tcPr>
          <w:p w:rsidR="004318F3" w:rsidRPr="00E224A2" w:rsidRDefault="004318F3" w:rsidP="00F521AA">
            <w:pPr>
              <w:jc w:val="right"/>
              <w:rPr>
                <w:sz w:val="18"/>
                <w:szCs w:val="18"/>
              </w:rPr>
            </w:pPr>
            <w:r w:rsidRPr="00E224A2">
              <w:rPr>
                <w:sz w:val="18"/>
                <w:szCs w:val="18"/>
              </w:rPr>
              <w:t>11 082,1</w:t>
            </w:r>
          </w:p>
        </w:tc>
        <w:tc>
          <w:tcPr>
            <w:tcW w:w="1209" w:type="dxa"/>
            <w:tcBorders>
              <w:top w:val="nil"/>
              <w:left w:val="nil"/>
              <w:bottom w:val="nil"/>
              <w:right w:val="nil"/>
            </w:tcBorders>
            <w:shd w:val="clear" w:color="auto" w:fill="auto"/>
            <w:noWrap/>
            <w:vAlign w:val="bottom"/>
          </w:tcPr>
          <w:p w:rsidR="004318F3" w:rsidRDefault="004318F3" w:rsidP="003C667C">
            <w:pPr>
              <w:jc w:val="right"/>
              <w:rPr>
                <w:sz w:val="18"/>
                <w:szCs w:val="18"/>
              </w:rPr>
            </w:pPr>
            <w:r>
              <w:rPr>
                <w:sz w:val="18"/>
                <w:szCs w:val="18"/>
              </w:rPr>
              <w:t>2 690,2</w:t>
            </w:r>
          </w:p>
        </w:tc>
        <w:tc>
          <w:tcPr>
            <w:tcW w:w="1304" w:type="dxa"/>
            <w:tcBorders>
              <w:top w:val="nil"/>
              <w:left w:val="nil"/>
              <w:bottom w:val="nil"/>
              <w:right w:val="single" w:sz="8" w:space="0" w:color="auto"/>
            </w:tcBorders>
            <w:shd w:val="clear" w:color="auto" w:fill="auto"/>
            <w:noWrap/>
            <w:vAlign w:val="bottom"/>
          </w:tcPr>
          <w:p w:rsidR="004318F3" w:rsidRDefault="004318F3" w:rsidP="003C667C">
            <w:pPr>
              <w:jc w:val="right"/>
              <w:rPr>
                <w:sz w:val="18"/>
                <w:szCs w:val="18"/>
              </w:rPr>
            </w:pPr>
            <w:r>
              <w:rPr>
                <w:sz w:val="18"/>
                <w:szCs w:val="18"/>
              </w:rPr>
              <w:t>24,3%</w:t>
            </w:r>
          </w:p>
        </w:tc>
      </w:tr>
      <w:tr w:rsidR="004318F3" w:rsidRPr="00183C14" w:rsidTr="00F521AA">
        <w:trPr>
          <w:trHeight w:val="80"/>
          <w:jc w:val="center"/>
        </w:trPr>
        <w:tc>
          <w:tcPr>
            <w:tcW w:w="4853" w:type="dxa"/>
            <w:tcBorders>
              <w:top w:val="nil"/>
              <w:left w:val="single" w:sz="4" w:space="0" w:color="auto"/>
              <w:bottom w:val="single" w:sz="4" w:space="0" w:color="auto"/>
              <w:right w:val="single" w:sz="4" w:space="0" w:color="auto"/>
            </w:tcBorders>
            <w:shd w:val="clear" w:color="auto" w:fill="auto"/>
            <w:noWrap/>
            <w:vAlign w:val="bottom"/>
          </w:tcPr>
          <w:p w:rsidR="004318F3" w:rsidRPr="00E224A2" w:rsidRDefault="004318F3" w:rsidP="00F521AA">
            <w:pPr>
              <w:rPr>
                <w:b/>
                <w:bCs/>
                <w:i/>
                <w:sz w:val="18"/>
                <w:szCs w:val="18"/>
              </w:rPr>
            </w:pPr>
            <w:r w:rsidRPr="00E224A2">
              <w:rPr>
                <w:b/>
                <w:bCs/>
                <w:i/>
                <w:sz w:val="18"/>
                <w:szCs w:val="18"/>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rsidR="004318F3" w:rsidRPr="00E224A2" w:rsidRDefault="004318F3" w:rsidP="00F521AA">
            <w:pPr>
              <w:jc w:val="right"/>
              <w:rPr>
                <w:sz w:val="18"/>
                <w:szCs w:val="18"/>
              </w:rPr>
            </w:pPr>
            <w:r w:rsidRPr="00E224A2">
              <w:rPr>
                <w:sz w:val="18"/>
                <w:szCs w:val="18"/>
              </w:rPr>
              <w:t>1 133,9</w:t>
            </w:r>
          </w:p>
        </w:tc>
        <w:tc>
          <w:tcPr>
            <w:tcW w:w="1209" w:type="dxa"/>
            <w:tcBorders>
              <w:top w:val="nil"/>
              <w:left w:val="nil"/>
              <w:bottom w:val="single" w:sz="4" w:space="0" w:color="auto"/>
              <w:right w:val="nil"/>
            </w:tcBorders>
            <w:shd w:val="clear" w:color="auto" w:fill="auto"/>
            <w:noWrap/>
            <w:vAlign w:val="bottom"/>
          </w:tcPr>
          <w:p w:rsidR="004318F3" w:rsidRDefault="004318F3" w:rsidP="003C667C">
            <w:pPr>
              <w:jc w:val="right"/>
              <w:rPr>
                <w:sz w:val="18"/>
                <w:szCs w:val="18"/>
              </w:rPr>
            </w:pPr>
            <w:r>
              <w:rPr>
                <w:sz w:val="18"/>
                <w:szCs w:val="18"/>
              </w:rPr>
              <w:t>308,2</w:t>
            </w:r>
          </w:p>
        </w:tc>
        <w:tc>
          <w:tcPr>
            <w:tcW w:w="1304" w:type="dxa"/>
            <w:tcBorders>
              <w:top w:val="nil"/>
              <w:left w:val="nil"/>
              <w:bottom w:val="single" w:sz="4" w:space="0" w:color="auto"/>
              <w:right w:val="single" w:sz="8" w:space="0" w:color="auto"/>
            </w:tcBorders>
            <w:shd w:val="clear" w:color="auto" w:fill="auto"/>
            <w:noWrap/>
            <w:vAlign w:val="bottom"/>
          </w:tcPr>
          <w:p w:rsidR="004318F3" w:rsidRDefault="004318F3" w:rsidP="003C667C">
            <w:pPr>
              <w:jc w:val="right"/>
              <w:rPr>
                <w:sz w:val="18"/>
                <w:szCs w:val="18"/>
              </w:rPr>
            </w:pPr>
            <w:r>
              <w:rPr>
                <w:sz w:val="18"/>
                <w:szCs w:val="18"/>
              </w:rPr>
              <w:t>27,2%</w:t>
            </w:r>
          </w:p>
        </w:tc>
      </w:tr>
      <w:tr w:rsidR="004318F3" w:rsidRPr="00183C14" w:rsidTr="00F521AA">
        <w:trPr>
          <w:trHeight w:val="70"/>
          <w:jc w:val="center"/>
        </w:trPr>
        <w:tc>
          <w:tcPr>
            <w:tcW w:w="4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8F3" w:rsidRPr="00E224A2" w:rsidRDefault="004318F3" w:rsidP="00F521AA">
            <w:pPr>
              <w:rPr>
                <w:b/>
                <w:bCs/>
                <w:sz w:val="18"/>
                <w:szCs w:val="18"/>
              </w:rPr>
            </w:pPr>
            <w:r w:rsidRPr="00E224A2">
              <w:rPr>
                <w:b/>
                <w:bCs/>
                <w:sz w:val="18"/>
                <w:szCs w:val="18"/>
              </w:rPr>
              <w:t>Бюджетен баланс</w:t>
            </w:r>
          </w:p>
        </w:tc>
        <w:tc>
          <w:tcPr>
            <w:tcW w:w="1276" w:type="dxa"/>
            <w:tcBorders>
              <w:top w:val="single" w:sz="4" w:space="0" w:color="auto"/>
              <w:left w:val="nil"/>
              <w:bottom w:val="single" w:sz="8" w:space="0" w:color="auto"/>
              <w:right w:val="nil"/>
            </w:tcBorders>
            <w:shd w:val="clear" w:color="auto" w:fill="auto"/>
            <w:noWrap/>
            <w:vAlign w:val="bottom"/>
          </w:tcPr>
          <w:p w:rsidR="004318F3" w:rsidRPr="00E224A2" w:rsidRDefault="004318F3" w:rsidP="00F521AA">
            <w:pPr>
              <w:jc w:val="right"/>
              <w:rPr>
                <w:b/>
                <w:bCs/>
                <w:sz w:val="18"/>
                <w:szCs w:val="18"/>
              </w:rPr>
            </w:pPr>
            <w:r w:rsidRPr="00E224A2">
              <w:rPr>
                <w:b/>
                <w:bCs/>
                <w:sz w:val="18"/>
                <w:szCs w:val="18"/>
              </w:rPr>
              <w:t>-623,5</w:t>
            </w:r>
          </w:p>
        </w:tc>
        <w:tc>
          <w:tcPr>
            <w:tcW w:w="1209" w:type="dxa"/>
            <w:tcBorders>
              <w:top w:val="single" w:sz="4" w:space="0" w:color="auto"/>
              <w:left w:val="nil"/>
              <w:bottom w:val="single" w:sz="8" w:space="0" w:color="auto"/>
              <w:right w:val="nil"/>
            </w:tcBorders>
            <w:shd w:val="clear" w:color="auto" w:fill="auto"/>
            <w:noWrap/>
            <w:vAlign w:val="bottom"/>
          </w:tcPr>
          <w:p w:rsidR="004318F3" w:rsidRDefault="004318F3" w:rsidP="003C667C">
            <w:pPr>
              <w:jc w:val="right"/>
              <w:rPr>
                <w:b/>
                <w:bCs/>
                <w:sz w:val="18"/>
                <w:szCs w:val="18"/>
              </w:rPr>
            </w:pPr>
            <w:r>
              <w:rPr>
                <w:b/>
                <w:bCs/>
                <w:sz w:val="18"/>
                <w:szCs w:val="18"/>
              </w:rPr>
              <w:t>528,3</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4318F3" w:rsidRDefault="004318F3" w:rsidP="003C667C">
            <w:pPr>
              <w:jc w:val="right"/>
              <w:rPr>
                <w:b/>
                <w:bCs/>
                <w:sz w:val="18"/>
                <w:szCs w:val="18"/>
              </w:rPr>
            </w:pPr>
          </w:p>
        </w:tc>
      </w:tr>
    </w:tbl>
    <w:p w:rsidR="004B5DC2" w:rsidRPr="00B53232" w:rsidRDefault="004B5DC2" w:rsidP="004B5DC2">
      <w:pPr>
        <w:spacing w:after="120"/>
        <w:ind w:left="360"/>
        <w:jc w:val="both"/>
        <w:rPr>
          <w:b/>
          <w:color w:val="0070C0"/>
          <w:sz w:val="12"/>
        </w:rPr>
      </w:pPr>
    </w:p>
    <w:p w:rsidR="00683CCE" w:rsidRPr="00166428" w:rsidRDefault="00683CCE" w:rsidP="00683CCE">
      <w:pPr>
        <w:pStyle w:val="BodyTextIndent"/>
        <w:numPr>
          <w:ilvl w:val="0"/>
          <w:numId w:val="2"/>
        </w:numPr>
        <w:ind w:firstLine="0"/>
        <w:jc w:val="both"/>
        <w:rPr>
          <w:b/>
        </w:rPr>
      </w:pPr>
      <w:r w:rsidRPr="00166428">
        <w:rPr>
          <w:b/>
          <w:bCs/>
        </w:rPr>
        <w:t xml:space="preserve">Приходи по държавния бюджет </w:t>
      </w:r>
    </w:p>
    <w:p w:rsidR="00683CCE" w:rsidRPr="00166428" w:rsidRDefault="00683CCE" w:rsidP="00683CCE">
      <w:pPr>
        <w:spacing w:after="120"/>
        <w:jc w:val="both"/>
        <w:rPr>
          <w:bCs/>
        </w:rPr>
      </w:pPr>
      <w:r w:rsidRPr="00166428">
        <w:rPr>
          <w:b/>
          <w:bCs/>
        </w:rPr>
        <w:t>Общият размер на приходите и помощите по държавния бюджет</w:t>
      </w:r>
      <w:r w:rsidRPr="00166428">
        <w:rPr>
          <w:bCs/>
        </w:rPr>
        <w:t xml:space="preserve"> към март 2018 г. е</w:t>
      </w:r>
      <w:r w:rsidRPr="00166428">
        <w:rPr>
          <w:b/>
          <w:bCs/>
        </w:rPr>
        <w:t xml:space="preserve"> 5 950,6 млн. лв.</w:t>
      </w:r>
      <w:r w:rsidRPr="00166428">
        <w:rPr>
          <w:bCs/>
        </w:rPr>
        <w:t>, което представлява 25,3 % изпълнение на разчетите по ЗДБРБ за 2018 г. и с 257,7 млн. лв. повече спрямо март 2017 година.</w:t>
      </w:r>
    </w:p>
    <w:p w:rsidR="00683CCE" w:rsidRPr="0068701F" w:rsidRDefault="00683CCE" w:rsidP="00683CCE">
      <w:pPr>
        <w:numPr>
          <w:ilvl w:val="0"/>
          <w:numId w:val="3"/>
        </w:numPr>
        <w:tabs>
          <w:tab w:val="num" w:pos="720"/>
        </w:tabs>
        <w:ind w:left="0" w:firstLine="180"/>
        <w:jc w:val="both"/>
        <w:rPr>
          <w:b/>
          <w:bCs/>
        </w:rPr>
      </w:pPr>
      <w:r w:rsidRPr="0068701F">
        <w:rPr>
          <w:bCs/>
        </w:rPr>
        <w:t xml:space="preserve"> </w:t>
      </w:r>
      <w:r w:rsidRPr="0068701F">
        <w:rPr>
          <w:b/>
          <w:bCs/>
        </w:rPr>
        <w:t>Данъчни приходи</w:t>
      </w:r>
    </w:p>
    <w:p w:rsidR="00683CCE" w:rsidRPr="0068701F" w:rsidRDefault="00683CCE" w:rsidP="00683CCE">
      <w:pPr>
        <w:jc w:val="both"/>
        <w:rPr>
          <w:bCs/>
          <w:sz w:val="4"/>
          <w:szCs w:val="4"/>
        </w:rPr>
      </w:pPr>
    </w:p>
    <w:p w:rsidR="00683CCE" w:rsidRPr="0068701F" w:rsidRDefault="00683CCE" w:rsidP="00683CCE">
      <w:pPr>
        <w:jc w:val="both"/>
      </w:pPr>
      <w:r w:rsidRPr="0068701F">
        <w:rPr>
          <w:b/>
          <w:bCs/>
        </w:rPr>
        <w:t>Размерът на данъчните постъпления по държавния бюджет</w:t>
      </w:r>
      <w:r w:rsidRPr="0068701F">
        <w:rPr>
          <w:bCs/>
        </w:rPr>
        <w:t xml:space="preserve"> към март 2018 г. </w:t>
      </w:r>
      <w:r w:rsidRPr="0068701F">
        <w:t xml:space="preserve">е </w:t>
      </w:r>
      <w:r w:rsidRPr="0068701F">
        <w:rPr>
          <w:b/>
        </w:rPr>
        <w:t>5 355,5 млн. лв</w:t>
      </w:r>
      <w:r w:rsidRPr="0068701F">
        <w:t>., което представлява 25,5 % изпълнение на годишните разчети</w:t>
      </w:r>
      <w:r w:rsidRPr="0068701F">
        <w:rPr>
          <w:b/>
          <w:bCs/>
        </w:rPr>
        <w:t xml:space="preserve"> </w:t>
      </w:r>
      <w:r w:rsidRPr="0068701F">
        <w:t xml:space="preserve">и номинален ръст от 240,6 млн. лв. </w:t>
      </w:r>
      <w:r w:rsidRPr="0068701F">
        <w:rPr>
          <w:lang w:val="en-US"/>
        </w:rPr>
        <w:t>(</w:t>
      </w:r>
      <w:r w:rsidRPr="0068701F">
        <w:t>4</w:t>
      </w:r>
      <w:proofErr w:type="gramStart"/>
      <w:r w:rsidRPr="0068701F">
        <w:t>,7</w:t>
      </w:r>
      <w:proofErr w:type="gramEnd"/>
      <w:r w:rsidRPr="0068701F">
        <w:t xml:space="preserve"> %) спрямо постъпленията за същия период на</w:t>
      </w:r>
      <w:r w:rsidRPr="0068701F">
        <w:rPr>
          <w:bCs/>
        </w:rPr>
        <w:t xml:space="preserve"> </w:t>
      </w:r>
      <w:r w:rsidRPr="0068701F">
        <w:t xml:space="preserve">2017 </w:t>
      </w:r>
      <w:r w:rsidRPr="0068701F">
        <w:rPr>
          <w:bCs/>
        </w:rPr>
        <w:t>година</w:t>
      </w:r>
      <w:r w:rsidRPr="0068701F">
        <w:t xml:space="preserve">. </w:t>
      </w:r>
    </w:p>
    <w:p w:rsidR="00683CCE" w:rsidRPr="00C115A6" w:rsidRDefault="00683CCE" w:rsidP="00683CCE">
      <w:pPr>
        <w:jc w:val="both"/>
        <w:rPr>
          <w:color w:val="0070C0"/>
          <w:sz w:val="8"/>
          <w:szCs w:val="8"/>
        </w:rPr>
      </w:pPr>
      <w:r w:rsidRPr="00C115A6">
        <w:rPr>
          <w:color w:val="0070C0"/>
          <w:sz w:val="8"/>
          <w:szCs w:val="8"/>
        </w:rPr>
        <w:t xml:space="preserve"> </w:t>
      </w:r>
    </w:p>
    <w:p w:rsidR="00683CCE" w:rsidRPr="00FF6488" w:rsidRDefault="00683CCE" w:rsidP="00683CCE">
      <w:pPr>
        <w:numPr>
          <w:ilvl w:val="0"/>
          <w:numId w:val="4"/>
        </w:numPr>
        <w:tabs>
          <w:tab w:val="clear" w:pos="1440"/>
          <w:tab w:val="num" w:pos="540"/>
        </w:tabs>
        <w:spacing w:after="120"/>
        <w:ind w:left="0" w:firstLine="181"/>
        <w:jc w:val="both"/>
        <w:rPr>
          <w:b/>
          <w:bCs/>
        </w:rPr>
      </w:pPr>
      <w:r w:rsidRPr="00FF6488">
        <w:rPr>
          <w:b/>
          <w:bCs/>
        </w:rPr>
        <w:t>Преки данъци</w:t>
      </w:r>
    </w:p>
    <w:p w:rsidR="00683CCE" w:rsidRPr="00FF6488" w:rsidRDefault="00683CCE" w:rsidP="00683CCE">
      <w:pPr>
        <w:spacing w:after="120"/>
        <w:jc w:val="both"/>
      </w:pPr>
      <w:r w:rsidRPr="00FF6488">
        <w:t>Приходите в групата на</w:t>
      </w:r>
      <w:r w:rsidRPr="00FF6488">
        <w:rPr>
          <w:b/>
        </w:rPr>
        <w:t xml:space="preserve"> преките данъци</w:t>
      </w:r>
      <w:r w:rsidRPr="00FF6488">
        <w:t xml:space="preserve"> са в размер на</w:t>
      </w:r>
      <w:r w:rsidRPr="00FF6488">
        <w:rPr>
          <w:b/>
        </w:rPr>
        <w:t> 1 446,4 млн. лв</w:t>
      </w:r>
      <w:r w:rsidRPr="00FF6488">
        <w:t xml:space="preserve">. или 25,2 % от планираните за годината, като съпоставени с данните за месец март 2017 г. нарастват със 123,1 млн. лева (9,3 %). </w:t>
      </w:r>
    </w:p>
    <w:p w:rsidR="00683CCE" w:rsidRPr="003B4787" w:rsidRDefault="00683CCE" w:rsidP="00683CCE">
      <w:pPr>
        <w:spacing w:after="120"/>
        <w:jc w:val="both"/>
      </w:pPr>
      <w:r w:rsidRPr="006914C5">
        <w:t>Приходите от</w:t>
      </w:r>
      <w:r w:rsidRPr="006914C5">
        <w:rPr>
          <w:b/>
        </w:rPr>
        <w:t xml:space="preserve"> </w:t>
      </w:r>
      <w:r w:rsidRPr="006914C5">
        <w:rPr>
          <w:b/>
          <w:bCs/>
        </w:rPr>
        <w:t>корпоративни данъци</w:t>
      </w:r>
      <w:r w:rsidRPr="006914C5">
        <w:t xml:space="preserve"> </w:t>
      </w:r>
      <w:r w:rsidRPr="006914C5">
        <w:rPr>
          <w:bCs/>
        </w:rPr>
        <w:t xml:space="preserve">към март </w:t>
      </w:r>
      <w:r w:rsidRPr="006914C5">
        <w:t xml:space="preserve">2018 г. са в размер на </w:t>
      </w:r>
      <w:r w:rsidRPr="006914C5">
        <w:rPr>
          <w:b/>
        </w:rPr>
        <w:t>593,6 млн. лв.</w:t>
      </w:r>
      <w:r w:rsidRPr="006914C5">
        <w:t xml:space="preserve"> или 25,1 % от годишния план. </w:t>
      </w:r>
      <w:r w:rsidRPr="00801C53">
        <w:t>Съпоставено с март 2017 г. приходите от корпоративни данъци намаляват с 14,4 млн. лева (2,4 %)</w:t>
      </w:r>
      <w:r w:rsidRPr="00801C53">
        <w:rPr>
          <w:lang w:val="en-US"/>
        </w:rPr>
        <w:t>.</w:t>
      </w:r>
      <w:r w:rsidRPr="00801C53">
        <w:t xml:space="preserve"> </w:t>
      </w:r>
      <w:r w:rsidRPr="00E574C6">
        <w:t xml:space="preserve">Приходите от </w:t>
      </w:r>
      <w:r w:rsidRPr="00E574C6">
        <w:rPr>
          <w:b/>
          <w:i/>
        </w:rPr>
        <w:t>нефинансови предприятия</w:t>
      </w:r>
      <w:r w:rsidRPr="00E574C6">
        <w:t xml:space="preserve"> формират </w:t>
      </w:r>
      <w:r w:rsidRPr="003B4787">
        <w:t xml:space="preserve">основната част от постъпленията от корпоративен данък. Следва да се отбележи, че срокът за подаване на годишна данъчна декларация </w:t>
      </w:r>
      <w:r w:rsidRPr="003B4787">
        <w:rPr>
          <w:lang w:val="en-US"/>
        </w:rPr>
        <w:t>(</w:t>
      </w:r>
      <w:r w:rsidRPr="003B4787">
        <w:t>ГДД</w:t>
      </w:r>
      <w:r w:rsidRPr="003B4787">
        <w:rPr>
          <w:lang w:val="en-US"/>
        </w:rPr>
        <w:t>)</w:t>
      </w:r>
      <w:r w:rsidRPr="003B4787">
        <w:t xml:space="preserve"> по чл. 92 от ЗКПО и внасяне на изравнителната вноска за корпоративен данък е до 31 март 2018 г. (събота), което оказва основно влияние върху размера на постъпленията от корпоративен данък от финансови институции. За 2018 г. срокът за подаване на ГДД и внасяне на годишната изравнителна </w:t>
      </w:r>
      <w:r w:rsidRPr="003B4787">
        <w:lastRenderedPageBreak/>
        <w:t>вноска е 2 април 2018 г., което измества постъпленията от приходите в април 2018 година. Освен това приходите от данъка се обуславят от възможността за промяна на авансовите вноски, направени от финансовите институции през календарната 2017 г. и дължимия годишен корпоративен данък, по реда на чл. 88 от ЗКПО.</w:t>
      </w:r>
    </w:p>
    <w:p w:rsidR="00683CCE" w:rsidRPr="00823BD7" w:rsidRDefault="00683CCE" w:rsidP="00683CCE">
      <w:pPr>
        <w:spacing w:after="120"/>
        <w:jc w:val="both"/>
      </w:pPr>
      <w:r w:rsidRPr="003B4787">
        <w:t>Приходите от</w:t>
      </w:r>
      <w:r w:rsidRPr="003B4787">
        <w:rPr>
          <w:b/>
        </w:rPr>
        <w:t xml:space="preserve"> данъци върху доходите на физически лица </w:t>
      </w:r>
      <w:r w:rsidRPr="003B4787">
        <w:t xml:space="preserve">са в размер на </w:t>
      </w:r>
      <w:r w:rsidRPr="003B4787">
        <w:rPr>
          <w:b/>
        </w:rPr>
        <w:t>852,8 млн. лв.</w:t>
      </w:r>
      <w:r w:rsidRPr="003B4787">
        <w:t xml:space="preserve"> или</w:t>
      </w:r>
      <w:r w:rsidRPr="00823BD7">
        <w:t xml:space="preserve"> 25,3 % от заложените в разчета за годината и нарастват със 137,5 млн. лв. (19,2 %) спрямо същия период на 2017 година. Върху размера на данъчните постъпления от ДДФЛ основно влияние имат развитието на параметрите на пазара на труда и предприетите законодателни и административни мерки в областта на трудовото, социалното и данъчното законодателство.</w:t>
      </w:r>
    </w:p>
    <w:p w:rsidR="00683CCE" w:rsidRPr="004346E8" w:rsidRDefault="00683CCE" w:rsidP="00683CCE">
      <w:pPr>
        <w:spacing w:after="120"/>
        <w:jc w:val="both"/>
      </w:pPr>
      <w:r w:rsidRPr="004346E8">
        <w:rPr>
          <w:i/>
        </w:rPr>
        <w:t>По трудови правоотношения</w:t>
      </w:r>
      <w:r w:rsidRPr="004346E8">
        <w:t xml:space="preserve"> приходите от данъка </w:t>
      </w:r>
      <w:r w:rsidRPr="004346E8">
        <w:rPr>
          <w:bCs/>
        </w:rPr>
        <w:t xml:space="preserve">към март </w:t>
      </w:r>
      <w:r w:rsidRPr="004346E8">
        <w:t>2018 г. са 670,9 млн. лв., 24,1 % от годишните разчети. Върху размера на постъпленията през периода оказват влияние</w:t>
      </w:r>
      <w:r w:rsidRPr="004346E8">
        <w:rPr>
          <w:lang w:val="en-US"/>
        </w:rPr>
        <w:t xml:space="preserve">: </w:t>
      </w:r>
      <w:r w:rsidRPr="004346E8">
        <w:t>увеличението на минималната работна заплата за страната от 01.</w:t>
      </w:r>
      <w:proofErr w:type="spellStart"/>
      <w:r w:rsidRPr="004346E8">
        <w:t>01</w:t>
      </w:r>
      <w:proofErr w:type="spellEnd"/>
      <w:r w:rsidRPr="004346E8">
        <w:t>.2018 г.</w:t>
      </w:r>
      <w:r w:rsidRPr="004346E8">
        <w:rPr>
          <w:lang w:val="en-US"/>
        </w:rPr>
        <w:t xml:space="preserve">; </w:t>
      </w:r>
      <w:r w:rsidRPr="004346E8">
        <w:t>увеличението на минималните осигурителни прагове за 2018 г.</w:t>
      </w:r>
      <w:r w:rsidRPr="004346E8">
        <w:rPr>
          <w:lang w:val="en-US"/>
        </w:rPr>
        <w:t xml:space="preserve">; </w:t>
      </w:r>
      <w:r w:rsidRPr="004346E8">
        <w:t>увеличението на осигурителната вноска за фонд „Пенсии“</w:t>
      </w:r>
      <w:r w:rsidRPr="004346E8">
        <w:rPr>
          <w:lang w:val="en-US"/>
        </w:rPr>
        <w:t xml:space="preserve">; </w:t>
      </w:r>
      <w:r w:rsidRPr="004346E8">
        <w:t>промените в броя на наетите лица и заплащането на труда,</w:t>
      </w:r>
      <w:r w:rsidRPr="004346E8">
        <w:rPr>
          <w:lang w:val="en-US"/>
        </w:rPr>
        <w:t xml:space="preserve"> </w:t>
      </w:r>
      <w:r w:rsidRPr="004346E8">
        <w:t>и промените в нивото на безработица.</w:t>
      </w:r>
    </w:p>
    <w:p w:rsidR="00683CCE" w:rsidRPr="005473A0" w:rsidRDefault="00683CCE" w:rsidP="00683CCE">
      <w:pPr>
        <w:spacing w:after="120"/>
        <w:jc w:val="both"/>
      </w:pPr>
      <w:r w:rsidRPr="005473A0">
        <w:rPr>
          <w:i/>
        </w:rPr>
        <w:t xml:space="preserve">По </w:t>
      </w:r>
      <w:proofErr w:type="spellStart"/>
      <w:r w:rsidRPr="005473A0">
        <w:rPr>
          <w:i/>
        </w:rPr>
        <w:t>извънтрудови</w:t>
      </w:r>
      <w:proofErr w:type="spellEnd"/>
      <w:r w:rsidRPr="005473A0">
        <w:rPr>
          <w:i/>
        </w:rPr>
        <w:t xml:space="preserve"> правоотношения (свободни професии, граждански договори и др.)</w:t>
      </w:r>
      <w:r w:rsidRPr="005473A0">
        <w:t xml:space="preserve"> приходите от данъка </w:t>
      </w:r>
      <w:r w:rsidRPr="005473A0">
        <w:rPr>
          <w:bCs/>
        </w:rPr>
        <w:t xml:space="preserve">към март </w:t>
      </w:r>
      <w:r w:rsidRPr="005473A0">
        <w:t xml:space="preserve">2018 г. са в размер на 69,8 млн. лв., което е 20,4 % от годишния разчет. </w:t>
      </w:r>
    </w:p>
    <w:p w:rsidR="00683CCE" w:rsidRPr="005473A0" w:rsidRDefault="00683CCE" w:rsidP="00683CCE">
      <w:pPr>
        <w:spacing w:after="120"/>
        <w:jc w:val="both"/>
      </w:pPr>
      <w:r w:rsidRPr="005473A0">
        <w:rPr>
          <w:i/>
        </w:rPr>
        <w:t xml:space="preserve">Окончателен данък на местните и чуждестранни физически лица по чл. 37 и 38 от ЗДДФЛ </w:t>
      </w:r>
      <w:r w:rsidRPr="005473A0">
        <w:t xml:space="preserve">и </w:t>
      </w:r>
      <w:r w:rsidRPr="005473A0">
        <w:rPr>
          <w:i/>
        </w:rPr>
        <w:t>данък върху дивидентите и ликвидационните дялове на физически лица</w:t>
      </w:r>
      <w:r w:rsidRPr="005473A0">
        <w:t xml:space="preserve"> - постъпленията от тези данъци са в размер на 107,2 млн. лв., 47,6 % от годишния разчет. Съпоставено със същия период на предходната година постъпленията от данъка са нараснали с 55,6 млн. лв. Освен от благоприятната икономическа ситуация, приходите от данъка върху дивидентите и ликвидационните дялове на местни и чуждестранни физически лица са повлияни положително и от проведените действия от страна на НАП за проверка на декларираните касови наличности от дружествата в годишните данъчни декларации по ЗКПО за 2016 година. Ефектът от тази мярка продължава да се отчита и в началото на 2018 година.</w:t>
      </w:r>
    </w:p>
    <w:p w:rsidR="00683CCE" w:rsidRPr="00D46BCC" w:rsidRDefault="00683CCE" w:rsidP="00683CCE">
      <w:pPr>
        <w:spacing w:after="120"/>
        <w:jc w:val="both"/>
      </w:pPr>
      <w:r w:rsidRPr="00D46BCC">
        <w:t xml:space="preserve"> Постъпленията от </w:t>
      </w:r>
      <w:r w:rsidRPr="00D46BCC">
        <w:rPr>
          <w:i/>
        </w:rPr>
        <w:t xml:space="preserve">окончателния данък върху приходите от лихви от депозити на физическите лица </w:t>
      </w:r>
      <w:r w:rsidRPr="00D46BCC">
        <w:t>са в размер на 4,8 млн. лв., 20,1 % от годишния разчет.</w:t>
      </w:r>
    </w:p>
    <w:p w:rsidR="00683CCE" w:rsidRPr="00D46BCC" w:rsidRDefault="00683CCE" w:rsidP="00683CCE">
      <w:pPr>
        <w:jc w:val="both"/>
        <w:rPr>
          <w:sz w:val="8"/>
          <w:szCs w:val="8"/>
        </w:rPr>
      </w:pPr>
    </w:p>
    <w:p w:rsidR="00683CCE" w:rsidRPr="00D46BCC" w:rsidRDefault="00683CCE" w:rsidP="00683CCE">
      <w:pPr>
        <w:numPr>
          <w:ilvl w:val="0"/>
          <w:numId w:val="4"/>
        </w:numPr>
        <w:tabs>
          <w:tab w:val="clear" w:pos="1440"/>
          <w:tab w:val="num" w:pos="540"/>
        </w:tabs>
        <w:ind w:left="0" w:firstLine="180"/>
        <w:jc w:val="both"/>
        <w:rPr>
          <w:b/>
          <w:bCs/>
        </w:rPr>
      </w:pPr>
      <w:r w:rsidRPr="00D46BCC">
        <w:rPr>
          <w:b/>
          <w:bCs/>
        </w:rPr>
        <w:t>Косвени данъци</w:t>
      </w:r>
    </w:p>
    <w:p w:rsidR="00683CCE" w:rsidRPr="00C115A6" w:rsidRDefault="00683CCE" w:rsidP="00683CCE">
      <w:pPr>
        <w:jc w:val="both"/>
        <w:rPr>
          <w:b/>
          <w:bCs/>
          <w:color w:val="0070C0"/>
          <w:sz w:val="4"/>
          <w:szCs w:val="4"/>
        </w:rPr>
      </w:pPr>
    </w:p>
    <w:p w:rsidR="00683CCE" w:rsidRPr="00780388" w:rsidRDefault="00683CCE" w:rsidP="00683CCE">
      <w:pPr>
        <w:spacing w:after="120"/>
        <w:jc w:val="both"/>
      </w:pPr>
      <w:r w:rsidRPr="00780388">
        <w:t xml:space="preserve">Приходите от </w:t>
      </w:r>
      <w:r w:rsidRPr="00780388">
        <w:rPr>
          <w:b/>
        </w:rPr>
        <w:t>косвени данъци</w:t>
      </w:r>
      <w:r w:rsidRPr="00780388">
        <w:t xml:space="preserve"> </w:t>
      </w:r>
      <w:r w:rsidRPr="00780388">
        <w:rPr>
          <w:bCs/>
        </w:rPr>
        <w:t xml:space="preserve">към март </w:t>
      </w:r>
      <w:r w:rsidRPr="00780388">
        <w:t xml:space="preserve">2018 г. са в размер на </w:t>
      </w:r>
      <w:r w:rsidRPr="00780388">
        <w:rPr>
          <w:b/>
        </w:rPr>
        <w:t>3 829,3 млн. лв</w:t>
      </w:r>
      <w:r w:rsidRPr="00780388">
        <w:t>. или 25,3 % от годишния разчет и номинален ръст от 115,3 млн. лв. (3,1 %) спрямо постъпленията за същия период на</w:t>
      </w:r>
      <w:r w:rsidRPr="00780388">
        <w:rPr>
          <w:bCs/>
        </w:rPr>
        <w:t xml:space="preserve"> </w:t>
      </w:r>
      <w:r w:rsidRPr="00780388">
        <w:t xml:space="preserve">2017 </w:t>
      </w:r>
      <w:r w:rsidRPr="00780388">
        <w:rPr>
          <w:bCs/>
        </w:rPr>
        <w:t>година</w:t>
      </w:r>
      <w:r w:rsidRPr="00780388">
        <w:t>.</w:t>
      </w:r>
    </w:p>
    <w:p w:rsidR="00683CCE" w:rsidRPr="00780388" w:rsidRDefault="00683CCE" w:rsidP="00683CCE">
      <w:pPr>
        <w:spacing w:after="120"/>
        <w:jc w:val="both"/>
        <w:rPr>
          <w:lang w:val="en-US"/>
        </w:rPr>
      </w:pPr>
      <w:r w:rsidRPr="00780388">
        <w:rPr>
          <w:b/>
        </w:rPr>
        <w:t>Приходите от ДДС</w:t>
      </w:r>
      <w:r w:rsidRPr="00780388">
        <w:t xml:space="preserve"> са в размер на </w:t>
      </w:r>
      <w:r w:rsidRPr="00780388">
        <w:rPr>
          <w:b/>
        </w:rPr>
        <w:t>2 561,3</w:t>
      </w:r>
      <w:r w:rsidRPr="00780388">
        <w:t xml:space="preserve"> </w:t>
      </w:r>
      <w:r w:rsidRPr="00780388">
        <w:rPr>
          <w:b/>
        </w:rPr>
        <w:t>млн. лв.,</w:t>
      </w:r>
      <w:r w:rsidRPr="00780388">
        <w:t xml:space="preserve"> което представлява 26,2 % от планираните със ЗДБРБ за 2018 година. Постъпленията от ДДС нарастват номинално с 38,7 млн. лв. (1,5 %) спрямо отчетените за същия период на предходната година и формират 47,8 % от данъчните приходи по държавния бюджет. </w:t>
      </w:r>
    </w:p>
    <w:p w:rsidR="00683CCE" w:rsidRPr="009A1F4F" w:rsidRDefault="00683CCE" w:rsidP="00683CCE">
      <w:pPr>
        <w:spacing w:after="120"/>
        <w:jc w:val="both"/>
      </w:pPr>
      <w:r w:rsidRPr="009A1F4F">
        <w:t xml:space="preserve">Нетният размер на приходите от </w:t>
      </w:r>
      <w:r w:rsidRPr="009A1F4F">
        <w:rPr>
          <w:i/>
        </w:rPr>
        <w:t>ДДС от внос</w:t>
      </w:r>
      <w:r w:rsidRPr="009A1F4F">
        <w:t xml:space="preserve"> </w:t>
      </w:r>
      <w:r w:rsidRPr="009A1F4F">
        <w:rPr>
          <w:bCs/>
        </w:rPr>
        <w:t xml:space="preserve">към март </w:t>
      </w:r>
      <w:r w:rsidRPr="009A1F4F">
        <w:t>2018 г. е 990,6 млн. лева. Влияние върху постъпленията от ДДС от внос оказват цената на суровия петрол, количествата на внасяните стоки за междинно потребление (черни, цветни метали и др.), курса на щатския долар спрямо еврото и други.</w:t>
      </w:r>
    </w:p>
    <w:p w:rsidR="00683CCE" w:rsidRPr="00D039CA" w:rsidRDefault="00683CCE" w:rsidP="00683CCE">
      <w:pPr>
        <w:spacing w:after="120"/>
        <w:jc w:val="both"/>
        <w:rPr>
          <w:b/>
        </w:rPr>
      </w:pPr>
      <w:r w:rsidRPr="00D039CA">
        <w:t>Постъпленията от</w:t>
      </w:r>
      <w:r w:rsidRPr="00D039CA">
        <w:rPr>
          <w:i/>
        </w:rPr>
        <w:t xml:space="preserve"> ДДС при сделки в страната (нето)</w:t>
      </w:r>
      <w:r w:rsidRPr="00D039CA">
        <w:t xml:space="preserve"> </w:t>
      </w:r>
      <w:r w:rsidRPr="00D039CA">
        <w:rPr>
          <w:bCs/>
        </w:rPr>
        <w:t xml:space="preserve">към март </w:t>
      </w:r>
      <w:r w:rsidRPr="00D039CA">
        <w:t xml:space="preserve">2018 г.  възлизат на 1 570,7 млн. лева. </w:t>
      </w:r>
      <w:r w:rsidRPr="00D039CA">
        <w:rPr>
          <w:bCs/>
        </w:rPr>
        <w:t>Невъзстановеният данъчен кредит на фирми към 31.03.2018 г. е в размер на 70,8 млн. лева.</w:t>
      </w:r>
    </w:p>
    <w:p w:rsidR="00683CCE" w:rsidRPr="00DD2AC3" w:rsidRDefault="00683CCE" w:rsidP="00683CCE">
      <w:pPr>
        <w:spacing w:after="120"/>
        <w:jc w:val="both"/>
        <w:rPr>
          <w:rStyle w:val="Strong"/>
          <w:b w:val="0"/>
        </w:rPr>
      </w:pPr>
      <w:r w:rsidRPr="00DD2AC3">
        <w:rPr>
          <w:b/>
        </w:rPr>
        <w:t xml:space="preserve">Приходите от акцизи (нето) </w:t>
      </w:r>
      <w:r w:rsidRPr="00DD2AC3">
        <w:t xml:space="preserve">от внос, вътрешно производство и въведени в страната от други държави-членки на ЕС акцизни стоки са в размер на </w:t>
      </w:r>
      <w:r w:rsidRPr="00DD2AC3">
        <w:rPr>
          <w:b/>
        </w:rPr>
        <w:t>1 195,6 млн. лв</w:t>
      </w:r>
      <w:r w:rsidRPr="00DD2AC3">
        <w:t>., което е 23,2 % от планираните със ЗДБРБ за 2018 г. Съпоставено със същия период на 2017 г. постъпленията нарастват с 62,8 млн. лв., което представлява ръст от 5,</w:t>
      </w:r>
      <w:proofErr w:type="spellStart"/>
      <w:r w:rsidRPr="00DD2AC3">
        <w:t>5</w:t>
      </w:r>
      <w:proofErr w:type="spellEnd"/>
      <w:r w:rsidRPr="00DD2AC3">
        <w:t xml:space="preserve"> %.</w:t>
      </w:r>
    </w:p>
    <w:p w:rsidR="00683CCE" w:rsidRPr="00785815" w:rsidRDefault="00683CCE" w:rsidP="00683CCE">
      <w:pPr>
        <w:spacing w:after="120"/>
        <w:jc w:val="both"/>
        <w:rPr>
          <w:lang w:val="en-US"/>
        </w:rPr>
      </w:pPr>
      <w:r w:rsidRPr="00785815">
        <w:lastRenderedPageBreak/>
        <w:t>Нетните постъпления от акциз са от следните основни стокови групи: тютюневи изделия (52,7 %);</w:t>
      </w:r>
      <w:r w:rsidRPr="00785815">
        <w:rPr>
          <w:lang w:val="en-US"/>
        </w:rPr>
        <w:t xml:space="preserve"> </w:t>
      </w:r>
      <w:r w:rsidRPr="00785815">
        <w:t>горива (41,6 %); алкохолни напитки и пиво (5,0 %) и други акцизни стоки – електрическа енергия, въглища и кокс (0,7 %). Постъпления от акциз към март 2018 г. по основни стокови групи, са както следва:</w:t>
      </w:r>
    </w:p>
    <w:p w:rsidR="00683CCE" w:rsidRPr="00FE7E80" w:rsidRDefault="00683CCE" w:rsidP="00683CCE">
      <w:pPr>
        <w:numPr>
          <w:ilvl w:val="0"/>
          <w:numId w:val="19"/>
        </w:numPr>
        <w:jc w:val="both"/>
      </w:pPr>
      <w:r w:rsidRPr="00FE7E80">
        <w:rPr>
          <w:i/>
        </w:rPr>
        <w:t>Акцизите от тютюневи изделия</w:t>
      </w:r>
      <w:r w:rsidRPr="00FE7E80">
        <w:t xml:space="preserve">  възлизат на 630,4 млн. лева; </w:t>
      </w:r>
    </w:p>
    <w:p w:rsidR="00683CCE" w:rsidRPr="00FE7E80" w:rsidRDefault="00683CCE" w:rsidP="00683CCE">
      <w:pPr>
        <w:numPr>
          <w:ilvl w:val="0"/>
          <w:numId w:val="19"/>
        </w:numPr>
        <w:jc w:val="both"/>
      </w:pPr>
      <w:r w:rsidRPr="00FE7E80">
        <w:rPr>
          <w:i/>
        </w:rPr>
        <w:t>Акцизите от горив</w:t>
      </w:r>
      <w:r w:rsidRPr="00FE7E80">
        <w:t xml:space="preserve">а са в размер на 497,0 млн. лева; </w:t>
      </w:r>
    </w:p>
    <w:p w:rsidR="00683CCE" w:rsidRPr="00FE7E80" w:rsidRDefault="00683CCE" w:rsidP="00683CCE">
      <w:pPr>
        <w:numPr>
          <w:ilvl w:val="0"/>
          <w:numId w:val="19"/>
        </w:numPr>
        <w:jc w:val="both"/>
      </w:pPr>
      <w:r w:rsidRPr="00FE7E80">
        <w:rPr>
          <w:i/>
        </w:rPr>
        <w:t xml:space="preserve">Акцизите от алкохолни напитки и пиво </w:t>
      </w:r>
      <w:r w:rsidRPr="00FE7E80">
        <w:t xml:space="preserve"> възлизат на 59,8 млн. лева; </w:t>
      </w:r>
    </w:p>
    <w:p w:rsidR="00683CCE" w:rsidRPr="00FE7E80" w:rsidRDefault="00683CCE" w:rsidP="00683CCE">
      <w:pPr>
        <w:numPr>
          <w:ilvl w:val="0"/>
          <w:numId w:val="19"/>
        </w:numPr>
        <w:jc w:val="both"/>
      </w:pPr>
      <w:r w:rsidRPr="00FE7E80">
        <w:rPr>
          <w:i/>
        </w:rPr>
        <w:t xml:space="preserve">Приходите от други акцизни стоки - електрическа енергия, въглища и кокс </w:t>
      </w:r>
      <w:r w:rsidRPr="00FE7E80">
        <w:t>– възлизат на 8,4 млн. лева.</w:t>
      </w:r>
    </w:p>
    <w:p w:rsidR="00683CCE" w:rsidRPr="00C115A6" w:rsidRDefault="00683CCE" w:rsidP="00683CCE">
      <w:pPr>
        <w:ind w:left="360"/>
        <w:jc w:val="both"/>
        <w:rPr>
          <w:color w:val="0070C0"/>
          <w:sz w:val="8"/>
          <w:szCs w:val="8"/>
        </w:rPr>
      </w:pPr>
    </w:p>
    <w:p w:rsidR="00683CCE" w:rsidRPr="008F65A1" w:rsidRDefault="00683CCE" w:rsidP="00683CCE">
      <w:pPr>
        <w:spacing w:after="120"/>
        <w:jc w:val="both"/>
      </w:pPr>
      <w:r w:rsidRPr="008F65A1">
        <w:rPr>
          <w:b/>
        </w:rPr>
        <w:t>Приходите от данък върху застрахователните премии</w:t>
      </w:r>
      <w:r w:rsidRPr="008F65A1">
        <w:t xml:space="preserve"> по облагаеми застрахователни договори (рисковете, по които са поети от застрахователи) са в размер на </w:t>
      </w:r>
      <w:r w:rsidRPr="008F65A1">
        <w:rPr>
          <w:b/>
        </w:rPr>
        <w:t>8,6 млн. лв</w:t>
      </w:r>
      <w:r w:rsidRPr="008F65A1">
        <w:t>., при планирани за годината 36,3 млн. лева.</w:t>
      </w:r>
    </w:p>
    <w:p w:rsidR="00683CCE" w:rsidRPr="00092F84" w:rsidRDefault="00683CCE" w:rsidP="00683CCE">
      <w:pPr>
        <w:tabs>
          <w:tab w:val="right" w:pos="9072"/>
        </w:tabs>
        <w:ind w:right="-2"/>
        <w:jc w:val="both"/>
      </w:pPr>
      <w:r w:rsidRPr="0053657C">
        <w:rPr>
          <w:b/>
        </w:rPr>
        <w:t>Постъпленията от</w:t>
      </w:r>
      <w:r w:rsidRPr="0053657C">
        <w:t xml:space="preserve"> </w:t>
      </w:r>
      <w:r w:rsidRPr="0053657C">
        <w:rPr>
          <w:b/>
          <w:bCs/>
        </w:rPr>
        <w:t xml:space="preserve">мита </w:t>
      </w:r>
      <w:r w:rsidRPr="0053657C">
        <w:t xml:space="preserve">възлизат на </w:t>
      </w:r>
      <w:r w:rsidRPr="0053657C">
        <w:rPr>
          <w:b/>
        </w:rPr>
        <w:t>63,8 млн. лв</w:t>
      </w:r>
      <w:r w:rsidRPr="0053657C">
        <w:t xml:space="preserve">. или 33,5 % от планираните със ЗДБРБ за 2018 г., като заемат 1,2 % относителен дял в общия размер на данъчните приходи по </w:t>
      </w:r>
      <w:r w:rsidRPr="00503FEB">
        <w:t xml:space="preserve">държавния бюджет. В сравнение с края на месец март 2017 г. събраните мита са с 12,9 млн. лв. (25,4 %) повече. По-високите постъпленията от мита за отчетния период, спрямо предходната </w:t>
      </w:r>
      <w:r w:rsidRPr="0063266B">
        <w:t xml:space="preserve">година са следствие от ръста в приходите при следните стокови групи: „Различни видове продукти на химическата промишленост“ – постъпленията </w:t>
      </w:r>
      <w:r w:rsidR="00360470">
        <w:t xml:space="preserve">към </w:t>
      </w:r>
      <w:r w:rsidRPr="00B902EF">
        <w:t xml:space="preserve">края на март </w:t>
      </w:r>
      <w:r w:rsidRPr="00D91893">
        <w:t>2018 г. възлизат на 10,4 млн. лв., като нарастват с 9,6 млн. лв. на годишна база. Основна роля за това нарастване имат завишените приходи от мита при внос на стоки от вид „</w:t>
      </w:r>
      <w:proofErr w:type="spellStart"/>
      <w:r w:rsidRPr="00D91893">
        <w:t>Биодизел</w:t>
      </w:r>
      <w:proofErr w:type="spellEnd"/>
      <w:r w:rsidRPr="00D91893">
        <w:t xml:space="preserve"> и смеси от </w:t>
      </w:r>
      <w:proofErr w:type="spellStart"/>
      <w:r w:rsidRPr="00D91893">
        <w:t>биодизел</w:t>
      </w:r>
      <w:proofErr w:type="spellEnd"/>
      <w:r w:rsidRPr="00D91893">
        <w:t>“</w:t>
      </w:r>
      <w:r w:rsidRPr="00D91893">
        <w:rPr>
          <w:lang w:val="en-US"/>
        </w:rPr>
        <w:t>;</w:t>
      </w:r>
      <w:r w:rsidRPr="00D91893">
        <w:t xml:space="preserve"> „Пластмаси и пластмасови изделия“ – към края на март 2018 г. постъпленията са в размер на 4,2 млн. лева и са с 1,5 млн. лева (53,7 %) повече спрямо първите три месеца на 2017 г.</w:t>
      </w:r>
      <w:r w:rsidRPr="00D91893">
        <w:rPr>
          <w:lang w:val="en-US"/>
        </w:rPr>
        <w:t>;</w:t>
      </w:r>
      <w:r w:rsidRPr="00D91893">
        <w:t xml:space="preserve"> „Електрически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 - постъпленията към 31.03.2018 г. възлизат на 4,8 млн. лв. и са с 1,2 млн. лв. (34,4 %) повече спрямо същия период  на 2017 г.</w:t>
      </w:r>
      <w:r w:rsidRPr="00D91893">
        <w:rPr>
          <w:lang w:val="en-US"/>
        </w:rPr>
        <w:t>;</w:t>
      </w:r>
      <w:r w:rsidRPr="00D91893">
        <w:t xml:space="preserve"> „Обувки, гети и подобни артикули; части за тях“ – постъпленията са в размер на 3,6 млн. лв. и са с 0,4 млн. лв. (12,6 %) повече, в сравнение със същия период на предходната година; </w:t>
      </w:r>
      <w:r>
        <w:t>„</w:t>
      </w:r>
      <w:r w:rsidRPr="00465E20">
        <w:t>Каучук и каучукови изделия</w:t>
      </w:r>
      <w:r>
        <w:t>“</w:t>
      </w:r>
      <w:r w:rsidRPr="00465E20">
        <w:t xml:space="preserve"> – </w:t>
      </w:r>
      <w:r w:rsidRPr="000D6EA2">
        <w:t>постъпленията са в размер на 1,3 млн. лв. и са с 0,4 млн. лв. (43,2 %) повече спрямо март 2017 г. Намаление в постъпленията от мита към края на март 2018 г. се наблюдава при вноса на стоки от глава „Ядрени реактори, котли, машини, апарати и механизми; части за тези машини или апарати“, като спадът е в размер на 4,</w:t>
      </w:r>
      <w:proofErr w:type="spellStart"/>
      <w:r w:rsidRPr="000D6EA2">
        <w:t>4</w:t>
      </w:r>
      <w:proofErr w:type="spellEnd"/>
      <w:r w:rsidRPr="000D6EA2">
        <w:t xml:space="preserve">  млн. лв. (50,8 %). </w:t>
      </w:r>
      <w:r w:rsidRPr="003D3319">
        <w:t xml:space="preserve">Понижение се отчита и при вноса на стоки по глава </w:t>
      </w:r>
      <w:r>
        <w:t>„</w:t>
      </w:r>
      <w:r w:rsidRPr="003D3319">
        <w:t>Изделия от чугун, желязо или стомана</w:t>
      </w:r>
      <w:r>
        <w:t>“</w:t>
      </w:r>
      <w:r w:rsidRPr="003D3319">
        <w:t xml:space="preserve"> в размер на 0,9 млн. лв. (33,8 %) на годишна база. Също така са намалели постъпленията от мита при вноса на стоки </w:t>
      </w:r>
      <w:r w:rsidRPr="00E9479A">
        <w:t xml:space="preserve">от глава „Торове“ в размер на 0,7 млн. лева (39,2 %). В зависимост от произхода на внасяните стоки, най-голям е делът на приходите от мита при внос на стоки от Китай, като към края на март 2018 г. постъпленията възлизат на 25,1 млн. лв. и са с 21,7 % повече </w:t>
      </w:r>
      <w:r w:rsidRPr="00654FAE">
        <w:t xml:space="preserve">спрямо първите три месеца на 2017 година. Те формират 41,1 % от общия обем на митата за периода. На второ място по приходи от мита е вносът на стоки с произход Аржентина, които са в размер на 9,6 млн. лева. Тези постъпления имат относителен дял от </w:t>
      </w:r>
      <w:r w:rsidRPr="00974BD7">
        <w:t xml:space="preserve">15,7 % от всички мита. Следват приходи от мита с внос на стоки с произход Русия, които са </w:t>
      </w:r>
      <w:r w:rsidRPr="00092F84">
        <w:t>в размер на 4,3 млн. лв. и отчитат спад с 60,7 % на годишна база. Тези постъпления имат относителен дял от 7,1</w:t>
      </w:r>
      <w:r w:rsidRPr="00092F84">
        <w:rPr>
          <w:lang w:val="ru-RU"/>
        </w:rPr>
        <w:t xml:space="preserve"> </w:t>
      </w:r>
      <w:r w:rsidRPr="00092F84">
        <w:t xml:space="preserve">% от всички мита. Постъпленията от мита за стоки от Япония са в размер на 2,5 млн. лв., като се увеличават с 8,4 % </w:t>
      </w:r>
      <w:r>
        <w:t xml:space="preserve">спрямо същия период на предходната година </w:t>
      </w:r>
      <w:r w:rsidRPr="00092F84">
        <w:t xml:space="preserve">и формират 4,0 % от всички мита. Постъпленията от внос на стоки с произход САЩ възлизат на 2,4 млн. лв., като отчитат ръст с 20,5 % и представляват 3,9 % от всички мита. </w:t>
      </w:r>
    </w:p>
    <w:p w:rsidR="00683CCE" w:rsidRPr="00C115A6" w:rsidRDefault="00683CCE" w:rsidP="00683CCE">
      <w:pPr>
        <w:shd w:val="clear" w:color="auto" w:fill="FFFFFF"/>
        <w:ind w:right="113"/>
        <w:jc w:val="both"/>
        <w:rPr>
          <w:i/>
          <w:color w:val="0070C0"/>
          <w:sz w:val="8"/>
          <w:szCs w:val="8"/>
        </w:rPr>
      </w:pPr>
    </w:p>
    <w:p w:rsidR="00683CCE" w:rsidRPr="002831D1" w:rsidRDefault="00683CCE" w:rsidP="00683CCE">
      <w:pPr>
        <w:numPr>
          <w:ilvl w:val="0"/>
          <w:numId w:val="4"/>
        </w:numPr>
        <w:tabs>
          <w:tab w:val="clear" w:pos="1440"/>
          <w:tab w:val="num" w:pos="540"/>
        </w:tabs>
        <w:ind w:left="0" w:firstLine="180"/>
        <w:jc w:val="both"/>
        <w:rPr>
          <w:b/>
          <w:bCs/>
        </w:rPr>
      </w:pPr>
      <w:r w:rsidRPr="002831D1">
        <w:rPr>
          <w:b/>
          <w:bCs/>
        </w:rPr>
        <w:t>Други данъци</w:t>
      </w:r>
    </w:p>
    <w:p w:rsidR="00683CCE" w:rsidRPr="002831D1" w:rsidRDefault="00683CCE" w:rsidP="00683CCE">
      <w:pPr>
        <w:jc w:val="both"/>
        <w:rPr>
          <w:b/>
          <w:bCs/>
          <w:sz w:val="8"/>
          <w:szCs w:val="8"/>
        </w:rPr>
      </w:pPr>
    </w:p>
    <w:p w:rsidR="00683CCE" w:rsidRDefault="00683CCE" w:rsidP="00683CCE">
      <w:pPr>
        <w:spacing w:after="120"/>
        <w:ind w:right="-110"/>
        <w:jc w:val="both"/>
        <w:rPr>
          <w:lang w:val="en-US"/>
        </w:rPr>
      </w:pPr>
      <w:r w:rsidRPr="002831D1">
        <w:t xml:space="preserve">Постъпленията от </w:t>
      </w:r>
      <w:r w:rsidRPr="002831D1">
        <w:rPr>
          <w:b/>
        </w:rPr>
        <w:t>други данъци</w:t>
      </w:r>
      <w:r w:rsidRPr="002831D1">
        <w:t xml:space="preserve"> по държавния бюджет </w:t>
      </w:r>
      <w:r w:rsidRPr="002831D1">
        <w:rPr>
          <w:bCs/>
        </w:rPr>
        <w:t xml:space="preserve">към март </w:t>
      </w:r>
      <w:r w:rsidRPr="002831D1">
        <w:t xml:space="preserve">2018 г. са в размер на </w:t>
      </w:r>
      <w:r>
        <w:rPr>
          <w:b/>
        </w:rPr>
        <w:t>79,8</w:t>
      </w:r>
      <w:r w:rsidRPr="002831D1">
        <w:rPr>
          <w:b/>
        </w:rPr>
        <w:t xml:space="preserve"> млн. лв. </w:t>
      </w:r>
      <w:r w:rsidRPr="002831D1">
        <w:t xml:space="preserve">или </w:t>
      </w:r>
      <w:r>
        <w:t>54,0</w:t>
      </w:r>
      <w:r w:rsidRPr="002831D1">
        <w:t xml:space="preserve"> % от планираните със ЗДБРБ за 2018 година. </w:t>
      </w:r>
    </w:p>
    <w:p w:rsidR="007D716C" w:rsidRPr="007D716C" w:rsidRDefault="007D716C" w:rsidP="00683CCE">
      <w:pPr>
        <w:spacing w:after="120"/>
        <w:ind w:right="-110"/>
        <w:jc w:val="both"/>
        <w:rPr>
          <w:lang w:val="en-US"/>
        </w:rPr>
      </w:pPr>
    </w:p>
    <w:p w:rsidR="00683CCE" w:rsidRPr="00DF4AC6" w:rsidRDefault="00683CCE" w:rsidP="00683CCE">
      <w:pPr>
        <w:numPr>
          <w:ilvl w:val="0"/>
          <w:numId w:val="3"/>
        </w:numPr>
        <w:tabs>
          <w:tab w:val="num" w:pos="720"/>
        </w:tabs>
        <w:ind w:left="0" w:firstLine="180"/>
        <w:jc w:val="both"/>
      </w:pPr>
      <w:r w:rsidRPr="00DF4AC6">
        <w:rPr>
          <w:b/>
          <w:bCs/>
        </w:rPr>
        <w:lastRenderedPageBreak/>
        <w:t>Неданъчни приходи</w:t>
      </w:r>
    </w:p>
    <w:p w:rsidR="00683CCE" w:rsidRPr="00DF4AC6" w:rsidRDefault="00683CCE" w:rsidP="00683CCE">
      <w:pPr>
        <w:tabs>
          <w:tab w:val="left" w:pos="900"/>
        </w:tabs>
        <w:jc w:val="both"/>
        <w:rPr>
          <w:sz w:val="8"/>
          <w:szCs w:val="8"/>
        </w:rPr>
      </w:pPr>
    </w:p>
    <w:p w:rsidR="00683CCE" w:rsidRPr="00DF4AC6" w:rsidRDefault="00683CCE" w:rsidP="00683CCE">
      <w:pPr>
        <w:tabs>
          <w:tab w:val="left" w:pos="900"/>
        </w:tabs>
        <w:spacing w:after="120"/>
        <w:jc w:val="both"/>
        <w:rPr>
          <w:lang w:val="en-US"/>
        </w:rPr>
      </w:pPr>
      <w:r w:rsidRPr="00DF4AC6">
        <w:t>Отчетените</w:t>
      </w:r>
      <w:r w:rsidRPr="00DF4AC6">
        <w:rPr>
          <w:b/>
          <w:bCs/>
        </w:rPr>
        <w:t xml:space="preserve"> неданъчни приходи</w:t>
      </w:r>
      <w:r w:rsidRPr="00DF4AC6">
        <w:t xml:space="preserve"> по държавния бюджет </w:t>
      </w:r>
      <w:r w:rsidRPr="00DF4AC6">
        <w:rPr>
          <w:bCs/>
        </w:rPr>
        <w:t xml:space="preserve">към март </w:t>
      </w:r>
      <w:r w:rsidRPr="00DF4AC6">
        <w:t xml:space="preserve">2018 г. са в размер на </w:t>
      </w:r>
      <w:r w:rsidRPr="00DF4AC6">
        <w:rPr>
          <w:b/>
        </w:rPr>
        <w:t>590,7 млн. лв</w:t>
      </w:r>
      <w:r w:rsidRPr="00DF4AC6">
        <w:t xml:space="preserve">. и се формират основно от приходи от държавни такси, приходи и доходи от собственост, приходи от концесии и други. </w:t>
      </w:r>
    </w:p>
    <w:p w:rsidR="00683CCE" w:rsidRPr="00CB718B" w:rsidRDefault="00683CCE" w:rsidP="00683CCE">
      <w:pPr>
        <w:numPr>
          <w:ilvl w:val="0"/>
          <w:numId w:val="3"/>
        </w:numPr>
        <w:tabs>
          <w:tab w:val="num" w:pos="720"/>
        </w:tabs>
        <w:spacing w:after="120"/>
        <w:ind w:left="0" w:firstLine="180"/>
        <w:jc w:val="both"/>
        <w:rPr>
          <w:b/>
          <w:bCs/>
        </w:rPr>
      </w:pPr>
      <w:r w:rsidRPr="00CB718B">
        <w:rPr>
          <w:b/>
          <w:bCs/>
        </w:rPr>
        <w:t xml:space="preserve">Помощи </w:t>
      </w:r>
    </w:p>
    <w:p w:rsidR="00683CCE" w:rsidRPr="00CB718B" w:rsidRDefault="00683CCE" w:rsidP="00683CCE">
      <w:pPr>
        <w:spacing w:after="120"/>
        <w:jc w:val="both"/>
      </w:pPr>
      <w:r w:rsidRPr="00CB718B">
        <w:t xml:space="preserve">Постъпилите </w:t>
      </w:r>
      <w:r w:rsidRPr="00CB718B">
        <w:rPr>
          <w:b/>
        </w:rPr>
        <w:t>помощи</w:t>
      </w:r>
      <w:r w:rsidRPr="00CB718B">
        <w:t xml:space="preserve"> по държавния бюджет към март 2018 г. са в размер на </w:t>
      </w:r>
      <w:r w:rsidRPr="00CB718B">
        <w:rPr>
          <w:b/>
        </w:rPr>
        <w:t>4,</w:t>
      </w:r>
      <w:proofErr w:type="spellStart"/>
      <w:r w:rsidRPr="00CB718B">
        <w:rPr>
          <w:b/>
        </w:rPr>
        <w:t>4</w:t>
      </w:r>
      <w:proofErr w:type="spellEnd"/>
      <w:r w:rsidRPr="00CB718B">
        <w:rPr>
          <w:b/>
        </w:rPr>
        <w:t> млн. лв.</w:t>
      </w:r>
      <w:r w:rsidRPr="00CB718B">
        <w:t xml:space="preserve"> и са по бюджетите на министерствата и ведомствата.</w:t>
      </w:r>
    </w:p>
    <w:p w:rsidR="004B5DC2" w:rsidRPr="008E0ACA" w:rsidRDefault="004B5DC2" w:rsidP="00337CA7">
      <w:pPr>
        <w:numPr>
          <w:ilvl w:val="0"/>
          <w:numId w:val="6"/>
        </w:numPr>
        <w:tabs>
          <w:tab w:val="clear" w:pos="700"/>
          <w:tab w:val="num" w:pos="786"/>
        </w:tabs>
        <w:spacing w:before="240"/>
        <w:ind w:left="0" w:firstLine="0"/>
        <w:jc w:val="both"/>
        <w:rPr>
          <w:b/>
          <w:bCs/>
          <w:lang w:eastAsia="bg-BG"/>
        </w:rPr>
      </w:pPr>
      <w:r w:rsidRPr="008E0ACA">
        <w:rPr>
          <w:b/>
          <w:bCs/>
          <w:lang w:eastAsia="bg-BG"/>
        </w:rPr>
        <w:t>Разходи по държавния бюджет</w:t>
      </w:r>
    </w:p>
    <w:p w:rsidR="004B5DC2" w:rsidRPr="00B53232" w:rsidRDefault="004B5DC2" w:rsidP="004B5DC2">
      <w:pPr>
        <w:jc w:val="both"/>
        <w:rPr>
          <w:b/>
          <w:bCs/>
          <w:color w:val="0070C0"/>
          <w:sz w:val="4"/>
          <w:szCs w:val="4"/>
          <w:lang w:eastAsia="bg-BG"/>
        </w:rPr>
      </w:pPr>
    </w:p>
    <w:p w:rsidR="004B5DC2" w:rsidRPr="00B53232" w:rsidRDefault="004B5DC2" w:rsidP="004B5DC2">
      <w:pPr>
        <w:jc w:val="both"/>
        <w:rPr>
          <w:color w:val="0070C0"/>
          <w:sz w:val="8"/>
          <w:szCs w:val="8"/>
        </w:rPr>
      </w:pPr>
    </w:p>
    <w:p w:rsidR="004B5DC2" w:rsidRPr="00B53232" w:rsidRDefault="00D91E5A" w:rsidP="004B5DC2">
      <w:pPr>
        <w:jc w:val="both"/>
        <w:rPr>
          <w:color w:val="0070C0"/>
        </w:rPr>
      </w:pPr>
      <w:r w:rsidRPr="00FB6C90">
        <w:t xml:space="preserve">Общият размер на </w:t>
      </w:r>
      <w:r w:rsidRPr="00FB6C90">
        <w:rPr>
          <w:b/>
        </w:rPr>
        <w:t>разходите по държавния бюджет</w:t>
      </w:r>
      <w:r w:rsidRPr="00FB6C90">
        <w:t xml:space="preserve"> (вкл. трансферите за др. бюджети и вноската в бюджета на ЕС) </w:t>
      </w:r>
      <w:r w:rsidRPr="00FB6C90">
        <w:rPr>
          <w:bCs/>
        </w:rPr>
        <w:t xml:space="preserve">към март </w:t>
      </w:r>
      <w:r w:rsidRPr="00FB6C90">
        <w:t xml:space="preserve">2018 г. е </w:t>
      </w:r>
      <w:r w:rsidRPr="00FB6C90">
        <w:rPr>
          <w:b/>
        </w:rPr>
        <w:t>5 422,3 млн. лв</w:t>
      </w:r>
      <w:r w:rsidRPr="00FB6C90">
        <w:t>. или 22,5 % от предвидените със ЗДБРБ за 2018 година</w:t>
      </w:r>
      <w:r w:rsidR="004B5DC2" w:rsidRPr="00B53232">
        <w:rPr>
          <w:color w:val="0070C0"/>
        </w:rPr>
        <w:t>.</w:t>
      </w:r>
    </w:p>
    <w:p w:rsidR="004B5DC2" w:rsidRPr="00B53232" w:rsidRDefault="004B5DC2" w:rsidP="004B5DC2">
      <w:pPr>
        <w:jc w:val="center"/>
        <w:rPr>
          <w:b/>
          <w:color w:val="0070C0"/>
          <w:sz w:val="4"/>
          <w:szCs w:val="4"/>
          <w:u w:val="single"/>
        </w:rPr>
      </w:pPr>
    </w:p>
    <w:p w:rsidR="004B5DC2" w:rsidRPr="00D91E5A" w:rsidRDefault="004B5DC2" w:rsidP="004B5DC2">
      <w:pPr>
        <w:jc w:val="center"/>
        <w:rPr>
          <w:b/>
          <w:u w:val="single"/>
        </w:rPr>
      </w:pPr>
      <w:r w:rsidRPr="00D91E5A">
        <w:rPr>
          <w:b/>
          <w:u w:val="single"/>
        </w:rPr>
        <w:t xml:space="preserve">Разходи, трансфери за други бюджети и вноска в бюджета на ЕС </w:t>
      </w:r>
    </w:p>
    <w:p w:rsidR="004B5DC2" w:rsidRPr="00D91E5A" w:rsidRDefault="004B5DC2" w:rsidP="004B5DC2">
      <w:pPr>
        <w:jc w:val="center"/>
        <w:rPr>
          <w:b/>
          <w:u w:val="single"/>
        </w:rPr>
      </w:pPr>
      <w:r w:rsidRPr="00D91E5A">
        <w:rPr>
          <w:b/>
          <w:u w:val="single"/>
        </w:rPr>
        <w:t>към март 201</w:t>
      </w:r>
      <w:r w:rsidR="0008745A" w:rsidRPr="00D91E5A">
        <w:rPr>
          <w:b/>
          <w:u w:val="single"/>
          <w:lang w:val="en-US"/>
        </w:rPr>
        <w:t>7</w:t>
      </w:r>
      <w:r w:rsidRPr="00D91E5A">
        <w:rPr>
          <w:b/>
          <w:u w:val="single"/>
        </w:rPr>
        <w:t xml:space="preserve"> г. и 201</w:t>
      </w:r>
      <w:r w:rsidR="0008745A" w:rsidRPr="00D91E5A">
        <w:rPr>
          <w:b/>
          <w:u w:val="single"/>
          <w:lang w:val="en-US"/>
        </w:rPr>
        <w:t>8</w:t>
      </w:r>
      <w:r w:rsidRPr="00D91E5A">
        <w:rPr>
          <w:b/>
          <w:u w:val="single"/>
        </w:rPr>
        <w:t xml:space="preserve"> г.</w:t>
      </w:r>
    </w:p>
    <w:p w:rsidR="004B5DC2" w:rsidRDefault="004B5DC2" w:rsidP="004B5DC2">
      <w:pPr>
        <w:jc w:val="center"/>
        <w:rPr>
          <w:b/>
          <w:color w:val="0070C0"/>
          <w:u w:val="single"/>
        </w:rPr>
      </w:pPr>
    </w:p>
    <w:p w:rsidR="00D91E5A" w:rsidRDefault="00D91E5A" w:rsidP="004B5DC2">
      <w:pPr>
        <w:jc w:val="center"/>
        <w:rPr>
          <w:b/>
          <w:color w:val="0070C0"/>
          <w:u w:val="single"/>
        </w:rPr>
      </w:pPr>
      <w:r w:rsidRPr="00C115A6">
        <w:rPr>
          <w:noProof/>
          <w:color w:val="0070C0"/>
          <w:lang w:eastAsia="bg-BG"/>
        </w:rPr>
        <w:drawing>
          <wp:inline distT="0" distB="0" distL="0" distR="0" wp14:anchorId="2F27824C" wp14:editId="19BE610C">
            <wp:extent cx="5745480" cy="2933700"/>
            <wp:effectExtent l="0" t="0" r="26670" b="19050"/>
            <wp:docPr id="1"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1E5A" w:rsidRPr="00D91E5A" w:rsidRDefault="00D91E5A" w:rsidP="004B5DC2">
      <w:pPr>
        <w:jc w:val="center"/>
        <w:rPr>
          <w:b/>
          <w:color w:val="0070C0"/>
          <w:sz w:val="14"/>
          <w:u w:val="single"/>
        </w:rPr>
      </w:pPr>
    </w:p>
    <w:p w:rsidR="004B5DC2" w:rsidRPr="0008745A" w:rsidRDefault="004B5DC2" w:rsidP="004B5DC2">
      <w:pPr>
        <w:rPr>
          <w:sz w:val="18"/>
          <w:szCs w:val="18"/>
          <w:lang w:eastAsia="bg-BG"/>
        </w:rPr>
      </w:pPr>
      <w:r w:rsidRPr="0008745A">
        <w:rPr>
          <w:sz w:val="18"/>
          <w:szCs w:val="18"/>
          <w:lang w:eastAsia="bg-BG"/>
        </w:rPr>
        <w:t xml:space="preserve">       *</w:t>
      </w:r>
      <w:r w:rsidRPr="0008745A">
        <w:rPr>
          <w:lang w:eastAsia="bg-BG"/>
        </w:rPr>
        <w:t xml:space="preserve"> </w:t>
      </w:r>
      <w:r w:rsidRPr="0008745A">
        <w:rPr>
          <w:sz w:val="18"/>
          <w:szCs w:val="18"/>
          <w:lang w:eastAsia="bg-BG"/>
        </w:rPr>
        <w:t>Вкл. нетния прираст на държавния резерв</w:t>
      </w:r>
    </w:p>
    <w:p w:rsidR="004B5DC2" w:rsidRPr="00DB75A4" w:rsidRDefault="004B5DC2" w:rsidP="00337CA7">
      <w:pPr>
        <w:numPr>
          <w:ilvl w:val="0"/>
          <w:numId w:val="22"/>
        </w:numPr>
        <w:spacing w:before="120"/>
        <w:jc w:val="both"/>
        <w:rPr>
          <w:b/>
          <w:bCs/>
        </w:rPr>
      </w:pPr>
      <w:r w:rsidRPr="00DB75A4">
        <w:rPr>
          <w:b/>
          <w:bCs/>
        </w:rPr>
        <w:t>Нелихвени разходи</w:t>
      </w:r>
    </w:p>
    <w:p w:rsidR="00DB75A4" w:rsidRPr="009E4D86" w:rsidRDefault="00DB75A4" w:rsidP="00DB75A4">
      <w:pPr>
        <w:spacing w:before="120"/>
        <w:jc w:val="both"/>
        <w:rPr>
          <w:bCs/>
        </w:rPr>
      </w:pPr>
      <w:r w:rsidRPr="009E4D86">
        <w:rPr>
          <w:b/>
          <w:bCs/>
        </w:rPr>
        <w:t>Нелихвените разходи</w:t>
      </w:r>
      <w:r w:rsidRPr="009E4D86">
        <w:rPr>
          <w:bCs/>
        </w:rPr>
        <w:t xml:space="preserve"> по държавния бюджет (без трансферите за др. бюджети) към март </w:t>
      </w:r>
      <w:r w:rsidRPr="009E4D86">
        <w:t xml:space="preserve">2018 г. </w:t>
      </w:r>
      <w:r w:rsidRPr="009E4D86">
        <w:rPr>
          <w:bCs/>
        </w:rPr>
        <w:t xml:space="preserve">са в размер на </w:t>
      </w:r>
      <w:r w:rsidRPr="009E4D86">
        <w:rPr>
          <w:b/>
          <w:bCs/>
        </w:rPr>
        <w:t>2 052,8 млн. лв</w:t>
      </w:r>
      <w:r w:rsidRPr="009E4D86">
        <w:rPr>
          <w:bCs/>
        </w:rPr>
        <w:t xml:space="preserve">., което представлява 18,4 % от годишния разчет. Съпоставени с данните към март 2017 г., нелихвените разходи нарастват с 250,6 млн. лв. </w:t>
      </w:r>
      <w:r w:rsidRPr="009E4D86">
        <w:rPr>
          <w:bCs/>
          <w:lang w:val="en-US"/>
        </w:rPr>
        <w:t>(</w:t>
      </w:r>
      <w:r w:rsidRPr="009E4D86">
        <w:rPr>
          <w:bCs/>
        </w:rPr>
        <w:t>13</w:t>
      </w:r>
      <w:proofErr w:type="gramStart"/>
      <w:r w:rsidRPr="009E4D86">
        <w:rPr>
          <w:bCs/>
        </w:rPr>
        <w:t>,9</w:t>
      </w:r>
      <w:proofErr w:type="gramEnd"/>
      <w:r w:rsidR="00D375C7">
        <w:rPr>
          <w:bCs/>
        </w:rPr>
        <w:t> </w:t>
      </w:r>
      <w:r w:rsidRPr="009E4D86">
        <w:rPr>
          <w:bCs/>
          <w:lang w:val="en-US"/>
        </w:rPr>
        <w:t>%)</w:t>
      </w:r>
      <w:r w:rsidRPr="009E4D86">
        <w:rPr>
          <w:bCs/>
        </w:rPr>
        <w:t xml:space="preserve">. </w:t>
      </w:r>
    </w:p>
    <w:p w:rsidR="004B5DC2" w:rsidRPr="00B53232" w:rsidRDefault="00DB75A4" w:rsidP="00DB75A4">
      <w:pPr>
        <w:spacing w:after="120"/>
        <w:jc w:val="both"/>
        <w:rPr>
          <w:b/>
          <w:color w:val="0070C0"/>
          <w:sz w:val="4"/>
          <w:szCs w:val="4"/>
          <w:lang w:eastAsia="bg-BG"/>
        </w:rPr>
      </w:pPr>
      <w:r w:rsidRPr="0044351B">
        <w:rPr>
          <w:bCs/>
        </w:rPr>
        <w:t xml:space="preserve">Разходите за персонал (заплати и </w:t>
      </w:r>
      <w:r w:rsidRPr="0044351B">
        <w:rPr>
          <w:bCs/>
          <w:noProof/>
        </w:rPr>
        <w:t>възнаграждения</w:t>
      </w:r>
      <w:r w:rsidRPr="0044351B">
        <w:rPr>
          <w:bCs/>
        </w:rPr>
        <w:t xml:space="preserve">, други възнаграждения и плащания за персонала и осигурителни вноски) са в общ размер на 1 116,2 млн. лв. или 24,9 % от </w:t>
      </w:r>
      <w:r w:rsidRPr="00642384">
        <w:rPr>
          <w:bCs/>
        </w:rPr>
        <w:t xml:space="preserve">планираните </w:t>
      </w:r>
      <w:r w:rsidRPr="00642384">
        <w:t xml:space="preserve">за 2018 </w:t>
      </w:r>
      <w:r w:rsidRPr="00642384">
        <w:rPr>
          <w:bCs/>
        </w:rPr>
        <w:t xml:space="preserve">г. 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407,9 млн. лв. или 18,4 % от планираните </w:t>
      </w:r>
      <w:r w:rsidRPr="00642384">
        <w:t>за годината</w:t>
      </w:r>
      <w:r w:rsidRPr="00642384">
        <w:rPr>
          <w:bCs/>
        </w:rPr>
        <w:t xml:space="preserve">. Социалните разходи (вкл. разходите за стипендии) са в размер на 204,4 млн. лв. или 18,0 % от предвидените </w:t>
      </w:r>
      <w:r w:rsidRPr="00642384">
        <w:t>за годината</w:t>
      </w:r>
      <w:r w:rsidRPr="00642384">
        <w:rPr>
          <w:bCs/>
        </w:rPr>
        <w:t xml:space="preserve"> и са основно разходи по бюджета на МТСП за помощи и добавки по Закона за социално подпомагане, </w:t>
      </w:r>
      <w:r w:rsidRPr="00D97E33">
        <w:rPr>
          <w:bCs/>
        </w:rPr>
        <w:t xml:space="preserve">Закона за интеграция на хората с увреждания, Закона за семейните помощи за деца и др. Предоставените текущи и капиталови трансфери за чужбина са в размер на 1,9 млн. лв. или </w:t>
      </w:r>
      <w:r w:rsidRPr="0021245E">
        <w:rPr>
          <w:bCs/>
        </w:rPr>
        <w:t xml:space="preserve">13,3 % от планираните </w:t>
      </w:r>
      <w:r w:rsidRPr="0021245E">
        <w:t>за годината.</w:t>
      </w:r>
      <w:r w:rsidRPr="0021245E">
        <w:rPr>
          <w:bCs/>
        </w:rPr>
        <w:t xml:space="preserve"> Разходите за субсидии са в размер на 189,6 млн. лв. или 20,5 % от планираните за годината. От тях 43,6</w:t>
      </w:r>
      <w:r w:rsidRPr="0021245E">
        <w:t xml:space="preserve"> </w:t>
      </w:r>
      <w:r w:rsidRPr="0021245E">
        <w:rPr>
          <w:bCs/>
        </w:rPr>
        <w:t xml:space="preserve">млн. лв. са субсидиите за </w:t>
      </w:r>
      <w:r w:rsidRPr="0021245E">
        <w:t xml:space="preserve">„БДЖ – Пътнически превози” ЕООД; 38,0 </w:t>
      </w:r>
      <w:r w:rsidRPr="0021245E">
        <w:rPr>
          <w:bCs/>
        </w:rPr>
        <w:t xml:space="preserve">млн. лв. са субсидиите за </w:t>
      </w:r>
      <w:r w:rsidRPr="0021245E">
        <w:t>Национална компания „Железопътна инфраструктура”</w:t>
      </w:r>
      <w:r w:rsidRPr="0021245E">
        <w:rPr>
          <w:bCs/>
        </w:rPr>
        <w:t xml:space="preserve"> </w:t>
      </w:r>
      <w:r w:rsidRPr="0021245E">
        <w:t xml:space="preserve">и 8,6 млн. лв. за „Български пощи” </w:t>
      </w:r>
      <w:r w:rsidRPr="00406C0B">
        <w:t xml:space="preserve">ЕАД. Към края на месец </w:t>
      </w:r>
      <w:r w:rsidRPr="00406C0B">
        <w:lastRenderedPageBreak/>
        <w:t xml:space="preserve">март </w:t>
      </w:r>
      <w:r w:rsidRPr="00406C0B">
        <w:rPr>
          <w:bCs/>
        </w:rPr>
        <w:t xml:space="preserve">2018 г. ДФ „Земеделие“ e изплатил субсидии в общ размер на 49,0 млн. лв., </w:t>
      </w:r>
      <w:r w:rsidRPr="00DC7B93">
        <w:rPr>
          <w:bCs/>
        </w:rPr>
        <w:t xml:space="preserve">от които 16,9 млн. лв. държавна помощ, 30,1 млн. лв. преходна национална помощ за сектор „Животновъдство“ и 1,4 млн. лв. средства за ДДС по схеми „Училищен плод“ и „Училищно мляко“. Капиталовите разходи </w:t>
      </w:r>
      <w:r w:rsidRPr="00DC7B93">
        <w:t xml:space="preserve">(вкл. нетния прираст на държавния резерв) </w:t>
      </w:r>
      <w:r w:rsidRPr="00DC7B93">
        <w:rPr>
          <w:bCs/>
        </w:rPr>
        <w:t>възлизат на 132,9 млн. лв</w:t>
      </w:r>
      <w:r w:rsidR="00953E5F" w:rsidRPr="00B53232">
        <w:rPr>
          <w:bCs/>
          <w:color w:val="0070C0"/>
        </w:rPr>
        <w:t>.</w:t>
      </w:r>
      <w:r>
        <w:rPr>
          <w:bCs/>
          <w:color w:val="0070C0"/>
        </w:rPr>
        <w:t xml:space="preserve"> </w:t>
      </w:r>
      <w:r w:rsidRPr="00E56860">
        <w:rPr>
          <w:bCs/>
        </w:rPr>
        <w:t xml:space="preserve">или </w:t>
      </w:r>
      <w:r>
        <w:rPr>
          <w:bCs/>
        </w:rPr>
        <w:t>5,6</w:t>
      </w:r>
      <w:r w:rsidRPr="00E56860">
        <w:rPr>
          <w:bCs/>
        </w:rPr>
        <w:t xml:space="preserve"> % от планираните за 201</w:t>
      </w:r>
      <w:r>
        <w:rPr>
          <w:bCs/>
        </w:rPr>
        <w:t>8</w:t>
      </w:r>
      <w:r w:rsidRPr="00E56860">
        <w:rPr>
          <w:bCs/>
        </w:rPr>
        <w:t xml:space="preserve"> г</w:t>
      </w:r>
      <w:r>
        <w:rPr>
          <w:bCs/>
        </w:rPr>
        <w:t>одина.</w:t>
      </w:r>
    </w:p>
    <w:p w:rsidR="00E918B7" w:rsidRPr="00CC5B57" w:rsidRDefault="00E918B7" w:rsidP="00337CA7">
      <w:pPr>
        <w:pStyle w:val="BodyTextIndent"/>
        <w:numPr>
          <w:ilvl w:val="1"/>
          <w:numId w:val="14"/>
        </w:numPr>
        <w:tabs>
          <w:tab w:val="clear" w:pos="2160"/>
          <w:tab w:val="num" w:pos="720"/>
          <w:tab w:val="num" w:pos="900"/>
        </w:tabs>
        <w:spacing w:before="120" w:after="0"/>
        <w:ind w:left="720"/>
        <w:jc w:val="both"/>
        <w:rPr>
          <w:b/>
          <w:bCs/>
        </w:rPr>
      </w:pPr>
      <w:r w:rsidRPr="00CC5B57">
        <w:rPr>
          <w:b/>
        </w:rPr>
        <w:t>Просрочени задължения</w:t>
      </w:r>
    </w:p>
    <w:p w:rsidR="00E918B7" w:rsidRPr="00B53232" w:rsidRDefault="00E918B7" w:rsidP="00E918B7">
      <w:pPr>
        <w:pStyle w:val="BodyTextIndent"/>
        <w:spacing w:after="0"/>
        <w:ind w:left="0"/>
        <w:jc w:val="both"/>
        <w:rPr>
          <w:b/>
          <w:bCs/>
          <w:color w:val="0070C0"/>
          <w:sz w:val="12"/>
          <w:szCs w:val="12"/>
        </w:rPr>
      </w:pPr>
    </w:p>
    <w:p w:rsidR="009C721E" w:rsidRPr="00D125DE" w:rsidRDefault="009C721E" w:rsidP="002D2DC4">
      <w:pPr>
        <w:jc w:val="both"/>
      </w:pPr>
      <w:r w:rsidRPr="00D125DE">
        <w:t>Към 3</w:t>
      </w:r>
      <w:r w:rsidR="004B5DC2" w:rsidRPr="00D125DE">
        <w:t>1</w:t>
      </w:r>
      <w:r w:rsidRPr="00D125DE">
        <w:t>.0</w:t>
      </w:r>
      <w:r w:rsidR="004B5DC2" w:rsidRPr="00D125DE">
        <w:t>3</w:t>
      </w:r>
      <w:r w:rsidRPr="00D125DE">
        <w:t>.201</w:t>
      </w:r>
      <w:r w:rsidR="00552767" w:rsidRPr="00D125DE">
        <w:t>8</w:t>
      </w:r>
      <w:r w:rsidRPr="00D125DE">
        <w:t xml:space="preserve"> г. просрочените задължения на централно и местно правителство</w:t>
      </w:r>
      <w:r w:rsidR="00927E90">
        <w:t xml:space="preserve"> и </w:t>
      </w:r>
      <w:proofErr w:type="spellStart"/>
      <w:r w:rsidR="00927E90" w:rsidRPr="00927E90">
        <w:t>социалноосигурителните</w:t>
      </w:r>
      <w:proofErr w:type="spellEnd"/>
      <w:r w:rsidR="00927E90" w:rsidRPr="00927E90">
        <w:t xml:space="preserve"> фондове</w:t>
      </w:r>
      <w:r w:rsidRPr="00D125DE">
        <w:t xml:space="preserve"> са в размер </w:t>
      </w:r>
      <w:r w:rsidRPr="00927E90">
        <w:t xml:space="preserve">на </w:t>
      </w:r>
      <w:r w:rsidR="00A91A56" w:rsidRPr="00927E90">
        <w:rPr>
          <w:b/>
        </w:rPr>
        <w:t>327</w:t>
      </w:r>
      <w:r w:rsidR="00967BB9" w:rsidRPr="00927E90">
        <w:rPr>
          <w:b/>
        </w:rPr>
        <w:t>,</w:t>
      </w:r>
      <w:r w:rsidR="005D4951">
        <w:rPr>
          <w:b/>
        </w:rPr>
        <w:t>9</w:t>
      </w:r>
      <w:r w:rsidRPr="00927E90">
        <w:rPr>
          <w:b/>
        </w:rPr>
        <w:t xml:space="preserve"> млн</w:t>
      </w:r>
      <w:r w:rsidRPr="00D125DE">
        <w:rPr>
          <w:b/>
        </w:rPr>
        <w:t>. лева.</w:t>
      </w:r>
      <w:r w:rsidRPr="00D125DE">
        <w:t xml:space="preserve"> </w:t>
      </w:r>
    </w:p>
    <w:p w:rsidR="009C721E" w:rsidRDefault="009C721E" w:rsidP="00927E90">
      <w:pPr>
        <w:spacing w:before="120"/>
        <w:jc w:val="both"/>
        <w:rPr>
          <w:noProof/>
        </w:rPr>
      </w:pPr>
      <w:r w:rsidRPr="00F036A3">
        <w:t xml:space="preserve">Размерът на просрочените задължения на </w:t>
      </w:r>
      <w:r w:rsidRPr="00F036A3">
        <w:rPr>
          <w:b/>
        </w:rPr>
        <w:t>централно правителство</w:t>
      </w:r>
      <w:r w:rsidRPr="00F036A3">
        <w:t xml:space="preserve"> (министерства, </w:t>
      </w:r>
      <w:r w:rsidRPr="00BA1E27">
        <w:t>ведомства и разпоредителите с бюджет по чл. 13, ал. 3 и ал. 4 на ЗПФ) е</w:t>
      </w:r>
      <w:r w:rsidRPr="00BA1E27">
        <w:rPr>
          <w:b/>
        </w:rPr>
        <w:t xml:space="preserve"> </w:t>
      </w:r>
      <w:r w:rsidR="000320C8">
        <w:rPr>
          <w:b/>
          <w:lang w:val="en-US"/>
        </w:rPr>
        <w:t>65</w:t>
      </w:r>
      <w:r w:rsidR="000320C8">
        <w:rPr>
          <w:b/>
        </w:rPr>
        <w:t>,1</w:t>
      </w:r>
      <w:r w:rsidRPr="00BA1E27">
        <w:rPr>
          <w:b/>
        </w:rPr>
        <w:t xml:space="preserve"> млн. лв</w:t>
      </w:r>
      <w:r w:rsidR="00BA1E27" w:rsidRPr="00BA1E27">
        <w:rPr>
          <w:b/>
        </w:rPr>
        <w:t>.</w:t>
      </w:r>
      <w:r w:rsidR="000320C8">
        <w:rPr>
          <w:b/>
        </w:rPr>
        <w:t xml:space="preserve">, </w:t>
      </w:r>
      <w:r w:rsidR="000320C8" w:rsidRPr="000320C8">
        <w:t>като</w:t>
      </w:r>
      <w:r w:rsidR="000320C8">
        <w:rPr>
          <w:b/>
        </w:rPr>
        <w:t xml:space="preserve"> </w:t>
      </w:r>
      <w:r w:rsidR="00BA1E27" w:rsidRPr="00BA1E27">
        <w:rPr>
          <w:b/>
        </w:rPr>
        <w:t xml:space="preserve"> </w:t>
      </w:r>
      <w:r w:rsidR="000320C8">
        <w:t>с</w:t>
      </w:r>
      <w:r w:rsidR="000320C8" w:rsidRPr="00160A10">
        <w:t>прямо отчетените в края на 2017 г.</w:t>
      </w:r>
      <w:r w:rsidR="0072166A">
        <w:t xml:space="preserve"> има</w:t>
      </w:r>
      <w:r w:rsidR="000320C8" w:rsidRPr="00160A10">
        <w:t xml:space="preserve"> нараства</w:t>
      </w:r>
      <w:r w:rsidR="000320C8">
        <w:t>не</w:t>
      </w:r>
      <w:r w:rsidR="000320C8" w:rsidRPr="00160A10">
        <w:t xml:space="preserve"> с </w:t>
      </w:r>
      <w:r w:rsidR="000320C8">
        <w:t>22,2</w:t>
      </w:r>
      <w:r w:rsidR="000320C8" w:rsidRPr="00160A10">
        <w:t xml:space="preserve"> млн. лева. </w:t>
      </w:r>
      <w:r w:rsidRPr="00160A10">
        <w:t xml:space="preserve">В обхвата на държавния бюджет по-значими проблеми с наличие на просрочени задължения съществуват </w:t>
      </w:r>
      <w:r w:rsidRPr="00160A10">
        <w:rPr>
          <w:bCs/>
        </w:rPr>
        <w:t xml:space="preserve">при няколко министерства, което изисква активни мерки от тези първостепенни </w:t>
      </w:r>
      <w:r w:rsidRPr="0090737E">
        <w:rPr>
          <w:bCs/>
        </w:rPr>
        <w:t>разпоредители с бюджет за редуцирането им. С най-значими</w:t>
      </w:r>
      <w:r w:rsidRPr="0090737E">
        <w:t xml:space="preserve"> просрочени задължения по държавния бюджет </w:t>
      </w:r>
      <w:r w:rsidR="0067642C">
        <w:t>са</w:t>
      </w:r>
      <w:r w:rsidR="0067642C">
        <w:rPr>
          <w:lang w:val="en-US"/>
        </w:rPr>
        <w:t xml:space="preserve">: </w:t>
      </w:r>
      <w:r w:rsidR="0090737E" w:rsidRPr="0090737E">
        <w:t>Министерски съвет</w:t>
      </w:r>
      <w:r w:rsidRPr="0090737E">
        <w:t xml:space="preserve"> - </w:t>
      </w:r>
      <w:r w:rsidRPr="0090737E">
        <w:rPr>
          <w:bCs/>
          <w:noProof/>
        </w:rPr>
        <w:t xml:space="preserve">към края на </w:t>
      </w:r>
      <w:r w:rsidR="003E678B" w:rsidRPr="0090737E">
        <w:rPr>
          <w:bCs/>
          <w:noProof/>
        </w:rPr>
        <w:t>март</w:t>
      </w:r>
      <w:r w:rsidRPr="0090737E">
        <w:rPr>
          <w:bCs/>
          <w:noProof/>
        </w:rPr>
        <w:t xml:space="preserve"> 201</w:t>
      </w:r>
      <w:r w:rsidR="0090737E" w:rsidRPr="0090737E">
        <w:rPr>
          <w:bCs/>
          <w:noProof/>
        </w:rPr>
        <w:t>8</w:t>
      </w:r>
      <w:r w:rsidRPr="0090737E">
        <w:rPr>
          <w:bCs/>
          <w:noProof/>
        </w:rPr>
        <w:t xml:space="preserve"> г. просрочените задължения са </w:t>
      </w:r>
      <w:r w:rsidRPr="008D176B">
        <w:rPr>
          <w:bCs/>
          <w:noProof/>
        </w:rPr>
        <w:t xml:space="preserve">в размер на </w:t>
      </w:r>
      <w:r w:rsidR="0090737E" w:rsidRPr="008D176B">
        <w:rPr>
          <w:bCs/>
          <w:noProof/>
        </w:rPr>
        <w:t>17,4</w:t>
      </w:r>
      <w:r w:rsidRPr="008D176B">
        <w:rPr>
          <w:noProof/>
        </w:rPr>
        <w:t xml:space="preserve"> млн. лв. (</w:t>
      </w:r>
      <w:r w:rsidR="0090737E" w:rsidRPr="008D176B">
        <w:rPr>
          <w:noProof/>
        </w:rPr>
        <w:t>увеличение</w:t>
      </w:r>
      <w:r w:rsidRPr="008D176B">
        <w:rPr>
          <w:noProof/>
        </w:rPr>
        <w:t xml:space="preserve"> с </w:t>
      </w:r>
      <w:r w:rsidR="0090737E" w:rsidRPr="008D176B">
        <w:rPr>
          <w:noProof/>
        </w:rPr>
        <w:t>10,8</w:t>
      </w:r>
      <w:r w:rsidRPr="008D176B">
        <w:rPr>
          <w:noProof/>
        </w:rPr>
        <w:t xml:space="preserve"> млн. лв. </w:t>
      </w:r>
      <w:r w:rsidRPr="008D176B">
        <w:t xml:space="preserve">спрямо </w:t>
      </w:r>
      <w:r w:rsidR="0085580B" w:rsidRPr="008D176B">
        <w:t xml:space="preserve">отчетените в края на </w:t>
      </w:r>
      <w:r w:rsidRPr="008D176B">
        <w:t>201</w:t>
      </w:r>
      <w:r w:rsidR="0090737E" w:rsidRPr="008D176B">
        <w:t>7</w:t>
      </w:r>
      <w:r w:rsidRPr="008D176B">
        <w:t xml:space="preserve"> г.</w:t>
      </w:r>
      <w:r w:rsidR="0090737E" w:rsidRPr="008D176B">
        <w:rPr>
          <w:noProof/>
        </w:rPr>
        <w:t>)</w:t>
      </w:r>
      <w:r w:rsidR="0067642C">
        <w:rPr>
          <w:noProof/>
          <w:lang w:val="en-US"/>
        </w:rPr>
        <w:t xml:space="preserve">; </w:t>
      </w:r>
      <w:r w:rsidR="0067642C" w:rsidRPr="0067642C">
        <w:rPr>
          <w:noProof/>
        </w:rPr>
        <w:t>Министерство на земеделието</w:t>
      </w:r>
      <w:r w:rsidR="00971C40">
        <w:rPr>
          <w:noProof/>
        </w:rPr>
        <w:t xml:space="preserve">, </w:t>
      </w:r>
      <w:r w:rsidR="0067642C" w:rsidRPr="0067642C">
        <w:rPr>
          <w:noProof/>
        </w:rPr>
        <w:t>храните</w:t>
      </w:r>
      <w:r w:rsidR="00971C40">
        <w:rPr>
          <w:noProof/>
        </w:rPr>
        <w:t xml:space="preserve"> и горите</w:t>
      </w:r>
      <w:r w:rsidR="0067642C" w:rsidRPr="0067642C">
        <w:rPr>
          <w:noProof/>
        </w:rPr>
        <w:t xml:space="preserve"> (просрочията са </w:t>
      </w:r>
      <w:r w:rsidR="0067642C">
        <w:rPr>
          <w:noProof/>
        </w:rPr>
        <w:t>14,2</w:t>
      </w:r>
      <w:r w:rsidR="0067642C" w:rsidRPr="0067642C">
        <w:rPr>
          <w:noProof/>
        </w:rPr>
        <w:t xml:space="preserve"> млн. лв. и са увеличени с </w:t>
      </w:r>
      <w:r w:rsidR="0067642C">
        <w:rPr>
          <w:noProof/>
        </w:rPr>
        <w:t>2,4</w:t>
      </w:r>
      <w:r w:rsidR="0067642C" w:rsidRPr="0067642C">
        <w:rPr>
          <w:noProof/>
        </w:rPr>
        <w:t xml:space="preserve"> млн. лв. спрямо отчетените в края на 2017 г.)</w:t>
      </w:r>
      <w:r w:rsidR="0067642C">
        <w:rPr>
          <w:noProof/>
          <w:lang w:val="en-US"/>
        </w:rPr>
        <w:t>;</w:t>
      </w:r>
      <w:r w:rsidR="0067642C">
        <w:rPr>
          <w:noProof/>
        </w:rPr>
        <w:t xml:space="preserve"> </w:t>
      </w:r>
      <w:r w:rsidR="008D176B" w:rsidRPr="008D176B">
        <w:rPr>
          <w:noProof/>
        </w:rPr>
        <w:t xml:space="preserve">Министерството на вътрешните </w:t>
      </w:r>
      <w:r w:rsidR="008D176B" w:rsidRPr="00307BFD">
        <w:rPr>
          <w:noProof/>
        </w:rPr>
        <w:t>работи (просрочият</w:t>
      </w:r>
      <w:r w:rsidR="0067642C" w:rsidRPr="00307BFD">
        <w:rPr>
          <w:noProof/>
        </w:rPr>
        <w:t>а</w:t>
      </w:r>
      <w:r w:rsidR="008D176B" w:rsidRPr="00307BFD">
        <w:rPr>
          <w:noProof/>
        </w:rPr>
        <w:t xml:space="preserve"> са 12,7 млн. лв. и са увеличени с </w:t>
      </w:r>
      <w:r w:rsidR="0067642C" w:rsidRPr="00307BFD">
        <w:rPr>
          <w:noProof/>
        </w:rPr>
        <w:t>5,7</w:t>
      </w:r>
      <w:r w:rsidR="008D176B" w:rsidRPr="00307BFD">
        <w:rPr>
          <w:noProof/>
        </w:rPr>
        <w:t xml:space="preserve"> млн. лв. </w:t>
      </w:r>
      <w:r w:rsidR="008D176B" w:rsidRPr="00307BFD">
        <w:t>спрямо отчетените в края на 2017 г.</w:t>
      </w:r>
      <w:r w:rsidR="008D176B" w:rsidRPr="00307BFD">
        <w:rPr>
          <w:noProof/>
        </w:rPr>
        <w:t>)</w:t>
      </w:r>
      <w:r w:rsidR="0067642C" w:rsidRPr="00307BFD">
        <w:rPr>
          <w:noProof/>
        </w:rPr>
        <w:t xml:space="preserve"> </w:t>
      </w:r>
      <w:r w:rsidRPr="00307BFD">
        <w:rPr>
          <w:noProof/>
        </w:rPr>
        <w:t xml:space="preserve">и други. От разпоредителите с бюджет по чл. 13, ал. 3 на Закона за публичните финанси проблеми с наличието на просрочени задължения имат </w:t>
      </w:r>
      <w:r w:rsidR="003748CB" w:rsidRPr="00307BFD">
        <w:rPr>
          <w:noProof/>
        </w:rPr>
        <w:t xml:space="preserve">основно </w:t>
      </w:r>
      <w:r w:rsidR="0076230C">
        <w:rPr>
          <w:noProof/>
        </w:rPr>
        <w:t>държавните висши училища (9,7</w:t>
      </w:r>
      <w:r w:rsidR="000215BD" w:rsidRPr="00307BFD">
        <w:rPr>
          <w:noProof/>
        </w:rPr>
        <w:t xml:space="preserve"> млн.</w:t>
      </w:r>
      <w:r w:rsidR="00C74DAC">
        <w:rPr>
          <w:noProof/>
        </w:rPr>
        <w:t> </w:t>
      </w:r>
      <w:r w:rsidR="000215BD" w:rsidRPr="00307BFD">
        <w:rPr>
          <w:noProof/>
        </w:rPr>
        <w:t xml:space="preserve">лв.) и </w:t>
      </w:r>
      <w:r w:rsidR="00911B8C" w:rsidRPr="00307BFD">
        <w:rPr>
          <w:noProof/>
        </w:rPr>
        <w:t>Българската национална телевизия (</w:t>
      </w:r>
      <w:r w:rsidR="000215BD" w:rsidRPr="00307BFD">
        <w:rPr>
          <w:noProof/>
        </w:rPr>
        <w:t>4,3</w:t>
      </w:r>
      <w:r w:rsidR="00911B8C" w:rsidRPr="00307BFD">
        <w:rPr>
          <w:noProof/>
        </w:rPr>
        <w:t xml:space="preserve"> млн. лв.)</w:t>
      </w:r>
      <w:r w:rsidR="000215BD" w:rsidRPr="00307BFD">
        <w:rPr>
          <w:noProof/>
        </w:rPr>
        <w:t>.</w:t>
      </w:r>
    </w:p>
    <w:p w:rsidR="00927E90" w:rsidRPr="00307BFD" w:rsidRDefault="00927E90" w:rsidP="00927E90">
      <w:pPr>
        <w:spacing w:before="120"/>
        <w:jc w:val="both"/>
      </w:pPr>
      <w:r>
        <w:t>П</w:t>
      </w:r>
      <w:r w:rsidRPr="00F036A3">
        <w:t xml:space="preserve">росрочените задължения на </w:t>
      </w:r>
      <w:r>
        <w:rPr>
          <w:b/>
        </w:rPr>
        <w:t>НЗОК</w:t>
      </w:r>
      <w:r w:rsidRPr="00F036A3">
        <w:t xml:space="preserve"> </w:t>
      </w:r>
      <w:r w:rsidR="00F66A6E">
        <w:t>към 31.03.</w:t>
      </w:r>
      <w:r w:rsidR="00D756D2">
        <w:t xml:space="preserve">2018 г. </w:t>
      </w:r>
      <w:r>
        <w:t xml:space="preserve">са в размер на </w:t>
      </w:r>
      <w:r w:rsidRPr="00FE354B">
        <w:rPr>
          <w:b/>
        </w:rPr>
        <w:t>124,6 млн. лв.</w:t>
      </w:r>
      <w:r>
        <w:t>, като се отчита увеличение с 5,1 млн. лв. спрямо края на 2017 година.</w:t>
      </w:r>
    </w:p>
    <w:p w:rsidR="009C721E" w:rsidRPr="00B53232" w:rsidRDefault="009C721E" w:rsidP="009C721E">
      <w:pPr>
        <w:ind w:firstLine="567"/>
        <w:jc w:val="both"/>
        <w:rPr>
          <w:bCs/>
          <w:color w:val="0070C0"/>
          <w:sz w:val="12"/>
          <w:szCs w:val="12"/>
        </w:rPr>
      </w:pPr>
    </w:p>
    <w:p w:rsidR="00BB059C" w:rsidRPr="005C3FEE" w:rsidRDefault="009C721E" w:rsidP="002D2DC4">
      <w:pPr>
        <w:spacing w:after="120"/>
        <w:jc w:val="both"/>
        <w:rPr>
          <w:noProof/>
        </w:rPr>
      </w:pPr>
      <w:r w:rsidRPr="005C3FEE">
        <w:rPr>
          <w:noProof/>
          <w:lang w:val="en-US"/>
        </w:rPr>
        <w:t xml:space="preserve">Просрочените задължения по </w:t>
      </w:r>
      <w:r w:rsidRPr="005C3FEE">
        <w:rPr>
          <w:b/>
          <w:noProof/>
        </w:rPr>
        <w:t>бюджетите на общините</w:t>
      </w:r>
      <w:r w:rsidRPr="005C3FEE">
        <w:rPr>
          <w:noProof/>
          <w:lang w:val="en-US"/>
        </w:rPr>
        <w:t xml:space="preserve"> </w:t>
      </w:r>
      <w:r w:rsidR="007C1790" w:rsidRPr="005C3FEE">
        <w:rPr>
          <w:noProof/>
        </w:rPr>
        <w:t>към 3</w:t>
      </w:r>
      <w:r w:rsidR="00753B48" w:rsidRPr="005C3FEE">
        <w:rPr>
          <w:noProof/>
        </w:rPr>
        <w:t>1</w:t>
      </w:r>
      <w:r w:rsidR="007C1790" w:rsidRPr="005C3FEE">
        <w:rPr>
          <w:noProof/>
        </w:rPr>
        <w:t>.0</w:t>
      </w:r>
      <w:r w:rsidR="00753B48" w:rsidRPr="005C3FEE">
        <w:rPr>
          <w:noProof/>
        </w:rPr>
        <w:t>3</w:t>
      </w:r>
      <w:r w:rsidR="007C1790" w:rsidRPr="005C3FEE">
        <w:rPr>
          <w:noProof/>
        </w:rPr>
        <w:t>.201</w:t>
      </w:r>
      <w:r w:rsidR="00B03D11" w:rsidRPr="005C3FEE">
        <w:rPr>
          <w:noProof/>
        </w:rPr>
        <w:t>8</w:t>
      </w:r>
      <w:r w:rsidR="007C1790" w:rsidRPr="005C3FEE">
        <w:rPr>
          <w:noProof/>
        </w:rPr>
        <w:t xml:space="preserve"> г. </w:t>
      </w:r>
      <w:r w:rsidRPr="005C3FEE">
        <w:rPr>
          <w:noProof/>
          <w:lang w:val="en-US"/>
        </w:rPr>
        <w:t xml:space="preserve">са в размер на </w:t>
      </w:r>
      <w:r w:rsidR="00B03D11" w:rsidRPr="005C3FEE">
        <w:rPr>
          <w:b/>
          <w:noProof/>
        </w:rPr>
        <w:t>13</w:t>
      </w:r>
      <w:r w:rsidR="002C2CAC">
        <w:rPr>
          <w:b/>
          <w:noProof/>
          <w:lang w:val="en-US"/>
        </w:rPr>
        <w:t>8</w:t>
      </w:r>
      <w:r w:rsidR="00B03D11" w:rsidRPr="005C3FEE">
        <w:rPr>
          <w:b/>
          <w:noProof/>
        </w:rPr>
        <w:t>,3</w:t>
      </w:r>
      <w:r w:rsidRPr="005C3FEE">
        <w:rPr>
          <w:b/>
          <w:noProof/>
          <w:lang w:val="en-US"/>
        </w:rPr>
        <w:t xml:space="preserve"> млн. лв.,</w:t>
      </w:r>
      <w:r w:rsidR="00BB059C" w:rsidRPr="005C3FEE">
        <w:rPr>
          <w:noProof/>
          <w:lang w:val="en-US"/>
        </w:rPr>
        <w:t xml:space="preserve"> като спрямо </w:t>
      </w:r>
      <w:r w:rsidR="00E86555" w:rsidRPr="005C3FEE">
        <w:rPr>
          <w:noProof/>
        </w:rPr>
        <w:t xml:space="preserve">края на </w:t>
      </w:r>
      <w:r w:rsidR="00BB059C" w:rsidRPr="005C3FEE">
        <w:rPr>
          <w:noProof/>
          <w:lang w:val="en-US"/>
        </w:rPr>
        <w:t>201</w:t>
      </w:r>
      <w:r w:rsidR="00B03D11" w:rsidRPr="005C3FEE">
        <w:rPr>
          <w:noProof/>
        </w:rPr>
        <w:t>7</w:t>
      </w:r>
      <w:r w:rsidR="00BB059C" w:rsidRPr="005C3FEE">
        <w:rPr>
          <w:noProof/>
          <w:lang w:val="en-US"/>
        </w:rPr>
        <w:t xml:space="preserve"> г. се отчита </w:t>
      </w:r>
      <w:r w:rsidR="00753B48" w:rsidRPr="005C3FEE">
        <w:rPr>
          <w:noProof/>
        </w:rPr>
        <w:t>намаление от</w:t>
      </w:r>
      <w:r w:rsidR="00BB059C" w:rsidRPr="005C3FEE">
        <w:rPr>
          <w:noProof/>
          <w:lang w:val="en-US"/>
        </w:rPr>
        <w:t xml:space="preserve"> </w:t>
      </w:r>
      <w:r w:rsidR="002C2CAC">
        <w:rPr>
          <w:noProof/>
          <w:lang w:val="en-US"/>
        </w:rPr>
        <w:t>7,9</w:t>
      </w:r>
      <w:r w:rsidR="00BB059C" w:rsidRPr="005C3FEE">
        <w:rPr>
          <w:noProof/>
          <w:lang w:val="en-US"/>
        </w:rPr>
        <w:t xml:space="preserve"> млн. лева. В делегираните от държавата дейности просрочените задължения са в размер на </w:t>
      </w:r>
      <w:r w:rsidR="005C3FEE" w:rsidRPr="005C3FEE">
        <w:rPr>
          <w:noProof/>
        </w:rPr>
        <w:t>3,6</w:t>
      </w:r>
      <w:r w:rsidR="00BB059C" w:rsidRPr="005C3FEE">
        <w:rPr>
          <w:noProof/>
          <w:lang w:val="en-US"/>
        </w:rPr>
        <w:t xml:space="preserve"> млн. лева. С най-голям относителен дял в просрочените задължения по бюджета на общините са </w:t>
      </w:r>
      <w:r w:rsidR="00BB059C" w:rsidRPr="005C3FEE">
        <w:rPr>
          <w:noProof/>
        </w:rPr>
        <w:t xml:space="preserve">просрочените задължения към доставчици, </w:t>
      </w:r>
      <w:r w:rsidR="00E86555" w:rsidRPr="005C3FEE">
        <w:rPr>
          <w:noProof/>
        </w:rPr>
        <w:t xml:space="preserve">които са </w:t>
      </w:r>
      <w:r w:rsidR="00BB059C" w:rsidRPr="005C3FEE">
        <w:rPr>
          <w:noProof/>
        </w:rPr>
        <w:t xml:space="preserve">в размер на </w:t>
      </w:r>
      <w:r w:rsidR="002C2CAC">
        <w:rPr>
          <w:noProof/>
        </w:rPr>
        <w:t>119,4</w:t>
      </w:r>
      <w:r w:rsidR="00BB059C" w:rsidRPr="005C3FEE">
        <w:rPr>
          <w:noProof/>
        </w:rPr>
        <w:t xml:space="preserve"> млн. лева.</w:t>
      </w:r>
    </w:p>
    <w:p w:rsidR="00D4646A" w:rsidRPr="00DF17D0" w:rsidRDefault="00D4646A" w:rsidP="00D4646A">
      <w:pPr>
        <w:spacing w:after="120"/>
        <w:jc w:val="both"/>
        <w:rPr>
          <w:noProof/>
          <w:lang w:val="en-US"/>
        </w:rPr>
      </w:pPr>
      <w:r w:rsidRPr="00624692">
        <w:rPr>
          <w:noProof/>
        </w:rPr>
        <w:t>Извън обхвата на консолидираната фискална програма, сериозен продължава да бъде</w:t>
      </w:r>
      <w:r w:rsidRPr="00624692">
        <w:t xml:space="preserve"> проблемът с </w:t>
      </w:r>
      <w:proofErr w:type="spellStart"/>
      <w:r w:rsidRPr="00624692">
        <w:t>просрочията</w:t>
      </w:r>
      <w:proofErr w:type="spellEnd"/>
      <w:r w:rsidRPr="00624692">
        <w:t xml:space="preserve"> на лечебните заведения за болнична помощ (държавни и общински болници – търговски дружества). Към 31.</w:t>
      </w:r>
      <w:r w:rsidR="00372965" w:rsidRPr="00624692">
        <w:rPr>
          <w:lang w:val="en-US"/>
        </w:rPr>
        <w:t>03</w:t>
      </w:r>
      <w:r w:rsidRPr="00624692">
        <w:t>.201</w:t>
      </w:r>
      <w:r w:rsidR="00372965" w:rsidRPr="00624692">
        <w:rPr>
          <w:lang w:val="en-US"/>
        </w:rPr>
        <w:t>8</w:t>
      </w:r>
      <w:r w:rsidRPr="00624692">
        <w:t xml:space="preserve"> г. размерът на просрочените задължения е </w:t>
      </w:r>
      <w:r w:rsidR="00624692" w:rsidRPr="00624692">
        <w:rPr>
          <w:lang w:val="en-US"/>
        </w:rPr>
        <w:t xml:space="preserve">203,5 </w:t>
      </w:r>
      <w:r w:rsidRPr="00624692">
        <w:t xml:space="preserve">млн. лв., от които </w:t>
      </w:r>
      <w:r w:rsidR="00624692" w:rsidRPr="00624692">
        <w:rPr>
          <w:lang w:val="en-US"/>
        </w:rPr>
        <w:t xml:space="preserve">158,7 </w:t>
      </w:r>
      <w:r w:rsidRPr="00624692">
        <w:t xml:space="preserve">млн. лв. са на държавните болници и </w:t>
      </w:r>
      <w:r w:rsidR="00624692" w:rsidRPr="00624692">
        <w:rPr>
          <w:lang w:val="en-US"/>
        </w:rPr>
        <w:t xml:space="preserve">44,8 </w:t>
      </w:r>
      <w:r w:rsidRPr="00624692">
        <w:t>млн. лв. са на общинските болници. Спрямо отчетените просрочени задължения в края на 201</w:t>
      </w:r>
      <w:r w:rsidR="00372965" w:rsidRPr="00624692">
        <w:rPr>
          <w:lang w:val="en-US"/>
        </w:rPr>
        <w:t>7</w:t>
      </w:r>
      <w:r w:rsidRPr="00624692">
        <w:t xml:space="preserve"> г. се отчита увеличение с </w:t>
      </w:r>
      <w:r w:rsidR="00624692" w:rsidRPr="00624692">
        <w:t>4,5</w:t>
      </w:r>
      <w:r w:rsidRPr="00624692">
        <w:t xml:space="preserve"> млн. лв. (</w:t>
      </w:r>
      <w:r w:rsidR="00624692" w:rsidRPr="00624692">
        <w:t>2</w:t>
      </w:r>
      <w:r w:rsidRPr="00624692">
        <w:t xml:space="preserve"> на сто).</w:t>
      </w:r>
    </w:p>
    <w:p w:rsidR="00BB059C" w:rsidRPr="00B53232" w:rsidRDefault="00BB059C" w:rsidP="00BB059C">
      <w:pPr>
        <w:ind w:firstLine="567"/>
        <w:jc w:val="both"/>
        <w:rPr>
          <w:noProof/>
          <w:color w:val="0070C0"/>
          <w:sz w:val="12"/>
          <w:szCs w:val="12"/>
          <w:lang w:val="en-US"/>
        </w:rPr>
      </w:pPr>
    </w:p>
    <w:p w:rsidR="009C2594" w:rsidRPr="00B95110" w:rsidRDefault="009C2594" w:rsidP="00337CA7">
      <w:pPr>
        <w:pStyle w:val="BodyTextIndent"/>
        <w:numPr>
          <w:ilvl w:val="1"/>
          <w:numId w:val="14"/>
        </w:numPr>
        <w:tabs>
          <w:tab w:val="clear" w:pos="2160"/>
          <w:tab w:val="num" w:pos="720"/>
          <w:tab w:val="num" w:pos="900"/>
        </w:tabs>
        <w:spacing w:before="120" w:after="0"/>
        <w:ind w:left="720"/>
        <w:jc w:val="both"/>
        <w:rPr>
          <w:b/>
          <w:bCs/>
        </w:rPr>
      </w:pPr>
      <w:r w:rsidRPr="00B95110">
        <w:rPr>
          <w:b/>
          <w:bCs/>
        </w:rPr>
        <w:t xml:space="preserve">Разходи по </w:t>
      </w:r>
      <w:r w:rsidRPr="00B95110">
        <w:rPr>
          <w:b/>
          <w:bCs/>
          <w:szCs w:val="26"/>
        </w:rPr>
        <w:t xml:space="preserve">централния бюджет </w:t>
      </w:r>
      <w:r w:rsidRPr="00B95110">
        <w:rPr>
          <w:b/>
          <w:bCs/>
        </w:rPr>
        <w:t>за субсидии</w:t>
      </w:r>
      <w:r w:rsidR="00F202DD" w:rsidRPr="00B95110">
        <w:rPr>
          <w:b/>
          <w:bCs/>
        </w:rPr>
        <w:t>,</w:t>
      </w:r>
      <w:r w:rsidR="0091667E" w:rsidRPr="00B95110">
        <w:rPr>
          <w:b/>
          <w:bCs/>
        </w:rPr>
        <w:t xml:space="preserve"> </w:t>
      </w:r>
      <w:r w:rsidR="00F202DD" w:rsidRPr="00B95110">
        <w:rPr>
          <w:b/>
          <w:bCs/>
        </w:rPr>
        <w:t xml:space="preserve">капиталови </w:t>
      </w:r>
      <w:r w:rsidR="00AF1CA0">
        <w:rPr>
          <w:b/>
          <w:bCs/>
        </w:rPr>
        <w:t>трансфери</w:t>
      </w:r>
      <w:r w:rsidR="00AF1CA0" w:rsidRPr="00810D7B">
        <w:rPr>
          <w:bCs/>
        </w:rPr>
        <w:t xml:space="preserve"> </w:t>
      </w:r>
      <w:r w:rsidRPr="00B95110">
        <w:rPr>
          <w:b/>
          <w:bCs/>
        </w:rPr>
        <w:t xml:space="preserve">и други разходи, свързани с дейността на реалния сектор </w:t>
      </w:r>
    </w:p>
    <w:p w:rsidR="009C2594" w:rsidRPr="00B53232" w:rsidRDefault="009C2594" w:rsidP="009C2594">
      <w:pPr>
        <w:pStyle w:val="Header"/>
        <w:jc w:val="both"/>
        <w:rPr>
          <w:color w:val="0070C0"/>
          <w:sz w:val="8"/>
          <w:szCs w:val="8"/>
        </w:rPr>
      </w:pPr>
    </w:p>
    <w:p w:rsidR="00157673" w:rsidRPr="00B95110" w:rsidRDefault="009C2594" w:rsidP="009975EC">
      <w:pPr>
        <w:pStyle w:val="Header"/>
        <w:ind w:firstLine="567"/>
        <w:jc w:val="both"/>
      </w:pPr>
      <w:r w:rsidRPr="00B95110">
        <w:t>Със ЗДБРБ за 201</w:t>
      </w:r>
      <w:r w:rsidR="00B95110" w:rsidRPr="00B95110">
        <w:t>8</w:t>
      </w:r>
      <w:r w:rsidRPr="00B95110">
        <w:t xml:space="preserve"> г. са утвърдени </w:t>
      </w:r>
      <w:r w:rsidR="00B95110" w:rsidRPr="00B95110">
        <w:t>171,5</w:t>
      </w:r>
      <w:r w:rsidRPr="00B95110">
        <w:t xml:space="preserve"> млн. лв</w:t>
      </w:r>
      <w:r w:rsidRPr="00B95110">
        <w:rPr>
          <w:b/>
        </w:rPr>
        <w:t>.</w:t>
      </w:r>
      <w:r w:rsidRPr="00B95110">
        <w:t xml:space="preserve"> </w:t>
      </w:r>
      <w:r w:rsidRPr="00B95110">
        <w:rPr>
          <w:b/>
        </w:rPr>
        <w:t>субсидии</w:t>
      </w:r>
      <w:r w:rsidRPr="00B95110">
        <w:t xml:space="preserve"> за нефинансови предприятия</w:t>
      </w:r>
      <w:r w:rsidR="00B34F16" w:rsidRPr="00B95110">
        <w:t xml:space="preserve"> от централния бюджет.</w:t>
      </w:r>
    </w:p>
    <w:p w:rsidR="00B34F16" w:rsidRPr="00B95110" w:rsidRDefault="00B34F16" w:rsidP="009975EC">
      <w:pPr>
        <w:pStyle w:val="Header"/>
        <w:ind w:firstLine="567"/>
        <w:jc w:val="both"/>
        <w:rPr>
          <w:sz w:val="4"/>
          <w:szCs w:val="4"/>
        </w:rPr>
      </w:pPr>
    </w:p>
    <w:p w:rsidR="008360FD" w:rsidRPr="00B95110" w:rsidRDefault="008360FD" w:rsidP="008360FD">
      <w:pPr>
        <w:pStyle w:val="BodyText2"/>
        <w:spacing w:after="0" w:line="240" w:lineRule="auto"/>
        <w:ind w:firstLine="567"/>
        <w:jc w:val="both"/>
      </w:pPr>
      <w:r w:rsidRPr="00B95110">
        <w:t xml:space="preserve">Средствата за </w:t>
      </w:r>
      <w:r w:rsidRPr="00B95110">
        <w:rPr>
          <w:bCs/>
        </w:rPr>
        <w:t>субсидии</w:t>
      </w:r>
      <w:r w:rsidRPr="00B95110">
        <w:t xml:space="preserve"> са предназначени за търговски дружества от различните видове транспорт – железопътни пътнически превози, автомобилни пътнически превози (вътрешноградски превози и междуселищни превози в планински и други райони), за текущо поддържане и експлоатация на железопътната инфраструктура и </w:t>
      </w:r>
      <w:r w:rsidR="00844985" w:rsidRPr="00B95110">
        <w:t>др.</w:t>
      </w:r>
    </w:p>
    <w:p w:rsidR="008360FD" w:rsidRPr="00B53232" w:rsidRDefault="008360FD" w:rsidP="008360FD">
      <w:pPr>
        <w:pStyle w:val="BodyText2"/>
        <w:spacing w:after="0" w:line="240" w:lineRule="auto"/>
        <w:jc w:val="both"/>
        <w:rPr>
          <w:color w:val="0070C0"/>
          <w:sz w:val="12"/>
          <w:szCs w:val="12"/>
        </w:rPr>
      </w:pPr>
    </w:p>
    <w:p w:rsidR="008360FD" w:rsidRPr="002A1277" w:rsidRDefault="008360FD" w:rsidP="008360FD">
      <w:pPr>
        <w:pStyle w:val="BodyTextIndent"/>
        <w:ind w:left="0" w:firstLine="357"/>
        <w:jc w:val="both"/>
      </w:pPr>
      <w:r w:rsidRPr="003C199E">
        <w:t>- Със ЗДБРБ за 201</w:t>
      </w:r>
      <w:r w:rsidR="003C199E" w:rsidRPr="003C199E">
        <w:t>8</w:t>
      </w:r>
      <w:r w:rsidRPr="003C199E">
        <w:t xml:space="preserve"> г. за Национална компания </w:t>
      </w:r>
      <w:r w:rsidR="00D60B43" w:rsidRPr="003C199E">
        <w:t>„</w:t>
      </w:r>
      <w:r w:rsidRPr="003C199E">
        <w:t xml:space="preserve">Железопътна инфраструктура” са предвидени </w:t>
      </w:r>
      <w:r w:rsidRPr="00DB7BF9">
        <w:t>средства под формата на субсидии, предназначени за поддържане и експлоатация на железопътната инфраструктура, в размер на 1</w:t>
      </w:r>
      <w:r w:rsidR="003C199E" w:rsidRPr="00DB7BF9">
        <w:t>4</w:t>
      </w:r>
      <w:r w:rsidRPr="00DB7BF9">
        <w:t xml:space="preserve">5,0 млн. лева. </w:t>
      </w:r>
      <w:r w:rsidR="006C1B63" w:rsidRPr="00DB7BF9">
        <w:t>Усвоените средства за първото тримесечие на 201</w:t>
      </w:r>
      <w:r w:rsidR="00DB7BF9" w:rsidRPr="00DB7BF9">
        <w:t>8</w:t>
      </w:r>
      <w:r w:rsidR="006C1B63" w:rsidRPr="00DB7BF9">
        <w:t xml:space="preserve"> г. са в размер на </w:t>
      </w:r>
      <w:r w:rsidR="00DB7BF9" w:rsidRPr="00DB7BF9">
        <w:t>38,0</w:t>
      </w:r>
      <w:r w:rsidR="006C1B63" w:rsidRPr="00DB7BF9">
        <w:t xml:space="preserve"> млн. лв. или </w:t>
      </w:r>
      <w:r w:rsidR="00DB7BF9" w:rsidRPr="00DB7BF9">
        <w:t>26,2</w:t>
      </w:r>
      <w:r w:rsidR="006C1B63" w:rsidRPr="00DB7BF9">
        <w:t xml:space="preserve"> на сто от уточнения годишен план. </w:t>
      </w:r>
      <w:r w:rsidR="005830F2" w:rsidRPr="005830F2">
        <w:t xml:space="preserve">Същите са предоставени в съответствие с утвърдения от министъра на транспорта, информационните технологии и съобщенията График за превеждане на </w:t>
      </w:r>
      <w:r w:rsidR="005830F2" w:rsidRPr="005830F2">
        <w:lastRenderedPageBreak/>
        <w:t xml:space="preserve">субсидиите, съобразен с необходимостта от средства за финансиране на </w:t>
      </w:r>
      <w:r w:rsidR="005830F2" w:rsidRPr="002A1277">
        <w:t>текущите дейности на предприятието</w:t>
      </w:r>
      <w:r w:rsidR="006C1B63" w:rsidRPr="002A1277">
        <w:t>.</w:t>
      </w:r>
    </w:p>
    <w:p w:rsidR="008360FD" w:rsidRPr="003F1222" w:rsidRDefault="008360FD" w:rsidP="00C83494">
      <w:pPr>
        <w:pStyle w:val="BodyTextIndent2"/>
        <w:spacing w:line="240" w:lineRule="auto"/>
        <w:ind w:left="0" w:firstLine="357"/>
        <w:jc w:val="both"/>
        <w:rPr>
          <w:noProof/>
        </w:rPr>
      </w:pPr>
      <w:r w:rsidRPr="002A1277">
        <w:t>- Предвидените със ЗДБРБ за 201</w:t>
      </w:r>
      <w:r w:rsidR="002A1277">
        <w:t>8</w:t>
      </w:r>
      <w:r w:rsidRPr="002A1277">
        <w:t xml:space="preserve"> г. средства за субсидиране на превоза на пътниците по нерентабилни линии във вътрешноградския транспорт и транспорт</w:t>
      </w:r>
      <w:r w:rsidR="00B77876" w:rsidRPr="002A1277">
        <w:t>а</w:t>
      </w:r>
      <w:r w:rsidRPr="002A1277">
        <w:t xml:space="preserve"> в планински и други райони </w:t>
      </w:r>
      <w:r w:rsidRPr="003F1222">
        <w:t xml:space="preserve">са в размер на </w:t>
      </w:r>
      <w:r w:rsidR="002A1277" w:rsidRPr="003F1222">
        <w:t>26,5</w:t>
      </w:r>
      <w:r w:rsidRPr="003F1222">
        <w:t xml:space="preserve"> млн. лева. По своя характер те са обществени превозни услуги от общ икономически интерес</w:t>
      </w:r>
      <w:r w:rsidR="00352F76" w:rsidRPr="003F1222">
        <w:t xml:space="preserve"> и</w:t>
      </w:r>
      <w:r w:rsidRPr="003F1222">
        <w:t xml:space="preserve"> имат предимно социална насоченост – масови превози до и от работните места в рамките на града и превози до малки отдалечени селища, осигуря</w:t>
      </w:r>
      <w:r w:rsidR="003F1222">
        <w:t xml:space="preserve">ващи </w:t>
      </w:r>
      <w:r w:rsidR="003F1222" w:rsidRPr="003F1222">
        <w:t xml:space="preserve">връзка с общинския център. </w:t>
      </w:r>
      <w:r w:rsidR="008625C0" w:rsidRPr="003F1222">
        <w:t>П</w:t>
      </w:r>
      <w:r w:rsidR="006C1B63" w:rsidRPr="003F1222">
        <w:rPr>
          <w:noProof/>
        </w:rPr>
        <w:t>рез първото тримесечие на 201</w:t>
      </w:r>
      <w:r w:rsidR="003F1222" w:rsidRPr="003F1222">
        <w:rPr>
          <w:noProof/>
        </w:rPr>
        <w:t>8</w:t>
      </w:r>
      <w:r w:rsidR="006C1B63" w:rsidRPr="003F1222">
        <w:rPr>
          <w:noProof/>
        </w:rPr>
        <w:t xml:space="preserve"> г., усвоените средства са в размер на </w:t>
      </w:r>
      <w:r w:rsidR="003F1222" w:rsidRPr="003F1222">
        <w:rPr>
          <w:noProof/>
        </w:rPr>
        <w:t>6,0</w:t>
      </w:r>
      <w:r w:rsidR="006C1B63" w:rsidRPr="003F1222">
        <w:rPr>
          <w:noProof/>
        </w:rPr>
        <w:t xml:space="preserve"> млн. лв. или </w:t>
      </w:r>
      <w:r w:rsidR="003F1222" w:rsidRPr="003F1222">
        <w:rPr>
          <w:noProof/>
        </w:rPr>
        <w:t>22,6</w:t>
      </w:r>
      <w:r w:rsidR="006C1B63" w:rsidRPr="003F1222">
        <w:rPr>
          <w:noProof/>
        </w:rPr>
        <w:t xml:space="preserve"> на сто от предвидените по годишния план.</w:t>
      </w:r>
      <w:r w:rsidRPr="003F1222">
        <w:rPr>
          <w:noProof/>
        </w:rPr>
        <w:t xml:space="preserve"> </w:t>
      </w:r>
    </w:p>
    <w:p w:rsidR="008360FD" w:rsidRPr="00810D7B" w:rsidRDefault="008360FD" w:rsidP="008360FD">
      <w:pPr>
        <w:ind w:firstLine="567"/>
        <w:jc w:val="both"/>
        <w:rPr>
          <w:bCs/>
        </w:rPr>
      </w:pPr>
      <w:r w:rsidRPr="00810D7B">
        <w:rPr>
          <w:bCs/>
        </w:rPr>
        <w:t xml:space="preserve">За </w:t>
      </w:r>
      <w:r w:rsidRPr="00810D7B">
        <w:rPr>
          <w:b/>
          <w:bCs/>
        </w:rPr>
        <w:t xml:space="preserve">капиталови </w:t>
      </w:r>
      <w:r w:rsidR="000A301B" w:rsidRPr="000A301B">
        <w:rPr>
          <w:b/>
          <w:bCs/>
        </w:rPr>
        <w:t xml:space="preserve">трансфери </w:t>
      </w:r>
      <w:r w:rsidRPr="00810D7B">
        <w:rPr>
          <w:bCs/>
        </w:rPr>
        <w:t>от централния бюджет за нефинансови предприятия със ЗДБРБ за 201</w:t>
      </w:r>
      <w:r w:rsidR="00810D7B" w:rsidRPr="00810D7B">
        <w:rPr>
          <w:bCs/>
        </w:rPr>
        <w:t>8</w:t>
      </w:r>
      <w:r w:rsidRPr="00810D7B">
        <w:rPr>
          <w:bCs/>
        </w:rPr>
        <w:t xml:space="preserve"> г. са предвидени </w:t>
      </w:r>
      <w:r w:rsidRPr="00810D7B">
        <w:rPr>
          <w:b/>
          <w:bCs/>
        </w:rPr>
        <w:t>1</w:t>
      </w:r>
      <w:r w:rsidR="00810D7B" w:rsidRPr="00810D7B">
        <w:rPr>
          <w:b/>
          <w:bCs/>
        </w:rPr>
        <w:t>6</w:t>
      </w:r>
      <w:r w:rsidR="00E5271E" w:rsidRPr="00810D7B">
        <w:rPr>
          <w:b/>
          <w:bCs/>
        </w:rPr>
        <w:t>6</w:t>
      </w:r>
      <w:r w:rsidRPr="00810D7B">
        <w:rPr>
          <w:b/>
          <w:bCs/>
        </w:rPr>
        <w:t>,0 млн. лева.</w:t>
      </w:r>
      <w:r w:rsidRPr="00810D7B">
        <w:rPr>
          <w:bCs/>
        </w:rPr>
        <w:t xml:space="preserve"> Преведените и усвоени средства </w:t>
      </w:r>
      <w:r w:rsidR="005061E5" w:rsidRPr="00810D7B">
        <w:rPr>
          <w:bCs/>
        </w:rPr>
        <w:t>към 3</w:t>
      </w:r>
      <w:r w:rsidR="00E5271E" w:rsidRPr="00810D7B">
        <w:rPr>
          <w:bCs/>
        </w:rPr>
        <w:t>1</w:t>
      </w:r>
      <w:r w:rsidR="005061E5" w:rsidRPr="00810D7B">
        <w:rPr>
          <w:bCs/>
        </w:rPr>
        <w:t>.0</w:t>
      </w:r>
      <w:r w:rsidR="00E5271E" w:rsidRPr="00810D7B">
        <w:rPr>
          <w:bCs/>
        </w:rPr>
        <w:t>3</w:t>
      </w:r>
      <w:r w:rsidR="005061E5" w:rsidRPr="00810D7B">
        <w:rPr>
          <w:bCs/>
        </w:rPr>
        <w:t>.201</w:t>
      </w:r>
      <w:r w:rsidR="00810D7B" w:rsidRPr="00810D7B">
        <w:rPr>
          <w:bCs/>
        </w:rPr>
        <w:t>8</w:t>
      </w:r>
      <w:r w:rsidR="005061E5" w:rsidRPr="00810D7B">
        <w:rPr>
          <w:bCs/>
        </w:rPr>
        <w:t xml:space="preserve"> г.</w:t>
      </w:r>
      <w:r w:rsidRPr="00810D7B">
        <w:rPr>
          <w:bCs/>
        </w:rPr>
        <w:t xml:space="preserve"> са в размер на </w:t>
      </w:r>
      <w:r w:rsidR="00810D7B" w:rsidRPr="00810D7B">
        <w:rPr>
          <w:b/>
          <w:bCs/>
        </w:rPr>
        <w:t>46,6</w:t>
      </w:r>
      <w:r w:rsidRPr="00810D7B">
        <w:rPr>
          <w:b/>
          <w:bCs/>
        </w:rPr>
        <w:t xml:space="preserve"> млн. лв.</w:t>
      </w:r>
      <w:r w:rsidRPr="00810D7B">
        <w:rPr>
          <w:bCs/>
        </w:rPr>
        <w:t xml:space="preserve"> или </w:t>
      </w:r>
      <w:r w:rsidR="00810D7B" w:rsidRPr="00810D7B">
        <w:rPr>
          <w:bCs/>
        </w:rPr>
        <w:t>28,1</w:t>
      </w:r>
      <w:r w:rsidRPr="00810D7B">
        <w:rPr>
          <w:bCs/>
        </w:rPr>
        <w:t xml:space="preserve"> % от годишния размер, както следва:</w:t>
      </w:r>
    </w:p>
    <w:p w:rsidR="008360FD" w:rsidRPr="00F939B6" w:rsidRDefault="008360FD" w:rsidP="00337CA7">
      <w:pPr>
        <w:numPr>
          <w:ilvl w:val="0"/>
          <w:numId w:val="5"/>
        </w:numPr>
        <w:tabs>
          <w:tab w:val="clear" w:pos="1440"/>
          <w:tab w:val="left" w:pos="851"/>
          <w:tab w:val="left" w:pos="1134"/>
        </w:tabs>
        <w:ind w:left="0" w:firstLine="567"/>
        <w:jc w:val="both"/>
        <w:rPr>
          <w:i/>
        </w:rPr>
      </w:pPr>
      <w:r w:rsidRPr="002E029F">
        <w:rPr>
          <w:i/>
        </w:rPr>
        <w:t xml:space="preserve">капиталови трансфери за  Национална компания </w:t>
      </w:r>
      <w:r w:rsidR="00B77876" w:rsidRPr="002E029F">
        <w:rPr>
          <w:i/>
        </w:rPr>
        <w:t>„</w:t>
      </w:r>
      <w:r w:rsidRPr="002E029F">
        <w:rPr>
          <w:i/>
        </w:rPr>
        <w:t>Железопътна инфраструктура</w:t>
      </w:r>
      <w:r w:rsidRPr="002E029F">
        <w:t xml:space="preserve">” - </w:t>
      </w:r>
      <w:r w:rsidR="003D664F">
        <w:t>ф</w:t>
      </w:r>
      <w:r w:rsidRPr="002E029F">
        <w:rPr>
          <w:noProof/>
        </w:rPr>
        <w:t xml:space="preserve">инансовото подпомагане от страна на държавата за изграждане и развитие на железопътната инфраструктура е насочено към повишаване на качеството и нивото на безопасност на транспортните услуги, ускоряване реализацията на проекти, свързани с европейските транспортни оси и </w:t>
      </w:r>
      <w:r w:rsidRPr="00D508E4">
        <w:rPr>
          <w:noProof/>
        </w:rPr>
        <w:t>коридори на територията на страната, ремонт и рехабилитация на железопътната мрежа</w:t>
      </w:r>
      <w:r w:rsidRPr="00D508E4">
        <w:t xml:space="preserve">. </w:t>
      </w:r>
      <w:r w:rsidRPr="00D508E4">
        <w:rPr>
          <w:noProof/>
        </w:rPr>
        <w:t>За 201</w:t>
      </w:r>
      <w:r w:rsidR="00D508E4" w:rsidRPr="00D508E4">
        <w:rPr>
          <w:noProof/>
        </w:rPr>
        <w:t>8</w:t>
      </w:r>
      <w:r w:rsidRPr="00D508E4">
        <w:rPr>
          <w:noProof/>
        </w:rPr>
        <w:t xml:space="preserve"> г. от държавния бюджет за компанията е предвиден капиталов трансфер в размер на 1</w:t>
      </w:r>
      <w:r w:rsidR="00D508E4" w:rsidRPr="00D508E4">
        <w:rPr>
          <w:noProof/>
        </w:rPr>
        <w:t>1</w:t>
      </w:r>
      <w:r w:rsidRPr="00D508E4">
        <w:rPr>
          <w:noProof/>
        </w:rPr>
        <w:t xml:space="preserve">5,0 млн. </w:t>
      </w:r>
      <w:r w:rsidRPr="00F939B6">
        <w:rPr>
          <w:noProof/>
        </w:rPr>
        <w:t xml:space="preserve">лева. </w:t>
      </w:r>
      <w:r w:rsidR="00E5271E" w:rsidRPr="00F939B6">
        <w:rPr>
          <w:noProof/>
        </w:rPr>
        <w:t>Усвоените средства за първото тримесечие на 201</w:t>
      </w:r>
      <w:r w:rsidR="00F939B6" w:rsidRPr="00F939B6">
        <w:rPr>
          <w:noProof/>
        </w:rPr>
        <w:t>8</w:t>
      </w:r>
      <w:r w:rsidR="00E5271E" w:rsidRPr="00F939B6">
        <w:rPr>
          <w:noProof/>
        </w:rPr>
        <w:t xml:space="preserve"> г. са в размер на </w:t>
      </w:r>
      <w:r w:rsidR="00F939B6" w:rsidRPr="00F939B6">
        <w:rPr>
          <w:noProof/>
        </w:rPr>
        <w:t>14,2</w:t>
      </w:r>
      <w:r w:rsidR="00E5271E" w:rsidRPr="00F939B6">
        <w:rPr>
          <w:noProof/>
        </w:rPr>
        <w:t xml:space="preserve"> млн. лв. или </w:t>
      </w:r>
      <w:r w:rsidR="00F939B6" w:rsidRPr="00F939B6">
        <w:rPr>
          <w:noProof/>
        </w:rPr>
        <w:t>12,3</w:t>
      </w:r>
      <w:r w:rsidR="00E5271E" w:rsidRPr="00F939B6">
        <w:rPr>
          <w:noProof/>
        </w:rPr>
        <w:t xml:space="preserve"> на сто от уточнения годишен план.</w:t>
      </w:r>
      <w:r w:rsidR="00222228" w:rsidRPr="00F939B6">
        <w:rPr>
          <w:noProof/>
        </w:rPr>
        <w:t xml:space="preserve"> Изпълняват се проекти за ремонт и придобиване на дълготрайни материални активи</w:t>
      </w:r>
      <w:r w:rsidR="00EF5667" w:rsidRPr="00F939B6">
        <w:rPr>
          <w:noProof/>
        </w:rPr>
        <w:t>,</w:t>
      </w:r>
      <w:r w:rsidR="00222228" w:rsidRPr="00F939B6">
        <w:rPr>
          <w:noProof/>
        </w:rPr>
        <w:t xml:space="preserve"> за възстановяване и подобряване на експлоатационното състояние на железния път и съор</w:t>
      </w:r>
      <w:r w:rsidR="001A5350" w:rsidRPr="00F939B6">
        <w:rPr>
          <w:noProof/>
        </w:rPr>
        <w:t>ъ</w:t>
      </w:r>
      <w:r w:rsidR="00222228" w:rsidRPr="00F939B6">
        <w:rPr>
          <w:noProof/>
        </w:rPr>
        <w:t>женията, както и ремонт и преустройство на възлови жп гари в съответствие с европейските изисквания</w:t>
      </w:r>
      <w:r w:rsidRPr="00F939B6">
        <w:rPr>
          <w:noProof/>
        </w:rPr>
        <w:t>;</w:t>
      </w:r>
    </w:p>
    <w:p w:rsidR="008360FD" w:rsidRPr="00636CE4" w:rsidRDefault="008360FD" w:rsidP="00337CA7">
      <w:pPr>
        <w:numPr>
          <w:ilvl w:val="0"/>
          <w:numId w:val="5"/>
        </w:numPr>
        <w:tabs>
          <w:tab w:val="clear" w:pos="1440"/>
          <w:tab w:val="num" w:pos="360"/>
          <w:tab w:val="left" w:pos="851"/>
        </w:tabs>
        <w:ind w:left="0" w:firstLine="567"/>
        <w:jc w:val="both"/>
        <w:rPr>
          <w:i/>
        </w:rPr>
      </w:pPr>
      <w:r w:rsidRPr="00636CE4">
        <w:rPr>
          <w:i/>
        </w:rPr>
        <w:t xml:space="preserve">капиталови трансфери за „БДЖ – Пътнически превози” - ЕООД – </w:t>
      </w:r>
      <w:r w:rsidR="003D664F">
        <w:t>п</w:t>
      </w:r>
      <w:r w:rsidRPr="00636CE4">
        <w:t>редвидените средства със ЗДБРБ за 201</w:t>
      </w:r>
      <w:r w:rsidR="00636CE4" w:rsidRPr="00636CE4">
        <w:t>8</w:t>
      </w:r>
      <w:r w:rsidRPr="00636CE4">
        <w:t> г. са в размер на 3</w:t>
      </w:r>
      <w:r w:rsidR="00AC3200" w:rsidRPr="00636CE4">
        <w:t>5</w:t>
      </w:r>
      <w:r w:rsidRPr="00636CE4">
        <w:t>,0 млн. л</w:t>
      </w:r>
      <w:r w:rsidR="00EF5667" w:rsidRPr="00636CE4">
        <w:t>е</w:t>
      </w:r>
      <w:r w:rsidRPr="00636CE4">
        <w:t>в</w:t>
      </w:r>
      <w:r w:rsidR="00EF5667" w:rsidRPr="00636CE4">
        <w:t>а</w:t>
      </w:r>
      <w:r w:rsidRPr="00636CE4">
        <w:t xml:space="preserve">. </w:t>
      </w:r>
      <w:r w:rsidR="00CC51BE" w:rsidRPr="00636CE4">
        <w:t xml:space="preserve">Средствата са предназначени за погасяване на задължения на предприятието, във връзка с придобити </w:t>
      </w:r>
      <w:proofErr w:type="spellStart"/>
      <w:r w:rsidR="00CC51BE" w:rsidRPr="00636CE4">
        <w:t>електромотрисни</w:t>
      </w:r>
      <w:proofErr w:type="spellEnd"/>
      <w:r w:rsidR="00CC51BE" w:rsidRPr="00636CE4">
        <w:t xml:space="preserve"> влакове през предходни години. </w:t>
      </w:r>
      <w:r w:rsidR="00AC3200" w:rsidRPr="00636CE4">
        <w:t>За първото тримесечие на 201</w:t>
      </w:r>
      <w:r w:rsidR="00636CE4" w:rsidRPr="00636CE4">
        <w:t>8</w:t>
      </w:r>
      <w:r w:rsidR="00AC3200" w:rsidRPr="00636CE4">
        <w:t xml:space="preserve"> г. са усвоени </w:t>
      </w:r>
      <w:r w:rsidR="00636CE4" w:rsidRPr="00636CE4">
        <w:t>30,9</w:t>
      </w:r>
      <w:r w:rsidR="00AC3200" w:rsidRPr="00636CE4">
        <w:t xml:space="preserve"> млн. лв. или </w:t>
      </w:r>
      <w:r w:rsidR="00636CE4" w:rsidRPr="00636CE4">
        <w:t>88,4</w:t>
      </w:r>
      <w:r w:rsidR="00AC3200" w:rsidRPr="00636CE4">
        <w:t xml:space="preserve"> на сто от уточнения годишен план</w:t>
      </w:r>
      <w:r w:rsidRPr="00636CE4">
        <w:t>;</w:t>
      </w:r>
    </w:p>
    <w:p w:rsidR="008360FD" w:rsidRPr="0044645D" w:rsidRDefault="008360FD" w:rsidP="00337CA7">
      <w:pPr>
        <w:numPr>
          <w:ilvl w:val="1"/>
          <w:numId w:val="15"/>
        </w:numPr>
        <w:tabs>
          <w:tab w:val="clear" w:pos="1440"/>
          <w:tab w:val="num" w:pos="360"/>
          <w:tab w:val="left" w:pos="851"/>
        </w:tabs>
        <w:ind w:left="0" w:firstLine="567"/>
        <w:jc w:val="both"/>
      </w:pPr>
      <w:r w:rsidRPr="0044645D">
        <w:rPr>
          <w:i/>
        </w:rPr>
        <w:t>капиталови трансфери за ДП „Пристанищна инфраструктура”</w:t>
      </w:r>
      <w:r w:rsidRPr="0044645D">
        <w:rPr>
          <w:b/>
          <w:i/>
        </w:rPr>
        <w:t xml:space="preserve"> </w:t>
      </w:r>
      <w:r w:rsidRPr="0044645D">
        <w:t xml:space="preserve">- </w:t>
      </w:r>
      <w:r w:rsidR="003D664F">
        <w:t>и</w:t>
      </w:r>
      <w:r w:rsidRPr="0044645D">
        <w:t>нвестиционната програма на дружеството, която включва изграждане и капиталов ремонт на пристанищна инфраструктура на пристанищата за обществен транспорт с национално значение, се изпълнява с участието на капиталов</w:t>
      </w:r>
      <w:r w:rsidR="00CC51BE" w:rsidRPr="0044645D">
        <w:t>и</w:t>
      </w:r>
      <w:r w:rsidRPr="0044645D">
        <w:t xml:space="preserve"> трансфер</w:t>
      </w:r>
      <w:r w:rsidR="00CC51BE" w:rsidRPr="0044645D">
        <w:t>и</w:t>
      </w:r>
      <w:r w:rsidRPr="0044645D">
        <w:t xml:space="preserve"> от </w:t>
      </w:r>
      <w:r w:rsidR="00CC51BE" w:rsidRPr="0044645D">
        <w:t>държавния бюджет</w:t>
      </w:r>
      <w:r w:rsidR="00CC51BE" w:rsidRPr="0044645D">
        <w:rPr>
          <w:noProof/>
        </w:rPr>
        <w:t xml:space="preserve">. </w:t>
      </w:r>
      <w:r w:rsidR="00D466A8" w:rsidRPr="0044645D">
        <w:rPr>
          <w:noProof/>
        </w:rPr>
        <w:t xml:space="preserve">Предвидените със </w:t>
      </w:r>
      <w:r w:rsidR="00CC51BE" w:rsidRPr="0044645D">
        <w:rPr>
          <w:noProof/>
        </w:rPr>
        <w:t xml:space="preserve">ЗДБРБ </w:t>
      </w:r>
      <w:r w:rsidR="00D466A8" w:rsidRPr="0044645D">
        <w:rPr>
          <w:noProof/>
        </w:rPr>
        <w:t>за  201</w:t>
      </w:r>
      <w:r w:rsidR="0044645D" w:rsidRPr="0044645D">
        <w:rPr>
          <w:noProof/>
        </w:rPr>
        <w:t>8</w:t>
      </w:r>
      <w:r w:rsidR="00D466A8" w:rsidRPr="0044645D">
        <w:rPr>
          <w:noProof/>
        </w:rPr>
        <w:t xml:space="preserve"> г. средства са в размер на 11</w:t>
      </w:r>
      <w:r w:rsidR="000411D9" w:rsidRPr="0044645D">
        <w:rPr>
          <w:noProof/>
        </w:rPr>
        <w:t>,0</w:t>
      </w:r>
      <w:r w:rsidR="00D466A8" w:rsidRPr="0044645D">
        <w:rPr>
          <w:noProof/>
        </w:rPr>
        <w:t xml:space="preserve"> млн. лева. Към 31.03.201</w:t>
      </w:r>
      <w:r w:rsidR="0044645D" w:rsidRPr="0044645D">
        <w:rPr>
          <w:noProof/>
        </w:rPr>
        <w:t>8</w:t>
      </w:r>
      <w:r w:rsidR="00D466A8" w:rsidRPr="0044645D">
        <w:rPr>
          <w:noProof/>
        </w:rPr>
        <w:t xml:space="preserve"> г. са усвоени средства </w:t>
      </w:r>
      <w:r w:rsidR="0044645D" w:rsidRPr="0044645D">
        <w:rPr>
          <w:noProof/>
        </w:rPr>
        <w:t>в размер на 1,0 млн. лв. или 9,1 на сто от уточнения годишен план</w:t>
      </w:r>
      <w:r w:rsidRPr="0044645D">
        <w:t>;</w:t>
      </w:r>
    </w:p>
    <w:p w:rsidR="008360FD" w:rsidRPr="00396E17" w:rsidRDefault="008360FD" w:rsidP="00337CA7">
      <w:pPr>
        <w:numPr>
          <w:ilvl w:val="0"/>
          <w:numId w:val="16"/>
        </w:numPr>
        <w:tabs>
          <w:tab w:val="clear" w:pos="2157"/>
          <w:tab w:val="left" w:pos="360"/>
          <w:tab w:val="left" w:pos="851"/>
        </w:tabs>
        <w:ind w:left="0" w:firstLine="567"/>
        <w:jc w:val="both"/>
      </w:pPr>
      <w:r w:rsidRPr="00396E17">
        <w:t>През 201</w:t>
      </w:r>
      <w:r w:rsidR="00396E17" w:rsidRPr="00396E17">
        <w:t>8</w:t>
      </w:r>
      <w:r w:rsidRPr="00396E17">
        <w:t xml:space="preserve"> г. продължава изпълнението на Програмите </w:t>
      </w:r>
      <w:r w:rsidR="00601E59" w:rsidRPr="00396E17">
        <w:t xml:space="preserve">за отстраняване на нанесени щети </w:t>
      </w:r>
      <w:r w:rsidR="00601E59" w:rsidRPr="00396E17">
        <w:rPr>
          <w:noProof/>
        </w:rPr>
        <w:t>върху околната среда</w:t>
      </w:r>
      <w:r w:rsidR="00601E59" w:rsidRPr="00396E17">
        <w:t>, настъпили от минали действия или бездействия, при приватизация</w:t>
      </w:r>
      <w:r w:rsidRPr="00396E17">
        <w:t>. В ЗДБРБ за 201</w:t>
      </w:r>
      <w:r w:rsidR="00396E17" w:rsidRPr="00396E17">
        <w:t>8</w:t>
      </w:r>
      <w:r w:rsidRPr="00396E17">
        <w:t xml:space="preserve"> г. за тези програми са предвидени </w:t>
      </w:r>
      <w:r w:rsidR="000411D9" w:rsidRPr="00396E17">
        <w:t>5</w:t>
      </w:r>
      <w:r w:rsidRPr="00396E17">
        <w:t>,0 млн. л</w:t>
      </w:r>
      <w:r w:rsidR="000411D9" w:rsidRPr="00396E17">
        <w:t>е</w:t>
      </w:r>
      <w:r w:rsidRPr="00396E17">
        <w:t>в</w:t>
      </w:r>
      <w:r w:rsidR="000411D9" w:rsidRPr="00396E17">
        <w:t>а. За първото тримесечие на 201</w:t>
      </w:r>
      <w:r w:rsidR="00396E17" w:rsidRPr="00396E17">
        <w:t>8</w:t>
      </w:r>
      <w:r w:rsidR="000411D9" w:rsidRPr="00396E17">
        <w:t xml:space="preserve"> г. са усвоени 0,</w:t>
      </w:r>
      <w:r w:rsidR="00396E17" w:rsidRPr="00396E17">
        <w:t>5</w:t>
      </w:r>
      <w:r w:rsidR="000411D9" w:rsidRPr="00396E17">
        <w:t xml:space="preserve"> млн. лв. или </w:t>
      </w:r>
      <w:r w:rsidR="00396E17" w:rsidRPr="00396E17">
        <w:t>9,3</w:t>
      </w:r>
      <w:r w:rsidR="000411D9" w:rsidRPr="00396E17">
        <w:t xml:space="preserve"> на сто от годишния план</w:t>
      </w:r>
      <w:r w:rsidR="000411D9" w:rsidRPr="00396E17">
        <w:rPr>
          <w:noProof/>
        </w:rPr>
        <w:t>.</w:t>
      </w:r>
      <w:r w:rsidRPr="00396E17">
        <w:t xml:space="preserve">  </w:t>
      </w:r>
    </w:p>
    <w:p w:rsidR="008360FD" w:rsidRPr="00396E17" w:rsidRDefault="008360FD" w:rsidP="008360FD">
      <w:pPr>
        <w:jc w:val="both"/>
        <w:rPr>
          <w:sz w:val="8"/>
          <w:szCs w:val="8"/>
        </w:rPr>
      </w:pPr>
    </w:p>
    <w:p w:rsidR="008360FD" w:rsidRPr="00396E17" w:rsidRDefault="008360FD" w:rsidP="008360FD">
      <w:pPr>
        <w:jc w:val="both"/>
        <w:rPr>
          <w:sz w:val="8"/>
          <w:szCs w:val="8"/>
          <w:highlight w:val="yellow"/>
        </w:rPr>
      </w:pPr>
    </w:p>
    <w:p w:rsidR="008360FD" w:rsidRPr="00396E17" w:rsidRDefault="008360FD" w:rsidP="008360FD">
      <w:pPr>
        <w:ind w:firstLine="567"/>
        <w:jc w:val="both"/>
      </w:pPr>
      <w:r w:rsidRPr="00396E17">
        <w:rPr>
          <w:b/>
          <w:bCs/>
        </w:rPr>
        <w:t>Други разходи по централния бюджет</w:t>
      </w:r>
      <w:r w:rsidRPr="00396E17">
        <w:t xml:space="preserve"> предназначени за: </w:t>
      </w:r>
    </w:p>
    <w:p w:rsidR="008360FD" w:rsidRPr="00B53232" w:rsidRDefault="008360FD" w:rsidP="008360FD">
      <w:pPr>
        <w:jc w:val="both"/>
        <w:rPr>
          <w:color w:val="0070C0"/>
          <w:sz w:val="8"/>
          <w:szCs w:val="8"/>
        </w:rPr>
      </w:pPr>
    </w:p>
    <w:p w:rsidR="008360FD" w:rsidRPr="00B53232" w:rsidRDefault="008360FD" w:rsidP="008360FD">
      <w:pPr>
        <w:jc w:val="both"/>
        <w:rPr>
          <w:color w:val="0070C0"/>
          <w:sz w:val="8"/>
          <w:szCs w:val="8"/>
        </w:rPr>
      </w:pPr>
    </w:p>
    <w:p w:rsidR="00E7455D" w:rsidRPr="00B53232" w:rsidRDefault="008360FD" w:rsidP="00E7455D">
      <w:pPr>
        <w:numPr>
          <w:ilvl w:val="0"/>
          <w:numId w:val="5"/>
        </w:numPr>
        <w:tabs>
          <w:tab w:val="clear" w:pos="1440"/>
          <w:tab w:val="num" w:pos="360"/>
          <w:tab w:val="left" w:pos="851"/>
        </w:tabs>
        <w:ind w:left="0" w:firstLine="567"/>
        <w:jc w:val="both"/>
        <w:rPr>
          <w:color w:val="0070C0"/>
          <w:sz w:val="8"/>
          <w:szCs w:val="8"/>
        </w:rPr>
      </w:pPr>
      <w:r w:rsidRPr="00AB44CD">
        <w:rPr>
          <w:i/>
        </w:rPr>
        <w:t>Компенсиране на стойността на</w:t>
      </w:r>
      <w:r w:rsidR="007607CE" w:rsidRPr="00AB44CD">
        <w:rPr>
          <w:i/>
        </w:rPr>
        <w:t xml:space="preserve"> </w:t>
      </w:r>
      <w:r w:rsidR="007607CE" w:rsidRPr="00AB44CD">
        <w:rPr>
          <w:bCs/>
          <w:i/>
        </w:rPr>
        <w:t>намалените приходи от прилагането на цени за пътуване, предвидени в нормативни актове за определени категории пътници</w:t>
      </w:r>
      <w:r w:rsidRPr="00AB44CD">
        <w:rPr>
          <w:i/>
        </w:rPr>
        <w:t xml:space="preserve"> по железопътния и автомобилния транспорт със средства от държавния бюджет</w:t>
      </w:r>
      <w:r w:rsidRPr="00AB44CD">
        <w:t xml:space="preserve"> - </w:t>
      </w:r>
      <w:r w:rsidR="00FF7965" w:rsidRPr="00AB44CD">
        <w:t xml:space="preserve">предвидените средства са общо в размер на </w:t>
      </w:r>
      <w:r w:rsidR="00AB44CD" w:rsidRPr="00AB44CD">
        <w:t>103,3</w:t>
      </w:r>
      <w:r w:rsidR="00FF7965" w:rsidRPr="00AB44CD">
        <w:t xml:space="preserve"> млн. лв., от които </w:t>
      </w:r>
      <w:r w:rsidR="00FF7965" w:rsidRPr="00AB44CD">
        <w:rPr>
          <w:lang w:val="en-US"/>
        </w:rPr>
        <w:t xml:space="preserve">37,8 </w:t>
      </w:r>
      <w:r w:rsidR="00FF7965" w:rsidRPr="00AB44CD">
        <w:t xml:space="preserve">млн. лв. </w:t>
      </w:r>
      <w:r w:rsidR="00FF7965" w:rsidRPr="00AB44CD">
        <w:rPr>
          <w:noProof/>
        </w:rPr>
        <w:t xml:space="preserve">за пътувания </w:t>
      </w:r>
      <w:r w:rsidR="00FF7965" w:rsidRPr="0010026D">
        <w:rPr>
          <w:noProof/>
        </w:rPr>
        <w:t xml:space="preserve">с вътрешноградския транспорт и междуселищния автомобилен транспорт, </w:t>
      </w:r>
      <w:r w:rsidR="0010026D" w:rsidRPr="0010026D">
        <w:rPr>
          <w:noProof/>
        </w:rPr>
        <w:t>32,0</w:t>
      </w:r>
      <w:r w:rsidR="00FF7965" w:rsidRPr="0010026D">
        <w:rPr>
          <w:noProof/>
        </w:rPr>
        <w:t xml:space="preserve"> млн. лв. за транспорт на деца и ученици по чл. 283, ал. 2 от Закона за предучилищното и училищното образование, </w:t>
      </w:r>
      <w:r w:rsidR="00FF7965" w:rsidRPr="00A84E08">
        <w:rPr>
          <w:noProof/>
        </w:rPr>
        <w:t xml:space="preserve">16,5 млн. лв. за превоз на служители, ползващи право на безплатно пътуване при изпълнение на служебните си задължения в съответствие със Закона за Министерството на </w:t>
      </w:r>
      <w:r w:rsidR="00FF7965" w:rsidRPr="00320F20">
        <w:rPr>
          <w:noProof/>
        </w:rPr>
        <w:t>вътрешните работи, Закона за изпълнение на наказанията и задържането под стража и Закона за Държавна агенция „</w:t>
      </w:r>
      <w:r w:rsidR="00FF7965" w:rsidRPr="007B7497">
        <w:rPr>
          <w:noProof/>
        </w:rPr>
        <w:t>Национална сигурност“ и 17,0 млн. лв. за пътувания с железопътния транспорт.</w:t>
      </w:r>
      <w:r w:rsidR="007B7497" w:rsidRPr="007B7497">
        <w:t xml:space="preserve"> </w:t>
      </w:r>
      <w:r w:rsidR="00FF7965" w:rsidRPr="007B7497">
        <w:rPr>
          <w:noProof/>
        </w:rPr>
        <w:t xml:space="preserve">Усвоените средства за </w:t>
      </w:r>
      <w:r w:rsidR="007B7497" w:rsidRPr="007B7497">
        <w:t xml:space="preserve">първото тримесечие на </w:t>
      </w:r>
      <w:r w:rsidR="00FF7965" w:rsidRPr="007B7497">
        <w:rPr>
          <w:noProof/>
        </w:rPr>
        <w:t>201</w:t>
      </w:r>
      <w:r w:rsidR="007B7497" w:rsidRPr="007B7497">
        <w:rPr>
          <w:noProof/>
        </w:rPr>
        <w:t>8</w:t>
      </w:r>
      <w:r w:rsidR="00FF7965" w:rsidRPr="007B7497">
        <w:rPr>
          <w:noProof/>
        </w:rPr>
        <w:t xml:space="preserve"> г. са общо в размер на </w:t>
      </w:r>
      <w:r w:rsidR="007B7497" w:rsidRPr="007B7497">
        <w:rPr>
          <w:noProof/>
        </w:rPr>
        <w:t>27,7</w:t>
      </w:r>
      <w:r w:rsidR="00FF7965" w:rsidRPr="007B7497">
        <w:rPr>
          <w:noProof/>
        </w:rPr>
        <w:t xml:space="preserve"> млн. лв., или </w:t>
      </w:r>
      <w:r w:rsidR="007B7497" w:rsidRPr="007B7497">
        <w:rPr>
          <w:noProof/>
        </w:rPr>
        <w:t>26,8</w:t>
      </w:r>
      <w:r w:rsidR="00FF7965" w:rsidRPr="007B7497">
        <w:rPr>
          <w:noProof/>
        </w:rPr>
        <w:t xml:space="preserve"> на сто от уточнения годишен план.</w:t>
      </w:r>
      <w:r w:rsidR="00E7455D" w:rsidRPr="00B53232">
        <w:rPr>
          <w:color w:val="0070C0"/>
        </w:rPr>
        <w:t xml:space="preserve"> </w:t>
      </w:r>
    </w:p>
    <w:p w:rsidR="00E7455D" w:rsidRPr="007F2625" w:rsidRDefault="00E7455D" w:rsidP="00E7455D">
      <w:pPr>
        <w:tabs>
          <w:tab w:val="left" w:pos="851"/>
        </w:tabs>
        <w:ind w:firstLine="567"/>
        <w:jc w:val="both"/>
      </w:pPr>
      <w:r w:rsidRPr="007F2625">
        <w:lastRenderedPageBreak/>
        <w:t>Усвоените средства за първото тримесечие на 201</w:t>
      </w:r>
      <w:r w:rsidR="007F2625" w:rsidRPr="007F2625">
        <w:t>8</w:t>
      </w:r>
      <w:r w:rsidRPr="007F2625">
        <w:t xml:space="preserve">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7F2625">
        <w:rPr>
          <w:noProof/>
        </w:rPr>
        <w:t xml:space="preserve">вътрешноградски транспорт и междуселищен </w:t>
      </w:r>
      <w:r w:rsidRPr="007F2625">
        <w:t xml:space="preserve">автомобилен транспорт или железопътен транспорт, съгласно ПМС № </w:t>
      </w:r>
      <w:r w:rsidR="007F2625" w:rsidRPr="007F2625">
        <w:t>332</w:t>
      </w:r>
      <w:r w:rsidRPr="007F2625">
        <w:t>/201</w:t>
      </w:r>
      <w:r w:rsidR="007F2625" w:rsidRPr="007F2625">
        <w:t>7</w:t>
      </w:r>
      <w:r w:rsidRPr="007F2625">
        <w:t xml:space="preserve"> г. за изпълнението на държавния бюджет на Република България за 201</w:t>
      </w:r>
      <w:r w:rsidR="007F2625" w:rsidRPr="007F2625">
        <w:t>8</w:t>
      </w:r>
      <w:r w:rsidRPr="007F2625">
        <w:t xml:space="preserve"> г., са както следва:</w:t>
      </w:r>
    </w:p>
    <w:p w:rsidR="00E7455D" w:rsidRPr="009E6012" w:rsidRDefault="00E7455D" w:rsidP="00E7455D">
      <w:pPr>
        <w:ind w:firstLine="567"/>
        <w:jc w:val="both"/>
      </w:pPr>
      <w:r w:rsidRPr="009E6012">
        <w:t xml:space="preserve">- компенсации за </w:t>
      </w:r>
      <w:r w:rsidR="009E6012" w:rsidRPr="009E6012">
        <w:t xml:space="preserve">пътувания с </w:t>
      </w:r>
      <w:r w:rsidRPr="009E6012">
        <w:t>железопътния транспорт в размер на 1,</w:t>
      </w:r>
      <w:r w:rsidR="009E6012" w:rsidRPr="009E6012">
        <w:t>4</w:t>
      </w:r>
      <w:r w:rsidRPr="009E6012">
        <w:t xml:space="preserve"> млн. лв.,  8,</w:t>
      </w:r>
      <w:r w:rsidR="009E6012" w:rsidRPr="009E6012">
        <w:t>3</w:t>
      </w:r>
      <w:r w:rsidRPr="009E6012">
        <w:t xml:space="preserve"> на сто от утвърдения годишен план; </w:t>
      </w:r>
    </w:p>
    <w:p w:rsidR="00E7455D" w:rsidRPr="00F14FD5" w:rsidRDefault="00E7455D" w:rsidP="00E7455D">
      <w:pPr>
        <w:tabs>
          <w:tab w:val="left" w:pos="540"/>
          <w:tab w:val="left" w:pos="709"/>
        </w:tabs>
        <w:ind w:firstLine="567"/>
        <w:jc w:val="both"/>
        <w:rPr>
          <w:noProof/>
        </w:rPr>
      </w:pPr>
      <w:r w:rsidRPr="00F14FD5">
        <w:rPr>
          <w:noProof/>
        </w:rPr>
        <w:t xml:space="preserve">- компенсации за </w:t>
      </w:r>
      <w:r w:rsidR="00FD1298" w:rsidRPr="00F14FD5">
        <w:rPr>
          <w:noProof/>
        </w:rPr>
        <w:t>пътувания с</w:t>
      </w:r>
      <w:r w:rsidRPr="00F14FD5">
        <w:rPr>
          <w:noProof/>
        </w:rPr>
        <w:t xml:space="preserve"> вътрешноградски транспорт и междуселищния автомобилен транспорт в страната, предоставени чрез Системата за електронни бюджетни разплащания – </w:t>
      </w:r>
      <w:r w:rsidR="00F14FD5" w:rsidRPr="00F14FD5">
        <w:rPr>
          <w:noProof/>
        </w:rPr>
        <w:t>26,3</w:t>
      </w:r>
      <w:r w:rsidRPr="00F14FD5">
        <w:rPr>
          <w:noProof/>
        </w:rPr>
        <w:t xml:space="preserve"> млн. лв., което е </w:t>
      </w:r>
      <w:r w:rsidR="00F14FD5" w:rsidRPr="00F14FD5">
        <w:rPr>
          <w:noProof/>
        </w:rPr>
        <w:t>30,5</w:t>
      </w:r>
      <w:r w:rsidRPr="00F14FD5">
        <w:rPr>
          <w:noProof/>
        </w:rPr>
        <w:t xml:space="preserve"> на сто от уточнения годишен план. </w:t>
      </w:r>
    </w:p>
    <w:p w:rsidR="00E7455D" w:rsidRPr="00094A6C" w:rsidRDefault="00E7455D" w:rsidP="00E7455D">
      <w:pPr>
        <w:ind w:firstLine="567"/>
        <w:jc w:val="both"/>
        <w:rPr>
          <w:noProof/>
        </w:rPr>
      </w:pPr>
      <w:r w:rsidRPr="00094A6C">
        <w:rPr>
          <w:noProof/>
        </w:rPr>
        <w:t xml:space="preserve">Усвоените средства за </w:t>
      </w:r>
      <w:r w:rsidRPr="00094A6C">
        <w:t>компенсиране на намалените приходи от прилагането на цени за пътуване, предвидени в нормативни актове за определени категории пътници,</w:t>
      </w:r>
      <w:r w:rsidRPr="00094A6C">
        <w:rPr>
          <w:noProof/>
        </w:rPr>
        <w:t xml:space="preserve"> по вътрешноградския транспорт и междуселищния автомобилен транспорт, за първото тримесечие на 201</w:t>
      </w:r>
      <w:r w:rsidR="00094A6C" w:rsidRPr="00094A6C">
        <w:rPr>
          <w:noProof/>
        </w:rPr>
        <w:t>8</w:t>
      </w:r>
      <w:r w:rsidRPr="00094A6C">
        <w:rPr>
          <w:noProof/>
        </w:rPr>
        <w:t xml:space="preserve"> г., диференцирани по групи правоимащи лица и размер на намалението спрямо редовната цена, са както следва:</w:t>
      </w:r>
    </w:p>
    <w:p w:rsidR="00E7455D" w:rsidRPr="00CD62FE" w:rsidRDefault="00E7455D" w:rsidP="00E7455D">
      <w:pPr>
        <w:pStyle w:val="BodyTextIndent"/>
        <w:spacing w:after="0"/>
        <w:ind w:left="0" w:firstLine="567"/>
        <w:jc w:val="both"/>
      </w:pPr>
      <w:r w:rsidRPr="004E3D62">
        <w:t xml:space="preserve">- </w:t>
      </w:r>
      <w:r w:rsidR="004E3D62" w:rsidRPr="004E3D62">
        <w:t>12,3</w:t>
      </w:r>
      <w:r w:rsidRPr="004E3D62">
        <w:rPr>
          <w:lang w:val="en-US"/>
        </w:rPr>
        <w:t xml:space="preserve"> </w:t>
      </w:r>
      <w:r w:rsidRPr="004E3D62">
        <w:t xml:space="preserve">млн. лв. за транспорт на деца и ученици в съответствие с чл. 283, ал. 2 от Закона за </w:t>
      </w:r>
      <w:r w:rsidRPr="00CD62FE">
        <w:t xml:space="preserve">предучилищното и училищното образование, което е </w:t>
      </w:r>
      <w:r w:rsidR="004E3D62" w:rsidRPr="00CD62FE">
        <w:t>38,4</w:t>
      </w:r>
      <w:r w:rsidRPr="00CD62FE">
        <w:t xml:space="preserve"> на сто от уточнения годишен план; </w:t>
      </w:r>
    </w:p>
    <w:p w:rsidR="00E7455D" w:rsidRPr="00AD27B4" w:rsidRDefault="00E7455D" w:rsidP="00E7455D">
      <w:pPr>
        <w:pStyle w:val="BodyTextIndent"/>
        <w:tabs>
          <w:tab w:val="left" w:pos="1026"/>
        </w:tabs>
        <w:spacing w:after="0"/>
        <w:ind w:left="0" w:firstLine="567"/>
        <w:jc w:val="both"/>
      </w:pPr>
      <w:r w:rsidRPr="00CD62FE">
        <w:t xml:space="preserve">- 14,0 млн. лв. за безплатни и по намалени цени пътувания. Следва да се има предвид, че по пътя на изпълнението тези разходи се отчитат като текущи трансфери, обезщетения и </w:t>
      </w:r>
      <w:r w:rsidRPr="00AD27B4">
        <w:t>помощи за домакинствата по бюджетите на общините. Изпълнението спрямо годишния план е 25,</w:t>
      </w:r>
      <w:r w:rsidR="00AD27B4" w:rsidRPr="00AD27B4">
        <w:t>8</w:t>
      </w:r>
      <w:r w:rsidRPr="00AD27B4">
        <w:t xml:space="preserve"> на сто, в това число:</w:t>
      </w:r>
    </w:p>
    <w:p w:rsidR="00E7455D" w:rsidRPr="00192CDB" w:rsidRDefault="00E7455D" w:rsidP="00E7455D">
      <w:pPr>
        <w:numPr>
          <w:ilvl w:val="0"/>
          <w:numId w:val="20"/>
        </w:numPr>
        <w:tabs>
          <w:tab w:val="left" w:pos="993"/>
        </w:tabs>
        <w:ind w:hanging="275"/>
        <w:jc w:val="both"/>
      </w:pPr>
      <w:r w:rsidRPr="00192CDB">
        <w:t xml:space="preserve">10,3 млн. лв. за безплатни пътувания на деца до седемгодишна възраст, ветерани от войните, военноинвалиди и </w:t>
      </w:r>
      <w:proofErr w:type="spellStart"/>
      <w:r w:rsidRPr="00192CDB">
        <w:t>военнопострадали</w:t>
      </w:r>
      <w:proofErr w:type="spellEnd"/>
      <w:r w:rsidRPr="00192CDB">
        <w:t>,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което е 27,</w:t>
      </w:r>
      <w:r w:rsidR="00192CDB" w:rsidRPr="00192CDB">
        <w:t>2</w:t>
      </w:r>
      <w:r w:rsidRPr="00192CDB">
        <w:t xml:space="preserve"> на сто спрямо утвърдения годишен план; </w:t>
      </w:r>
    </w:p>
    <w:p w:rsidR="008360FD" w:rsidRPr="002C18B7" w:rsidRDefault="00E7455D" w:rsidP="00E7455D">
      <w:pPr>
        <w:numPr>
          <w:ilvl w:val="0"/>
          <w:numId w:val="20"/>
        </w:numPr>
        <w:tabs>
          <w:tab w:val="num" w:pos="360"/>
          <w:tab w:val="left" w:pos="993"/>
        </w:tabs>
        <w:ind w:hanging="275"/>
        <w:jc w:val="both"/>
      </w:pPr>
      <w:r w:rsidRPr="002C18B7">
        <w:t>3,</w:t>
      </w:r>
      <w:r w:rsidR="002C18B7" w:rsidRPr="002C18B7">
        <w:t>8</w:t>
      </w:r>
      <w:r w:rsidRPr="002C18B7">
        <w:t xml:space="preserve"> млн. лв. за превоз на служители, ползващи право на безплатно пътуване при изпълнение на служебните си задължения в съответствие със Закона за Министерството на вътрешните работи, Закона за изпълнение на наказанията и задържането под стража и Закона за Държавна агенция „Национална сигурност“, което е 22,</w:t>
      </w:r>
      <w:r w:rsidR="002C18B7" w:rsidRPr="002C18B7">
        <w:t>7</w:t>
      </w:r>
      <w:r w:rsidRPr="002C18B7">
        <w:t xml:space="preserve"> от уточнения годишен план.</w:t>
      </w:r>
    </w:p>
    <w:p w:rsidR="00333B5E" w:rsidRPr="002C18B7" w:rsidRDefault="00333B5E" w:rsidP="00333B5E">
      <w:pPr>
        <w:jc w:val="both"/>
        <w:rPr>
          <w:sz w:val="12"/>
          <w:szCs w:val="12"/>
        </w:rPr>
      </w:pPr>
    </w:p>
    <w:p w:rsidR="0082037E" w:rsidRPr="00142ABD" w:rsidRDefault="0082037E" w:rsidP="00337CA7">
      <w:pPr>
        <w:numPr>
          <w:ilvl w:val="0"/>
          <w:numId w:val="7"/>
        </w:numPr>
        <w:spacing w:after="120"/>
        <w:ind w:left="0" w:firstLine="360"/>
        <w:jc w:val="both"/>
        <w:rPr>
          <w:b/>
        </w:rPr>
      </w:pPr>
      <w:r w:rsidRPr="00142ABD">
        <w:rPr>
          <w:b/>
        </w:rPr>
        <w:t xml:space="preserve">Разходи за лихви </w:t>
      </w:r>
    </w:p>
    <w:p w:rsidR="00142ABD" w:rsidRPr="00171079" w:rsidRDefault="00142ABD" w:rsidP="00142ABD">
      <w:pPr>
        <w:spacing w:after="120"/>
        <w:jc w:val="both"/>
      </w:pPr>
      <w:r w:rsidRPr="00171079">
        <w:rPr>
          <w:b/>
        </w:rPr>
        <w:t xml:space="preserve">Лихвените плащания </w:t>
      </w:r>
      <w:r w:rsidRPr="00171079">
        <w:t xml:space="preserve">по държавния бюджет към 31.03.2018 г. са в общ размер на </w:t>
      </w:r>
      <w:r w:rsidRPr="00171079">
        <w:rPr>
          <w:b/>
        </w:rPr>
        <w:t>371,0 млн. лв</w:t>
      </w:r>
      <w:r w:rsidRPr="00171079">
        <w:t xml:space="preserve">. или 54,2 % от предвидените в годишните разчети. </w:t>
      </w:r>
    </w:p>
    <w:p w:rsidR="00142ABD" w:rsidRPr="00171079" w:rsidRDefault="00142ABD" w:rsidP="00142ABD">
      <w:pPr>
        <w:spacing w:after="120"/>
        <w:jc w:val="both"/>
      </w:pPr>
      <w:r w:rsidRPr="00171079">
        <w:t xml:space="preserve">Разходите за </w:t>
      </w:r>
      <w:r w:rsidRPr="00171079">
        <w:rPr>
          <w:b/>
        </w:rPr>
        <w:t>лихви по външни заеми</w:t>
      </w:r>
      <w:r w:rsidRPr="00171079">
        <w:t xml:space="preserve"> са в размер на </w:t>
      </w:r>
      <w:r w:rsidRPr="00171079">
        <w:rPr>
          <w:b/>
        </w:rPr>
        <w:t>256,1 млн. лв.,</w:t>
      </w:r>
      <w:r w:rsidRPr="00171079">
        <w:t xml:space="preserve"> в т.ч. 247,5 млн. лв. по централния бюджет. Разходите за лихви по ДИЗ, управлявани от министерства и ведомства са в размер на 8,6 млн. лева. </w:t>
      </w:r>
    </w:p>
    <w:p w:rsidR="00142ABD" w:rsidRPr="00DA7BE2" w:rsidRDefault="00142ABD" w:rsidP="00142ABD">
      <w:pPr>
        <w:spacing w:after="120"/>
        <w:jc w:val="both"/>
        <w:rPr>
          <w:b/>
        </w:rPr>
      </w:pPr>
      <w:r w:rsidRPr="00DA7BE2">
        <w:t>През отчетния период не са използвани средства, предвидени за покриване на риска от активиране на държавни гаранции.</w:t>
      </w:r>
      <w:r w:rsidRPr="00DA7BE2">
        <w:rPr>
          <w:b/>
        </w:rPr>
        <w:t xml:space="preserve"> </w:t>
      </w:r>
    </w:p>
    <w:p w:rsidR="00142ABD" w:rsidRPr="00C43146" w:rsidRDefault="00142ABD" w:rsidP="00142ABD">
      <w:pPr>
        <w:spacing w:after="120"/>
        <w:jc w:val="both"/>
      </w:pPr>
      <w:r w:rsidRPr="00C43146">
        <w:rPr>
          <w:b/>
        </w:rPr>
        <w:t>Лихвите по вътрешни заеми</w:t>
      </w:r>
      <w:r w:rsidRPr="00C43146">
        <w:t xml:space="preserve"> по държавния бюджет </w:t>
      </w:r>
      <w:r w:rsidRPr="00C43146">
        <w:rPr>
          <w:bCs/>
        </w:rPr>
        <w:t xml:space="preserve">към март </w:t>
      </w:r>
      <w:r w:rsidRPr="00C43146">
        <w:t xml:space="preserve">2018 г. са в размер на </w:t>
      </w:r>
      <w:r w:rsidRPr="00C43146">
        <w:rPr>
          <w:b/>
        </w:rPr>
        <w:t>115,0 млн. лв.</w:t>
      </w:r>
      <w:r w:rsidRPr="00C43146">
        <w:t xml:space="preserve"> и представляват лихви по емисии на ДЦК на вътрешния пазар. Платените лихви и отстъпки по ДЦК, емитирани на </w:t>
      </w:r>
      <w:proofErr w:type="spellStart"/>
      <w:r w:rsidRPr="00C43146">
        <w:t>аукционен</w:t>
      </w:r>
      <w:proofErr w:type="spellEnd"/>
      <w:r w:rsidRPr="00C43146">
        <w:t xml:space="preserve"> принцип са в размер на 114,8 млн. лв., лихвите по ДЦК, емитирани за структурната реформа – 0,2 млн. лева. </w:t>
      </w:r>
    </w:p>
    <w:p w:rsidR="00142ABD" w:rsidRPr="00FA6FF3" w:rsidRDefault="00142ABD" w:rsidP="00142ABD">
      <w:pPr>
        <w:numPr>
          <w:ilvl w:val="0"/>
          <w:numId w:val="6"/>
        </w:numPr>
        <w:tabs>
          <w:tab w:val="clear" w:pos="700"/>
          <w:tab w:val="left" w:pos="426"/>
        </w:tabs>
        <w:spacing w:before="120"/>
        <w:ind w:left="0" w:firstLine="0"/>
        <w:jc w:val="both"/>
        <w:rPr>
          <w:b/>
          <w:bCs/>
        </w:rPr>
      </w:pPr>
      <w:r w:rsidRPr="00FA6FF3">
        <w:rPr>
          <w:b/>
          <w:bCs/>
        </w:rPr>
        <w:t>Нетният размер на трансферите по държавния бюджет</w:t>
      </w:r>
      <w:r w:rsidRPr="00FA6FF3">
        <w:rPr>
          <w:bCs/>
        </w:rPr>
        <w:t xml:space="preserve"> към март </w:t>
      </w:r>
      <w:r w:rsidRPr="00FA6FF3">
        <w:t xml:space="preserve">2018 г. </w:t>
      </w:r>
      <w:r w:rsidRPr="00FA6FF3">
        <w:rPr>
          <w:bCs/>
        </w:rPr>
        <w:t xml:space="preserve"> е</w:t>
      </w:r>
      <w:r w:rsidRPr="00FA6FF3">
        <w:rPr>
          <w:b/>
          <w:bCs/>
        </w:rPr>
        <w:t xml:space="preserve"> 2 690,2  млн. лв., </w:t>
      </w:r>
      <w:r w:rsidRPr="00FA6FF3">
        <w:rPr>
          <w:bCs/>
        </w:rPr>
        <w:t>в т.ч.:</w:t>
      </w:r>
      <w:r w:rsidRPr="00FA6FF3">
        <w:rPr>
          <w:b/>
          <w:bCs/>
        </w:rPr>
        <w:t xml:space="preserve"> </w:t>
      </w:r>
    </w:p>
    <w:p w:rsidR="00142ABD" w:rsidRPr="00FA6FF3" w:rsidRDefault="00142ABD" w:rsidP="00142ABD">
      <w:pPr>
        <w:numPr>
          <w:ilvl w:val="0"/>
          <w:numId w:val="24"/>
        </w:numPr>
        <w:tabs>
          <w:tab w:val="clear" w:pos="700"/>
          <w:tab w:val="left" w:pos="180"/>
          <w:tab w:val="num" w:pos="540"/>
          <w:tab w:val="num" w:pos="1495"/>
          <w:tab w:val="num" w:pos="9858"/>
        </w:tabs>
        <w:ind w:left="538" w:hanging="357"/>
        <w:jc w:val="both"/>
      </w:pPr>
      <w:r w:rsidRPr="00FA6FF3">
        <w:t xml:space="preserve">бюджетните взаимоотношения с общините включват нето предоставени трансфери в размер на 1 012,2 млн. лв., от които субсидии от централния бюджет в размер на 972,7 млн. лв., други целеви трансфери от централния бюджет в размер на 19,3 млн. лв., нетни трансфери от други бюджети в размер на </w:t>
      </w:r>
      <w:r>
        <w:t>21,1</w:t>
      </w:r>
      <w:r w:rsidRPr="00FA6FF3">
        <w:t xml:space="preserve"> млн. лв. и възстановени трансфери от предходни години в централния бюджет – 0,9 млн. лева;</w:t>
      </w:r>
    </w:p>
    <w:p w:rsidR="00142ABD" w:rsidRPr="00762062" w:rsidRDefault="00142ABD" w:rsidP="00142ABD">
      <w:pPr>
        <w:numPr>
          <w:ilvl w:val="0"/>
          <w:numId w:val="24"/>
        </w:numPr>
        <w:tabs>
          <w:tab w:val="clear" w:pos="700"/>
          <w:tab w:val="left" w:pos="180"/>
          <w:tab w:val="num" w:pos="540"/>
          <w:tab w:val="num" w:pos="1495"/>
          <w:tab w:val="num" w:pos="9858"/>
        </w:tabs>
        <w:ind w:left="538" w:hanging="357"/>
        <w:jc w:val="both"/>
      </w:pPr>
      <w:r w:rsidRPr="00762062">
        <w:lastRenderedPageBreak/>
        <w:t xml:space="preserve">на </w:t>
      </w:r>
      <w:proofErr w:type="spellStart"/>
      <w:r w:rsidRPr="00762062">
        <w:t>социалноосигурителните</w:t>
      </w:r>
      <w:proofErr w:type="spellEnd"/>
      <w:r w:rsidRPr="00762062">
        <w:t xml:space="preserve"> фондове (нето) – 1 427,2 млн. лв.,</w:t>
      </w:r>
      <w:r w:rsidRPr="00762062">
        <w:rPr>
          <w:b/>
        </w:rPr>
        <w:t xml:space="preserve"> </w:t>
      </w:r>
      <w:r w:rsidRPr="00762062">
        <w:t>което представлява 24,7 % от годишния разчет;</w:t>
      </w:r>
    </w:p>
    <w:p w:rsidR="00142ABD" w:rsidRPr="0025162E" w:rsidRDefault="00142ABD" w:rsidP="00142ABD">
      <w:pPr>
        <w:numPr>
          <w:ilvl w:val="0"/>
          <w:numId w:val="24"/>
        </w:numPr>
        <w:tabs>
          <w:tab w:val="clear" w:pos="700"/>
          <w:tab w:val="left" w:pos="180"/>
          <w:tab w:val="num" w:pos="540"/>
          <w:tab w:val="num" w:pos="1495"/>
          <w:tab w:val="num" w:pos="9858"/>
        </w:tabs>
        <w:ind w:left="538" w:hanging="357"/>
        <w:jc w:val="both"/>
      </w:pPr>
      <w:r w:rsidRPr="0025162E">
        <w:t>на други автономни бюджети (ДВУ, БАН, БНТ, БНР и БТА) – 170,7 млн. лв., 26,7 % от годишния разчет.</w:t>
      </w:r>
    </w:p>
    <w:p w:rsidR="00142ABD" w:rsidRPr="004A423B" w:rsidRDefault="00142ABD" w:rsidP="00142ABD">
      <w:pPr>
        <w:numPr>
          <w:ilvl w:val="0"/>
          <w:numId w:val="6"/>
        </w:numPr>
        <w:tabs>
          <w:tab w:val="clear" w:pos="700"/>
          <w:tab w:val="left" w:pos="426"/>
        </w:tabs>
        <w:spacing w:before="120"/>
        <w:ind w:left="0" w:firstLine="0"/>
        <w:jc w:val="both"/>
        <w:rPr>
          <w:bCs/>
        </w:rPr>
      </w:pPr>
      <w:r w:rsidRPr="004A423B">
        <w:t>Частта от</w:t>
      </w:r>
      <w:r w:rsidRPr="004A423B">
        <w:rPr>
          <w:b/>
        </w:rPr>
        <w:t xml:space="preserve"> вноската на Република България в общия бюджет на ЕС, </w:t>
      </w:r>
      <w:r w:rsidRPr="004A423B">
        <w:t>изплатена към 31.03.2018 г. от централния бюджет възлиза на</w:t>
      </w:r>
      <w:r w:rsidRPr="004A423B">
        <w:rPr>
          <w:b/>
        </w:rPr>
        <w:t xml:space="preserve"> 308,2 млн. лв., </w:t>
      </w:r>
      <w:r w:rsidRPr="004A423B">
        <w:t xml:space="preserve">което е в изпълнение на действащото към момента законодателство в областта на собствените ресурси на ЕС - Решение на Съвета 2014/335/ЕС, </w:t>
      </w:r>
      <w:proofErr w:type="spellStart"/>
      <w:r w:rsidRPr="004A423B">
        <w:t>Евратом</w:t>
      </w:r>
      <w:proofErr w:type="spellEnd"/>
      <w:r w:rsidRPr="004A423B">
        <w:t xml:space="preserve"> относно системата на собствените ресурси на Европейския съюз, Регламент (ЕС, </w:t>
      </w:r>
      <w:proofErr w:type="spellStart"/>
      <w:r w:rsidRPr="004A423B">
        <w:t>Евратом</w:t>
      </w:r>
      <w:proofErr w:type="spellEnd"/>
      <w:r w:rsidRPr="004A423B">
        <w:t xml:space="preserve">) № 608/2014 на Съвета от 26 май 2014 г. за определяне на мерки за прилагане на системата на собствените ресурси на ЕС и Регламент (EС, </w:t>
      </w:r>
      <w:proofErr w:type="spellStart"/>
      <w:r w:rsidRPr="004A423B">
        <w:t>Евратом</w:t>
      </w:r>
      <w:proofErr w:type="spellEnd"/>
      <w:r w:rsidRPr="004A423B">
        <w:t xml:space="preserve">)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изменен с Регламент (EС, </w:t>
      </w:r>
      <w:proofErr w:type="spellStart"/>
      <w:r w:rsidRPr="004A423B">
        <w:t>Евратом</w:t>
      </w:r>
      <w:proofErr w:type="spellEnd"/>
      <w:r w:rsidRPr="004A423B">
        <w:t xml:space="preserve">) 2016/804 на Съвета от 17 май 2016 г. </w:t>
      </w:r>
    </w:p>
    <w:p w:rsidR="00142ABD" w:rsidRPr="00752E48" w:rsidRDefault="00142ABD" w:rsidP="00142ABD">
      <w:pPr>
        <w:numPr>
          <w:ilvl w:val="0"/>
          <w:numId w:val="6"/>
        </w:numPr>
        <w:tabs>
          <w:tab w:val="clear" w:pos="700"/>
          <w:tab w:val="num" w:pos="426"/>
        </w:tabs>
        <w:spacing w:before="240" w:after="240"/>
        <w:ind w:left="0" w:firstLine="0"/>
        <w:jc w:val="both"/>
        <w:rPr>
          <w:sz w:val="16"/>
          <w:szCs w:val="16"/>
        </w:rPr>
      </w:pPr>
      <w:r w:rsidRPr="00752E48">
        <w:rPr>
          <w:b/>
        </w:rPr>
        <w:t xml:space="preserve">Бюджетното салдо по държавния бюджет </w:t>
      </w:r>
      <w:r w:rsidRPr="00752E48">
        <w:t>към 31.03.2018 г.</w:t>
      </w:r>
      <w:r w:rsidRPr="00752E48">
        <w:rPr>
          <w:b/>
        </w:rPr>
        <w:t xml:space="preserve"> е положително </w:t>
      </w:r>
      <w:r w:rsidRPr="00752E48">
        <w:t xml:space="preserve">в размер на </w:t>
      </w:r>
      <w:r w:rsidRPr="00752E48">
        <w:rPr>
          <w:b/>
        </w:rPr>
        <w:t>528,3 млн. лева.</w:t>
      </w:r>
      <w:r w:rsidRPr="00752E48">
        <w:t xml:space="preserve"> </w:t>
      </w:r>
    </w:p>
    <w:p w:rsidR="00142ABD" w:rsidRPr="00E810F2" w:rsidRDefault="00142ABD" w:rsidP="00142ABD">
      <w:pPr>
        <w:numPr>
          <w:ilvl w:val="0"/>
          <w:numId w:val="6"/>
        </w:numPr>
        <w:tabs>
          <w:tab w:val="clear" w:pos="700"/>
          <w:tab w:val="num" w:pos="426"/>
        </w:tabs>
        <w:spacing w:before="240" w:after="240"/>
        <w:ind w:left="0" w:firstLine="0"/>
        <w:jc w:val="both"/>
        <w:rPr>
          <w:b/>
        </w:rPr>
      </w:pPr>
      <w:r w:rsidRPr="00E810F2">
        <w:rPr>
          <w:b/>
        </w:rPr>
        <w:t>Финансиране на бюджета чрез операции по дълга</w:t>
      </w:r>
    </w:p>
    <w:p w:rsidR="00142ABD" w:rsidRDefault="00142ABD" w:rsidP="00142ABD">
      <w:pPr>
        <w:spacing w:after="120"/>
        <w:jc w:val="both"/>
      </w:pPr>
      <w:r w:rsidRPr="00E810F2">
        <w:t>Към 31.03.2018 г.</w:t>
      </w:r>
      <w:r w:rsidRPr="00E810F2">
        <w:rPr>
          <w:b/>
        </w:rPr>
        <w:t xml:space="preserve"> </w:t>
      </w:r>
      <w:r w:rsidRPr="00E810F2">
        <w:t xml:space="preserve">е отчетено отрицателно нетно външно финансиране по централния бюджет в размер на 31,5 млн. лева. </w:t>
      </w:r>
      <w:r w:rsidRPr="00E810F2">
        <w:rPr>
          <w:lang w:val="en-US"/>
        </w:rPr>
        <w:t>(</w:t>
      </w:r>
      <w:proofErr w:type="gramStart"/>
      <w:r w:rsidRPr="00E810F2">
        <w:t>в</w:t>
      </w:r>
      <w:proofErr w:type="gramEnd"/>
      <w:r w:rsidRPr="00E810F2">
        <w:t xml:space="preserve"> т. ч. 0,5 млн. лв. п</w:t>
      </w:r>
      <w:proofErr w:type="spellStart"/>
      <w:r w:rsidRPr="00E810F2">
        <w:rPr>
          <w:lang w:val="en-US"/>
        </w:rPr>
        <w:t>олучени</w:t>
      </w:r>
      <w:proofErr w:type="spellEnd"/>
      <w:r w:rsidRPr="00E810F2">
        <w:rPr>
          <w:lang w:val="en-US"/>
        </w:rPr>
        <w:t xml:space="preserve"> </w:t>
      </w:r>
      <w:proofErr w:type="spellStart"/>
      <w:r w:rsidRPr="00E810F2">
        <w:rPr>
          <w:lang w:val="en-US"/>
        </w:rPr>
        <w:t>погашения</w:t>
      </w:r>
      <w:proofErr w:type="spellEnd"/>
      <w:r w:rsidRPr="00E810F2">
        <w:rPr>
          <w:lang w:val="en-US"/>
        </w:rPr>
        <w:t xml:space="preserve"> </w:t>
      </w:r>
      <w:proofErr w:type="spellStart"/>
      <w:r w:rsidRPr="00E810F2">
        <w:rPr>
          <w:lang w:val="en-US"/>
        </w:rPr>
        <w:t>по</w:t>
      </w:r>
      <w:proofErr w:type="spellEnd"/>
      <w:r w:rsidRPr="00E810F2">
        <w:rPr>
          <w:lang w:val="en-US"/>
        </w:rPr>
        <w:t xml:space="preserve"> </w:t>
      </w:r>
      <w:r w:rsidRPr="00E810F2">
        <w:t>спогодба с Арабска република Египет</w:t>
      </w:r>
      <w:r w:rsidRPr="00E810F2">
        <w:rPr>
          <w:lang w:val="en-US"/>
        </w:rPr>
        <w:t>)</w:t>
      </w:r>
      <w:r w:rsidRPr="00E810F2">
        <w:t xml:space="preserve">. </w:t>
      </w:r>
    </w:p>
    <w:p w:rsidR="00142ABD" w:rsidRPr="008A1F4F" w:rsidRDefault="00142ABD" w:rsidP="00142ABD">
      <w:pPr>
        <w:spacing w:before="120" w:after="60"/>
        <w:jc w:val="both"/>
      </w:pPr>
      <w:r w:rsidRPr="008A1F4F">
        <w:t xml:space="preserve">Извършените погашения по заеми от чужбина по централния бюджет възлизат на </w:t>
      </w:r>
      <w:r>
        <w:t>32,0</w:t>
      </w:r>
      <w:r w:rsidRPr="008A1F4F">
        <w:t xml:space="preserve"> млн. лв., в т.ч.:</w:t>
      </w:r>
    </w:p>
    <w:p w:rsidR="00142ABD" w:rsidRPr="00697AEF" w:rsidRDefault="00142ABD" w:rsidP="00142ABD">
      <w:pPr>
        <w:numPr>
          <w:ilvl w:val="0"/>
          <w:numId w:val="23"/>
        </w:numPr>
        <w:tabs>
          <w:tab w:val="num" w:pos="900"/>
          <w:tab w:val="left" w:pos="993"/>
          <w:tab w:val="left" w:pos="1080"/>
          <w:tab w:val="left" w:pos="10348"/>
        </w:tabs>
        <w:spacing w:after="60"/>
        <w:ind w:left="0" w:right="42" w:firstLine="720"/>
        <w:jc w:val="both"/>
        <w:rPr>
          <w:rFonts w:ascii="Arial" w:hAnsi="Arial" w:cs="Arial"/>
        </w:rPr>
      </w:pPr>
      <w:r>
        <w:t>12,3</w:t>
      </w:r>
      <w:r w:rsidRPr="00B2112F">
        <w:t xml:space="preserve"> млн. лв. към правителството на Германия по силата на двустранно споразумение в рамките на Парижкия клуб;</w:t>
      </w:r>
    </w:p>
    <w:p w:rsidR="00142ABD" w:rsidRPr="00B2112F" w:rsidRDefault="00142ABD" w:rsidP="00142ABD">
      <w:pPr>
        <w:numPr>
          <w:ilvl w:val="0"/>
          <w:numId w:val="23"/>
        </w:numPr>
        <w:tabs>
          <w:tab w:val="num" w:pos="900"/>
          <w:tab w:val="left" w:pos="993"/>
          <w:tab w:val="left" w:pos="1080"/>
          <w:tab w:val="left" w:pos="10348"/>
        </w:tabs>
        <w:spacing w:after="60"/>
        <w:ind w:left="0" w:right="42" w:firstLine="720"/>
        <w:jc w:val="both"/>
        <w:rPr>
          <w:rFonts w:ascii="Arial" w:hAnsi="Arial" w:cs="Arial"/>
        </w:rPr>
      </w:pPr>
      <w:r>
        <w:t>19,7</w:t>
      </w:r>
      <w:r w:rsidRPr="00B2112F">
        <w:t xml:space="preserve"> млн. лв. по заем към Международната банка за възстановяване и развитие</w:t>
      </w:r>
      <w:r>
        <w:t>.</w:t>
      </w:r>
    </w:p>
    <w:p w:rsidR="00142ABD" w:rsidRPr="00D645FF" w:rsidRDefault="00142ABD" w:rsidP="00142ABD">
      <w:pPr>
        <w:spacing w:after="120"/>
        <w:jc w:val="both"/>
      </w:pPr>
      <w:r w:rsidRPr="00D645FF">
        <w:t>През отчетния период по централния бюджет няма усвоени средства по заеми от чужбина.</w:t>
      </w:r>
    </w:p>
    <w:p w:rsidR="00142ABD" w:rsidRPr="0057611E" w:rsidRDefault="00142ABD" w:rsidP="00142ABD">
      <w:pPr>
        <w:spacing w:after="120"/>
        <w:jc w:val="both"/>
      </w:pPr>
      <w:r w:rsidRPr="0057611E">
        <w:t xml:space="preserve">По </w:t>
      </w:r>
      <w:r w:rsidRPr="0057611E">
        <w:rPr>
          <w:b/>
        </w:rPr>
        <w:t>държавните инвестиционни заеми</w:t>
      </w:r>
      <w:r w:rsidRPr="0057611E">
        <w:t xml:space="preserve">, управлявани от министерства и ведомства през отчетния период няма </w:t>
      </w:r>
      <w:r w:rsidRPr="0057611E">
        <w:rPr>
          <w:b/>
          <w:i/>
        </w:rPr>
        <w:t>усвоени</w:t>
      </w:r>
      <w:r w:rsidRPr="0057611E">
        <w:t xml:space="preserve"> средства.</w:t>
      </w:r>
    </w:p>
    <w:p w:rsidR="00142ABD" w:rsidRPr="00423BEC" w:rsidRDefault="00142ABD" w:rsidP="00142ABD">
      <w:pPr>
        <w:spacing w:after="120"/>
        <w:jc w:val="both"/>
      </w:pPr>
      <w:r w:rsidRPr="006049C4">
        <w:rPr>
          <w:b/>
          <w:i/>
        </w:rPr>
        <w:t>Изплатените погашения</w:t>
      </w:r>
      <w:r w:rsidRPr="006049C4">
        <w:t xml:space="preserve"> по ДИЗ, управлявани от министерства и ведомства, са в размер на 13,5 млн. лева. </w:t>
      </w:r>
      <w:r w:rsidRPr="00BB1247">
        <w:t xml:space="preserve">По заемите с краен бенефициент търговско дружество са извършени </w:t>
      </w:r>
      <w:r w:rsidRPr="00423BEC">
        <w:t>погашения в размер на 0,3 млн. лева. Не са използвани средства, предвидени за покриване на риска от активиране на държавни гаранции.</w:t>
      </w:r>
    </w:p>
    <w:p w:rsidR="00142ABD" w:rsidRPr="00997EA9" w:rsidRDefault="00142ABD" w:rsidP="00142ABD">
      <w:pPr>
        <w:spacing w:after="60"/>
        <w:jc w:val="both"/>
        <w:rPr>
          <w:rFonts w:ascii="Arial" w:hAnsi="Arial" w:cs="Arial"/>
        </w:rPr>
      </w:pPr>
      <w:r w:rsidRPr="00997EA9">
        <w:t xml:space="preserve">Операции с </w:t>
      </w:r>
      <w:r w:rsidRPr="00997EA9">
        <w:rPr>
          <w:b/>
        </w:rPr>
        <w:t xml:space="preserve">държавни ценни книжа </w:t>
      </w:r>
      <w:r w:rsidRPr="00997EA9">
        <w:t xml:space="preserve">по централния бюджет </w:t>
      </w:r>
      <w:r w:rsidRPr="00997EA9">
        <w:rPr>
          <w:b/>
        </w:rPr>
        <w:t>(позиция във вътрешното финансиране):</w:t>
      </w:r>
      <w:r w:rsidRPr="00997EA9">
        <w:t xml:space="preserve"> Към 31 март 2018 г. е реализирано отрицателно нетно вътрешно финансиране на бюджета с държавни ценни книжа (ДЦК) в размер на 1 051,6 млн. лева. </w:t>
      </w:r>
    </w:p>
    <w:p w:rsidR="00142ABD" w:rsidRPr="00997EA9" w:rsidRDefault="00142ABD" w:rsidP="00142ABD">
      <w:pPr>
        <w:spacing w:before="120" w:after="120"/>
        <w:jc w:val="both"/>
      </w:pPr>
      <w:r w:rsidRPr="00997EA9">
        <w:t>Отчетените погашения за периода са в размер на 1 051,6 млн. лв., в т.ч. 1 019,9 млн. лв. по ДЦК, емитирани за финансиране на дефицита и 31,7 млн. лв. по ДЦК, емитирани за структурната реформа.</w:t>
      </w:r>
    </w:p>
    <w:p w:rsidR="0004753C" w:rsidRPr="0042331A" w:rsidRDefault="0004753C" w:rsidP="00337CA7">
      <w:pPr>
        <w:pStyle w:val="Heading1"/>
        <w:numPr>
          <w:ilvl w:val="1"/>
          <w:numId w:val="10"/>
        </w:numPr>
        <w:spacing w:after="120"/>
        <w:ind w:right="-108"/>
        <w:jc w:val="both"/>
        <w:rPr>
          <w:sz w:val="24"/>
        </w:rPr>
      </w:pPr>
      <w:r w:rsidRPr="0042331A">
        <w:rPr>
          <w:sz w:val="24"/>
        </w:rPr>
        <w:t>Бюджет на съдебната власт</w:t>
      </w:r>
    </w:p>
    <w:p w:rsidR="00967BB9" w:rsidRPr="009C7B7E" w:rsidRDefault="00967BB9" w:rsidP="00967BB9">
      <w:pPr>
        <w:ind w:firstLine="567"/>
        <w:jc w:val="both"/>
      </w:pPr>
      <w:r w:rsidRPr="0042331A">
        <w:t>Със ЗДБРБ за 201</w:t>
      </w:r>
      <w:r w:rsidR="0042331A" w:rsidRPr="0042331A">
        <w:t>8</w:t>
      </w:r>
      <w:r w:rsidRPr="0042331A">
        <w:t xml:space="preserve"> г. са предвидени общо </w:t>
      </w:r>
      <w:r w:rsidRPr="0042331A">
        <w:rPr>
          <w:b/>
        </w:rPr>
        <w:t>приходи</w:t>
      </w:r>
      <w:r w:rsidRPr="0042331A">
        <w:t xml:space="preserve"> по бюджета на съдебната власт в размер на 1</w:t>
      </w:r>
      <w:r w:rsidR="0042331A" w:rsidRPr="0042331A">
        <w:t>16</w:t>
      </w:r>
      <w:r w:rsidR="004E46DA" w:rsidRPr="0042331A">
        <w:t>,0</w:t>
      </w:r>
      <w:r w:rsidRPr="0042331A">
        <w:t xml:space="preserve"> млн.</w:t>
      </w:r>
      <w:r w:rsidRPr="0042331A">
        <w:rPr>
          <w:lang w:val="en-US"/>
        </w:rPr>
        <w:t xml:space="preserve"> </w:t>
      </w:r>
      <w:r w:rsidRPr="005B54E9">
        <w:t>лв., от тях 10</w:t>
      </w:r>
      <w:r w:rsidR="0042331A" w:rsidRPr="005B54E9">
        <w:t>2</w:t>
      </w:r>
      <w:r w:rsidR="004E46DA" w:rsidRPr="005B54E9">
        <w:t>,0</w:t>
      </w:r>
      <w:r w:rsidRPr="005B54E9">
        <w:t xml:space="preserve"> млн.</w:t>
      </w:r>
      <w:r w:rsidRPr="005B54E9">
        <w:rPr>
          <w:lang w:val="en-US"/>
        </w:rPr>
        <w:t xml:space="preserve"> </w:t>
      </w:r>
      <w:r w:rsidRPr="005B54E9">
        <w:t xml:space="preserve">лв. са приходи от съдебни такси. За първото </w:t>
      </w:r>
      <w:r w:rsidRPr="009C7B7E">
        <w:t>тримесечие на 201</w:t>
      </w:r>
      <w:r w:rsidR="005B54E9" w:rsidRPr="009C7B7E">
        <w:t>8</w:t>
      </w:r>
      <w:r w:rsidRPr="009C7B7E">
        <w:t xml:space="preserve"> г. са отчетени приходи в размер на </w:t>
      </w:r>
      <w:r w:rsidR="005B54E9" w:rsidRPr="009C7B7E">
        <w:t>33,4</w:t>
      </w:r>
      <w:r w:rsidRPr="009C7B7E">
        <w:t xml:space="preserve"> млн. лв. (</w:t>
      </w:r>
      <w:r w:rsidR="005B54E9" w:rsidRPr="009C7B7E">
        <w:t>28,8</w:t>
      </w:r>
      <w:r w:rsidRPr="009C7B7E">
        <w:t xml:space="preserve"> % о</w:t>
      </w:r>
      <w:r w:rsidR="00864BAC" w:rsidRPr="009C7B7E">
        <w:t>т</w:t>
      </w:r>
      <w:r w:rsidRPr="009C7B7E">
        <w:t xml:space="preserve"> закона), от които </w:t>
      </w:r>
      <w:r w:rsidR="009C7B7E" w:rsidRPr="009C7B7E">
        <w:t>26,8</w:t>
      </w:r>
      <w:r w:rsidRPr="009C7B7E">
        <w:t xml:space="preserve"> млн. лв. - приходи от съдебни такси. За сравнение, към 31.03.201</w:t>
      </w:r>
      <w:r w:rsidR="00B573FE" w:rsidRPr="009C7B7E">
        <w:t>7</w:t>
      </w:r>
      <w:r w:rsidRPr="009C7B7E">
        <w:t xml:space="preserve"> г. са отчетени общо неданъчни приходи в размер на </w:t>
      </w:r>
      <w:r w:rsidR="00B573FE" w:rsidRPr="009C7B7E">
        <w:t>29,2</w:t>
      </w:r>
      <w:r w:rsidRPr="009C7B7E">
        <w:t xml:space="preserve"> млн. лв. (</w:t>
      </w:r>
      <w:r w:rsidR="00B573FE" w:rsidRPr="009C7B7E">
        <w:t>23,3</w:t>
      </w:r>
      <w:r w:rsidRPr="009C7B7E">
        <w:t xml:space="preserve"> % о</w:t>
      </w:r>
      <w:r w:rsidR="00864BAC" w:rsidRPr="009C7B7E">
        <w:t>т</w:t>
      </w:r>
      <w:r w:rsidRPr="009C7B7E">
        <w:t xml:space="preserve"> закона), от които </w:t>
      </w:r>
      <w:r w:rsidR="009C7B7E" w:rsidRPr="009C7B7E">
        <w:t xml:space="preserve">25,4 </w:t>
      </w:r>
      <w:r w:rsidRPr="009C7B7E">
        <w:t>млн. лв. - приходи от съдебни такси.</w:t>
      </w:r>
    </w:p>
    <w:p w:rsidR="0060764B" w:rsidRPr="0075428E" w:rsidRDefault="00967BB9" w:rsidP="00967BB9">
      <w:pPr>
        <w:ind w:firstLine="567"/>
        <w:jc w:val="both"/>
        <w:rPr>
          <w:lang w:val="en-US"/>
        </w:rPr>
      </w:pPr>
      <w:r w:rsidRPr="0075428E">
        <w:rPr>
          <w:b/>
        </w:rPr>
        <w:t xml:space="preserve">Разходите </w:t>
      </w:r>
      <w:r w:rsidRPr="0075428E">
        <w:t>по бюджета на съдебната власт</w:t>
      </w:r>
      <w:r w:rsidRPr="0075428E">
        <w:rPr>
          <w:b/>
        </w:rPr>
        <w:t xml:space="preserve"> </w:t>
      </w:r>
      <w:r w:rsidRPr="0075428E">
        <w:t>за първото тримесечие на 201</w:t>
      </w:r>
      <w:r w:rsidR="0075428E" w:rsidRPr="0075428E">
        <w:t>8</w:t>
      </w:r>
      <w:r w:rsidRPr="0075428E">
        <w:t xml:space="preserve"> г.</w:t>
      </w:r>
      <w:r w:rsidRPr="0075428E">
        <w:rPr>
          <w:b/>
        </w:rPr>
        <w:t xml:space="preserve"> </w:t>
      </w:r>
      <w:r w:rsidRPr="0075428E">
        <w:t xml:space="preserve">са в размер на </w:t>
      </w:r>
      <w:r w:rsidR="0075428E" w:rsidRPr="0075428E">
        <w:t>162,5</w:t>
      </w:r>
      <w:r w:rsidRPr="0075428E">
        <w:t xml:space="preserve"> млн. лв. или </w:t>
      </w:r>
      <w:r w:rsidR="0075428E" w:rsidRPr="0075428E">
        <w:t>27,5</w:t>
      </w:r>
      <w:r w:rsidRPr="0075428E">
        <w:t> % от планираните за годината (</w:t>
      </w:r>
      <w:r w:rsidR="0075428E" w:rsidRPr="0075428E">
        <w:t>591,1</w:t>
      </w:r>
      <w:r w:rsidRPr="0075428E">
        <w:t xml:space="preserve"> млн. лв.). За сравнение, през </w:t>
      </w:r>
      <w:r w:rsidRPr="0075428E">
        <w:lastRenderedPageBreak/>
        <w:t>същия период на 201</w:t>
      </w:r>
      <w:r w:rsidR="0075428E" w:rsidRPr="0075428E">
        <w:t>7</w:t>
      </w:r>
      <w:r w:rsidRPr="0075428E">
        <w:t xml:space="preserve"> г. са отчетени разходи в размер </w:t>
      </w:r>
      <w:r w:rsidR="0075428E" w:rsidRPr="0075428E">
        <w:t>151,3</w:t>
      </w:r>
      <w:r w:rsidRPr="0075428E">
        <w:t xml:space="preserve"> млн. лв., които представляват </w:t>
      </w:r>
      <w:r w:rsidR="0075428E" w:rsidRPr="0075428E">
        <w:t>26,8</w:t>
      </w:r>
      <w:r w:rsidRPr="0075428E">
        <w:t xml:space="preserve"> % от определените с годишния закон </w:t>
      </w:r>
      <w:r w:rsidR="0075428E" w:rsidRPr="0075428E">
        <w:t>565</w:t>
      </w:r>
      <w:r w:rsidRPr="0075428E">
        <w:t>,0 млн. лева.</w:t>
      </w:r>
    </w:p>
    <w:p w:rsidR="00F521AA" w:rsidRPr="009749AD" w:rsidRDefault="00F521AA" w:rsidP="00F521AA">
      <w:pPr>
        <w:pStyle w:val="Heading1"/>
        <w:numPr>
          <w:ilvl w:val="0"/>
          <w:numId w:val="10"/>
        </w:numPr>
        <w:spacing w:before="240" w:after="120"/>
        <w:ind w:left="748" w:right="-108" w:hanging="391"/>
        <w:jc w:val="both"/>
        <w:rPr>
          <w:sz w:val="24"/>
        </w:rPr>
      </w:pPr>
      <w:r w:rsidRPr="009749AD">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rsidR="00F521AA" w:rsidRPr="009749AD" w:rsidRDefault="00F521AA" w:rsidP="00F521AA">
      <w:pPr>
        <w:pStyle w:val="Heading1"/>
        <w:numPr>
          <w:ilvl w:val="1"/>
          <w:numId w:val="10"/>
        </w:numPr>
        <w:spacing w:after="120"/>
        <w:ind w:left="788" w:right="-108" w:hanging="431"/>
        <w:jc w:val="both"/>
        <w:rPr>
          <w:sz w:val="24"/>
          <w:lang w:val="en-US"/>
        </w:rPr>
      </w:pPr>
      <w:r w:rsidRPr="009749AD">
        <w:rPr>
          <w:sz w:val="24"/>
        </w:rPr>
        <w:t xml:space="preserve"> Сметка за Европейски средства на Разплащателна агенция към Държавен фонд „Земеделие” </w:t>
      </w:r>
    </w:p>
    <w:p w:rsidR="00053D51" w:rsidRPr="00984640" w:rsidRDefault="00053D51" w:rsidP="00053D51">
      <w:pPr>
        <w:numPr>
          <w:ilvl w:val="0"/>
          <w:numId w:val="28"/>
        </w:numPr>
        <w:tabs>
          <w:tab w:val="num" w:pos="540"/>
        </w:tabs>
        <w:spacing w:before="120" w:after="120" w:line="276" w:lineRule="auto"/>
        <w:contextualSpacing/>
        <w:jc w:val="both"/>
        <w:rPr>
          <w:b/>
          <w:lang w:eastAsia="bg-BG"/>
        </w:rPr>
      </w:pPr>
      <w:r w:rsidRPr="00984640">
        <w:rPr>
          <w:b/>
          <w:lang w:eastAsia="bg-BG"/>
        </w:rPr>
        <w:t>Приходи</w:t>
      </w:r>
    </w:p>
    <w:p w:rsidR="00053D51" w:rsidRPr="00E3314D" w:rsidRDefault="00053D51" w:rsidP="00053D51">
      <w:pPr>
        <w:ind w:firstLine="708"/>
        <w:jc w:val="both"/>
      </w:pPr>
      <w:r w:rsidRPr="00E3314D">
        <w:t>За 2018</w:t>
      </w:r>
      <w:r>
        <w:t xml:space="preserve"> </w:t>
      </w:r>
      <w:r w:rsidRPr="00E3314D">
        <w:t xml:space="preserve">г. планираните приходи по утвърдените годишни разчети на сметката за средства от Европейския съюз на </w:t>
      </w:r>
      <w:r w:rsidRPr="00984640">
        <w:t>Разплащателната агенция към</w:t>
      </w:r>
      <w:r w:rsidRPr="00E3314D">
        <w:t xml:space="preserve"> ДФ „Земеделие” са в размер на 582,6 млн.</w:t>
      </w:r>
      <w:r>
        <w:t xml:space="preserve"> </w:t>
      </w:r>
      <w:r w:rsidRPr="00E3314D">
        <w:t>л</w:t>
      </w:r>
      <w:r>
        <w:t>е</w:t>
      </w:r>
      <w:r w:rsidRPr="00E3314D">
        <w:t>в</w:t>
      </w:r>
      <w:r>
        <w:t>а</w:t>
      </w:r>
      <w:r w:rsidRPr="00E3314D">
        <w:t>. Към 31.03.2018</w:t>
      </w:r>
      <w:r>
        <w:t xml:space="preserve"> </w:t>
      </w:r>
      <w:r w:rsidRPr="00E3314D">
        <w:t>г. по отчетни данни, постъпленията са в размер на 26,6 млн.</w:t>
      </w:r>
      <w:r>
        <w:t xml:space="preserve"> </w:t>
      </w:r>
      <w:r w:rsidRPr="00E3314D">
        <w:t>лв.</w:t>
      </w:r>
      <w:r>
        <w:t>, което представлява</w:t>
      </w:r>
      <w:r w:rsidRPr="00E3314D">
        <w:t xml:space="preserve"> 4,6</w:t>
      </w:r>
      <w:r>
        <w:t xml:space="preserve"> </w:t>
      </w:r>
      <w:r w:rsidRPr="00E3314D">
        <w:t>% от годишния план.</w:t>
      </w:r>
    </w:p>
    <w:p w:rsidR="00053D51" w:rsidRPr="00E3314D" w:rsidRDefault="00053D51" w:rsidP="00053D51">
      <w:pPr>
        <w:tabs>
          <w:tab w:val="left" w:pos="709"/>
        </w:tabs>
        <w:jc w:val="both"/>
      </w:pPr>
      <w:r w:rsidRPr="00E3314D">
        <w:tab/>
        <w:t xml:space="preserve">Най-голям е делът на помощите и даренията </w:t>
      </w:r>
      <w:r>
        <w:t xml:space="preserve">от чужбина, които възлизат на </w:t>
      </w:r>
      <w:r w:rsidRPr="00E3314D">
        <w:t>26,5 млн.</w:t>
      </w:r>
      <w:r>
        <w:t> </w:t>
      </w:r>
      <w:r w:rsidRPr="00E3314D">
        <w:t>лв. или 4,</w:t>
      </w:r>
      <w:r>
        <w:t xml:space="preserve">6 </w:t>
      </w:r>
      <w:r w:rsidRPr="00E3314D">
        <w:t>% от годишния уточнен план, разпределени както следва:</w:t>
      </w:r>
    </w:p>
    <w:p w:rsidR="00053D51" w:rsidRPr="00E3314D" w:rsidRDefault="00053D51" w:rsidP="00053D51">
      <w:pPr>
        <w:numPr>
          <w:ilvl w:val="0"/>
          <w:numId w:val="25"/>
        </w:numPr>
        <w:tabs>
          <w:tab w:val="left" w:pos="993"/>
        </w:tabs>
        <w:spacing w:before="120" w:after="120"/>
        <w:ind w:left="1321" w:hanging="612"/>
        <w:jc w:val="both"/>
        <w:rPr>
          <w:b/>
          <w:i/>
        </w:rPr>
      </w:pPr>
      <w:r w:rsidRPr="00E3314D">
        <w:rPr>
          <w:b/>
          <w:i/>
        </w:rPr>
        <w:t>Текущи помощи и дарения от Европейския съюз</w:t>
      </w:r>
    </w:p>
    <w:p w:rsidR="00053D51" w:rsidRPr="00E3314D" w:rsidRDefault="00053D51" w:rsidP="00053D51">
      <w:pPr>
        <w:ind w:firstLine="708"/>
        <w:jc w:val="both"/>
      </w:pPr>
      <w:r w:rsidRPr="00E3314D">
        <w:t>Общият размер на получените приходи, отчетени в „Текущи помощи и дарения от Европейския съюз“ за първото тримесечие на 2018</w:t>
      </w:r>
      <w:r>
        <w:t xml:space="preserve"> </w:t>
      </w:r>
      <w:r w:rsidRPr="00E3314D">
        <w:t>г. е 7</w:t>
      </w:r>
      <w:r>
        <w:t>,0</w:t>
      </w:r>
      <w:r w:rsidRPr="00E3314D">
        <w:t xml:space="preserve"> млн.</w:t>
      </w:r>
      <w:r>
        <w:t xml:space="preserve"> </w:t>
      </w:r>
      <w:r w:rsidRPr="00E3314D">
        <w:t>лв. при план</w:t>
      </w:r>
      <w:r>
        <w:t>ирани за годината средства в размер на</w:t>
      </w:r>
      <w:r w:rsidRPr="00E3314D">
        <w:t xml:space="preserve"> 74,5 млн.</w:t>
      </w:r>
      <w:r>
        <w:t xml:space="preserve"> </w:t>
      </w:r>
      <w:r w:rsidRPr="00E3314D">
        <w:t>л</w:t>
      </w:r>
      <w:r>
        <w:t>е</w:t>
      </w:r>
      <w:r w:rsidRPr="00E3314D">
        <w:t>в</w:t>
      </w:r>
      <w:r>
        <w:t>а</w:t>
      </w:r>
      <w:r w:rsidRPr="00E3314D">
        <w:t>.</w:t>
      </w:r>
    </w:p>
    <w:p w:rsidR="00053D51" w:rsidRPr="00E3314D" w:rsidRDefault="00053D51" w:rsidP="00053D51">
      <w:pPr>
        <w:ind w:firstLine="708"/>
        <w:jc w:val="both"/>
      </w:pPr>
      <w:r w:rsidRPr="00E3314D">
        <w:t>Получените текущи приходи от възстановяване на средства от Европейски земеделски фонд за развитие на селските райони (ЕЗФРСР) по линия на ПРСР</w:t>
      </w:r>
      <w:r>
        <w:t>,</w:t>
      </w:r>
      <w:r w:rsidRPr="00E3314D">
        <w:t xml:space="preserve"> без директни плащания</w:t>
      </w:r>
      <w:r>
        <w:t>,</w:t>
      </w:r>
      <w:r w:rsidRPr="00E3314D">
        <w:t xml:space="preserve"> към 31.03.2018</w:t>
      </w:r>
      <w:r>
        <w:t xml:space="preserve"> </w:t>
      </w:r>
      <w:r w:rsidRPr="00E3314D">
        <w:t>г. са 5,</w:t>
      </w:r>
      <w:r w:rsidR="00463713">
        <w:t>7</w:t>
      </w:r>
      <w:r w:rsidRPr="00E3314D">
        <w:t xml:space="preserve"> млн.</w:t>
      </w:r>
      <w:r>
        <w:t xml:space="preserve"> </w:t>
      </w:r>
      <w:r w:rsidRPr="00E3314D">
        <w:t>лв.</w:t>
      </w:r>
      <w:r>
        <w:t>, което е</w:t>
      </w:r>
      <w:r w:rsidRPr="00E3314D">
        <w:t xml:space="preserve"> 8,</w:t>
      </w:r>
      <w:r w:rsidR="00463713">
        <w:t>9</w:t>
      </w:r>
      <w:r>
        <w:t xml:space="preserve"> </w:t>
      </w:r>
      <w:r w:rsidRPr="00E3314D">
        <w:t>% от планираните</w:t>
      </w:r>
      <w:r>
        <w:t xml:space="preserve"> за годината</w:t>
      </w:r>
      <w:r w:rsidRPr="00E3314D">
        <w:t xml:space="preserve"> 64</w:t>
      </w:r>
      <w:r>
        <w:t>,0</w:t>
      </w:r>
      <w:r w:rsidRPr="00E3314D">
        <w:t xml:space="preserve"> млн.</w:t>
      </w:r>
      <w:r>
        <w:t xml:space="preserve"> </w:t>
      </w:r>
      <w:r w:rsidRPr="00E3314D">
        <w:t>л</w:t>
      </w:r>
      <w:r>
        <w:t>е</w:t>
      </w:r>
      <w:r w:rsidRPr="00E3314D">
        <w:t>в</w:t>
      </w:r>
      <w:r>
        <w:t>а</w:t>
      </w:r>
      <w:r w:rsidRPr="00E3314D">
        <w:t>.</w:t>
      </w:r>
    </w:p>
    <w:p w:rsidR="00053D51" w:rsidRPr="00E3314D" w:rsidRDefault="00053D51" w:rsidP="00053D51">
      <w:pPr>
        <w:jc w:val="both"/>
      </w:pPr>
      <w:r w:rsidRPr="00E3314D">
        <w:tab/>
        <w:t>Получените текущи приходи от възстановяване на средства по линия на схем</w:t>
      </w:r>
      <w:r>
        <w:t>ите</w:t>
      </w:r>
      <w:r w:rsidRPr="00E3314D">
        <w:t xml:space="preserve"> „Училищен плод“ и „Училищно мляко“ от Европейски фонд за гарантиране на земеделието (EФГЗ) към 31.03.2018</w:t>
      </w:r>
      <w:r>
        <w:t xml:space="preserve"> </w:t>
      </w:r>
      <w:r w:rsidRPr="00E3314D">
        <w:t>г. са 1,3 млн.</w:t>
      </w:r>
      <w:r>
        <w:t xml:space="preserve"> </w:t>
      </w:r>
      <w:r w:rsidRPr="00E3314D">
        <w:t>лв.</w:t>
      </w:r>
      <w:r>
        <w:t>,</w:t>
      </w:r>
      <w:r w:rsidRPr="00E3314D">
        <w:t xml:space="preserve"> 16</w:t>
      </w:r>
      <w:r>
        <w:t>,</w:t>
      </w:r>
      <w:r w:rsidR="00463713">
        <w:t>0</w:t>
      </w:r>
      <w:r>
        <w:t xml:space="preserve"> </w:t>
      </w:r>
      <w:r w:rsidRPr="00E3314D">
        <w:t xml:space="preserve">% от планираните </w:t>
      </w:r>
      <w:r>
        <w:t xml:space="preserve">за годината </w:t>
      </w:r>
      <w:r w:rsidRPr="00E3314D">
        <w:t>8,1</w:t>
      </w:r>
      <w:r>
        <w:t xml:space="preserve"> </w:t>
      </w:r>
      <w:r w:rsidRPr="00E3314D">
        <w:t>млн.</w:t>
      </w:r>
      <w:r>
        <w:t xml:space="preserve"> </w:t>
      </w:r>
      <w:r w:rsidRPr="00E3314D">
        <w:t>л</w:t>
      </w:r>
      <w:r>
        <w:t>е</w:t>
      </w:r>
      <w:r w:rsidRPr="00E3314D">
        <w:t>в</w:t>
      </w:r>
      <w:r>
        <w:t>а</w:t>
      </w:r>
      <w:r w:rsidRPr="00E3314D">
        <w:t>.</w:t>
      </w:r>
    </w:p>
    <w:p w:rsidR="00053D51" w:rsidRPr="00E3314D" w:rsidRDefault="00053D51" w:rsidP="00053D51">
      <w:pPr>
        <w:jc w:val="both"/>
      </w:pPr>
      <w:r w:rsidRPr="00E3314D">
        <w:tab/>
        <w:t>През първото тримесечие на 2018</w:t>
      </w:r>
      <w:r>
        <w:t xml:space="preserve"> </w:t>
      </w:r>
      <w:r w:rsidRPr="00E3314D">
        <w:t>г. няма получени текущи приходи от възстановени средства от Европейския фонд за морско дело и рибарство (ЕФМДР)  при планирани за годината 2,4 млн.</w:t>
      </w:r>
      <w:r>
        <w:t xml:space="preserve"> </w:t>
      </w:r>
      <w:r w:rsidRPr="00E3314D">
        <w:t>л</w:t>
      </w:r>
      <w:r>
        <w:t>е</w:t>
      </w:r>
      <w:r w:rsidRPr="00E3314D">
        <w:t>в</w:t>
      </w:r>
      <w:r>
        <w:t>а</w:t>
      </w:r>
      <w:r w:rsidRPr="00E3314D">
        <w:t>.</w:t>
      </w:r>
    </w:p>
    <w:p w:rsidR="00053D51" w:rsidRPr="00EA2AF6" w:rsidRDefault="00053D51" w:rsidP="00053D51">
      <w:pPr>
        <w:numPr>
          <w:ilvl w:val="0"/>
          <w:numId w:val="25"/>
        </w:numPr>
        <w:tabs>
          <w:tab w:val="left" w:pos="993"/>
        </w:tabs>
        <w:spacing w:before="120" w:after="120"/>
        <w:ind w:left="1321" w:hanging="612"/>
        <w:jc w:val="both"/>
        <w:rPr>
          <w:b/>
          <w:i/>
          <w:lang w:eastAsia="bg-BG"/>
        </w:rPr>
      </w:pPr>
      <w:r w:rsidRPr="00EA2AF6">
        <w:rPr>
          <w:b/>
          <w:i/>
          <w:lang w:eastAsia="bg-BG"/>
        </w:rPr>
        <w:t>Капиталови помощи и дарения от Европейския съюз</w:t>
      </w:r>
    </w:p>
    <w:p w:rsidR="00053D51" w:rsidRPr="00E3314D" w:rsidRDefault="00053D51" w:rsidP="00053D51">
      <w:pPr>
        <w:jc w:val="both"/>
      </w:pPr>
      <w:r w:rsidRPr="00B53232">
        <w:rPr>
          <w:color w:val="0070C0"/>
          <w:lang w:eastAsia="bg-BG"/>
        </w:rPr>
        <w:tab/>
      </w:r>
      <w:r w:rsidRPr="00E3314D">
        <w:t>Общият размер на получените приходи, отчетени в „Капиталови помощи и дарения от Европейския съюз“ към 31.03.2018</w:t>
      </w:r>
      <w:r>
        <w:t xml:space="preserve"> </w:t>
      </w:r>
      <w:r w:rsidRPr="00E3314D">
        <w:t>г. е 19,5 млн.</w:t>
      </w:r>
      <w:r>
        <w:t xml:space="preserve"> </w:t>
      </w:r>
      <w:r w:rsidRPr="00E3314D">
        <w:t>лв. при план</w:t>
      </w:r>
      <w:r>
        <w:t>ирани за годината</w:t>
      </w:r>
      <w:r w:rsidRPr="00E3314D">
        <w:t xml:space="preserve"> 508,1</w:t>
      </w:r>
      <w:r>
        <w:t xml:space="preserve"> </w:t>
      </w:r>
      <w:r w:rsidRPr="00E3314D">
        <w:t>млн.</w:t>
      </w:r>
      <w:r>
        <w:t> </w:t>
      </w:r>
      <w:r w:rsidRPr="00E3314D">
        <w:t>л</w:t>
      </w:r>
      <w:r>
        <w:t>е</w:t>
      </w:r>
      <w:r w:rsidRPr="00E3314D">
        <w:t>в</w:t>
      </w:r>
      <w:r>
        <w:t>а</w:t>
      </w:r>
      <w:r w:rsidRPr="00E3314D">
        <w:t>.</w:t>
      </w:r>
    </w:p>
    <w:p w:rsidR="00053D51" w:rsidRPr="00E3314D" w:rsidRDefault="00053D51" w:rsidP="00053D51">
      <w:pPr>
        <w:jc w:val="both"/>
      </w:pPr>
      <w:r w:rsidRPr="00E3314D">
        <w:tab/>
        <w:t>Получените капиталови приходи от ЕЗФРСР по линия на ПРСР без директни плащания до 31.03.2018</w:t>
      </w:r>
      <w:r>
        <w:t xml:space="preserve"> </w:t>
      </w:r>
      <w:r w:rsidRPr="00E3314D">
        <w:t>г. са 19,5 млн.</w:t>
      </w:r>
      <w:r>
        <w:t xml:space="preserve"> </w:t>
      </w:r>
      <w:r w:rsidRPr="00E3314D">
        <w:t>л</w:t>
      </w:r>
      <w:r>
        <w:t>е</w:t>
      </w:r>
      <w:r w:rsidRPr="00E3314D">
        <w:t>в</w:t>
      </w:r>
      <w:r>
        <w:t>а</w:t>
      </w:r>
      <w:r w:rsidRPr="00E3314D">
        <w:t>. Общото изпълнение е 4</w:t>
      </w:r>
      <w:r>
        <w:t xml:space="preserve">,0 </w:t>
      </w:r>
      <w:r w:rsidRPr="00E3314D">
        <w:t>% о</w:t>
      </w:r>
      <w:r>
        <w:t>т</w:t>
      </w:r>
      <w:r w:rsidRPr="00E3314D">
        <w:t xml:space="preserve"> </w:t>
      </w:r>
      <w:r>
        <w:t>годишния</w:t>
      </w:r>
      <w:r w:rsidRPr="00E3314D">
        <w:t xml:space="preserve"> план</w:t>
      </w:r>
      <w:r>
        <w:t>, който е в размер на</w:t>
      </w:r>
      <w:r w:rsidRPr="00E3314D">
        <w:t xml:space="preserve"> 48</w:t>
      </w:r>
      <w:r w:rsidR="00463713">
        <w:t>4</w:t>
      </w:r>
      <w:r w:rsidR="00177307">
        <w:t>,</w:t>
      </w:r>
      <w:r w:rsidR="00463713">
        <w:t>0</w:t>
      </w:r>
      <w:r w:rsidRPr="00E3314D">
        <w:t xml:space="preserve"> млн.</w:t>
      </w:r>
      <w:r>
        <w:t xml:space="preserve"> </w:t>
      </w:r>
      <w:r w:rsidRPr="00E3314D">
        <w:t>л</w:t>
      </w:r>
      <w:r>
        <w:t>е</w:t>
      </w:r>
      <w:r w:rsidRPr="00E3314D">
        <w:t>в</w:t>
      </w:r>
      <w:r>
        <w:t>а</w:t>
      </w:r>
      <w:r w:rsidRPr="00E3314D">
        <w:t>.</w:t>
      </w:r>
    </w:p>
    <w:p w:rsidR="00053D51" w:rsidRPr="00B53232" w:rsidRDefault="00053D51" w:rsidP="00053D51">
      <w:pPr>
        <w:jc w:val="both"/>
        <w:rPr>
          <w:color w:val="0070C0"/>
          <w:lang w:eastAsia="bg-BG"/>
        </w:rPr>
      </w:pPr>
      <w:r w:rsidRPr="00E3314D">
        <w:tab/>
        <w:t>През първото тримесечие на 2018</w:t>
      </w:r>
      <w:r>
        <w:t xml:space="preserve"> </w:t>
      </w:r>
      <w:r w:rsidRPr="00E3314D">
        <w:t xml:space="preserve">г. няма получени капиталови приходи в областта на сектор Рибарство при планирани </w:t>
      </w:r>
      <w:r>
        <w:t xml:space="preserve">за годината </w:t>
      </w:r>
      <w:r w:rsidRPr="00E3314D">
        <w:t>24,1 млн.</w:t>
      </w:r>
      <w:r>
        <w:t xml:space="preserve"> </w:t>
      </w:r>
      <w:r w:rsidRPr="00E3314D">
        <w:t>л</w:t>
      </w:r>
      <w:r>
        <w:t>е</w:t>
      </w:r>
      <w:r w:rsidRPr="00E3314D">
        <w:t>в</w:t>
      </w:r>
      <w:r>
        <w:t>а</w:t>
      </w:r>
      <w:r w:rsidRPr="00E3314D">
        <w:t>.</w:t>
      </w:r>
    </w:p>
    <w:p w:rsidR="00053D51" w:rsidRPr="00B53232" w:rsidRDefault="00053D51" w:rsidP="00053D51">
      <w:pPr>
        <w:jc w:val="both"/>
        <w:rPr>
          <w:color w:val="0070C0"/>
          <w:lang w:eastAsia="bg-BG"/>
        </w:rPr>
      </w:pPr>
    </w:p>
    <w:p w:rsidR="00053D51" w:rsidRPr="00E5108C" w:rsidRDefault="00053D51" w:rsidP="00053D51">
      <w:pPr>
        <w:numPr>
          <w:ilvl w:val="0"/>
          <w:numId w:val="28"/>
        </w:numPr>
        <w:tabs>
          <w:tab w:val="num" w:pos="540"/>
        </w:tabs>
        <w:spacing w:before="240" w:after="120" w:line="276" w:lineRule="auto"/>
        <w:ind w:left="777" w:hanging="357"/>
        <w:contextualSpacing/>
        <w:jc w:val="both"/>
        <w:rPr>
          <w:b/>
          <w:lang w:eastAsia="bg-BG"/>
        </w:rPr>
      </w:pPr>
      <w:r w:rsidRPr="00E5108C">
        <w:rPr>
          <w:b/>
          <w:lang w:eastAsia="bg-BG"/>
        </w:rPr>
        <w:t xml:space="preserve">Разходи </w:t>
      </w:r>
    </w:p>
    <w:p w:rsidR="00053D51" w:rsidRPr="00E3314D" w:rsidRDefault="00053D51" w:rsidP="00053D51">
      <w:pPr>
        <w:jc w:val="both"/>
      </w:pPr>
      <w:r w:rsidRPr="00E3314D">
        <w:tab/>
        <w:t>Общият размер на планираните за 2018</w:t>
      </w:r>
      <w:r>
        <w:t xml:space="preserve"> </w:t>
      </w:r>
      <w:r w:rsidRPr="00E3314D">
        <w:t xml:space="preserve">г. разходи по утвърдените годишни разчети на сметката за средства от Европейския съюз на </w:t>
      </w:r>
      <w:r w:rsidRPr="00984640">
        <w:t>Разплащателната агенция към</w:t>
      </w:r>
      <w:r w:rsidRPr="00E3314D">
        <w:t xml:space="preserve"> ДФ „Земеделие” са 1 040,8 млн.</w:t>
      </w:r>
      <w:r>
        <w:t xml:space="preserve"> </w:t>
      </w:r>
      <w:r w:rsidRPr="00E3314D">
        <w:t>л</w:t>
      </w:r>
      <w:r>
        <w:t>е</w:t>
      </w:r>
      <w:r w:rsidRPr="00E3314D">
        <w:t>в</w:t>
      </w:r>
      <w:r>
        <w:t>а</w:t>
      </w:r>
      <w:r w:rsidRPr="00E3314D">
        <w:t xml:space="preserve">. </w:t>
      </w:r>
    </w:p>
    <w:p w:rsidR="00053D51" w:rsidRPr="00E3314D" w:rsidRDefault="00053D51" w:rsidP="00053D51">
      <w:pPr>
        <w:ind w:firstLine="708"/>
        <w:jc w:val="both"/>
      </w:pPr>
      <w:r w:rsidRPr="00E3314D">
        <w:t xml:space="preserve">Уточненият план </w:t>
      </w:r>
      <w:r>
        <w:t>н</w:t>
      </w:r>
      <w:r w:rsidRPr="00E3314D">
        <w:t>а субсидии</w:t>
      </w:r>
      <w:r>
        <w:t>те</w:t>
      </w:r>
      <w:r w:rsidRPr="00E3314D">
        <w:t xml:space="preserve"> за текуща дейност и капиталови</w:t>
      </w:r>
      <w:r>
        <w:t>те</w:t>
      </w:r>
      <w:r w:rsidRPr="00E3314D">
        <w:t xml:space="preserve"> трансфери </w:t>
      </w:r>
      <w:r>
        <w:t xml:space="preserve">за 2018 г. е </w:t>
      </w:r>
      <w:r w:rsidRPr="00E3314D">
        <w:t>746,9 млн.</w:t>
      </w:r>
      <w:r>
        <w:t xml:space="preserve"> </w:t>
      </w:r>
      <w:r w:rsidRPr="00E3314D">
        <w:t>л</w:t>
      </w:r>
      <w:r>
        <w:t>е</w:t>
      </w:r>
      <w:r w:rsidRPr="00E3314D">
        <w:t>в</w:t>
      </w:r>
      <w:r>
        <w:t>а</w:t>
      </w:r>
      <w:r w:rsidRPr="00E3314D">
        <w:t>.</w:t>
      </w:r>
      <w:r>
        <w:t xml:space="preserve"> И</w:t>
      </w:r>
      <w:r w:rsidRPr="00E3314D">
        <w:t xml:space="preserve">зпълнението </w:t>
      </w:r>
      <w:r>
        <w:t xml:space="preserve">им </w:t>
      </w:r>
      <w:r w:rsidRPr="00E3314D">
        <w:t>към 31.03.2018</w:t>
      </w:r>
      <w:r>
        <w:t xml:space="preserve"> </w:t>
      </w:r>
      <w:r w:rsidRPr="00E3314D">
        <w:t>г. възлиза на 9,8</w:t>
      </w:r>
      <w:r>
        <w:t xml:space="preserve"> </w:t>
      </w:r>
      <w:r w:rsidRPr="00E3314D">
        <w:t xml:space="preserve">% </w:t>
      </w:r>
      <w:r>
        <w:t>от годишния план и е в размер на</w:t>
      </w:r>
      <w:r w:rsidRPr="00E3314D">
        <w:t xml:space="preserve"> 73,2 млн.</w:t>
      </w:r>
      <w:r>
        <w:t xml:space="preserve"> </w:t>
      </w:r>
      <w:r w:rsidRPr="00E3314D">
        <w:t>л</w:t>
      </w:r>
      <w:r>
        <w:t>е</w:t>
      </w:r>
      <w:r w:rsidRPr="00E3314D">
        <w:t>в</w:t>
      </w:r>
      <w:r>
        <w:t>а</w:t>
      </w:r>
      <w:r w:rsidRPr="00E3314D">
        <w:t>.</w:t>
      </w:r>
    </w:p>
    <w:p w:rsidR="00053D51" w:rsidRPr="00E3314D" w:rsidRDefault="00053D51" w:rsidP="00053D51">
      <w:pPr>
        <w:jc w:val="both"/>
      </w:pPr>
      <w:r w:rsidRPr="00E3314D">
        <w:tab/>
        <w:t>Разпределението на разходите е както следва:</w:t>
      </w:r>
    </w:p>
    <w:p w:rsidR="00053D51" w:rsidRPr="00E3314D" w:rsidRDefault="00053D51" w:rsidP="00053D51">
      <w:pPr>
        <w:numPr>
          <w:ilvl w:val="0"/>
          <w:numId w:val="25"/>
        </w:numPr>
        <w:tabs>
          <w:tab w:val="left" w:pos="993"/>
        </w:tabs>
        <w:spacing w:before="120" w:after="120"/>
        <w:ind w:left="1321" w:hanging="612"/>
        <w:jc w:val="both"/>
        <w:rPr>
          <w:b/>
          <w:i/>
          <w:lang w:eastAsia="bg-BG"/>
        </w:rPr>
      </w:pPr>
      <w:r w:rsidRPr="00E3314D">
        <w:rPr>
          <w:b/>
          <w:i/>
          <w:lang w:eastAsia="bg-BG"/>
        </w:rPr>
        <w:t>Субсидии и други текущи трансфери за нефинансови предприятия</w:t>
      </w:r>
    </w:p>
    <w:p w:rsidR="00053D51" w:rsidRPr="00E3314D" w:rsidRDefault="00053D51" w:rsidP="00053D51">
      <w:pPr>
        <w:tabs>
          <w:tab w:val="left" w:pos="993"/>
        </w:tabs>
        <w:ind w:firstLine="709"/>
        <w:jc w:val="both"/>
      </w:pPr>
      <w:r w:rsidRPr="00E3314D">
        <w:t>За 2018</w:t>
      </w:r>
      <w:r>
        <w:t xml:space="preserve"> </w:t>
      </w:r>
      <w:r w:rsidRPr="00E3314D">
        <w:t>г. са планирани средства в размер на 242,7 млн.</w:t>
      </w:r>
      <w:r>
        <w:t xml:space="preserve"> </w:t>
      </w:r>
      <w:r w:rsidRPr="00E3314D">
        <w:t>лв.</w:t>
      </w:r>
      <w:r>
        <w:t xml:space="preserve"> за с</w:t>
      </w:r>
      <w:r w:rsidRPr="00EC48A0">
        <w:t>убсидии и други текущи трансфери за нефинансови предприятия</w:t>
      </w:r>
      <w:r>
        <w:t>.</w:t>
      </w:r>
      <w:r w:rsidRPr="00E3314D">
        <w:t xml:space="preserve"> </w:t>
      </w:r>
      <w:r>
        <w:t>О</w:t>
      </w:r>
      <w:r w:rsidRPr="00E3314D">
        <w:t>тчетени</w:t>
      </w:r>
      <w:r>
        <w:t>те</w:t>
      </w:r>
      <w:r w:rsidRPr="00E3314D">
        <w:t xml:space="preserve"> </w:t>
      </w:r>
      <w:r>
        <w:t xml:space="preserve">за първото тримесечие </w:t>
      </w:r>
      <w:r w:rsidRPr="00E3314D">
        <w:t>средства представляват 15,5</w:t>
      </w:r>
      <w:r>
        <w:t xml:space="preserve"> </w:t>
      </w:r>
      <w:r w:rsidRPr="00E3314D">
        <w:t xml:space="preserve">% от планираните </w:t>
      </w:r>
      <w:r>
        <w:t>за год</w:t>
      </w:r>
      <w:r w:rsidRPr="00E3314D">
        <w:t>и</w:t>
      </w:r>
      <w:r>
        <w:t>ната и</w:t>
      </w:r>
      <w:r w:rsidRPr="00E3314D">
        <w:t xml:space="preserve"> са в размер на 37,</w:t>
      </w:r>
      <w:r w:rsidR="00463713">
        <w:t>6</w:t>
      </w:r>
      <w:r w:rsidRPr="00E3314D">
        <w:t xml:space="preserve"> млн.</w:t>
      </w:r>
      <w:r>
        <w:t xml:space="preserve"> </w:t>
      </w:r>
      <w:r w:rsidRPr="00E3314D">
        <w:t>л</w:t>
      </w:r>
      <w:r>
        <w:t>е</w:t>
      </w:r>
      <w:r w:rsidRPr="00E3314D">
        <w:t>в</w:t>
      </w:r>
      <w:r>
        <w:t>а</w:t>
      </w:r>
      <w:r w:rsidRPr="00E3314D">
        <w:t>. Изпълнението по дейности е както следва:</w:t>
      </w:r>
    </w:p>
    <w:p w:rsidR="00053D51" w:rsidRPr="00E3314D" w:rsidRDefault="00053D51" w:rsidP="00053D51">
      <w:pPr>
        <w:ind w:firstLine="709"/>
        <w:contextualSpacing/>
        <w:jc w:val="both"/>
      </w:pPr>
      <w:r w:rsidRPr="00E3314D">
        <w:lastRenderedPageBreak/>
        <w:t xml:space="preserve">- национално </w:t>
      </w:r>
      <w:proofErr w:type="spellStart"/>
      <w:r w:rsidRPr="00E3314D">
        <w:t>съфинансиране</w:t>
      </w:r>
      <w:proofErr w:type="spellEnd"/>
      <w:r w:rsidRPr="00E3314D">
        <w:t xml:space="preserve"> към ЕЗФРСР за директни плащания – 23</w:t>
      </w:r>
      <w:r>
        <w:t>,0</w:t>
      </w:r>
      <w:r w:rsidRPr="00E3314D">
        <w:t xml:space="preserve"> млн.</w:t>
      </w:r>
      <w:r>
        <w:t xml:space="preserve"> </w:t>
      </w:r>
      <w:r w:rsidRPr="00E3314D">
        <w:t>лв., изпълнение 28,</w:t>
      </w:r>
      <w:r w:rsidR="0051752A">
        <w:t>8</w:t>
      </w:r>
      <w:r>
        <w:t xml:space="preserve"> </w:t>
      </w:r>
      <w:r w:rsidRPr="00E3314D">
        <w:t xml:space="preserve">% </w:t>
      </w:r>
      <w:r>
        <w:t>на</w:t>
      </w:r>
      <w:r w:rsidRPr="00E3314D">
        <w:t xml:space="preserve"> планираните </w:t>
      </w:r>
      <w:r>
        <w:t>за годината</w:t>
      </w:r>
      <w:r w:rsidRPr="00E3314D">
        <w:t xml:space="preserve"> </w:t>
      </w:r>
      <w:r w:rsidR="00177307">
        <w:t>79</w:t>
      </w:r>
      <w:r>
        <w:t>,</w:t>
      </w:r>
      <w:r w:rsidR="00177307">
        <w:t>9</w:t>
      </w:r>
      <w:r w:rsidRPr="00E3314D">
        <w:t xml:space="preserve"> млн.</w:t>
      </w:r>
      <w:r w:rsidR="00177307">
        <w:t xml:space="preserve"> </w:t>
      </w:r>
      <w:r w:rsidRPr="00E3314D">
        <w:t>л</w:t>
      </w:r>
      <w:r>
        <w:t>е</w:t>
      </w:r>
      <w:r w:rsidRPr="00E3314D">
        <w:t>в</w:t>
      </w:r>
      <w:r>
        <w:t>а</w:t>
      </w:r>
      <w:r w:rsidRPr="00E3314D">
        <w:t>;</w:t>
      </w:r>
    </w:p>
    <w:p w:rsidR="00053D51" w:rsidRPr="00E3314D" w:rsidRDefault="00053D51" w:rsidP="00053D51">
      <w:pPr>
        <w:ind w:firstLine="709"/>
        <w:contextualSpacing/>
        <w:jc w:val="both"/>
      </w:pPr>
      <w:r w:rsidRPr="00E3314D">
        <w:t xml:space="preserve">- текущи субсидии за Рибарство – </w:t>
      </w:r>
      <w:r>
        <w:t>не са усвоени средства за отчетния период</w:t>
      </w:r>
      <w:r w:rsidRPr="00E3314D">
        <w:t xml:space="preserve"> при планирани</w:t>
      </w:r>
      <w:r>
        <w:t xml:space="preserve"> за годината</w:t>
      </w:r>
      <w:r w:rsidRPr="00E3314D">
        <w:t xml:space="preserve"> 3,6 мл</w:t>
      </w:r>
      <w:r w:rsidR="000943E4">
        <w:t>н</w:t>
      </w:r>
      <w:r w:rsidRPr="00E3314D">
        <w:t>.</w:t>
      </w:r>
      <w:r>
        <w:t xml:space="preserve"> </w:t>
      </w:r>
      <w:r w:rsidRPr="00E3314D">
        <w:t>л</w:t>
      </w:r>
      <w:r>
        <w:t>е</w:t>
      </w:r>
      <w:r w:rsidRPr="00E3314D">
        <w:t>в</w:t>
      </w:r>
      <w:r>
        <w:t>а</w:t>
      </w:r>
      <w:r w:rsidRPr="00E3314D">
        <w:t>;</w:t>
      </w:r>
    </w:p>
    <w:p w:rsidR="00053D51" w:rsidRPr="00E3314D" w:rsidRDefault="00053D51" w:rsidP="00053D51">
      <w:pPr>
        <w:ind w:firstLine="720"/>
        <w:contextualSpacing/>
        <w:jc w:val="both"/>
      </w:pPr>
      <w:r w:rsidRPr="00E3314D">
        <w:t>- текущи субсидии по Програмата за развитие на селските райони – 5,</w:t>
      </w:r>
      <w:r w:rsidR="0051752A">
        <w:t>7</w:t>
      </w:r>
      <w:r w:rsidRPr="00E3314D">
        <w:t xml:space="preserve"> млн.</w:t>
      </w:r>
      <w:r>
        <w:t xml:space="preserve"> </w:t>
      </w:r>
      <w:r w:rsidRPr="00E3314D">
        <w:t>лв., изпълнение</w:t>
      </w:r>
      <w:r>
        <w:t xml:space="preserve"> от </w:t>
      </w:r>
      <w:r w:rsidRPr="00E3314D">
        <w:t xml:space="preserve"> 5,4</w:t>
      </w:r>
      <w:r w:rsidR="001466F3">
        <w:t xml:space="preserve"> </w:t>
      </w:r>
      <w:r w:rsidRPr="00E3314D">
        <w:t xml:space="preserve">% </w:t>
      </w:r>
      <w:r>
        <w:t>на</w:t>
      </w:r>
      <w:r w:rsidRPr="00E3314D">
        <w:t xml:space="preserve"> планираните </w:t>
      </w:r>
      <w:r>
        <w:t xml:space="preserve">за годината </w:t>
      </w:r>
      <w:r w:rsidRPr="00E3314D">
        <w:t>106</w:t>
      </w:r>
      <w:r>
        <w:t>,0</w:t>
      </w:r>
      <w:r w:rsidRPr="00E3314D">
        <w:t xml:space="preserve"> млн.</w:t>
      </w:r>
      <w:r>
        <w:t xml:space="preserve"> </w:t>
      </w:r>
      <w:r w:rsidRPr="00E3314D">
        <w:t>л</w:t>
      </w:r>
      <w:r>
        <w:t>е</w:t>
      </w:r>
      <w:r w:rsidRPr="00E3314D">
        <w:t>в</w:t>
      </w:r>
      <w:r>
        <w:t>а</w:t>
      </w:r>
      <w:r w:rsidRPr="00E3314D">
        <w:t>;</w:t>
      </w:r>
    </w:p>
    <w:p w:rsidR="00053D51" w:rsidRPr="00E3314D" w:rsidRDefault="00053D51" w:rsidP="00053D51">
      <w:pPr>
        <w:tabs>
          <w:tab w:val="left" w:pos="851"/>
          <w:tab w:val="left" w:pos="1134"/>
        </w:tabs>
        <w:ind w:firstLine="720"/>
        <w:contextualSpacing/>
        <w:jc w:val="both"/>
      </w:pPr>
      <w:r w:rsidRPr="00E3314D">
        <w:t>- текущи субсидии за пазарни мерки – 8,9 млн.</w:t>
      </w:r>
      <w:r>
        <w:t xml:space="preserve"> </w:t>
      </w:r>
      <w:r w:rsidRPr="00E3314D">
        <w:t xml:space="preserve">лв., изпълнение </w:t>
      </w:r>
      <w:r>
        <w:t xml:space="preserve">от </w:t>
      </w:r>
      <w:r w:rsidRPr="00E3314D">
        <w:t>16,8</w:t>
      </w:r>
      <w:r>
        <w:t xml:space="preserve"> </w:t>
      </w:r>
      <w:r w:rsidRPr="00E3314D">
        <w:t xml:space="preserve">% </w:t>
      </w:r>
      <w:r>
        <w:t>на</w:t>
      </w:r>
      <w:r w:rsidRPr="00E3314D">
        <w:t xml:space="preserve"> планираните </w:t>
      </w:r>
      <w:r>
        <w:t xml:space="preserve">за 2018 г. </w:t>
      </w:r>
      <w:r w:rsidRPr="00E3314D">
        <w:t>53,1 млн.</w:t>
      </w:r>
      <w:r>
        <w:t xml:space="preserve"> </w:t>
      </w:r>
      <w:r w:rsidRPr="00E3314D">
        <w:t>л</w:t>
      </w:r>
      <w:r>
        <w:t>е</w:t>
      </w:r>
      <w:r w:rsidRPr="00E3314D">
        <w:t>в</w:t>
      </w:r>
      <w:r>
        <w:t>а.</w:t>
      </w:r>
    </w:p>
    <w:p w:rsidR="00053D51" w:rsidRPr="00E3314D" w:rsidRDefault="00053D51" w:rsidP="00053D51">
      <w:pPr>
        <w:numPr>
          <w:ilvl w:val="0"/>
          <w:numId w:val="25"/>
        </w:numPr>
        <w:tabs>
          <w:tab w:val="left" w:pos="993"/>
        </w:tabs>
        <w:spacing w:before="120" w:after="120"/>
        <w:ind w:left="1321" w:hanging="612"/>
        <w:jc w:val="both"/>
        <w:rPr>
          <w:b/>
          <w:i/>
          <w:lang w:eastAsia="bg-BG"/>
        </w:rPr>
      </w:pPr>
      <w:r w:rsidRPr="00E3314D">
        <w:rPr>
          <w:b/>
          <w:i/>
          <w:lang w:eastAsia="bg-BG"/>
        </w:rPr>
        <w:t>Субсидии и други текущи трансфери за юридически лица с нестопанска цел</w:t>
      </w:r>
    </w:p>
    <w:p w:rsidR="00053D51" w:rsidRPr="00E3314D" w:rsidRDefault="00053D51" w:rsidP="00053D51">
      <w:pPr>
        <w:contextualSpacing/>
        <w:jc w:val="both"/>
      </w:pPr>
      <w:r w:rsidRPr="00E3314D">
        <w:tab/>
        <w:t>За 2018</w:t>
      </w:r>
      <w:r>
        <w:t xml:space="preserve"> </w:t>
      </w:r>
      <w:r w:rsidRPr="00E3314D">
        <w:t xml:space="preserve">г. </w:t>
      </w:r>
      <w:r>
        <w:t>за с</w:t>
      </w:r>
      <w:r w:rsidRPr="003D6EA1">
        <w:t xml:space="preserve">убсидии и други текущи трансфери за юридически лица с нестопанска цел </w:t>
      </w:r>
      <w:r w:rsidRPr="00E3314D">
        <w:t>са планирани 2,6 млн.</w:t>
      </w:r>
      <w:r>
        <w:t xml:space="preserve"> </w:t>
      </w:r>
      <w:r w:rsidRPr="00E3314D">
        <w:t>л</w:t>
      </w:r>
      <w:r>
        <w:t>е</w:t>
      </w:r>
      <w:r w:rsidRPr="00E3314D">
        <w:t>в</w:t>
      </w:r>
      <w:r>
        <w:t>а</w:t>
      </w:r>
      <w:r w:rsidRPr="00E3314D">
        <w:t xml:space="preserve">. </w:t>
      </w:r>
      <w:r>
        <w:t>За първото тримесечие на годината са о</w:t>
      </w:r>
      <w:r w:rsidRPr="00E3314D">
        <w:t>тчетени</w:t>
      </w:r>
      <w:r>
        <w:t xml:space="preserve"> </w:t>
      </w:r>
      <w:r w:rsidRPr="00E3314D">
        <w:t>разходи в размер на 0,9</w:t>
      </w:r>
      <w:r>
        <w:t xml:space="preserve"> </w:t>
      </w:r>
      <w:r w:rsidRPr="00E3314D">
        <w:t>млн.</w:t>
      </w:r>
      <w:r>
        <w:t xml:space="preserve"> </w:t>
      </w:r>
      <w:r w:rsidRPr="00E3314D">
        <w:t>лв., представляващи 3</w:t>
      </w:r>
      <w:r w:rsidR="0051752A">
        <w:t>4</w:t>
      </w:r>
      <w:r>
        <w:t>,</w:t>
      </w:r>
      <w:r w:rsidR="0051752A">
        <w:t>6</w:t>
      </w:r>
      <w:r>
        <w:t xml:space="preserve"> </w:t>
      </w:r>
      <w:r w:rsidRPr="00E3314D">
        <w:t xml:space="preserve">% от </w:t>
      </w:r>
      <w:r>
        <w:t xml:space="preserve">годишния </w:t>
      </w:r>
      <w:r w:rsidRPr="00E3314D">
        <w:t>план.</w:t>
      </w:r>
    </w:p>
    <w:p w:rsidR="00053D51" w:rsidRPr="00E3314D" w:rsidRDefault="00053D51" w:rsidP="00053D51">
      <w:pPr>
        <w:ind w:firstLine="708"/>
        <w:contextualSpacing/>
        <w:jc w:val="both"/>
      </w:pPr>
      <w:r w:rsidRPr="00E3314D">
        <w:t>Разпределението по дейности е както следва:</w:t>
      </w:r>
    </w:p>
    <w:p w:rsidR="00053D51" w:rsidRPr="00E3314D" w:rsidRDefault="00053D51" w:rsidP="00053D51">
      <w:pPr>
        <w:ind w:firstLine="708"/>
        <w:contextualSpacing/>
        <w:jc w:val="both"/>
      </w:pPr>
      <w:r w:rsidRPr="00E3314D">
        <w:t xml:space="preserve">- </w:t>
      </w:r>
      <w:r>
        <w:t xml:space="preserve"> </w:t>
      </w:r>
      <w:r w:rsidRPr="00E3314D">
        <w:t xml:space="preserve">национално </w:t>
      </w:r>
      <w:proofErr w:type="spellStart"/>
      <w:r w:rsidRPr="00E3314D">
        <w:t>съфинансиране</w:t>
      </w:r>
      <w:proofErr w:type="spellEnd"/>
      <w:r w:rsidRPr="00E3314D">
        <w:t xml:space="preserve"> към ЕЗФРСР за директни плащания  – 0,04 млн.</w:t>
      </w:r>
      <w:r>
        <w:t xml:space="preserve"> </w:t>
      </w:r>
      <w:r w:rsidRPr="00E3314D">
        <w:t>л</w:t>
      </w:r>
      <w:r>
        <w:t>е</w:t>
      </w:r>
      <w:r w:rsidRPr="00E3314D">
        <w:t>в</w:t>
      </w:r>
      <w:r>
        <w:t>а</w:t>
      </w:r>
      <w:r w:rsidRPr="00E3314D">
        <w:t xml:space="preserve">; </w:t>
      </w:r>
    </w:p>
    <w:p w:rsidR="00053D51" w:rsidRPr="00E3314D" w:rsidRDefault="00053D51" w:rsidP="00053D51">
      <w:pPr>
        <w:tabs>
          <w:tab w:val="left" w:pos="851"/>
        </w:tabs>
        <w:ind w:firstLine="720"/>
        <w:contextualSpacing/>
        <w:jc w:val="both"/>
      </w:pPr>
      <w:r w:rsidRPr="00E3314D">
        <w:t xml:space="preserve">- </w:t>
      </w:r>
      <w:r>
        <w:t xml:space="preserve"> </w:t>
      </w:r>
      <w:r w:rsidRPr="00E3314D">
        <w:t xml:space="preserve">текущи субсидии за Рибарство – </w:t>
      </w:r>
      <w:r>
        <w:t>няма усвоени средства</w:t>
      </w:r>
      <w:r w:rsidRPr="00E3314D">
        <w:t xml:space="preserve"> при планирани 0,8 млн.</w:t>
      </w:r>
      <w:r>
        <w:t xml:space="preserve"> </w:t>
      </w:r>
      <w:r w:rsidRPr="00E3314D">
        <w:t>л</w:t>
      </w:r>
      <w:r>
        <w:t>е</w:t>
      </w:r>
      <w:r w:rsidRPr="00E3314D">
        <w:t>в</w:t>
      </w:r>
      <w:r>
        <w:t>а</w:t>
      </w:r>
      <w:r w:rsidRPr="00E3314D">
        <w:t>;</w:t>
      </w:r>
    </w:p>
    <w:p w:rsidR="00053D51" w:rsidRPr="00E3314D" w:rsidRDefault="00053D51" w:rsidP="00053D51">
      <w:pPr>
        <w:ind w:firstLine="720"/>
        <w:contextualSpacing/>
        <w:jc w:val="both"/>
      </w:pPr>
      <w:r w:rsidRPr="00E3314D">
        <w:t xml:space="preserve">- </w:t>
      </w:r>
      <w:r>
        <w:t xml:space="preserve"> </w:t>
      </w:r>
      <w:r w:rsidRPr="00E3314D">
        <w:t>текущи субсидии по Програмата за развитие на селските райони – 0,56 млн.</w:t>
      </w:r>
      <w:r>
        <w:t xml:space="preserve"> </w:t>
      </w:r>
      <w:r w:rsidRPr="00E3314D">
        <w:t>л</w:t>
      </w:r>
      <w:r>
        <w:t>е</w:t>
      </w:r>
      <w:r w:rsidRPr="00E3314D">
        <w:t>в</w:t>
      </w:r>
      <w:r>
        <w:t>а</w:t>
      </w:r>
      <w:r w:rsidRPr="00E3314D">
        <w:t>;</w:t>
      </w:r>
    </w:p>
    <w:p w:rsidR="00053D51" w:rsidRPr="00E3314D" w:rsidRDefault="00053D51" w:rsidP="00053D51">
      <w:pPr>
        <w:ind w:firstLine="709"/>
        <w:contextualSpacing/>
        <w:jc w:val="both"/>
      </w:pPr>
      <w:r w:rsidRPr="00E3314D">
        <w:t>-</w:t>
      </w:r>
      <w:r>
        <w:t xml:space="preserve"> </w:t>
      </w:r>
      <w:r w:rsidRPr="00E3314D">
        <w:t>текущи субсидии за пазарни мерки – 0,</w:t>
      </w:r>
      <w:r>
        <w:t>3</w:t>
      </w:r>
      <w:r w:rsidRPr="00E3314D">
        <w:t xml:space="preserve"> млн.</w:t>
      </w:r>
      <w:r>
        <w:t xml:space="preserve"> </w:t>
      </w:r>
      <w:r w:rsidRPr="00E3314D">
        <w:t xml:space="preserve">лв., изпълнение </w:t>
      </w:r>
      <w:r>
        <w:t xml:space="preserve">от </w:t>
      </w:r>
      <w:r w:rsidRPr="00E3314D">
        <w:t>14,4</w:t>
      </w:r>
      <w:r>
        <w:t xml:space="preserve"> </w:t>
      </w:r>
      <w:r w:rsidRPr="00E3314D">
        <w:t xml:space="preserve">% </w:t>
      </w:r>
      <w:r>
        <w:t>на</w:t>
      </w:r>
      <w:r w:rsidRPr="00E3314D">
        <w:t xml:space="preserve"> планираните </w:t>
      </w:r>
      <w:r>
        <w:t xml:space="preserve">за годината </w:t>
      </w:r>
      <w:r w:rsidRPr="00E3314D">
        <w:t>1,8 млн.</w:t>
      </w:r>
      <w:r>
        <w:t xml:space="preserve"> </w:t>
      </w:r>
      <w:r w:rsidRPr="00E3314D">
        <w:t>л</w:t>
      </w:r>
      <w:r>
        <w:t>е</w:t>
      </w:r>
      <w:r w:rsidRPr="00E3314D">
        <w:t>в</w:t>
      </w:r>
      <w:r>
        <w:t>а</w:t>
      </w:r>
      <w:r w:rsidRPr="00E3314D">
        <w:t>.</w:t>
      </w:r>
    </w:p>
    <w:p w:rsidR="00053D51" w:rsidRPr="00E5108C" w:rsidRDefault="00053D51" w:rsidP="00053D51">
      <w:pPr>
        <w:numPr>
          <w:ilvl w:val="0"/>
          <w:numId w:val="25"/>
        </w:numPr>
        <w:tabs>
          <w:tab w:val="left" w:pos="993"/>
        </w:tabs>
        <w:spacing w:before="120" w:after="120"/>
        <w:ind w:left="1321" w:hanging="612"/>
        <w:jc w:val="both"/>
        <w:rPr>
          <w:b/>
          <w:i/>
          <w:lang w:eastAsia="bg-BG"/>
        </w:rPr>
      </w:pPr>
      <w:r w:rsidRPr="00E3314D">
        <w:rPr>
          <w:b/>
          <w:i/>
          <w:lang w:eastAsia="bg-BG"/>
        </w:rPr>
        <w:t>Капиталови трансфери</w:t>
      </w:r>
      <w:r w:rsidRPr="00E5108C">
        <w:rPr>
          <w:b/>
          <w:i/>
          <w:lang w:eastAsia="bg-BG"/>
        </w:rPr>
        <w:t xml:space="preserve"> </w:t>
      </w:r>
      <w:r w:rsidRPr="00E3314D">
        <w:rPr>
          <w:b/>
          <w:i/>
          <w:lang w:eastAsia="bg-BG"/>
        </w:rPr>
        <w:t>за нефинансови предприятия</w:t>
      </w:r>
    </w:p>
    <w:p w:rsidR="00053D51" w:rsidRPr="00E3314D" w:rsidRDefault="00053D51" w:rsidP="00053D51">
      <w:pPr>
        <w:tabs>
          <w:tab w:val="left" w:pos="993"/>
        </w:tabs>
        <w:ind w:firstLine="709"/>
        <w:jc w:val="both"/>
      </w:pPr>
      <w:r w:rsidRPr="00E3314D">
        <w:t>За 2018</w:t>
      </w:r>
      <w:r>
        <w:t xml:space="preserve"> </w:t>
      </w:r>
      <w:r w:rsidRPr="00E3314D">
        <w:t xml:space="preserve">г. </w:t>
      </w:r>
      <w:r>
        <w:t>за к</w:t>
      </w:r>
      <w:r w:rsidRPr="002D3D62">
        <w:t xml:space="preserve">апиталови трансфери за нефинансови предприятия </w:t>
      </w:r>
      <w:r w:rsidRPr="00E3314D">
        <w:t>са планирани 501,6 млн.</w:t>
      </w:r>
      <w:r>
        <w:t xml:space="preserve"> </w:t>
      </w:r>
      <w:r w:rsidRPr="00E3314D">
        <w:t>л</w:t>
      </w:r>
      <w:r>
        <w:t>е</w:t>
      </w:r>
      <w:r w:rsidRPr="00E3314D">
        <w:t>в</w:t>
      </w:r>
      <w:r>
        <w:t>а</w:t>
      </w:r>
      <w:r w:rsidRPr="00E3314D">
        <w:t xml:space="preserve">. </w:t>
      </w:r>
      <w:r>
        <w:t>К</w:t>
      </w:r>
      <w:r w:rsidRPr="00E3314D">
        <w:t>ъм 31.03.2018</w:t>
      </w:r>
      <w:r>
        <w:t xml:space="preserve"> </w:t>
      </w:r>
      <w:r w:rsidRPr="00E3314D">
        <w:t>г. са отчетени 33,</w:t>
      </w:r>
      <w:r w:rsidRPr="00E3314D">
        <w:rPr>
          <w:lang w:val="en-US"/>
        </w:rPr>
        <w:t>7</w:t>
      </w:r>
      <w:r w:rsidRPr="00E3314D">
        <w:t xml:space="preserve"> млн.</w:t>
      </w:r>
      <w:r>
        <w:t xml:space="preserve"> </w:t>
      </w:r>
      <w:r w:rsidRPr="00E3314D">
        <w:t xml:space="preserve">лв., </w:t>
      </w:r>
      <w:r>
        <w:t>6,7 % изпълнение на годишния план,</w:t>
      </w:r>
      <w:r w:rsidRPr="00E3314D">
        <w:t xml:space="preserve"> разпределени по дейности както следва:</w:t>
      </w:r>
    </w:p>
    <w:p w:rsidR="00053D51" w:rsidRPr="00E3314D" w:rsidRDefault="00053D51" w:rsidP="00053D51">
      <w:pPr>
        <w:ind w:firstLine="720"/>
        <w:contextualSpacing/>
        <w:jc w:val="both"/>
      </w:pPr>
      <w:r w:rsidRPr="00E3314D">
        <w:t xml:space="preserve">- капиталови </w:t>
      </w:r>
      <w:r>
        <w:t>трансфери</w:t>
      </w:r>
      <w:r w:rsidRPr="00E3314D">
        <w:t xml:space="preserve"> за Рибарство – </w:t>
      </w:r>
      <w:r>
        <w:t>няма усвоени средства</w:t>
      </w:r>
      <w:r w:rsidRPr="00E3314D">
        <w:t xml:space="preserve"> </w:t>
      </w:r>
      <w:r>
        <w:t>при</w:t>
      </w:r>
      <w:r w:rsidRPr="00E3314D">
        <w:t xml:space="preserve"> планирани </w:t>
      </w:r>
      <w:r>
        <w:t xml:space="preserve">за годината </w:t>
      </w:r>
      <w:r w:rsidRPr="00E3314D">
        <w:t>25,7 млн.</w:t>
      </w:r>
      <w:r>
        <w:t xml:space="preserve"> </w:t>
      </w:r>
      <w:r w:rsidRPr="00E3314D">
        <w:t>л</w:t>
      </w:r>
      <w:r>
        <w:t>е</w:t>
      </w:r>
      <w:r w:rsidRPr="00E3314D">
        <w:t>в</w:t>
      </w:r>
      <w:r>
        <w:t>а</w:t>
      </w:r>
      <w:r w:rsidRPr="00E3314D">
        <w:t>;</w:t>
      </w:r>
    </w:p>
    <w:p w:rsidR="00053D51" w:rsidRPr="00E3314D" w:rsidRDefault="00053D51" w:rsidP="00053D51">
      <w:pPr>
        <w:ind w:firstLine="720"/>
        <w:contextualSpacing/>
        <w:jc w:val="both"/>
      </w:pPr>
      <w:r w:rsidRPr="00E3314D">
        <w:t xml:space="preserve">- капиталови </w:t>
      </w:r>
      <w:r>
        <w:t>трансфери</w:t>
      </w:r>
      <w:r w:rsidRPr="00E3314D">
        <w:t xml:space="preserve"> по ПРСР – 29,</w:t>
      </w:r>
      <w:r w:rsidR="003310A7">
        <w:t>9</w:t>
      </w:r>
      <w:r w:rsidRPr="00E3314D">
        <w:t xml:space="preserve"> млн.</w:t>
      </w:r>
      <w:r>
        <w:t xml:space="preserve"> </w:t>
      </w:r>
      <w:r w:rsidRPr="00E3314D">
        <w:t>лв.</w:t>
      </w:r>
      <w:r>
        <w:t xml:space="preserve">, 6,4 % </w:t>
      </w:r>
      <w:r w:rsidRPr="00E3314D">
        <w:t xml:space="preserve"> </w:t>
      </w:r>
      <w:r>
        <w:t>изпълнение на</w:t>
      </w:r>
      <w:r w:rsidRPr="00E3314D">
        <w:t xml:space="preserve"> </w:t>
      </w:r>
      <w:r>
        <w:t xml:space="preserve">годишния </w:t>
      </w:r>
      <w:r w:rsidRPr="00E3314D">
        <w:t xml:space="preserve">план </w:t>
      </w:r>
      <w:r>
        <w:t>(</w:t>
      </w:r>
      <w:r w:rsidRPr="00E3314D">
        <w:t>466,2 млн.</w:t>
      </w:r>
      <w:r>
        <w:t xml:space="preserve"> </w:t>
      </w:r>
      <w:r w:rsidRPr="00E3314D">
        <w:t>л</w:t>
      </w:r>
      <w:r>
        <w:t>е</w:t>
      </w:r>
      <w:r w:rsidRPr="00E3314D">
        <w:t>в</w:t>
      </w:r>
      <w:r>
        <w:t>а)</w:t>
      </w:r>
      <w:r w:rsidRPr="00E3314D">
        <w:t>;</w:t>
      </w:r>
    </w:p>
    <w:p w:rsidR="00053D51" w:rsidRPr="00E3314D" w:rsidRDefault="00053D51" w:rsidP="00053D51">
      <w:pPr>
        <w:ind w:firstLine="720"/>
        <w:contextualSpacing/>
        <w:jc w:val="both"/>
      </w:pPr>
      <w:r w:rsidRPr="00E3314D">
        <w:t xml:space="preserve">- капиталови </w:t>
      </w:r>
      <w:r>
        <w:t>трансфери</w:t>
      </w:r>
      <w:r w:rsidRPr="00E3314D">
        <w:t xml:space="preserve"> за пазарни мерки – 3,9</w:t>
      </w:r>
      <w:r>
        <w:t xml:space="preserve"> млн. лв., 40,</w:t>
      </w:r>
      <w:r w:rsidR="0051752A">
        <w:t>2</w:t>
      </w:r>
      <w:r>
        <w:t xml:space="preserve"> % изпълнение на плана за годината (</w:t>
      </w:r>
      <w:r w:rsidRPr="00E3314D">
        <w:t>9,7 млн.</w:t>
      </w:r>
      <w:r>
        <w:t> </w:t>
      </w:r>
      <w:r w:rsidRPr="00E3314D">
        <w:t>лв.</w:t>
      </w:r>
      <w:r>
        <w:t>)</w:t>
      </w:r>
      <w:r w:rsidRPr="00E3314D">
        <w:t>.</w:t>
      </w:r>
    </w:p>
    <w:p w:rsidR="00053D51" w:rsidRPr="00E5108C" w:rsidRDefault="00053D51" w:rsidP="00053D51">
      <w:pPr>
        <w:numPr>
          <w:ilvl w:val="0"/>
          <w:numId w:val="25"/>
        </w:numPr>
        <w:tabs>
          <w:tab w:val="left" w:pos="993"/>
        </w:tabs>
        <w:spacing w:before="120" w:after="120"/>
        <w:ind w:left="1321" w:hanging="612"/>
        <w:jc w:val="both"/>
        <w:rPr>
          <w:b/>
          <w:i/>
          <w:lang w:eastAsia="bg-BG"/>
        </w:rPr>
      </w:pPr>
      <w:r w:rsidRPr="00E3314D">
        <w:rPr>
          <w:b/>
          <w:i/>
          <w:lang w:eastAsia="bg-BG"/>
        </w:rPr>
        <w:t>Капиталови трансфери</w:t>
      </w:r>
      <w:r w:rsidRPr="00E5108C">
        <w:rPr>
          <w:b/>
          <w:i/>
          <w:lang w:eastAsia="bg-BG"/>
        </w:rPr>
        <w:t xml:space="preserve"> </w:t>
      </w:r>
      <w:r w:rsidRPr="00E3314D">
        <w:rPr>
          <w:b/>
          <w:i/>
          <w:lang w:eastAsia="bg-BG"/>
        </w:rPr>
        <w:t>за организации с нестопанска цел</w:t>
      </w:r>
    </w:p>
    <w:p w:rsidR="00053D51" w:rsidRPr="00E3314D" w:rsidRDefault="00053D51" w:rsidP="00053D51">
      <w:pPr>
        <w:ind w:firstLine="708"/>
        <w:jc w:val="both"/>
      </w:pPr>
      <w:r w:rsidRPr="00E3314D">
        <w:t>За 2018</w:t>
      </w:r>
      <w:r>
        <w:t xml:space="preserve"> </w:t>
      </w:r>
      <w:r w:rsidRPr="00E3314D">
        <w:t xml:space="preserve">г. не са планирани капиталови </w:t>
      </w:r>
      <w:r>
        <w:t>трансфери</w:t>
      </w:r>
      <w:r w:rsidRPr="00E3314D">
        <w:t xml:space="preserve"> за организации с нестопанска цел. За п</w:t>
      </w:r>
      <w:r>
        <w:t xml:space="preserve">ървото тримесечие на </w:t>
      </w:r>
      <w:r w:rsidRPr="00E3314D">
        <w:t>2018</w:t>
      </w:r>
      <w:r>
        <w:t xml:space="preserve"> </w:t>
      </w:r>
      <w:r w:rsidRPr="00E3314D">
        <w:t>г. разходи</w:t>
      </w:r>
      <w:r>
        <w:t>те</w:t>
      </w:r>
      <w:r w:rsidRPr="00E3314D">
        <w:t xml:space="preserve"> по ПРСР </w:t>
      </w:r>
      <w:r>
        <w:t xml:space="preserve">са </w:t>
      </w:r>
      <w:r w:rsidRPr="00E3314D">
        <w:t>в размер на 0,9 млн.</w:t>
      </w:r>
      <w:r>
        <w:t> </w:t>
      </w:r>
      <w:r w:rsidRPr="00E3314D">
        <w:t>л</w:t>
      </w:r>
      <w:r>
        <w:t>е</w:t>
      </w:r>
      <w:r w:rsidRPr="00E3314D">
        <w:t>в</w:t>
      </w:r>
      <w:r>
        <w:t>а</w:t>
      </w:r>
      <w:r w:rsidRPr="00E3314D">
        <w:t xml:space="preserve">. </w:t>
      </w:r>
    </w:p>
    <w:p w:rsidR="00053D51" w:rsidRDefault="00053D51" w:rsidP="00053D51">
      <w:pPr>
        <w:tabs>
          <w:tab w:val="left" w:pos="709"/>
        </w:tabs>
        <w:jc w:val="both"/>
      </w:pPr>
      <w:r w:rsidRPr="00E3314D">
        <w:tab/>
        <w:t>Останалите планирани разходи в размер 293,9 млн. лв., в т.ч.: за заплати и възнаграждения на персонала 9,1 млн.</w:t>
      </w:r>
      <w:r>
        <w:t xml:space="preserve"> </w:t>
      </w:r>
      <w:r w:rsidRPr="00E3314D">
        <w:t>лв., задължителни осигурителни вноски от работодатели 2,6 млн.</w:t>
      </w:r>
      <w:r>
        <w:t xml:space="preserve"> </w:t>
      </w:r>
      <w:r w:rsidRPr="00E3314D">
        <w:t>лв., издръжка 1,6 млн.</w:t>
      </w:r>
      <w:r>
        <w:t xml:space="preserve"> </w:t>
      </w:r>
      <w:r w:rsidRPr="00E3314D">
        <w:t>лв. и придобиване на ДМА 280,6 млн.</w:t>
      </w:r>
      <w:r>
        <w:t xml:space="preserve"> </w:t>
      </w:r>
      <w:r w:rsidRPr="00E3314D">
        <w:t>лв., подлежат на отчитане в § 63-00 Трансфери между сметки за средствата от ЕС.</w:t>
      </w:r>
    </w:p>
    <w:p w:rsidR="00053D51" w:rsidRPr="00E3314D" w:rsidRDefault="00053D51" w:rsidP="00053D51">
      <w:pPr>
        <w:tabs>
          <w:tab w:val="left" w:pos="709"/>
        </w:tabs>
        <w:jc w:val="both"/>
      </w:pPr>
    </w:p>
    <w:p w:rsidR="00053D51" w:rsidRPr="00146F1D" w:rsidRDefault="00053D51" w:rsidP="00053D51">
      <w:pPr>
        <w:numPr>
          <w:ilvl w:val="0"/>
          <w:numId w:val="28"/>
        </w:numPr>
        <w:tabs>
          <w:tab w:val="num" w:pos="540"/>
        </w:tabs>
        <w:spacing w:before="120" w:after="120" w:line="276" w:lineRule="auto"/>
        <w:contextualSpacing/>
        <w:jc w:val="both"/>
        <w:rPr>
          <w:b/>
          <w:lang w:eastAsia="bg-BG"/>
        </w:rPr>
      </w:pPr>
      <w:r w:rsidRPr="00146F1D">
        <w:rPr>
          <w:b/>
          <w:lang w:eastAsia="bg-BG"/>
        </w:rPr>
        <w:t xml:space="preserve">Трансфери </w:t>
      </w:r>
    </w:p>
    <w:p w:rsidR="00053D51" w:rsidRPr="00E3314D" w:rsidRDefault="00053D51" w:rsidP="00053D51">
      <w:pPr>
        <w:tabs>
          <w:tab w:val="left" w:pos="540"/>
        </w:tabs>
        <w:jc w:val="both"/>
      </w:pPr>
      <w:r w:rsidRPr="00B53232">
        <w:rPr>
          <w:rFonts w:ascii="Times New Roman CYR" w:hAnsi="Times New Roman CYR" w:cs="Times New Roman CYR"/>
          <w:color w:val="0070C0"/>
          <w:lang w:eastAsia="bg-BG"/>
        </w:rPr>
        <w:tab/>
      </w:r>
      <w:r w:rsidRPr="00E3314D">
        <w:t>В частта на трансферите, в касовия отчет на ДФЗ-РА към 31.03.2018</w:t>
      </w:r>
      <w:r>
        <w:t xml:space="preserve"> </w:t>
      </w:r>
      <w:r w:rsidRPr="00E3314D">
        <w:t>г. са отразени следните касови потоци:</w:t>
      </w:r>
    </w:p>
    <w:p w:rsidR="00053D51" w:rsidRPr="00E3314D" w:rsidRDefault="00053D51" w:rsidP="00053D51">
      <w:pPr>
        <w:numPr>
          <w:ilvl w:val="0"/>
          <w:numId w:val="25"/>
        </w:numPr>
        <w:tabs>
          <w:tab w:val="left" w:pos="993"/>
        </w:tabs>
        <w:spacing w:before="120" w:after="120"/>
        <w:ind w:left="1321" w:hanging="612"/>
        <w:jc w:val="both"/>
        <w:rPr>
          <w:b/>
          <w:i/>
          <w:lang w:eastAsia="bg-BG"/>
        </w:rPr>
      </w:pPr>
      <w:r w:rsidRPr="00E3314D">
        <w:rPr>
          <w:b/>
          <w:i/>
          <w:lang w:eastAsia="bg-BG"/>
        </w:rPr>
        <w:t xml:space="preserve">Трансфери между бюджети и сметки за средства от Европейския съюз </w:t>
      </w:r>
    </w:p>
    <w:p w:rsidR="00053D51" w:rsidRPr="00E3314D" w:rsidRDefault="00053D51" w:rsidP="00053D51">
      <w:pPr>
        <w:jc w:val="both"/>
      </w:pPr>
      <w:r w:rsidRPr="00E3314D">
        <w:tab/>
        <w:t>Към 31.03.2018</w:t>
      </w:r>
      <w:r>
        <w:t xml:space="preserve"> </w:t>
      </w:r>
      <w:r w:rsidRPr="00E3314D">
        <w:t>г. получените трансфери от бюджетни сметки на бюджетни организации и общини за възстановяване на вземания по ПРСР и ОПРСР са в размер на 0,2 млн.</w:t>
      </w:r>
      <w:r>
        <w:t xml:space="preserve"> </w:t>
      </w:r>
      <w:r w:rsidRPr="00E3314D">
        <w:t>л</w:t>
      </w:r>
      <w:r>
        <w:t>е</w:t>
      </w:r>
      <w:r w:rsidRPr="00E3314D">
        <w:t>в</w:t>
      </w:r>
      <w:r>
        <w:t>а</w:t>
      </w:r>
      <w:r w:rsidRPr="00E3314D">
        <w:t>. Предоставените трансфери във връзка с чл.14 от З</w:t>
      </w:r>
      <w:r>
        <w:t xml:space="preserve">акона за подпомагане на земеделските производители </w:t>
      </w:r>
      <w:r w:rsidRPr="00E3314D">
        <w:t>възлизат на 0,1 млн.</w:t>
      </w:r>
      <w:r>
        <w:t xml:space="preserve"> </w:t>
      </w:r>
      <w:r w:rsidRPr="00E3314D">
        <w:t>л</w:t>
      </w:r>
      <w:r>
        <w:t>е</w:t>
      </w:r>
      <w:r w:rsidRPr="00E3314D">
        <w:t>в</w:t>
      </w:r>
      <w:r>
        <w:t>а</w:t>
      </w:r>
      <w:r w:rsidRPr="00E3314D">
        <w:t>.</w:t>
      </w:r>
    </w:p>
    <w:p w:rsidR="00053D51" w:rsidRPr="00E3314D" w:rsidRDefault="00053D51" w:rsidP="00053D51">
      <w:pPr>
        <w:numPr>
          <w:ilvl w:val="0"/>
          <w:numId w:val="25"/>
        </w:numPr>
        <w:tabs>
          <w:tab w:val="left" w:pos="993"/>
        </w:tabs>
        <w:spacing w:before="120" w:after="120"/>
        <w:ind w:left="1321" w:hanging="612"/>
        <w:jc w:val="both"/>
        <w:rPr>
          <w:b/>
          <w:i/>
          <w:lang w:eastAsia="bg-BG"/>
        </w:rPr>
      </w:pPr>
      <w:r w:rsidRPr="00E3314D">
        <w:rPr>
          <w:b/>
          <w:i/>
          <w:lang w:eastAsia="bg-BG"/>
        </w:rPr>
        <w:t>Трансфери между сметки за средства от Европейския съюз:</w:t>
      </w:r>
    </w:p>
    <w:p w:rsidR="00053D51" w:rsidRDefault="00053D51" w:rsidP="00053D51">
      <w:pPr>
        <w:tabs>
          <w:tab w:val="left" w:pos="540"/>
        </w:tabs>
        <w:jc w:val="both"/>
      </w:pPr>
      <w:r>
        <w:tab/>
      </w:r>
      <w:r>
        <w:tab/>
      </w:r>
      <w:r w:rsidRPr="00E3314D">
        <w:t>Предоставените трансфери са формирани от изплатените субсидии и възстановените суми от публични бенефициенти. За първото тримесечие на 2018</w:t>
      </w:r>
      <w:r>
        <w:t xml:space="preserve"> </w:t>
      </w:r>
      <w:r w:rsidRPr="00E3314D">
        <w:t>г. са отчетени 2</w:t>
      </w:r>
      <w:r>
        <w:t>,0</w:t>
      </w:r>
      <w:r w:rsidRPr="00E3314D">
        <w:t xml:space="preserve"> млн.</w:t>
      </w:r>
      <w:r>
        <w:t xml:space="preserve"> </w:t>
      </w:r>
      <w:r w:rsidRPr="00E3314D">
        <w:t>лв., в т.ч.: по Програмата за развитие на селските райони: 1,</w:t>
      </w:r>
      <w:proofErr w:type="spellStart"/>
      <w:r w:rsidRPr="00E3314D">
        <w:t>1</w:t>
      </w:r>
      <w:proofErr w:type="spellEnd"/>
      <w:r w:rsidRPr="00E3314D">
        <w:t xml:space="preserve"> млн.</w:t>
      </w:r>
      <w:r>
        <w:t xml:space="preserve"> </w:t>
      </w:r>
      <w:r w:rsidRPr="00E3314D">
        <w:t>лв.; схеми „Училищен плод“</w:t>
      </w:r>
      <w:r>
        <w:t xml:space="preserve"> и</w:t>
      </w:r>
      <w:r w:rsidRPr="00E3314D">
        <w:t xml:space="preserve"> </w:t>
      </w:r>
      <w:r w:rsidRPr="00E3314D">
        <w:lastRenderedPageBreak/>
        <w:t>„Училищно мляко“: 0,06 млн.</w:t>
      </w:r>
      <w:r>
        <w:t xml:space="preserve"> </w:t>
      </w:r>
      <w:r w:rsidRPr="00E3314D">
        <w:t xml:space="preserve">лв.; национално </w:t>
      </w:r>
      <w:proofErr w:type="spellStart"/>
      <w:r w:rsidRPr="00E3314D">
        <w:t>съфинансиране</w:t>
      </w:r>
      <w:proofErr w:type="spellEnd"/>
      <w:r w:rsidRPr="00E3314D">
        <w:t xml:space="preserve"> към директни плащания: 0,03 млн.</w:t>
      </w:r>
      <w:r>
        <w:t xml:space="preserve"> </w:t>
      </w:r>
      <w:r w:rsidRPr="00E3314D">
        <w:t>лв.; рибарство: 0,8 млн.</w:t>
      </w:r>
      <w:r>
        <w:t xml:space="preserve"> </w:t>
      </w:r>
      <w:r w:rsidRPr="00E3314D">
        <w:t>л</w:t>
      </w:r>
      <w:r>
        <w:t>е</w:t>
      </w:r>
      <w:r w:rsidRPr="00E3314D">
        <w:t>в</w:t>
      </w:r>
      <w:r>
        <w:t>а</w:t>
      </w:r>
      <w:r w:rsidRPr="00E3314D">
        <w:t>.</w:t>
      </w:r>
    </w:p>
    <w:p w:rsidR="00053D51" w:rsidRPr="00B53232" w:rsidRDefault="00053D51" w:rsidP="00053D51">
      <w:pPr>
        <w:tabs>
          <w:tab w:val="left" w:pos="540"/>
        </w:tabs>
        <w:jc w:val="both"/>
        <w:rPr>
          <w:color w:val="0070C0"/>
          <w:lang w:eastAsia="bg-BG"/>
        </w:rPr>
      </w:pPr>
    </w:p>
    <w:p w:rsidR="00053D51" w:rsidRPr="00146F1D" w:rsidRDefault="00053D51" w:rsidP="00053D51">
      <w:pPr>
        <w:numPr>
          <w:ilvl w:val="0"/>
          <w:numId w:val="28"/>
        </w:numPr>
        <w:tabs>
          <w:tab w:val="num" w:pos="540"/>
        </w:tabs>
        <w:spacing w:before="120" w:after="120" w:line="276" w:lineRule="auto"/>
        <w:contextualSpacing/>
        <w:jc w:val="both"/>
        <w:rPr>
          <w:b/>
          <w:lang w:eastAsia="bg-BG"/>
        </w:rPr>
      </w:pPr>
      <w:r w:rsidRPr="00146F1D">
        <w:rPr>
          <w:b/>
          <w:lang w:eastAsia="bg-BG"/>
        </w:rPr>
        <w:t>Финансиране</w:t>
      </w:r>
    </w:p>
    <w:p w:rsidR="00053D51" w:rsidRPr="00967BB9" w:rsidRDefault="00053D51" w:rsidP="00053D51">
      <w:pPr>
        <w:spacing w:after="120"/>
        <w:jc w:val="both"/>
        <w:rPr>
          <w:lang w:eastAsia="bg-BG"/>
        </w:rPr>
      </w:pPr>
      <w:r w:rsidRPr="00B53232">
        <w:rPr>
          <w:color w:val="0070C0"/>
          <w:lang w:eastAsia="bg-BG"/>
        </w:rPr>
        <w:tab/>
      </w:r>
      <w:r w:rsidRPr="00967BB9">
        <w:rPr>
          <w:lang w:eastAsia="bg-BG"/>
        </w:rPr>
        <w:t>Към 31.03.201</w:t>
      </w:r>
      <w:r>
        <w:rPr>
          <w:lang w:eastAsia="bg-BG"/>
        </w:rPr>
        <w:t>8</w:t>
      </w:r>
      <w:r w:rsidRPr="00967BB9">
        <w:rPr>
          <w:lang w:val="en-US" w:eastAsia="bg-BG"/>
        </w:rPr>
        <w:t xml:space="preserve"> </w:t>
      </w:r>
      <w:r w:rsidRPr="00967BB9">
        <w:rPr>
          <w:lang w:eastAsia="bg-BG"/>
        </w:rPr>
        <w:t>г. извършените плащания, възстановените суми и разчета с централния бюджет, включени в отчетността в „Друго финансиране“ са общо 4</w:t>
      </w:r>
      <w:r>
        <w:rPr>
          <w:lang w:eastAsia="bg-BG"/>
        </w:rPr>
        <w:t>8,5</w:t>
      </w:r>
      <w:r w:rsidRPr="00967BB9">
        <w:rPr>
          <w:lang w:eastAsia="bg-BG"/>
        </w:rPr>
        <w:t xml:space="preserve"> млн. лв., при 1</w:t>
      </w:r>
      <w:r>
        <w:rPr>
          <w:lang w:eastAsia="bg-BG"/>
        </w:rPr>
        <w:t>82,3</w:t>
      </w:r>
      <w:r w:rsidRPr="00967BB9">
        <w:rPr>
          <w:lang w:eastAsia="bg-BG"/>
        </w:rPr>
        <w:t xml:space="preserve"> млн.</w:t>
      </w:r>
      <w:r w:rsidR="003310A7">
        <w:rPr>
          <w:lang w:eastAsia="bg-BG"/>
        </w:rPr>
        <w:t> </w:t>
      </w:r>
      <w:r w:rsidRPr="00967BB9">
        <w:rPr>
          <w:lang w:eastAsia="bg-BG"/>
        </w:rPr>
        <w:t>лв. по разчет.</w:t>
      </w:r>
    </w:p>
    <w:p w:rsidR="00053D51" w:rsidRPr="00967BB9" w:rsidRDefault="00053D51" w:rsidP="00053D51">
      <w:pPr>
        <w:spacing w:after="120"/>
        <w:jc w:val="both"/>
        <w:rPr>
          <w:b/>
          <w:i/>
          <w:lang w:eastAsia="bg-BG"/>
        </w:rPr>
      </w:pPr>
      <w:r w:rsidRPr="00967BB9">
        <w:rPr>
          <w:b/>
          <w:i/>
          <w:lang w:eastAsia="bg-BG"/>
        </w:rPr>
        <w:t>Към 31.03.201</w:t>
      </w:r>
      <w:r>
        <w:rPr>
          <w:b/>
          <w:i/>
          <w:lang w:eastAsia="bg-BG"/>
        </w:rPr>
        <w:t>8</w:t>
      </w:r>
      <w:r w:rsidRPr="00967BB9">
        <w:rPr>
          <w:b/>
          <w:i/>
          <w:lang w:eastAsia="bg-BG"/>
        </w:rPr>
        <w:t xml:space="preserve"> г. са изплатени средства по следните направления:</w:t>
      </w:r>
    </w:p>
    <w:p w:rsidR="00053D51" w:rsidRPr="00967BB9" w:rsidRDefault="00053D51" w:rsidP="00053D51">
      <w:pPr>
        <w:numPr>
          <w:ilvl w:val="0"/>
          <w:numId w:val="30"/>
        </w:numPr>
        <w:tabs>
          <w:tab w:val="left" w:pos="993"/>
        </w:tabs>
        <w:ind w:left="0" w:firstLine="709"/>
        <w:contextualSpacing/>
        <w:jc w:val="both"/>
        <w:rPr>
          <w:szCs w:val="20"/>
        </w:rPr>
      </w:pPr>
      <w:r>
        <w:rPr>
          <w:szCs w:val="20"/>
        </w:rPr>
        <w:t>72,0</w:t>
      </w:r>
      <w:r w:rsidRPr="00967BB9">
        <w:rPr>
          <w:szCs w:val="20"/>
        </w:rPr>
        <w:t xml:space="preserve"> млн. лв. за директни плащания за сметка на ЕФГЗ, представляващи </w:t>
      </w:r>
      <w:r>
        <w:rPr>
          <w:szCs w:val="20"/>
        </w:rPr>
        <w:t>4,6</w:t>
      </w:r>
      <w:r w:rsidRPr="00967BB9">
        <w:rPr>
          <w:szCs w:val="20"/>
        </w:rPr>
        <w:t xml:space="preserve"> % от планираните 1</w:t>
      </w:r>
      <w:r>
        <w:rPr>
          <w:szCs w:val="20"/>
        </w:rPr>
        <w:t> </w:t>
      </w:r>
      <w:r w:rsidRPr="00967BB9">
        <w:rPr>
          <w:szCs w:val="20"/>
        </w:rPr>
        <w:t>55</w:t>
      </w:r>
      <w:r>
        <w:rPr>
          <w:szCs w:val="20"/>
        </w:rPr>
        <w:t>1,4</w:t>
      </w:r>
      <w:r w:rsidRPr="00967BB9">
        <w:rPr>
          <w:szCs w:val="20"/>
        </w:rPr>
        <w:t xml:space="preserve"> млн. л</w:t>
      </w:r>
      <w:r>
        <w:rPr>
          <w:szCs w:val="20"/>
        </w:rPr>
        <w:t>е</w:t>
      </w:r>
      <w:r w:rsidRPr="00967BB9">
        <w:rPr>
          <w:szCs w:val="20"/>
        </w:rPr>
        <w:t>в</w:t>
      </w:r>
      <w:r>
        <w:rPr>
          <w:szCs w:val="20"/>
        </w:rPr>
        <w:t>а</w:t>
      </w:r>
      <w:r w:rsidRPr="00967BB9">
        <w:rPr>
          <w:szCs w:val="20"/>
        </w:rPr>
        <w:t>;</w:t>
      </w:r>
    </w:p>
    <w:p w:rsidR="00053D51" w:rsidRPr="00967BB9" w:rsidRDefault="00053D51" w:rsidP="00053D51">
      <w:pPr>
        <w:numPr>
          <w:ilvl w:val="0"/>
          <w:numId w:val="30"/>
        </w:numPr>
        <w:tabs>
          <w:tab w:val="left" w:pos="993"/>
        </w:tabs>
        <w:ind w:left="0" w:firstLine="709"/>
        <w:contextualSpacing/>
        <w:jc w:val="both"/>
        <w:rPr>
          <w:szCs w:val="20"/>
        </w:rPr>
      </w:pPr>
      <w:r>
        <w:rPr>
          <w:szCs w:val="20"/>
        </w:rPr>
        <w:t>69</w:t>
      </w:r>
      <w:r w:rsidRPr="00967BB9">
        <w:rPr>
          <w:szCs w:val="20"/>
        </w:rPr>
        <w:t>,0 млн. лв. - средства от ЕЗФРСР, прехвърлени към директни плащания, което е 2</w:t>
      </w:r>
      <w:r>
        <w:rPr>
          <w:szCs w:val="20"/>
        </w:rPr>
        <w:t>8,8</w:t>
      </w:r>
      <w:r w:rsidRPr="00967BB9">
        <w:rPr>
          <w:szCs w:val="20"/>
        </w:rPr>
        <w:t xml:space="preserve"> % от планираните </w:t>
      </w:r>
      <w:r>
        <w:rPr>
          <w:szCs w:val="20"/>
        </w:rPr>
        <w:t>239,8</w:t>
      </w:r>
      <w:r w:rsidRPr="00967BB9">
        <w:rPr>
          <w:szCs w:val="20"/>
        </w:rPr>
        <w:t xml:space="preserve"> млн. л</w:t>
      </w:r>
      <w:r>
        <w:rPr>
          <w:szCs w:val="20"/>
        </w:rPr>
        <w:t>е</w:t>
      </w:r>
      <w:r w:rsidRPr="00967BB9">
        <w:rPr>
          <w:szCs w:val="20"/>
        </w:rPr>
        <w:t>в</w:t>
      </w:r>
      <w:r>
        <w:rPr>
          <w:szCs w:val="20"/>
        </w:rPr>
        <w:t>а</w:t>
      </w:r>
      <w:r w:rsidRPr="00967BB9">
        <w:rPr>
          <w:szCs w:val="20"/>
        </w:rPr>
        <w:t>;</w:t>
      </w:r>
    </w:p>
    <w:p w:rsidR="00053D51" w:rsidRPr="00967BB9" w:rsidRDefault="00053D51" w:rsidP="00053D51">
      <w:pPr>
        <w:numPr>
          <w:ilvl w:val="0"/>
          <w:numId w:val="30"/>
        </w:numPr>
        <w:tabs>
          <w:tab w:val="left" w:pos="993"/>
        </w:tabs>
        <w:ind w:left="0" w:firstLine="709"/>
        <w:contextualSpacing/>
        <w:jc w:val="both"/>
        <w:rPr>
          <w:szCs w:val="20"/>
        </w:rPr>
      </w:pPr>
      <w:r>
        <w:rPr>
          <w:szCs w:val="20"/>
        </w:rPr>
        <w:t>0,9</w:t>
      </w:r>
      <w:r w:rsidRPr="00967BB9">
        <w:rPr>
          <w:szCs w:val="20"/>
        </w:rPr>
        <w:t xml:space="preserve"> млн. лв. за пазарни мерки - изпълнение </w:t>
      </w:r>
      <w:r w:rsidR="0051752A">
        <w:rPr>
          <w:szCs w:val="20"/>
        </w:rPr>
        <w:t>2</w:t>
      </w:r>
      <w:r>
        <w:rPr>
          <w:szCs w:val="20"/>
        </w:rPr>
        <w:t>,</w:t>
      </w:r>
      <w:r w:rsidR="0051752A">
        <w:rPr>
          <w:szCs w:val="20"/>
        </w:rPr>
        <w:t>9</w:t>
      </w:r>
      <w:r w:rsidRPr="00967BB9">
        <w:rPr>
          <w:szCs w:val="20"/>
        </w:rPr>
        <w:t xml:space="preserve"> % от планираните 31,</w:t>
      </w:r>
      <w:r>
        <w:rPr>
          <w:szCs w:val="20"/>
        </w:rPr>
        <w:t>1</w:t>
      </w:r>
      <w:r w:rsidRPr="00967BB9">
        <w:rPr>
          <w:szCs w:val="20"/>
        </w:rPr>
        <w:t xml:space="preserve"> млн. л</w:t>
      </w:r>
      <w:r>
        <w:rPr>
          <w:szCs w:val="20"/>
        </w:rPr>
        <w:t>е</w:t>
      </w:r>
      <w:r w:rsidRPr="00967BB9">
        <w:rPr>
          <w:szCs w:val="20"/>
        </w:rPr>
        <w:t>в</w:t>
      </w:r>
      <w:r>
        <w:rPr>
          <w:szCs w:val="20"/>
        </w:rPr>
        <w:t>а</w:t>
      </w:r>
      <w:r w:rsidRPr="00967BB9">
        <w:rPr>
          <w:szCs w:val="20"/>
        </w:rPr>
        <w:t>;</w:t>
      </w:r>
    </w:p>
    <w:p w:rsidR="00053D51" w:rsidRPr="00967BB9" w:rsidRDefault="00053D51" w:rsidP="00053D51">
      <w:pPr>
        <w:numPr>
          <w:ilvl w:val="0"/>
          <w:numId w:val="30"/>
        </w:numPr>
        <w:tabs>
          <w:tab w:val="left" w:pos="993"/>
        </w:tabs>
        <w:ind w:left="0" w:firstLine="709"/>
        <w:contextualSpacing/>
        <w:jc w:val="both"/>
        <w:rPr>
          <w:szCs w:val="20"/>
        </w:rPr>
      </w:pPr>
      <w:r>
        <w:rPr>
          <w:szCs w:val="20"/>
        </w:rPr>
        <w:t>9</w:t>
      </w:r>
      <w:r w:rsidRPr="00967BB9">
        <w:rPr>
          <w:szCs w:val="20"/>
        </w:rPr>
        <w:t>,</w:t>
      </w:r>
      <w:proofErr w:type="spellStart"/>
      <w:r w:rsidRPr="00967BB9">
        <w:rPr>
          <w:szCs w:val="20"/>
        </w:rPr>
        <w:t>9</w:t>
      </w:r>
      <w:proofErr w:type="spellEnd"/>
      <w:r w:rsidRPr="00967BB9">
        <w:rPr>
          <w:szCs w:val="20"/>
        </w:rPr>
        <w:t xml:space="preserve"> млн. лв. – суми за преструктуриране, </w:t>
      </w:r>
      <w:r>
        <w:rPr>
          <w:szCs w:val="20"/>
        </w:rPr>
        <w:t>20,</w:t>
      </w:r>
      <w:r w:rsidR="0051752A">
        <w:rPr>
          <w:szCs w:val="20"/>
        </w:rPr>
        <w:t>0</w:t>
      </w:r>
      <w:r w:rsidRPr="00967BB9">
        <w:rPr>
          <w:szCs w:val="20"/>
        </w:rPr>
        <w:t xml:space="preserve"> % от планираните 4</w:t>
      </w:r>
      <w:r>
        <w:rPr>
          <w:szCs w:val="20"/>
        </w:rPr>
        <w:t>9,4</w:t>
      </w:r>
      <w:r w:rsidRPr="00967BB9">
        <w:rPr>
          <w:szCs w:val="20"/>
        </w:rPr>
        <w:t xml:space="preserve"> млн. л</w:t>
      </w:r>
      <w:r>
        <w:rPr>
          <w:szCs w:val="20"/>
        </w:rPr>
        <w:t>е</w:t>
      </w:r>
      <w:r w:rsidRPr="00967BB9">
        <w:rPr>
          <w:szCs w:val="20"/>
        </w:rPr>
        <w:t>в</w:t>
      </w:r>
      <w:r>
        <w:rPr>
          <w:szCs w:val="20"/>
        </w:rPr>
        <w:t>а</w:t>
      </w:r>
      <w:r w:rsidRPr="00967BB9">
        <w:rPr>
          <w:szCs w:val="20"/>
        </w:rPr>
        <w:t>.</w:t>
      </w:r>
    </w:p>
    <w:p w:rsidR="00053D51" w:rsidRPr="00967BB9" w:rsidRDefault="00053D51" w:rsidP="00053D51">
      <w:pPr>
        <w:spacing w:before="120" w:after="120"/>
        <w:jc w:val="both"/>
        <w:rPr>
          <w:b/>
          <w:i/>
          <w:color w:val="0070C0"/>
          <w:lang w:eastAsia="bg-BG"/>
        </w:rPr>
      </w:pPr>
      <w:r w:rsidRPr="00967BB9">
        <w:rPr>
          <w:b/>
          <w:i/>
          <w:lang w:eastAsia="bg-BG"/>
        </w:rPr>
        <w:t>Възстановените суми от Европейския съюз към 31.03.201</w:t>
      </w:r>
      <w:r>
        <w:rPr>
          <w:b/>
          <w:i/>
          <w:lang w:eastAsia="bg-BG"/>
        </w:rPr>
        <w:t>8</w:t>
      </w:r>
      <w:r w:rsidRPr="00967BB9">
        <w:rPr>
          <w:b/>
          <w:i/>
          <w:lang w:eastAsia="bg-BG"/>
        </w:rPr>
        <w:t xml:space="preserve"> г. са както следва:</w:t>
      </w:r>
    </w:p>
    <w:p w:rsidR="00053D51" w:rsidRPr="00967BB9" w:rsidRDefault="00053D51" w:rsidP="00053D51">
      <w:pPr>
        <w:numPr>
          <w:ilvl w:val="0"/>
          <w:numId w:val="30"/>
        </w:numPr>
        <w:tabs>
          <w:tab w:val="left" w:pos="993"/>
        </w:tabs>
        <w:ind w:left="0" w:firstLine="709"/>
        <w:contextualSpacing/>
        <w:jc w:val="both"/>
        <w:rPr>
          <w:szCs w:val="20"/>
        </w:rPr>
      </w:pPr>
      <w:r>
        <w:rPr>
          <w:szCs w:val="20"/>
        </w:rPr>
        <w:t>739</w:t>
      </w:r>
      <w:r w:rsidRPr="00967BB9">
        <w:rPr>
          <w:szCs w:val="20"/>
        </w:rPr>
        <w:t xml:space="preserve">,1 млн. лв. за директни плащания от ЕФГЗ </w:t>
      </w:r>
      <w:r>
        <w:rPr>
          <w:szCs w:val="20"/>
        </w:rPr>
        <w:t>–</w:t>
      </w:r>
      <w:r w:rsidRPr="00967BB9">
        <w:rPr>
          <w:szCs w:val="20"/>
        </w:rPr>
        <w:t xml:space="preserve"> 4</w:t>
      </w:r>
      <w:r>
        <w:rPr>
          <w:szCs w:val="20"/>
        </w:rPr>
        <w:t>7,6</w:t>
      </w:r>
      <w:r w:rsidRPr="00967BB9">
        <w:rPr>
          <w:szCs w:val="20"/>
        </w:rPr>
        <w:t xml:space="preserve"> % от заложените 1</w:t>
      </w:r>
      <w:r>
        <w:rPr>
          <w:szCs w:val="20"/>
        </w:rPr>
        <w:t> 551,2</w:t>
      </w:r>
      <w:r w:rsidRPr="00967BB9">
        <w:rPr>
          <w:szCs w:val="20"/>
        </w:rPr>
        <w:t xml:space="preserve"> млн.</w:t>
      </w:r>
      <w:r>
        <w:rPr>
          <w:szCs w:val="20"/>
        </w:rPr>
        <w:t> </w:t>
      </w:r>
      <w:r w:rsidRPr="00967BB9">
        <w:rPr>
          <w:szCs w:val="20"/>
        </w:rPr>
        <w:t>л</w:t>
      </w:r>
      <w:r>
        <w:rPr>
          <w:szCs w:val="20"/>
        </w:rPr>
        <w:t>е</w:t>
      </w:r>
      <w:r w:rsidRPr="00967BB9">
        <w:rPr>
          <w:szCs w:val="20"/>
        </w:rPr>
        <w:t>в</w:t>
      </w:r>
      <w:r>
        <w:rPr>
          <w:szCs w:val="20"/>
        </w:rPr>
        <w:t>а</w:t>
      </w:r>
      <w:r w:rsidRPr="00967BB9">
        <w:rPr>
          <w:szCs w:val="20"/>
        </w:rPr>
        <w:t>;</w:t>
      </w:r>
    </w:p>
    <w:p w:rsidR="00053D51" w:rsidRPr="00967BB9" w:rsidRDefault="00053D51" w:rsidP="00053D51">
      <w:pPr>
        <w:numPr>
          <w:ilvl w:val="0"/>
          <w:numId w:val="30"/>
        </w:numPr>
        <w:tabs>
          <w:tab w:val="left" w:pos="993"/>
        </w:tabs>
        <w:ind w:left="0" w:firstLine="709"/>
        <w:contextualSpacing/>
        <w:jc w:val="both"/>
        <w:rPr>
          <w:szCs w:val="20"/>
        </w:rPr>
      </w:pPr>
      <w:r w:rsidRPr="00967BB9">
        <w:rPr>
          <w:szCs w:val="20"/>
        </w:rPr>
        <w:t xml:space="preserve">при планирани за получаване </w:t>
      </w:r>
      <w:r>
        <w:rPr>
          <w:szCs w:val="20"/>
        </w:rPr>
        <w:t>239</w:t>
      </w:r>
      <w:r w:rsidRPr="00967BB9">
        <w:rPr>
          <w:szCs w:val="20"/>
        </w:rPr>
        <w:t>,8 млн. лв. от ЕЗФРСР, прехвърлени към директни плащания, към края на март няма получени средства;</w:t>
      </w:r>
    </w:p>
    <w:p w:rsidR="00053D51" w:rsidRPr="00967BB9" w:rsidRDefault="00053D51" w:rsidP="00053D51">
      <w:pPr>
        <w:numPr>
          <w:ilvl w:val="0"/>
          <w:numId w:val="30"/>
        </w:numPr>
        <w:tabs>
          <w:tab w:val="left" w:pos="993"/>
        </w:tabs>
        <w:ind w:left="0" w:firstLine="709"/>
        <w:contextualSpacing/>
        <w:jc w:val="both"/>
        <w:rPr>
          <w:szCs w:val="20"/>
        </w:rPr>
      </w:pPr>
      <w:r w:rsidRPr="00967BB9">
        <w:rPr>
          <w:szCs w:val="20"/>
        </w:rPr>
        <w:t>1,</w:t>
      </w:r>
      <w:r>
        <w:rPr>
          <w:szCs w:val="20"/>
        </w:rPr>
        <w:t>4</w:t>
      </w:r>
      <w:r w:rsidRPr="00967BB9">
        <w:rPr>
          <w:szCs w:val="20"/>
        </w:rPr>
        <w:t xml:space="preserve"> млн. лв. за пазарни мерки, 4</w:t>
      </w:r>
      <w:r>
        <w:rPr>
          <w:szCs w:val="20"/>
        </w:rPr>
        <w:t>,</w:t>
      </w:r>
      <w:r w:rsidR="0051752A">
        <w:rPr>
          <w:szCs w:val="20"/>
        </w:rPr>
        <w:t>0</w:t>
      </w:r>
      <w:r w:rsidRPr="00967BB9">
        <w:rPr>
          <w:szCs w:val="20"/>
        </w:rPr>
        <w:t xml:space="preserve"> % изпълнение на планираните 35</w:t>
      </w:r>
      <w:r>
        <w:rPr>
          <w:szCs w:val="20"/>
        </w:rPr>
        <w:t>,0</w:t>
      </w:r>
      <w:r w:rsidRPr="00967BB9">
        <w:rPr>
          <w:szCs w:val="20"/>
        </w:rPr>
        <w:t xml:space="preserve"> млн. л</w:t>
      </w:r>
      <w:r>
        <w:rPr>
          <w:szCs w:val="20"/>
        </w:rPr>
        <w:t>е</w:t>
      </w:r>
      <w:r w:rsidRPr="00967BB9">
        <w:rPr>
          <w:szCs w:val="20"/>
        </w:rPr>
        <w:t>в</w:t>
      </w:r>
      <w:r>
        <w:rPr>
          <w:szCs w:val="20"/>
        </w:rPr>
        <w:t>а</w:t>
      </w:r>
      <w:r w:rsidRPr="00967BB9">
        <w:rPr>
          <w:szCs w:val="20"/>
        </w:rPr>
        <w:t>;</w:t>
      </w:r>
    </w:p>
    <w:p w:rsidR="00053D51" w:rsidRPr="00967BB9" w:rsidRDefault="00053D51" w:rsidP="00053D51">
      <w:pPr>
        <w:numPr>
          <w:ilvl w:val="0"/>
          <w:numId w:val="30"/>
        </w:numPr>
        <w:tabs>
          <w:tab w:val="left" w:pos="993"/>
        </w:tabs>
        <w:ind w:left="0" w:firstLine="709"/>
        <w:contextualSpacing/>
        <w:jc w:val="both"/>
        <w:rPr>
          <w:szCs w:val="20"/>
        </w:rPr>
      </w:pPr>
      <w:r>
        <w:rPr>
          <w:szCs w:val="20"/>
        </w:rPr>
        <w:t>9,0</w:t>
      </w:r>
      <w:r w:rsidRPr="00967BB9">
        <w:rPr>
          <w:szCs w:val="20"/>
        </w:rPr>
        <w:t xml:space="preserve"> млн. лв. – суми за преструктуриране, </w:t>
      </w:r>
      <w:r>
        <w:rPr>
          <w:szCs w:val="20"/>
        </w:rPr>
        <w:t>18,8</w:t>
      </w:r>
      <w:r w:rsidRPr="00967BB9">
        <w:rPr>
          <w:szCs w:val="20"/>
        </w:rPr>
        <w:t xml:space="preserve"> % изпълнение на планираните 4</w:t>
      </w:r>
      <w:r>
        <w:rPr>
          <w:szCs w:val="20"/>
        </w:rPr>
        <w:t>7,</w:t>
      </w:r>
      <w:r w:rsidR="0051752A">
        <w:rPr>
          <w:szCs w:val="20"/>
        </w:rPr>
        <w:t>8</w:t>
      </w:r>
      <w:r w:rsidRPr="00967BB9">
        <w:rPr>
          <w:szCs w:val="20"/>
        </w:rPr>
        <w:t xml:space="preserve"> млн. л</w:t>
      </w:r>
      <w:r>
        <w:rPr>
          <w:szCs w:val="20"/>
        </w:rPr>
        <w:t>е</w:t>
      </w:r>
      <w:r w:rsidRPr="00967BB9">
        <w:rPr>
          <w:szCs w:val="20"/>
        </w:rPr>
        <w:t>в</w:t>
      </w:r>
      <w:r>
        <w:rPr>
          <w:szCs w:val="20"/>
        </w:rPr>
        <w:t>а.</w:t>
      </w:r>
    </w:p>
    <w:p w:rsidR="00053D51" w:rsidRPr="00234425" w:rsidRDefault="00053D51" w:rsidP="00053D51">
      <w:pPr>
        <w:spacing w:after="120"/>
        <w:jc w:val="both"/>
      </w:pPr>
      <w:r w:rsidRPr="00967BB9">
        <w:rPr>
          <w:lang w:eastAsia="bg-BG"/>
        </w:rPr>
        <w:tab/>
        <w:t>Предоставените суми (нето) по разчети с ЦБ за финансиране на плащания при недостиг на средства за периода 01.01-31.03.201</w:t>
      </w:r>
      <w:r w:rsidR="003310A7">
        <w:rPr>
          <w:lang w:eastAsia="bg-BG"/>
        </w:rPr>
        <w:t>8</w:t>
      </w:r>
      <w:r w:rsidRPr="00967BB9">
        <w:rPr>
          <w:lang w:eastAsia="bg-BG"/>
        </w:rPr>
        <w:t xml:space="preserve"> г. са 5</w:t>
      </w:r>
      <w:r>
        <w:rPr>
          <w:lang w:eastAsia="bg-BG"/>
        </w:rPr>
        <w:t>49,2</w:t>
      </w:r>
      <w:r w:rsidRPr="00967BB9">
        <w:rPr>
          <w:lang w:eastAsia="bg-BG"/>
        </w:rPr>
        <w:t xml:space="preserve"> млн. лева. Предоставените ч</w:t>
      </w:r>
      <w:r w:rsidRPr="00967BB9">
        <w:t>ужди средства от други лица са (-0,0</w:t>
      </w:r>
      <w:r>
        <w:t>4</w:t>
      </w:r>
      <w:r w:rsidRPr="00967BB9">
        <w:t xml:space="preserve">) млн. лв., </w:t>
      </w:r>
      <w:r w:rsidRPr="00967BB9">
        <w:rPr>
          <w:rFonts w:ascii="Times New Roman CYR" w:hAnsi="Times New Roman CYR" w:cs="Times New Roman CYR"/>
        </w:rPr>
        <w:t xml:space="preserve">представляващи резултативна величина между постъпилите и възстановени </w:t>
      </w:r>
      <w:proofErr w:type="spellStart"/>
      <w:r w:rsidRPr="00967BB9">
        <w:rPr>
          <w:rFonts w:ascii="Times New Roman CYR" w:hAnsi="Times New Roman CYR" w:cs="Times New Roman CYR"/>
        </w:rPr>
        <w:t>кешови</w:t>
      </w:r>
      <w:proofErr w:type="spellEnd"/>
      <w:r w:rsidRPr="00967BB9">
        <w:rPr>
          <w:rFonts w:ascii="Times New Roman CYR" w:hAnsi="Times New Roman CYR" w:cs="Times New Roman CYR"/>
        </w:rPr>
        <w:t xml:space="preserve"> гаранции и чужди средства.</w:t>
      </w:r>
    </w:p>
    <w:p w:rsidR="002B1377" w:rsidRPr="00B9447F" w:rsidRDefault="002B1377" w:rsidP="002B1377">
      <w:pPr>
        <w:pStyle w:val="Heading1"/>
        <w:numPr>
          <w:ilvl w:val="1"/>
          <w:numId w:val="10"/>
        </w:numPr>
        <w:spacing w:after="120"/>
        <w:ind w:left="788" w:right="-108" w:hanging="431"/>
        <w:jc w:val="both"/>
        <w:rPr>
          <w:sz w:val="24"/>
        </w:rPr>
      </w:pPr>
      <w:r w:rsidRPr="00B9447F">
        <w:rPr>
          <w:sz w:val="24"/>
        </w:rPr>
        <w:t>Национален фонд към Министерство на финансите</w:t>
      </w:r>
    </w:p>
    <w:p w:rsidR="002B1377" w:rsidRPr="00E14BA9" w:rsidRDefault="002B1377" w:rsidP="002B1377">
      <w:pPr>
        <w:ind w:firstLine="684"/>
        <w:jc w:val="both"/>
        <w:rPr>
          <w:bCs/>
        </w:rPr>
      </w:pPr>
      <w:r w:rsidRPr="00E14BA9">
        <w:rPr>
          <w:bCs/>
        </w:rPr>
        <w:t>По сметките на Национален фонд (НФ) към 31.03.2018 г. са постъпили приходи  (нето) в размер на 78</w:t>
      </w:r>
      <w:r>
        <w:rPr>
          <w:bCs/>
        </w:rPr>
        <w:t>,</w:t>
      </w:r>
      <w:r w:rsidRPr="00E14BA9">
        <w:rPr>
          <w:bCs/>
        </w:rPr>
        <w:t xml:space="preserve">1 млн. лв. по програмите, финансирани от Европейския фонд за регионално развитие, Европейския социален фонд (включително Инициативата за младежка заетост), </w:t>
      </w:r>
      <w:proofErr w:type="spellStart"/>
      <w:r w:rsidRPr="00E14BA9">
        <w:rPr>
          <w:bCs/>
        </w:rPr>
        <w:t>Кохезионния</w:t>
      </w:r>
      <w:proofErr w:type="spellEnd"/>
      <w:r w:rsidRPr="00E14BA9">
        <w:rPr>
          <w:bCs/>
        </w:rPr>
        <w:t xml:space="preserve"> фонд и Фонда за европейско подпомагане на най-нуждаещите се лица (ФЕПНЛ) на ЕС за финансовата рамка 2014–2020 г., Финансовия механизъм на Европейското икономическо пространство (ФМ на ЕИП) 2009–2014 г., Норвежкия финансов механизъм (НФМ) 2009–2014 г., двустранните програми за трансгранично сътрудничество по външните граници на EС (ПТСВГ) за периода 2014–2020 г. и Българо-швейцарската програма за сътрудничество (БШПС),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ПТСВГ и изплатените средства от получения ресурс към бенефициенти извън страната. </w:t>
      </w:r>
    </w:p>
    <w:p w:rsidR="002B1377" w:rsidRPr="00E14BA9" w:rsidRDefault="002B1377" w:rsidP="002B1377">
      <w:pPr>
        <w:ind w:firstLine="684"/>
        <w:jc w:val="both"/>
        <w:rPr>
          <w:bCs/>
        </w:rPr>
      </w:pPr>
      <w:r w:rsidRPr="00E14BA9">
        <w:rPr>
          <w:bCs/>
        </w:rPr>
        <w:t>Извършените разходи (нето) за периода с натрупване чрез сметките на НФ възлизат на 151</w:t>
      </w:r>
      <w:r>
        <w:rPr>
          <w:bCs/>
        </w:rPr>
        <w:t>,</w:t>
      </w:r>
      <w:r w:rsidRPr="00E14BA9">
        <w:rPr>
          <w:bCs/>
        </w:rPr>
        <w:t>0 млн. лева. По видове разходи изпълнението е както следва: 68</w:t>
      </w:r>
      <w:r>
        <w:rPr>
          <w:bCs/>
        </w:rPr>
        <w:t>,</w:t>
      </w:r>
      <w:r w:rsidRPr="00E14BA9">
        <w:rPr>
          <w:bCs/>
        </w:rPr>
        <w:t>12 % от общия размер са капиталови трансфери, 30</w:t>
      </w:r>
      <w:r>
        <w:rPr>
          <w:bCs/>
        </w:rPr>
        <w:t>,</w:t>
      </w:r>
      <w:r w:rsidRPr="00E14BA9">
        <w:rPr>
          <w:bCs/>
        </w:rPr>
        <w:t>06 % са субсидии, 1</w:t>
      </w:r>
      <w:r>
        <w:rPr>
          <w:bCs/>
        </w:rPr>
        <w:t>,</w:t>
      </w:r>
      <w:r w:rsidRPr="00E14BA9">
        <w:rPr>
          <w:bCs/>
        </w:rPr>
        <w:t>82 % предоставени текущи и капиталови трансфери за чужбина и 0</w:t>
      </w:r>
      <w:r>
        <w:rPr>
          <w:bCs/>
        </w:rPr>
        <w:t>,</w:t>
      </w:r>
      <w:r w:rsidRPr="00E14BA9">
        <w:rPr>
          <w:bCs/>
        </w:rPr>
        <w:t>001 % - издръжка.</w:t>
      </w:r>
    </w:p>
    <w:p w:rsidR="002B1377" w:rsidRPr="00E14BA9" w:rsidRDefault="002B1377" w:rsidP="002B1377">
      <w:pPr>
        <w:ind w:firstLine="684"/>
        <w:jc w:val="both"/>
        <w:rPr>
          <w:bCs/>
        </w:rPr>
      </w:pPr>
      <w:r w:rsidRPr="00E14BA9">
        <w:rPr>
          <w:bCs/>
        </w:rPr>
        <w:t>Трансферите (нето)</w:t>
      </w:r>
      <w:r>
        <w:rPr>
          <w:bCs/>
        </w:rPr>
        <w:t xml:space="preserve">, </w:t>
      </w:r>
      <w:r w:rsidRPr="00E14BA9">
        <w:rPr>
          <w:bCs/>
        </w:rPr>
        <w:t xml:space="preserve">временните безлихвени заеми (нето) </w:t>
      </w:r>
      <w:r>
        <w:rPr>
          <w:bCs/>
        </w:rPr>
        <w:t xml:space="preserve">и временна възмездна финансова помощ </w:t>
      </w:r>
      <w:r w:rsidRPr="00E14BA9">
        <w:rPr>
          <w:bCs/>
        </w:rPr>
        <w:t>за разглеждания период са в размер на 19</w:t>
      </w:r>
      <w:r>
        <w:rPr>
          <w:bCs/>
        </w:rPr>
        <w:t>5,5</w:t>
      </w:r>
      <w:r w:rsidRPr="00E14BA9">
        <w:rPr>
          <w:bCs/>
        </w:rPr>
        <w:t xml:space="preserve"> млн. лв. (включват предоставените трансфери към бенефициенти по Оперативните програми (ОП) на ЕС - програмни периоди 2007 – 2013 г. и 2014 – 2020 г., ПТСВГ за периода 2014 – 2020 г., ФМ на ЕИП и 2009 – 2014 г., НФМ 2009 – 2014 г. и за периода 2014–2021 г. и БШПС, както и възстановени суми по приключили проекти, възстановени недопустими разходи и др. от бенефициенти-бюджетни организации). В консолидираната отчетност на НФ са отразени и </w:t>
      </w:r>
      <w:r w:rsidRPr="00E14BA9">
        <w:rPr>
          <w:bCs/>
        </w:rPr>
        <w:lastRenderedPageBreak/>
        <w:t xml:space="preserve">трансфери (нето) към бенефициенти, които са за сметка на средства, предоставени на МРРБ от държавите-партньори </w:t>
      </w:r>
      <w:r>
        <w:rPr>
          <w:bCs/>
        </w:rPr>
        <w:t xml:space="preserve">по </w:t>
      </w:r>
      <w:r w:rsidRPr="00E14BA9">
        <w:rPr>
          <w:bCs/>
        </w:rPr>
        <w:t>ПТСВГ.</w:t>
      </w:r>
    </w:p>
    <w:p w:rsidR="002B1377" w:rsidRPr="00E14BA9" w:rsidRDefault="002B1377" w:rsidP="002B1377">
      <w:pPr>
        <w:ind w:firstLine="684"/>
        <w:jc w:val="both"/>
        <w:rPr>
          <w:bCs/>
        </w:rPr>
      </w:pPr>
      <w:r w:rsidRPr="00E14BA9">
        <w:rPr>
          <w:bCs/>
        </w:rPr>
        <w:t>Във връзка с изпълнение на ОП - програмни периоди 2007 – 2013 г. и 2014 – 2020 г. и ПТСВГ 2014 – 2020 г. по сметките на НФ са получени трансфери от централния бюджет на стойност 53</w:t>
      </w:r>
      <w:r>
        <w:rPr>
          <w:bCs/>
        </w:rPr>
        <w:t>,</w:t>
      </w:r>
      <w:r w:rsidRPr="00E14BA9">
        <w:rPr>
          <w:bCs/>
        </w:rPr>
        <w:t>8 млн. лева.</w:t>
      </w:r>
    </w:p>
    <w:p w:rsidR="002B1377" w:rsidRPr="00E14BA9" w:rsidRDefault="002B1377" w:rsidP="002B1377">
      <w:pPr>
        <w:ind w:firstLine="684"/>
        <w:jc w:val="both"/>
        <w:rPr>
          <w:bCs/>
        </w:rPr>
      </w:pPr>
      <w:r w:rsidRPr="00E14BA9">
        <w:rPr>
          <w:bCs/>
        </w:rPr>
        <w:t>Общата сума от други приходи, постъпили по сметките на НФ, са в размер на 0</w:t>
      </w:r>
      <w:r>
        <w:rPr>
          <w:bCs/>
        </w:rPr>
        <w:t>,</w:t>
      </w:r>
      <w:r w:rsidRPr="00E14BA9">
        <w:rPr>
          <w:bCs/>
        </w:rPr>
        <w:t>1 млн.</w:t>
      </w:r>
      <w:r>
        <w:rPr>
          <w:bCs/>
        </w:rPr>
        <w:t> </w:t>
      </w:r>
      <w:r w:rsidRPr="00E14BA9">
        <w:rPr>
          <w:bCs/>
        </w:rPr>
        <w:t>лв. Част от тях са натрупаните лихви в резултат на управлението на свободните средства в обслужващите търговски банки, като към 31.03.2018 г. те възлизат на 0</w:t>
      </w:r>
      <w:r>
        <w:rPr>
          <w:bCs/>
        </w:rPr>
        <w:t>,</w:t>
      </w:r>
      <w:r w:rsidRPr="00E14BA9">
        <w:rPr>
          <w:bCs/>
        </w:rPr>
        <w:t>06 млн. лева.</w:t>
      </w:r>
    </w:p>
    <w:p w:rsidR="002B1377" w:rsidRPr="00B53232" w:rsidRDefault="002B1377" w:rsidP="002B1377">
      <w:pPr>
        <w:jc w:val="both"/>
        <w:rPr>
          <w:color w:val="0070C0"/>
          <w:szCs w:val="20"/>
        </w:rPr>
      </w:pPr>
      <w:r w:rsidRPr="00E14BA9">
        <w:rPr>
          <w:bCs/>
        </w:rPr>
        <w:t>Наличностите по сметката за средства от ЕС на НФ към 31.03.2018 г. възлизат на 2</w:t>
      </w:r>
      <w:r>
        <w:rPr>
          <w:bCs/>
        </w:rPr>
        <w:t> </w:t>
      </w:r>
      <w:r w:rsidRPr="00E14BA9">
        <w:rPr>
          <w:bCs/>
        </w:rPr>
        <w:t>717</w:t>
      </w:r>
      <w:r>
        <w:rPr>
          <w:bCs/>
        </w:rPr>
        <w:t>,</w:t>
      </w:r>
      <w:r w:rsidRPr="00E14BA9">
        <w:rPr>
          <w:bCs/>
        </w:rPr>
        <w:t>5 млн.</w:t>
      </w:r>
      <w:r>
        <w:rPr>
          <w:bCs/>
        </w:rPr>
        <w:t> </w:t>
      </w:r>
      <w:r w:rsidRPr="00E14BA9">
        <w:rPr>
          <w:bCs/>
        </w:rPr>
        <w:t>лв. (в отчета на НФ са включени и наличностите на Фонда мениджър на финансови инструменти в България (Фонд на фондовете), които са в размер на 233</w:t>
      </w:r>
      <w:r>
        <w:rPr>
          <w:bCs/>
        </w:rPr>
        <w:t>,</w:t>
      </w:r>
      <w:r w:rsidRPr="00E14BA9">
        <w:rPr>
          <w:bCs/>
        </w:rPr>
        <w:t>2 млн. лв.), като в БНБ наличните средства са в размер на 2</w:t>
      </w:r>
      <w:r>
        <w:rPr>
          <w:bCs/>
        </w:rPr>
        <w:t> </w:t>
      </w:r>
      <w:r w:rsidRPr="00E14BA9">
        <w:rPr>
          <w:bCs/>
        </w:rPr>
        <w:t>685</w:t>
      </w:r>
      <w:r>
        <w:rPr>
          <w:bCs/>
        </w:rPr>
        <w:t>,</w:t>
      </w:r>
      <w:r w:rsidRPr="00E14BA9">
        <w:rPr>
          <w:bCs/>
        </w:rPr>
        <w:t>0 млн. лв., а в търговските банки (</w:t>
      </w:r>
      <w:proofErr w:type="spellStart"/>
      <w:r w:rsidRPr="00E14BA9">
        <w:rPr>
          <w:bCs/>
        </w:rPr>
        <w:t>УниКредит</w:t>
      </w:r>
      <w:proofErr w:type="spellEnd"/>
      <w:r w:rsidRPr="00E14BA9">
        <w:rPr>
          <w:bCs/>
        </w:rPr>
        <w:t xml:space="preserve"> Булбанк АД и Банка ДСК ЕАД) са в размер на 32</w:t>
      </w:r>
      <w:r>
        <w:rPr>
          <w:bCs/>
        </w:rPr>
        <w:t>,</w:t>
      </w:r>
      <w:r w:rsidRPr="00E14BA9">
        <w:rPr>
          <w:bCs/>
        </w:rPr>
        <w:t>5 млн. лева.</w:t>
      </w:r>
    </w:p>
    <w:p w:rsidR="002B1377" w:rsidRPr="00FB53C7" w:rsidRDefault="002B1377" w:rsidP="002B1377">
      <w:pPr>
        <w:spacing w:before="120"/>
        <w:ind w:firstLine="686"/>
        <w:jc w:val="both"/>
        <w:rPr>
          <w:b/>
          <w:bCs/>
        </w:rPr>
      </w:pPr>
      <w:r w:rsidRPr="00FB53C7">
        <w:rPr>
          <w:b/>
          <w:bCs/>
        </w:rPr>
        <w:t xml:space="preserve">Структурни и </w:t>
      </w:r>
      <w:proofErr w:type="spellStart"/>
      <w:r w:rsidRPr="00FB53C7">
        <w:rPr>
          <w:b/>
          <w:bCs/>
        </w:rPr>
        <w:t>Кохезионен</w:t>
      </w:r>
      <w:proofErr w:type="spellEnd"/>
      <w:r w:rsidRPr="00FB53C7">
        <w:rPr>
          <w:b/>
          <w:bCs/>
        </w:rPr>
        <w:t xml:space="preserve"> фондове </w:t>
      </w:r>
      <w:r w:rsidRPr="00FB53C7">
        <w:rPr>
          <w:b/>
          <w:snapToGrid w:val="0"/>
          <w:szCs w:val="20"/>
        </w:rPr>
        <w:t>(СКФ) 2007 – 2013 г.</w:t>
      </w:r>
    </w:p>
    <w:p w:rsidR="002B1377" w:rsidRPr="00FB53C7" w:rsidRDefault="002B1377" w:rsidP="002B1377">
      <w:pPr>
        <w:ind w:firstLine="684"/>
        <w:jc w:val="both"/>
        <w:rPr>
          <w:szCs w:val="20"/>
        </w:rPr>
      </w:pPr>
      <w:r w:rsidRPr="00FB53C7">
        <w:rPr>
          <w:bCs/>
          <w:lang w:eastAsia="bg-BG"/>
        </w:rPr>
        <w:tab/>
      </w:r>
      <w:r w:rsidRPr="00FB53C7">
        <w:rPr>
          <w:szCs w:val="20"/>
        </w:rPr>
        <w:t>Направените разходи (нето) по Оперативни програми и трансферите (нето) към бюджетни организации за периода са в размер на 10</w:t>
      </w:r>
      <w:r>
        <w:rPr>
          <w:szCs w:val="20"/>
        </w:rPr>
        <w:t>,</w:t>
      </w:r>
      <w:r w:rsidRPr="00FB53C7">
        <w:rPr>
          <w:szCs w:val="20"/>
        </w:rPr>
        <w:t>7 млн. лева.</w:t>
      </w:r>
    </w:p>
    <w:p w:rsidR="002B1377" w:rsidRPr="00FB53C7" w:rsidRDefault="002B1377" w:rsidP="002B1377">
      <w:pPr>
        <w:tabs>
          <w:tab w:val="num" w:pos="0"/>
        </w:tabs>
        <w:ind w:firstLine="737"/>
        <w:jc w:val="both"/>
        <w:rPr>
          <w:bCs/>
          <w:color w:val="0070C0"/>
          <w:lang w:eastAsia="bg-BG"/>
        </w:rPr>
      </w:pPr>
      <w:r w:rsidRPr="00FB53C7">
        <w:rPr>
          <w:bCs/>
          <w:lang w:eastAsia="bg-BG"/>
        </w:rPr>
        <w:t>През отчетния период е възстановено авансово финансиране в размер на 10</w:t>
      </w:r>
      <w:r>
        <w:rPr>
          <w:bCs/>
          <w:lang w:eastAsia="bg-BG"/>
        </w:rPr>
        <w:t>,</w:t>
      </w:r>
      <w:r w:rsidRPr="00FB53C7">
        <w:rPr>
          <w:bCs/>
          <w:lang w:eastAsia="bg-BG"/>
        </w:rPr>
        <w:t>9 млн.</w:t>
      </w:r>
      <w:r>
        <w:rPr>
          <w:bCs/>
          <w:lang w:eastAsia="bg-BG"/>
        </w:rPr>
        <w:t> </w:t>
      </w:r>
      <w:r w:rsidRPr="00FB53C7">
        <w:rPr>
          <w:bCs/>
          <w:lang w:eastAsia="bg-BG"/>
        </w:rPr>
        <w:t>л</w:t>
      </w:r>
      <w:r>
        <w:rPr>
          <w:bCs/>
          <w:lang w:eastAsia="bg-BG"/>
        </w:rPr>
        <w:t>е</w:t>
      </w:r>
      <w:r w:rsidRPr="00FB53C7">
        <w:rPr>
          <w:bCs/>
          <w:lang w:eastAsia="bg-BG"/>
        </w:rPr>
        <w:t>в</w:t>
      </w:r>
      <w:r>
        <w:rPr>
          <w:bCs/>
          <w:lang w:eastAsia="bg-BG"/>
        </w:rPr>
        <w:t>а</w:t>
      </w:r>
      <w:r w:rsidRPr="00FB53C7">
        <w:rPr>
          <w:bCs/>
          <w:lang w:eastAsia="bg-BG"/>
        </w:rPr>
        <w:t xml:space="preserve">. </w:t>
      </w:r>
    </w:p>
    <w:p w:rsidR="002B1377" w:rsidRPr="00FB53C7" w:rsidRDefault="002B1377" w:rsidP="002B1377">
      <w:pPr>
        <w:tabs>
          <w:tab w:val="left" w:pos="570"/>
          <w:tab w:val="num" w:pos="741"/>
        </w:tabs>
        <w:spacing w:before="120"/>
        <w:jc w:val="both"/>
        <w:rPr>
          <w:b/>
          <w:bCs/>
        </w:rPr>
      </w:pPr>
      <w:r w:rsidRPr="00FB53C7">
        <w:rPr>
          <w:color w:val="0070C0"/>
          <w:szCs w:val="20"/>
        </w:rPr>
        <w:tab/>
        <w:t xml:space="preserve"> </w:t>
      </w:r>
      <w:r w:rsidRPr="00FB53C7">
        <w:rPr>
          <w:b/>
          <w:bCs/>
        </w:rPr>
        <w:t xml:space="preserve">Европейски фонд за регионално развитие, Европейски социален фонд (включително Инициативата за младежка заетост), </w:t>
      </w:r>
      <w:proofErr w:type="spellStart"/>
      <w:r w:rsidRPr="00FB53C7">
        <w:rPr>
          <w:b/>
          <w:bCs/>
        </w:rPr>
        <w:t>Кохезионния</w:t>
      </w:r>
      <w:proofErr w:type="spellEnd"/>
      <w:r w:rsidRPr="00FB53C7">
        <w:rPr>
          <w:b/>
          <w:bCs/>
        </w:rPr>
        <w:t xml:space="preserve"> фонд и ФЕПНЛ на Европейския съюз за финансова рамка 2014 – 2020 г.</w:t>
      </w:r>
    </w:p>
    <w:p w:rsidR="002B1377" w:rsidRPr="00FB53C7" w:rsidRDefault="002B1377" w:rsidP="002B1377">
      <w:pPr>
        <w:tabs>
          <w:tab w:val="left" w:pos="570"/>
          <w:tab w:val="num" w:pos="741"/>
        </w:tabs>
        <w:jc w:val="both"/>
        <w:rPr>
          <w:bCs/>
          <w:szCs w:val="20"/>
        </w:rPr>
      </w:pPr>
      <w:r w:rsidRPr="00FB53C7">
        <w:rPr>
          <w:szCs w:val="20"/>
        </w:rPr>
        <w:tab/>
      </w:r>
      <w:r w:rsidRPr="00FB53C7">
        <w:rPr>
          <w:bCs/>
        </w:rPr>
        <w:t>Общо получените средства за периода са в размер на 77</w:t>
      </w:r>
      <w:r>
        <w:rPr>
          <w:bCs/>
        </w:rPr>
        <w:t>,</w:t>
      </w:r>
      <w:r w:rsidRPr="00FB53C7">
        <w:rPr>
          <w:bCs/>
        </w:rPr>
        <w:t xml:space="preserve">7 </w:t>
      </w:r>
      <w:r w:rsidRPr="00FB53C7">
        <w:rPr>
          <w:bCs/>
          <w:szCs w:val="20"/>
        </w:rPr>
        <w:t>млн. лв., включващи</w:t>
      </w:r>
      <w:r w:rsidRPr="00FB53C7">
        <w:rPr>
          <w:szCs w:val="20"/>
        </w:rPr>
        <w:t xml:space="preserve"> възстановени средства от ЕК и са разпределени както следва:</w:t>
      </w:r>
    </w:p>
    <w:p w:rsidR="002B1377" w:rsidRPr="00FB53C7" w:rsidRDefault="002B1377" w:rsidP="002B1377">
      <w:pPr>
        <w:numPr>
          <w:ilvl w:val="0"/>
          <w:numId w:val="12"/>
        </w:numPr>
        <w:tabs>
          <w:tab w:val="num" w:pos="786"/>
        </w:tabs>
        <w:spacing w:after="120"/>
        <w:ind w:left="737" w:hanging="357"/>
        <w:jc w:val="both"/>
        <w:rPr>
          <w:bCs/>
          <w:lang w:eastAsia="bg-BG"/>
        </w:rPr>
      </w:pPr>
      <w:r w:rsidRPr="00FB53C7">
        <w:rPr>
          <w:bCs/>
          <w:lang w:eastAsia="bg-BG"/>
        </w:rPr>
        <w:t>ОП „Иновации и конкурентоспособност” – 12</w:t>
      </w:r>
      <w:r>
        <w:rPr>
          <w:bCs/>
          <w:lang w:eastAsia="bg-BG"/>
        </w:rPr>
        <w:t>,</w:t>
      </w:r>
      <w:r w:rsidRPr="00FB53C7">
        <w:rPr>
          <w:bCs/>
          <w:lang w:eastAsia="bg-BG"/>
        </w:rPr>
        <w:t>8 млн. л</w:t>
      </w:r>
      <w:r>
        <w:rPr>
          <w:bCs/>
          <w:lang w:eastAsia="bg-BG"/>
        </w:rPr>
        <w:t>е</w:t>
      </w:r>
      <w:r w:rsidRPr="00FB53C7">
        <w:rPr>
          <w:bCs/>
          <w:lang w:eastAsia="bg-BG"/>
        </w:rPr>
        <w:t>в</w:t>
      </w:r>
      <w:r>
        <w:rPr>
          <w:bCs/>
          <w:lang w:eastAsia="bg-BG"/>
        </w:rPr>
        <w:t>а</w:t>
      </w:r>
      <w:r w:rsidRPr="00FB53C7">
        <w:rPr>
          <w:bCs/>
          <w:lang w:eastAsia="bg-BG"/>
        </w:rPr>
        <w:t xml:space="preserve">;  </w:t>
      </w:r>
    </w:p>
    <w:p w:rsidR="002B1377" w:rsidRPr="00FB53C7" w:rsidRDefault="002B1377" w:rsidP="002B1377">
      <w:pPr>
        <w:numPr>
          <w:ilvl w:val="0"/>
          <w:numId w:val="12"/>
        </w:numPr>
        <w:tabs>
          <w:tab w:val="num" w:pos="786"/>
        </w:tabs>
        <w:spacing w:after="120"/>
        <w:ind w:left="737" w:hanging="357"/>
        <w:jc w:val="both"/>
        <w:rPr>
          <w:bCs/>
          <w:lang w:eastAsia="bg-BG"/>
        </w:rPr>
      </w:pPr>
      <w:r w:rsidRPr="00FB53C7">
        <w:rPr>
          <w:bCs/>
          <w:lang w:eastAsia="bg-BG"/>
        </w:rPr>
        <w:t>ОП „Добро управление” – 2</w:t>
      </w:r>
      <w:r>
        <w:rPr>
          <w:bCs/>
          <w:lang w:eastAsia="bg-BG"/>
        </w:rPr>
        <w:t>,</w:t>
      </w:r>
      <w:r w:rsidRPr="00FB53C7">
        <w:rPr>
          <w:bCs/>
          <w:lang w:eastAsia="bg-BG"/>
        </w:rPr>
        <w:t>3 млн. л</w:t>
      </w:r>
      <w:r>
        <w:rPr>
          <w:bCs/>
          <w:lang w:eastAsia="bg-BG"/>
        </w:rPr>
        <w:t>е</w:t>
      </w:r>
      <w:r w:rsidRPr="00FB53C7">
        <w:rPr>
          <w:bCs/>
          <w:lang w:eastAsia="bg-BG"/>
        </w:rPr>
        <w:t>в</w:t>
      </w:r>
      <w:r>
        <w:rPr>
          <w:bCs/>
          <w:lang w:eastAsia="bg-BG"/>
        </w:rPr>
        <w:t>а</w:t>
      </w:r>
      <w:r w:rsidRPr="00FB53C7">
        <w:rPr>
          <w:bCs/>
          <w:lang w:eastAsia="bg-BG"/>
        </w:rPr>
        <w:t>;</w:t>
      </w:r>
    </w:p>
    <w:p w:rsidR="002B1377" w:rsidRPr="00FB53C7" w:rsidRDefault="002B1377" w:rsidP="002B1377">
      <w:pPr>
        <w:numPr>
          <w:ilvl w:val="0"/>
          <w:numId w:val="12"/>
        </w:numPr>
        <w:tabs>
          <w:tab w:val="num" w:pos="786"/>
        </w:tabs>
        <w:spacing w:after="120"/>
        <w:ind w:left="737" w:hanging="357"/>
        <w:jc w:val="both"/>
        <w:rPr>
          <w:bCs/>
          <w:lang w:eastAsia="bg-BG"/>
        </w:rPr>
      </w:pPr>
      <w:r w:rsidRPr="00FB53C7">
        <w:rPr>
          <w:bCs/>
          <w:lang w:eastAsia="bg-BG"/>
        </w:rPr>
        <w:t>ОП „Транспорт и транспортна инфраструктура” – 7</w:t>
      </w:r>
      <w:r>
        <w:rPr>
          <w:bCs/>
          <w:lang w:eastAsia="bg-BG"/>
        </w:rPr>
        <w:t>,</w:t>
      </w:r>
      <w:r w:rsidRPr="00FB53C7">
        <w:rPr>
          <w:bCs/>
          <w:lang w:eastAsia="bg-BG"/>
        </w:rPr>
        <w:t>5 млн. л</w:t>
      </w:r>
      <w:r>
        <w:rPr>
          <w:bCs/>
          <w:lang w:eastAsia="bg-BG"/>
        </w:rPr>
        <w:t>е</w:t>
      </w:r>
      <w:r w:rsidRPr="00FB53C7">
        <w:rPr>
          <w:bCs/>
          <w:lang w:eastAsia="bg-BG"/>
        </w:rPr>
        <w:t>в</w:t>
      </w:r>
      <w:r>
        <w:rPr>
          <w:bCs/>
          <w:lang w:eastAsia="bg-BG"/>
        </w:rPr>
        <w:t>а</w:t>
      </w:r>
      <w:r w:rsidRPr="00FB53C7">
        <w:rPr>
          <w:bCs/>
          <w:lang w:eastAsia="bg-BG"/>
        </w:rPr>
        <w:t xml:space="preserve">; </w:t>
      </w:r>
    </w:p>
    <w:p w:rsidR="002B1377" w:rsidRPr="00FB53C7" w:rsidRDefault="002B1377" w:rsidP="002B1377">
      <w:pPr>
        <w:numPr>
          <w:ilvl w:val="0"/>
          <w:numId w:val="12"/>
        </w:numPr>
        <w:tabs>
          <w:tab w:val="num" w:pos="786"/>
        </w:tabs>
        <w:spacing w:after="120"/>
        <w:ind w:left="737" w:hanging="357"/>
        <w:jc w:val="both"/>
        <w:rPr>
          <w:bCs/>
          <w:lang w:eastAsia="bg-BG"/>
        </w:rPr>
      </w:pPr>
      <w:r w:rsidRPr="00FB53C7">
        <w:rPr>
          <w:bCs/>
          <w:lang w:eastAsia="bg-BG"/>
        </w:rPr>
        <w:t>ОП „Развитие на човешките ресурси 2014 - 2020 г.” – 18</w:t>
      </w:r>
      <w:r>
        <w:rPr>
          <w:bCs/>
          <w:lang w:eastAsia="bg-BG"/>
        </w:rPr>
        <w:t>,</w:t>
      </w:r>
      <w:r w:rsidRPr="00FB53C7">
        <w:rPr>
          <w:bCs/>
          <w:lang w:eastAsia="bg-BG"/>
        </w:rPr>
        <w:t>4 млн. л</w:t>
      </w:r>
      <w:r>
        <w:rPr>
          <w:bCs/>
          <w:lang w:eastAsia="bg-BG"/>
        </w:rPr>
        <w:t>е</w:t>
      </w:r>
      <w:r w:rsidRPr="00FB53C7">
        <w:rPr>
          <w:bCs/>
          <w:lang w:eastAsia="bg-BG"/>
        </w:rPr>
        <w:t>в</w:t>
      </w:r>
      <w:r>
        <w:rPr>
          <w:bCs/>
          <w:lang w:eastAsia="bg-BG"/>
        </w:rPr>
        <w:t>а</w:t>
      </w:r>
      <w:r w:rsidRPr="00FB53C7">
        <w:rPr>
          <w:bCs/>
          <w:lang w:eastAsia="bg-BG"/>
        </w:rPr>
        <w:t>;</w:t>
      </w:r>
    </w:p>
    <w:p w:rsidR="002B1377" w:rsidRPr="00FB53C7" w:rsidRDefault="002B1377" w:rsidP="002B1377">
      <w:pPr>
        <w:numPr>
          <w:ilvl w:val="0"/>
          <w:numId w:val="12"/>
        </w:numPr>
        <w:tabs>
          <w:tab w:val="num" w:pos="786"/>
        </w:tabs>
        <w:spacing w:after="120"/>
        <w:ind w:left="737" w:hanging="357"/>
        <w:jc w:val="both"/>
        <w:rPr>
          <w:bCs/>
          <w:lang w:eastAsia="bg-BG"/>
        </w:rPr>
      </w:pPr>
      <w:r w:rsidRPr="00FB53C7">
        <w:rPr>
          <w:bCs/>
          <w:lang w:eastAsia="bg-BG"/>
        </w:rPr>
        <w:t>Инициативата за младежка заетост – 6</w:t>
      </w:r>
      <w:r>
        <w:rPr>
          <w:bCs/>
          <w:lang w:eastAsia="bg-BG"/>
        </w:rPr>
        <w:t>,</w:t>
      </w:r>
      <w:r w:rsidRPr="00FB53C7">
        <w:rPr>
          <w:bCs/>
          <w:lang w:eastAsia="bg-BG"/>
        </w:rPr>
        <w:t>3 млн. л</w:t>
      </w:r>
      <w:r>
        <w:rPr>
          <w:bCs/>
          <w:lang w:eastAsia="bg-BG"/>
        </w:rPr>
        <w:t>е</w:t>
      </w:r>
      <w:r w:rsidRPr="00FB53C7">
        <w:rPr>
          <w:bCs/>
          <w:lang w:eastAsia="bg-BG"/>
        </w:rPr>
        <w:t>в</w:t>
      </w:r>
      <w:r>
        <w:rPr>
          <w:bCs/>
          <w:lang w:eastAsia="bg-BG"/>
        </w:rPr>
        <w:t>а</w:t>
      </w:r>
      <w:r w:rsidRPr="00FB53C7">
        <w:rPr>
          <w:bCs/>
          <w:lang w:eastAsia="bg-BG"/>
        </w:rPr>
        <w:t>;</w:t>
      </w:r>
    </w:p>
    <w:p w:rsidR="002B1377" w:rsidRPr="00FB53C7" w:rsidRDefault="002B1377" w:rsidP="002B1377">
      <w:pPr>
        <w:numPr>
          <w:ilvl w:val="0"/>
          <w:numId w:val="12"/>
        </w:numPr>
        <w:tabs>
          <w:tab w:val="num" w:pos="786"/>
        </w:tabs>
        <w:spacing w:after="120"/>
        <w:ind w:left="737" w:hanging="357"/>
        <w:jc w:val="both"/>
        <w:rPr>
          <w:bCs/>
          <w:lang w:eastAsia="bg-BG"/>
        </w:rPr>
      </w:pPr>
      <w:r w:rsidRPr="00FB53C7">
        <w:rPr>
          <w:bCs/>
          <w:lang w:eastAsia="bg-BG"/>
        </w:rPr>
        <w:t>ОП за храни и/или основно материално подпомагане от Фонда за европейско подпомагане на най-нуждаещите се лица в България за периода 2014 – 2020 г. – 3</w:t>
      </w:r>
      <w:r>
        <w:rPr>
          <w:bCs/>
          <w:lang w:eastAsia="bg-BG"/>
        </w:rPr>
        <w:t>,</w:t>
      </w:r>
      <w:r w:rsidRPr="00FB53C7">
        <w:rPr>
          <w:bCs/>
          <w:lang w:eastAsia="bg-BG"/>
        </w:rPr>
        <w:t>6 млн. лв. и</w:t>
      </w:r>
    </w:p>
    <w:p w:rsidR="002B1377" w:rsidRPr="00FB53C7" w:rsidRDefault="002B1377" w:rsidP="002B1377">
      <w:pPr>
        <w:numPr>
          <w:ilvl w:val="0"/>
          <w:numId w:val="12"/>
        </w:numPr>
        <w:tabs>
          <w:tab w:val="num" w:pos="786"/>
        </w:tabs>
        <w:spacing w:after="120"/>
        <w:ind w:left="737" w:hanging="357"/>
        <w:jc w:val="both"/>
        <w:rPr>
          <w:bCs/>
          <w:lang w:eastAsia="bg-BG"/>
        </w:rPr>
      </w:pPr>
      <w:r w:rsidRPr="00FB53C7">
        <w:rPr>
          <w:bCs/>
          <w:lang w:eastAsia="bg-BG"/>
        </w:rPr>
        <w:t>ОП „Региони в растеж“ – 26</w:t>
      </w:r>
      <w:r>
        <w:rPr>
          <w:bCs/>
          <w:lang w:eastAsia="bg-BG"/>
        </w:rPr>
        <w:t>,</w:t>
      </w:r>
      <w:r w:rsidRPr="00FB53C7">
        <w:rPr>
          <w:bCs/>
          <w:lang w:eastAsia="bg-BG"/>
        </w:rPr>
        <w:t>8</w:t>
      </w:r>
      <w:r w:rsidRPr="00FB53C7">
        <w:rPr>
          <w:rFonts w:ascii="Arial" w:hAnsi="Arial"/>
          <w:bCs/>
          <w:lang w:eastAsia="bg-BG"/>
        </w:rPr>
        <w:t xml:space="preserve"> </w:t>
      </w:r>
      <w:r w:rsidRPr="00FB53C7">
        <w:rPr>
          <w:bCs/>
          <w:lang w:eastAsia="bg-BG"/>
        </w:rPr>
        <w:t>млн. л</w:t>
      </w:r>
      <w:r>
        <w:rPr>
          <w:bCs/>
          <w:lang w:eastAsia="bg-BG"/>
        </w:rPr>
        <w:t>е</w:t>
      </w:r>
      <w:r w:rsidRPr="00FB53C7">
        <w:rPr>
          <w:bCs/>
          <w:lang w:eastAsia="bg-BG"/>
        </w:rPr>
        <w:t>в</w:t>
      </w:r>
      <w:r>
        <w:rPr>
          <w:bCs/>
          <w:lang w:eastAsia="bg-BG"/>
        </w:rPr>
        <w:t>а</w:t>
      </w:r>
      <w:r w:rsidRPr="00FB53C7">
        <w:rPr>
          <w:bCs/>
          <w:lang w:eastAsia="bg-BG"/>
        </w:rPr>
        <w:t>.</w:t>
      </w:r>
    </w:p>
    <w:p w:rsidR="002B1377" w:rsidRPr="00FB53C7" w:rsidRDefault="002B1377" w:rsidP="002B1377">
      <w:pPr>
        <w:ind w:firstLine="686"/>
        <w:jc w:val="both"/>
        <w:rPr>
          <w:bCs/>
          <w:szCs w:val="20"/>
        </w:rPr>
      </w:pPr>
      <w:r w:rsidRPr="00FB53C7">
        <w:rPr>
          <w:bCs/>
          <w:color w:val="0070C0"/>
          <w:lang w:eastAsia="bg-BG"/>
        </w:rPr>
        <w:tab/>
      </w:r>
      <w:r w:rsidRPr="00FB53C7">
        <w:rPr>
          <w:bCs/>
          <w:szCs w:val="20"/>
        </w:rPr>
        <w:t>Направените разходи (нето) по Оперативни програми и трансферите (нето) към бюджетни организации и операции с активи за първото тримесечие на годината са в размер на 369</w:t>
      </w:r>
      <w:r>
        <w:rPr>
          <w:bCs/>
          <w:szCs w:val="20"/>
        </w:rPr>
        <w:t>,</w:t>
      </w:r>
      <w:r w:rsidRPr="00FB53C7">
        <w:rPr>
          <w:bCs/>
          <w:szCs w:val="20"/>
        </w:rPr>
        <w:t>1 млн. лв., като разпределението по Оперативни програми е следното:</w:t>
      </w:r>
    </w:p>
    <w:p w:rsidR="002B1377" w:rsidRPr="00FB53C7" w:rsidRDefault="002B1377" w:rsidP="002B1377">
      <w:pPr>
        <w:numPr>
          <w:ilvl w:val="0"/>
          <w:numId w:val="12"/>
        </w:numPr>
        <w:tabs>
          <w:tab w:val="num" w:pos="786"/>
        </w:tabs>
        <w:spacing w:after="120"/>
        <w:ind w:left="786"/>
        <w:jc w:val="both"/>
        <w:rPr>
          <w:bCs/>
          <w:szCs w:val="20"/>
        </w:rPr>
      </w:pPr>
      <w:r w:rsidRPr="00FB53C7">
        <w:rPr>
          <w:bCs/>
          <w:lang w:eastAsia="bg-BG"/>
        </w:rPr>
        <w:t>ОП</w:t>
      </w:r>
      <w:r w:rsidRPr="00FB53C7">
        <w:rPr>
          <w:bCs/>
          <w:szCs w:val="20"/>
        </w:rPr>
        <w:t xml:space="preserve"> „Развитие на човешките ресурси 2014 - 2020 г.” – 49</w:t>
      </w:r>
      <w:r>
        <w:rPr>
          <w:bCs/>
          <w:szCs w:val="20"/>
        </w:rPr>
        <w:t>,</w:t>
      </w:r>
      <w:r w:rsidRPr="00FB53C7">
        <w:rPr>
          <w:bCs/>
          <w:szCs w:val="20"/>
        </w:rPr>
        <w:t>5 млн. л</w:t>
      </w:r>
      <w:r>
        <w:rPr>
          <w:bCs/>
          <w:szCs w:val="20"/>
        </w:rPr>
        <w:t>е</w:t>
      </w:r>
      <w:r w:rsidRPr="00FB53C7">
        <w:rPr>
          <w:bCs/>
          <w:szCs w:val="20"/>
        </w:rPr>
        <w:t>в</w:t>
      </w:r>
      <w:r>
        <w:rPr>
          <w:bCs/>
          <w:szCs w:val="20"/>
        </w:rPr>
        <w:t>а</w:t>
      </w:r>
      <w:r w:rsidRPr="00FB53C7">
        <w:rPr>
          <w:bCs/>
          <w:szCs w:val="20"/>
        </w:rPr>
        <w:t>;</w:t>
      </w:r>
    </w:p>
    <w:p w:rsidR="002B1377" w:rsidRPr="00FB53C7" w:rsidRDefault="002B1377" w:rsidP="002B1377">
      <w:pPr>
        <w:numPr>
          <w:ilvl w:val="0"/>
          <w:numId w:val="12"/>
        </w:numPr>
        <w:tabs>
          <w:tab w:val="num" w:pos="786"/>
        </w:tabs>
        <w:spacing w:after="120"/>
        <w:ind w:left="786"/>
        <w:jc w:val="both"/>
        <w:rPr>
          <w:bCs/>
          <w:szCs w:val="20"/>
        </w:rPr>
      </w:pPr>
      <w:r w:rsidRPr="00FB53C7">
        <w:rPr>
          <w:bCs/>
          <w:szCs w:val="20"/>
        </w:rPr>
        <w:t>Инициативата за младежка заетост – 6</w:t>
      </w:r>
      <w:r>
        <w:rPr>
          <w:bCs/>
          <w:szCs w:val="20"/>
        </w:rPr>
        <w:t>,</w:t>
      </w:r>
      <w:r w:rsidRPr="00FB53C7">
        <w:rPr>
          <w:bCs/>
          <w:szCs w:val="20"/>
        </w:rPr>
        <w:t>3 млн. л</w:t>
      </w:r>
      <w:r>
        <w:rPr>
          <w:bCs/>
          <w:szCs w:val="20"/>
        </w:rPr>
        <w:t>е</w:t>
      </w:r>
      <w:r w:rsidRPr="00FB53C7">
        <w:rPr>
          <w:bCs/>
          <w:szCs w:val="20"/>
        </w:rPr>
        <w:t>в</w:t>
      </w:r>
      <w:r>
        <w:rPr>
          <w:bCs/>
          <w:szCs w:val="20"/>
        </w:rPr>
        <w:t>а</w:t>
      </w:r>
      <w:r w:rsidRPr="00FB53C7">
        <w:rPr>
          <w:bCs/>
          <w:szCs w:val="20"/>
        </w:rPr>
        <w:t>;</w:t>
      </w:r>
    </w:p>
    <w:p w:rsidR="002B1377" w:rsidRPr="00FB53C7" w:rsidRDefault="002B1377" w:rsidP="002B1377">
      <w:pPr>
        <w:numPr>
          <w:ilvl w:val="0"/>
          <w:numId w:val="12"/>
        </w:numPr>
        <w:tabs>
          <w:tab w:val="num" w:pos="786"/>
        </w:tabs>
        <w:spacing w:after="120"/>
        <w:ind w:left="786"/>
        <w:jc w:val="both"/>
        <w:rPr>
          <w:bCs/>
          <w:szCs w:val="20"/>
        </w:rPr>
      </w:pPr>
      <w:r w:rsidRPr="00FB53C7">
        <w:rPr>
          <w:bCs/>
          <w:szCs w:val="20"/>
        </w:rPr>
        <w:t>ОП за храни и/или основно материално подпомагане от Фонда за европейско подпомагане на най-нуждаещите се лица в България за периода 2014 – 2020 г. – 6</w:t>
      </w:r>
      <w:r>
        <w:rPr>
          <w:bCs/>
          <w:szCs w:val="20"/>
        </w:rPr>
        <w:t>,</w:t>
      </w:r>
      <w:r w:rsidRPr="00FB53C7">
        <w:rPr>
          <w:bCs/>
          <w:szCs w:val="20"/>
        </w:rPr>
        <w:t>9 млн. лева;</w:t>
      </w:r>
    </w:p>
    <w:p w:rsidR="002B1377" w:rsidRPr="00FB53C7" w:rsidRDefault="002B1377" w:rsidP="002B1377">
      <w:pPr>
        <w:numPr>
          <w:ilvl w:val="0"/>
          <w:numId w:val="12"/>
        </w:numPr>
        <w:tabs>
          <w:tab w:val="num" w:pos="786"/>
        </w:tabs>
        <w:spacing w:after="120"/>
        <w:ind w:left="737" w:hanging="357"/>
        <w:jc w:val="both"/>
        <w:rPr>
          <w:bCs/>
          <w:szCs w:val="20"/>
        </w:rPr>
      </w:pPr>
      <w:r w:rsidRPr="00FB53C7">
        <w:rPr>
          <w:bCs/>
          <w:szCs w:val="20"/>
        </w:rPr>
        <w:t>ОП „Иновации и конкурентоспособност” – 75</w:t>
      </w:r>
      <w:r>
        <w:rPr>
          <w:bCs/>
          <w:szCs w:val="20"/>
        </w:rPr>
        <w:t>,</w:t>
      </w:r>
      <w:r w:rsidRPr="00FB53C7">
        <w:rPr>
          <w:bCs/>
          <w:szCs w:val="20"/>
        </w:rPr>
        <w:t>0 млн. л</w:t>
      </w:r>
      <w:r>
        <w:rPr>
          <w:bCs/>
          <w:szCs w:val="20"/>
        </w:rPr>
        <w:t>е</w:t>
      </w:r>
      <w:r w:rsidRPr="00FB53C7">
        <w:rPr>
          <w:bCs/>
          <w:szCs w:val="20"/>
        </w:rPr>
        <w:t>в</w:t>
      </w:r>
      <w:r>
        <w:rPr>
          <w:bCs/>
          <w:szCs w:val="20"/>
        </w:rPr>
        <w:t>а</w:t>
      </w:r>
      <w:r w:rsidRPr="00FB53C7">
        <w:rPr>
          <w:bCs/>
          <w:szCs w:val="20"/>
        </w:rPr>
        <w:t>;</w:t>
      </w:r>
    </w:p>
    <w:p w:rsidR="002B1377" w:rsidRPr="00FB53C7" w:rsidRDefault="002B1377" w:rsidP="002B1377">
      <w:pPr>
        <w:numPr>
          <w:ilvl w:val="0"/>
          <w:numId w:val="12"/>
        </w:numPr>
        <w:tabs>
          <w:tab w:val="num" w:pos="786"/>
        </w:tabs>
        <w:spacing w:after="120"/>
        <w:ind w:left="737" w:hanging="357"/>
        <w:jc w:val="both"/>
        <w:rPr>
          <w:bCs/>
          <w:szCs w:val="20"/>
        </w:rPr>
      </w:pPr>
      <w:r w:rsidRPr="00FB53C7">
        <w:rPr>
          <w:bCs/>
          <w:szCs w:val="20"/>
        </w:rPr>
        <w:t>ОП „Добро управление” – 8</w:t>
      </w:r>
      <w:r>
        <w:rPr>
          <w:bCs/>
          <w:szCs w:val="20"/>
        </w:rPr>
        <w:t>,</w:t>
      </w:r>
      <w:r w:rsidRPr="00FB53C7">
        <w:rPr>
          <w:bCs/>
          <w:szCs w:val="20"/>
        </w:rPr>
        <w:t>4 млн. л</w:t>
      </w:r>
      <w:r>
        <w:rPr>
          <w:bCs/>
          <w:szCs w:val="20"/>
        </w:rPr>
        <w:t>е</w:t>
      </w:r>
      <w:r w:rsidRPr="00FB53C7">
        <w:rPr>
          <w:bCs/>
          <w:szCs w:val="20"/>
        </w:rPr>
        <w:t>в</w:t>
      </w:r>
      <w:r>
        <w:rPr>
          <w:bCs/>
          <w:szCs w:val="20"/>
        </w:rPr>
        <w:t>а</w:t>
      </w:r>
      <w:r w:rsidRPr="00FB53C7">
        <w:rPr>
          <w:bCs/>
          <w:szCs w:val="20"/>
        </w:rPr>
        <w:t>;</w:t>
      </w:r>
    </w:p>
    <w:p w:rsidR="002B1377" w:rsidRPr="00FB53C7" w:rsidRDefault="002B1377" w:rsidP="002B1377">
      <w:pPr>
        <w:numPr>
          <w:ilvl w:val="0"/>
          <w:numId w:val="12"/>
        </w:numPr>
        <w:tabs>
          <w:tab w:val="num" w:pos="786"/>
        </w:tabs>
        <w:spacing w:after="120"/>
        <w:ind w:left="737" w:hanging="357"/>
        <w:jc w:val="both"/>
        <w:rPr>
          <w:bCs/>
          <w:szCs w:val="20"/>
        </w:rPr>
      </w:pPr>
      <w:r w:rsidRPr="00FB53C7">
        <w:rPr>
          <w:bCs/>
          <w:szCs w:val="20"/>
        </w:rPr>
        <w:t>ОП „Региони в растеж“ – 66</w:t>
      </w:r>
      <w:r>
        <w:rPr>
          <w:bCs/>
          <w:szCs w:val="20"/>
        </w:rPr>
        <w:t>,</w:t>
      </w:r>
      <w:r w:rsidRPr="00FB53C7">
        <w:rPr>
          <w:bCs/>
          <w:szCs w:val="20"/>
        </w:rPr>
        <w:t>1 млн. л</w:t>
      </w:r>
      <w:r>
        <w:rPr>
          <w:bCs/>
          <w:szCs w:val="20"/>
        </w:rPr>
        <w:t>е</w:t>
      </w:r>
      <w:r w:rsidRPr="00FB53C7">
        <w:rPr>
          <w:bCs/>
          <w:szCs w:val="20"/>
        </w:rPr>
        <w:t>в</w:t>
      </w:r>
      <w:r>
        <w:rPr>
          <w:bCs/>
          <w:szCs w:val="20"/>
        </w:rPr>
        <w:t>а</w:t>
      </w:r>
      <w:r w:rsidRPr="00FB53C7">
        <w:rPr>
          <w:bCs/>
          <w:szCs w:val="20"/>
        </w:rPr>
        <w:t>;</w:t>
      </w:r>
    </w:p>
    <w:p w:rsidR="002B1377" w:rsidRPr="00FB53C7" w:rsidRDefault="002B1377" w:rsidP="002B1377">
      <w:pPr>
        <w:numPr>
          <w:ilvl w:val="0"/>
          <w:numId w:val="12"/>
        </w:numPr>
        <w:tabs>
          <w:tab w:val="num" w:pos="786"/>
        </w:tabs>
        <w:spacing w:after="120"/>
        <w:ind w:left="737" w:hanging="357"/>
        <w:jc w:val="both"/>
        <w:rPr>
          <w:bCs/>
          <w:szCs w:val="20"/>
        </w:rPr>
      </w:pPr>
      <w:r w:rsidRPr="00FB53C7">
        <w:rPr>
          <w:bCs/>
          <w:lang w:eastAsia="bg-BG"/>
        </w:rPr>
        <w:t>ОП „Транспорт и транспортна инфраструктура” – 94</w:t>
      </w:r>
      <w:r>
        <w:rPr>
          <w:bCs/>
          <w:lang w:eastAsia="bg-BG"/>
        </w:rPr>
        <w:t>,</w:t>
      </w:r>
      <w:r w:rsidRPr="00FB53C7">
        <w:rPr>
          <w:bCs/>
          <w:lang w:eastAsia="bg-BG"/>
        </w:rPr>
        <w:t>4 млн. л</w:t>
      </w:r>
      <w:r>
        <w:rPr>
          <w:bCs/>
          <w:lang w:eastAsia="bg-BG"/>
        </w:rPr>
        <w:t>е</w:t>
      </w:r>
      <w:r w:rsidRPr="00FB53C7">
        <w:rPr>
          <w:bCs/>
          <w:lang w:eastAsia="bg-BG"/>
        </w:rPr>
        <w:t>в</w:t>
      </w:r>
      <w:r>
        <w:rPr>
          <w:bCs/>
          <w:lang w:eastAsia="bg-BG"/>
        </w:rPr>
        <w:t>а</w:t>
      </w:r>
      <w:r w:rsidRPr="00FB53C7">
        <w:rPr>
          <w:bCs/>
          <w:lang w:eastAsia="bg-BG"/>
        </w:rPr>
        <w:t>;</w:t>
      </w:r>
    </w:p>
    <w:p w:rsidR="002B1377" w:rsidRPr="00FB53C7" w:rsidRDefault="002B1377" w:rsidP="002B1377">
      <w:pPr>
        <w:numPr>
          <w:ilvl w:val="0"/>
          <w:numId w:val="12"/>
        </w:numPr>
        <w:tabs>
          <w:tab w:val="num" w:pos="786"/>
        </w:tabs>
        <w:spacing w:after="120"/>
        <w:ind w:left="737" w:hanging="357"/>
        <w:jc w:val="both"/>
        <w:rPr>
          <w:bCs/>
          <w:lang w:eastAsia="bg-BG"/>
        </w:rPr>
      </w:pPr>
      <w:r w:rsidRPr="00FB53C7">
        <w:rPr>
          <w:bCs/>
          <w:lang w:eastAsia="bg-BG"/>
        </w:rPr>
        <w:t>ОП „Наука и образование за интелигентен растеж” – 15</w:t>
      </w:r>
      <w:r>
        <w:rPr>
          <w:bCs/>
          <w:lang w:eastAsia="bg-BG"/>
        </w:rPr>
        <w:t>,</w:t>
      </w:r>
      <w:r w:rsidRPr="00FB53C7">
        <w:rPr>
          <w:bCs/>
          <w:lang w:eastAsia="bg-BG"/>
        </w:rPr>
        <w:t>4 млн. л</w:t>
      </w:r>
      <w:r>
        <w:rPr>
          <w:bCs/>
          <w:lang w:eastAsia="bg-BG"/>
        </w:rPr>
        <w:t>е</w:t>
      </w:r>
      <w:r w:rsidRPr="00FB53C7">
        <w:rPr>
          <w:bCs/>
          <w:lang w:eastAsia="bg-BG"/>
        </w:rPr>
        <w:t>в</w:t>
      </w:r>
      <w:r>
        <w:rPr>
          <w:bCs/>
          <w:lang w:eastAsia="bg-BG"/>
        </w:rPr>
        <w:t>а</w:t>
      </w:r>
      <w:r w:rsidRPr="00FB53C7">
        <w:rPr>
          <w:bCs/>
          <w:lang w:eastAsia="bg-BG"/>
        </w:rPr>
        <w:t xml:space="preserve"> и</w:t>
      </w:r>
    </w:p>
    <w:p w:rsidR="002B1377" w:rsidRPr="00FB53C7" w:rsidRDefault="002B1377" w:rsidP="002B1377">
      <w:pPr>
        <w:numPr>
          <w:ilvl w:val="0"/>
          <w:numId w:val="12"/>
        </w:numPr>
        <w:tabs>
          <w:tab w:val="num" w:pos="786"/>
        </w:tabs>
        <w:spacing w:after="120"/>
        <w:ind w:left="737" w:hanging="357"/>
        <w:jc w:val="both"/>
        <w:rPr>
          <w:bCs/>
          <w:lang w:eastAsia="bg-BG"/>
        </w:rPr>
      </w:pPr>
      <w:r w:rsidRPr="00FB53C7">
        <w:rPr>
          <w:bCs/>
          <w:lang w:eastAsia="bg-BG"/>
        </w:rPr>
        <w:lastRenderedPageBreak/>
        <w:t>ОП „Околна среда 2014 – 2020 г.“ – 47</w:t>
      </w:r>
      <w:r>
        <w:rPr>
          <w:bCs/>
          <w:lang w:eastAsia="bg-BG"/>
        </w:rPr>
        <w:t>,</w:t>
      </w:r>
      <w:r w:rsidRPr="00FB53C7">
        <w:rPr>
          <w:bCs/>
          <w:lang w:eastAsia="bg-BG"/>
        </w:rPr>
        <w:t>1 млн. л</w:t>
      </w:r>
      <w:r>
        <w:rPr>
          <w:bCs/>
          <w:lang w:eastAsia="bg-BG"/>
        </w:rPr>
        <w:t>е</w:t>
      </w:r>
      <w:r w:rsidRPr="00FB53C7">
        <w:rPr>
          <w:bCs/>
          <w:lang w:eastAsia="bg-BG"/>
        </w:rPr>
        <w:t>в</w:t>
      </w:r>
      <w:r>
        <w:rPr>
          <w:bCs/>
          <w:lang w:eastAsia="bg-BG"/>
        </w:rPr>
        <w:t>а</w:t>
      </w:r>
      <w:r w:rsidRPr="00FB53C7">
        <w:rPr>
          <w:bCs/>
          <w:lang w:eastAsia="bg-BG"/>
        </w:rPr>
        <w:t>.</w:t>
      </w:r>
    </w:p>
    <w:p w:rsidR="002B1377" w:rsidRPr="00FB53C7" w:rsidRDefault="002B1377" w:rsidP="002B1377">
      <w:pPr>
        <w:ind w:firstLine="686"/>
        <w:jc w:val="both"/>
        <w:rPr>
          <w:bCs/>
          <w:lang w:eastAsia="bg-BG"/>
        </w:rPr>
      </w:pPr>
      <w:r w:rsidRPr="00FB53C7">
        <w:rPr>
          <w:bCs/>
          <w:lang w:eastAsia="bg-BG"/>
        </w:rPr>
        <w:t>Извършените разходи по авансовото финансиране за периода са в размер на 6</w:t>
      </w:r>
      <w:r>
        <w:rPr>
          <w:bCs/>
          <w:lang w:eastAsia="bg-BG"/>
        </w:rPr>
        <w:t>,</w:t>
      </w:r>
      <w:r w:rsidRPr="00FB53C7">
        <w:rPr>
          <w:bCs/>
          <w:lang w:eastAsia="bg-BG"/>
        </w:rPr>
        <w:t>1 млн.</w:t>
      </w:r>
      <w:r>
        <w:rPr>
          <w:bCs/>
          <w:lang w:eastAsia="bg-BG"/>
        </w:rPr>
        <w:t> </w:t>
      </w:r>
      <w:r w:rsidRPr="00FB53C7">
        <w:rPr>
          <w:bCs/>
          <w:lang w:eastAsia="bg-BG"/>
        </w:rPr>
        <w:t>лв</w:t>
      </w:r>
      <w:r>
        <w:rPr>
          <w:bCs/>
          <w:lang w:eastAsia="bg-BG"/>
        </w:rPr>
        <w:t>.</w:t>
      </w:r>
      <w:r w:rsidRPr="00FB53C7">
        <w:rPr>
          <w:bCs/>
          <w:lang w:eastAsia="bg-BG"/>
        </w:rPr>
        <w:t xml:space="preserve">, а възстановените средства </w:t>
      </w:r>
      <w:r>
        <w:rPr>
          <w:bCs/>
          <w:lang w:eastAsia="bg-BG"/>
        </w:rPr>
        <w:t>–</w:t>
      </w:r>
      <w:r w:rsidRPr="00FB53C7">
        <w:rPr>
          <w:bCs/>
          <w:lang w:eastAsia="bg-BG"/>
        </w:rPr>
        <w:t xml:space="preserve"> 36</w:t>
      </w:r>
      <w:r>
        <w:rPr>
          <w:bCs/>
          <w:lang w:eastAsia="bg-BG"/>
        </w:rPr>
        <w:t>,</w:t>
      </w:r>
      <w:r w:rsidRPr="00FB53C7">
        <w:rPr>
          <w:bCs/>
          <w:lang w:eastAsia="bg-BG"/>
        </w:rPr>
        <w:t>6 млн. л</w:t>
      </w:r>
      <w:r>
        <w:rPr>
          <w:bCs/>
          <w:lang w:eastAsia="bg-BG"/>
        </w:rPr>
        <w:t>е</w:t>
      </w:r>
      <w:r w:rsidRPr="00FB53C7">
        <w:rPr>
          <w:bCs/>
          <w:lang w:eastAsia="bg-BG"/>
        </w:rPr>
        <w:t>в</w:t>
      </w:r>
      <w:r>
        <w:rPr>
          <w:bCs/>
          <w:lang w:eastAsia="bg-BG"/>
        </w:rPr>
        <w:t>а</w:t>
      </w:r>
      <w:r w:rsidRPr="00FB53C7">
        <w:rPr>
          <w:bCs/>
          <w:lang w:eastAsia="bg-BG"/>
        </w:rPr>
        <w:t>.</w:t>
      </w:r>
    </w:p>
    <w:p w:rsidR="002B1377" w:rsidRPr="00FB53C7" w:rsidRDefault="002B1377" w:rsidP="002B1377">
      <w:pPr>
        <w:spacing w:before="120"/>
        <w:ind w:firstLine="629"/>
        <w:jc w:val="both"/>
        <w:rPr>
          <w:b/>
          <w:bCs/>
        </w:rPr>
      </w:pPr>
      <w:r w:rsidRPr="00FB53C7">
        <w:rPr>
          <w:b/>
          <w:bCs/>
        </w:rPr>
        <w:t>Програма ФАР и Преходен финансов инструмент</w:t>
      </w:r>
    </w:p>
    <w:p w:rsidR="002B1377" w:rsidRPr="00FB53C7" w:rsidRDefault="002B1377" w:rsidP="002B1377">
      <w:pPr>
        <w:ind w:firstLine="629"/>
        <w:jc w:val="both"/>
        <w:rPr>
          <w:bCs/>
          <w:color w:val="0070C0"/>
          <w:lang w:eastAsia="bg-BG"/>
        </w:rPr>
      </w:pPr>
      <w:r w:rsidRPr="00FB53C7">
        <w:rPr>
          <w:snapToGrid w:val="0"/>
          <w:szCs w:val="20"/>
        </w:rPr>
        <w:t xml:space="preserve">През отчетния период </w:t>
      </w:r>
      <w:r w:rsidRPr="00FB53C7">
        <w:rPr>
          <w:bCs/>
          <w:lang w:eastAsia="bg-BG"/>
        </w:rPr>
        <w:t xml:space="preserve">са </w:t>
      </w:r>
      <w:r w:rsidRPr="00FB53C7">
        <w:rPr>
          <w:snapToGrid w:val="0"/>
          <w:szCs w:val="20"/>
        </w:rPr>
        <w:t>постъпили възстановени суми от бенефициенти по сметките на Национален фонд в размер на 0</w:t>
      </w:r>
      <w:r>
        <w:rPr>
          <w:snapToGrid w:val="0"/>
          <w:szCs w:val="20"/>
        </w:rPr>
        <w:t>,</w:t>
      </w:r>
      <w:r w:rsidRPr="00FB53C7">
        <w:rPr>
          <w:snapToGrid w:val="0"/>
          <w:szCs w:val="20"/>
        </w:rPr>
        <w:t>002</w:t>
      </w:r>
      <w:r w:rsidRPr="00FB53C7">
        <w:rPr>
          <w:bCs/>
          <w:lang w:eastAsia="bg-BG"/>
        </w:rPr>
        <w:t xml:space="preserve"> млн. л</w:t>
      </w:r>
      <w:r>
        <w:rPr>
          <w:bCs/>
          <w:lang w:eastAsia="bg-BG"/>
        </w:rPr>
        <w:t>е</w:t>
      </w:r>
      <w:r w:rsidRPr="00FB53C7">
        <w:rPr>
          <w:bCs/>
          <w:lang w:eastAsia="bg-BG"/>
        </w:rPr>
        <w:t>в</w:t>
      </w:r>
      <w:r>
        <w:rPr>
          <w:bCs/>
          <w:lang w:eastAsia="bg-BG"/>
        </w:rPr>
        <w:t>а</w:t>
      </w:r>
      <w:r w:rsidRPr="00FB53C7">
        <w:rPr>
          <w:bCs/>
          <w:lang w:eastAsia="bg-BG"/>
        </w:rPr>
        <w:t>.</w:t>
      </w:r>
    </w:p>
    <w:p w:rsidR="002B1377" w:rsidRPr="00FB53C7" w:rsidRDefault="002B1377" w:rsidP="002B1377">
      <w:pPr>
        <w:spacing w:before="120"/>
        <w:ind w:firstLine="629"/>
        <w:jc w:val="both"/>
        <w:rPr>
          <w:b/>
        </w:rPr>
      </w:pPr>
      <w:r w:rsidRPr="00FB53C7">
        <w:rPr>
          <w:b/>
        </w:rPr>
        <w:t>Програма ИСПА/</w:t>
      </w:r>
      <w:proofErr w:type="spellStart"/>
      <w:r w:rsidRPr="00FB53C7">
        <w:rPr>
          <w:b/>
        </w:rPr>
        <w:t>Кохезионен</w:t>
      </w:r>
      <w:proofErr w:type="spellEnd"/>
      <w:r w:rsidRPr="00FB53C7">
        <w:rPr>
          <w:b/>
        </w:rPr>
        <w:t xml:space="preserve"> фонд (Регламент 1164/94)</w:t>
      </w:r>
    </w:p>
    <w:p w:rsidR="002B1377" w:rsidRPr="00FB53C7" w:rsidRDefault="002B1377" w:rsidP="002B1377">
      <w:pPr>
        <w:ind w:firstLine="629"/>
        <w:jc w:val="both"/>
        <w:rPr>
          <w:snapToGrid w:val="0"/>
          <w:szCs w:val="20"/>
        </w:rPr>
      </w:pPr>
      <w:r w:rsidRPr="00FB53C7">
        <w:rPr>
          <w:snapToGrid w:val="0"/>
          <w:szCs w:val="20"/>
        </w:rPr>
        <w:t>За периода по тази програма няма възстановени средства от ЕК и възстановени суми по сметките на Национален фонд.</w:t>
      </w:r>
    </w:p>
    <w:p w:rsidR="002B1377" w:rsidRPr="00FB53C7" w:rsidRDefault="002B1377" w:rsidP="002B1377">
      <w:pPr>
        <w:spacing w:before="120"/>
        <w:ind w:firstLine="720"/>
        <w:jc w:val="both"/>
        <w:rPr>
          <w:b/>
        </w:rPr>
      </w:pPr>
      <w:r w:rsidRPr="00FB53C7">
        <w:rPr>
          <w:b/>
        </w:rPr>
        <w:t xml:space="preserve">Програма САПАРД </w:t>
      </w:r>
    </w:p>
    <w:p w:rsidR="002B1377" w:rsidRPr="00FB53C7" w:rsidRDefault="002B1377" w:rsidP="002B1377">
      <w:pPr>
        <w:ind w:firstLine="720"/>
        <w:jc w:val="both"/>
        <w:rPr>
          <w:szCs w:val="20"/>
        </w:rPr>
      </w:pPr>
      <w:r w:rsidRPr="00FB53C7">
        <w:rPr>
          <w:szCs w:val="20"/>
        </w:rPr>
        <w:t>На 31.12.2009 г. изтече валидността на Годишното финансово споразумение (ГФС) 2006, с което се прекрати и изплащането на субсидии към крайни бенефициенти по програма САПАРД.</w:t>
      </w:r>
    </w:p>
    <w:p w:rsidR="002B1377" w:rsidRPr="00FB53C7" w:rsidRDefault="002B1377" w:rsidP="002B1377">
      <w:pPr>
        <w:ind w:firstLine="720"/>
        <w:jc w:val="both"/>
        <w:rPr>
          <w:color w:val="0070C0"/>
        </w:rPr>
      </w:pPr>
      <w:r w:rsidRPr="00FB53C7">
        <w:t>През първото тримесечие на годината са извършени възстановявания от Агенция САПАРД и НАП по дългове в размер на 0</w:t>
      </w:r>
      <w:r>
        <w:t>,0</w:t>
      </w:r>
      <w:r w:rsidRPr="00FB53C7">
        <w:t>09 млн. л</w:t>
      </w:r>
      <w:r>
        <w:t>е</w:t>
      </w:r>
      <w:r w:rsidRPr="00FB53C7">
        <w:t>в</w:t>
      </w:r>
      <w:r>
        <w:t>а</w:t>
      </w:r>
      <w:r w:rsidRPr="00FB53C7">
        <w:t>.</w:t>
      </w:r>
    </w:p>
    <w:p w:rsidR="002B1377" w:rsidRPr="00FB53C7" w:rsidRDefault="002B1377" w:rsidP="002B1377">
      <w:pPr>
        <w:spacing w:before="120"/>
        <w:jc w:val="both"/>
        <w:rPr>
          <w:b/>
          <w:szCs w:val="20"/>
        </w:rPr>
      </w:pPr>
      <w:r w:rsidRPr="00FB53C7">
        <w:rPr>
          <w:color w:val="0070C0"/>
          <w:szCs w:val="20"/>
        </w:rPr>
        <w:tab/>
      </w:r>
      <w:r w:rsidRPr="00FB53C7">
        <w:rPr>
          <w:b/>
          <w:szCs w:val="20"/>
        </w:rPr>
        <w:t>Двустранни програми за трансгранично сътрудничество по външните граници на Европейския съюз 2007 – 2013 г.</w:t>
      </w:r>
    </w:p>
    <w:p w:rsidR="002B1377" w:rsidRPr="00FB53C7" w:rsidRDefault="002B1377" w:rsidP="002B1377">
      <w:pPr>
        <w:ind w:firstLine="686"/>
        <w:jc w:val="both"/>
        <w:rPr>
          <w:snapToGrid w:val="0"/>
          <w:szCs w:val="20"/>
        </w:rPr>
      </w:pPr>
      <w:r w:rsidRPr="00FB53C7">
        <w:rPr>
          <w:snapToGrid w:val="0"/>
          <w:szCs w:val="20"/>
        </w:rPr>
        <w:t xml:space="preserve">На 30.03.2018 г. Национален фонд, в качеството си на Сертифициращ орган по тези програми, изпрати към ЕК Окончателни Сертификати, Отчети за разходите и Заявления за окончателно плащане. </w:t>
      </w:r>
    </w:p>
    <w:p w:rsidR="002B1377" w:rsidRPr="00FB53C7" w:rsidRDefault="002B1377" w:rsidP="002B1377">
      <w:pPr>
        <w:ind w:firstLine="686"/>
        <w:jc w:val="both"/>
        <w:rPr>
          <w:color w:val="0070C0"/>
          <w:szCs w:val="20"/>
        </w:rPr>
      </w:pPr>
      <w:r w:rsidRPr="00FB53C7">
        <w:rPr>
          <w:snapToGrid w:val="0"/>
          <w:szCs w:val="20"/>
        </w:rPr>
        <w:t xml:space="preserve">За отчетния период сумата на възстановените средства към НФ са в размер на </w:t>
      </w:r>
      <w:r w:rsidRPr="00FB53C7">
        <w:rPr>
          <w:szCs w:val="20"/>
        </w:rPr>
        <w:t>0</w:t>
      </w:r>
      <w:r>
        <w:rPr>
          <w:szCs w:val="20"/>
        </w:rPr>
        <w:t>,</w:t>
      </w:r>
      <w:r w:rsidRPr="00FB53C7">
        <w:rPr>
          <w:szCs w:val="20"/>
        </w:rPr>
        <w:t>05 млн.</w:t>
      </w:r>
      <w:r>
        <w:rPr>
          <w:szCs w:val="20"/>
        </w:rPr>
        <w:t> </w:t>
      </w:r>
      <w:r w:rsidRPr="00FB53C7">
        <w:rPr>
          <w:szCs w:val="20"/>
        </w:rPr>
        <w:t>л</w:t>
      </w:r>
      <w:r>
        <w:rPr>
          <w:szCs w:val="20"/>
        </w:rPr>
        <w:t>е</w:t>
      </w:r>
      <w:r w:rsidRPr="00FB53C7">
        <w:rPr>
          <w:szCs w:val="20"/>
        </w:rPr>
        <w:t>в</w:t>
      </w:r>
      <w:r>
        <w:rPr>
          <w:szCs w:val="20"/>
        </w:rPr>
        <w:t>а</w:t>
      </w:r>
      <w:r w:rsidRPr="00FB53C7">
        <w:rPr>
          <w:szCs w:val="20"/>
        </w:rPr>
        <w:t>.</w:t>
      </w:r>
    </w:p>
    <w:p w:rsidR="002B1377" w:rsidRPr="00FB53C7" w:rsidRDefault="002B1377" w:rsidP="002B1377">
      <w:pPr>
        <w:spacing w:before="120"/>
        <w:ind w:firstLine="686"/>
        <w:jc w:val="both"/>
        <w:rPr>
          <w:b/>
          <w:szCs w:val="20"/>
        </w:rPr>
      </w:pPr>
      <w:r w:rsidRPr="00FB53C7">
        <w:rPr>
          <w:b/>
          <w:szCs w:val="20"/>
        </w:rPr>
        <w:t>Двустранни програми за трансгранично сътрудничество по външните граници на Европейския съюз 2014 – 2020 г.</w:t>
      </w:r>
    </w:p>
    <w:p w:rsidR="002B1377" w:rsidRPr="00FB53C7" w:rsidRDefault="002B1377" w:rsidP="002B1377">
      <w:pPr>
        <w:ind w:firstLine="686"/>
        <w:jc w:val="both"/>
        <w:rPr>
          <w:bCs/>
          <w:snapToGrid w:val="0"/>
          <w:szCs w:val="20"/>
        </w:rPr>
      </w:pPr>
      <w:r w:rsidRPr="00FB53C7">
        <w:rPr>
          <w:bCs/>
          <w:snapToGrid w:val="0"/>
          <w:szCs w:val="20"/>
        </w:rPr>
        <w:t>Получените средства през първото тримесечие на годината са в размер на 1</w:t>
      </w:r>
      <w:r>
        <w:rPr>
          <w:bCs/>
          <w:snapToGrid w:val="0"/>
          <w:szCs w:val="20"/>
        </w:rPr>
        <w:t>,</w:t>
      </w:r>
      <w:r w:rsidRPr="00FB53C7">
        <w:rPr>
          <w:bCs/>
          <w:snapToGrid w:val="0"/>
          <w:szCs w:val="20"/>
        </w:rPr>
        <w:t>2 млн. лв., представляващи възстановени средства от ЕК и средства от страните-партньори.</w:t>
      </w:r>
    </w:p>
    <w:p w:rsidR="002B1377" w:rsidRPr="00FB53C7" w:rsidRDefault="002B1377" w:rsidP="002B1377">
      <w:pPr>
        <w:ind w:firstLine="686"/>
        <w:jc w:val="both"/>
        <w:rPr>
          <w:snapToGrid w:val="0"/>
          <w:color w:val="0070C0"/>
          <w:szCs w:val="20"/>
        </w:rPr>
      </w:pPr>
      <w:r w:rsidRPr="00FB53C7">
        <w:rPr>
          <w:snapToGrid w:val="0"/>
          <w:szCs w:val="20"/>
        </w:rPr>
        <w:t>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7</w:t>
      </w:r>
      <w:r>
        <w:rPr>
          <w:snapToGrid w:val="0"/>
          <w:szCs w:val="20"/>
        </w:rPr>
        <w:t>,</w:t>
      </w:r>
      <w:r w:rsidRPr="00FB53C7">
        <w:rPr>
          <w:snapToGrid w:val="0"/>
          <w:szCs w:val="20"/>
        </w:rPr>
        <w:t>3 млн. лв.,</w:t>
      </w:r>
      <w:r w:rsidRPr="00FB53C7">
        <w:rPr>
          <w:rFonts w:ascii="Arial" w:hAnsi="Arial"/>
          <w:szCs w:val="20"/>
        </w:rPr>
        <w:t xml:space="preserve"> </w:t>
      </w:r>
      <w:r w:rsidRPr="00FB53C7">
        <w:rPr>
          <w:snapToGrid w:val="0"/>
          <w:szCs w:val="20"/>
        </w:rPr>
        <w:t>включително за плащания към бенефициенти в страната за сметка на финансиране от страната-партньор по тези програми.</w:t>
      </w:r>
      <w:r w:rsidRPr="00FB53C7">
        <w:rPr>
          <w:rFonts w:ascii="Arial" w:hAnsi="Arial"/>
          <w:szCs w:val="20"/>
        </w:rPr>
        <w:t xml:space="preserve"> </w:t>
      </w:r>
      <w:r w:rsidRPr="00FB53C7">
        <w:rPr>
          <w:snapToGrid w:val="0"/>
          <w:szCs w:val="20"/>
        </w:rPr>
        <w:t>Разпределените към администратори в чужбина за сметка на средства от страната-партньор са в размер на -0</w:t>
      </w:r>
      <w:r>
        <w:rPr>
          <w:snapToGrid w:val="0"/>
          <w:szCs w:val="20"/>
        </w:rPr>
        <w:t>,</w:t>
      </w:r>
      <w:r w:rsidRPr="00FB53C7">
        <w:rPr>
          <w:snapToGrid w:val="0"/>
          <w:szCs w:val="20"/>
        </w:rPr>
        <w:t>005 млн. л</w:t>
      </w:r>
      <w:r>
        <w:rPr>
          <w:snapToGrid w:val="0"/>
          <w:szCs w:val="20"/>
        </w:rPr>
        <w:t>е</w:t>
      </w:r>
      <w:r w:rsidRPr="00FB53C7">
        <w:rPr>
          <w:snapToGrid w:val="0"/>
          <w:szCs w:val="20"/>
        </w:rPr>
        <w:t>в</w:t>
      </w:r>
      <w:r>
        <w:rPr>
          <w:snapToGrid w:val="0"/>
          <w:szCs w:val="20"/>
        </w:rPr>
        <w:t>а</w:t>
      </w:r>
      <w:r w:rsidRPr="00FB53C7">
        <w:rPr>
          <w:snapToGrid w:val="0"/>
          <w:szCs w:val="20"/>
        </w:rPr>
        <w:t>.</w:t>
      </w:r>
    </w:p>
    <w:p w:rsidR="002B1377" w:rsidRPr="00FB53C7" w:rsidRDefault="002B1377" w:rsidP="002B1377">
      <w:pPr>
        <w:spacing w:before="120"/>
        <w:ind w:firstLine="686"/>
        <w:jc w:val="both"/>
        <w:rPr>
          <w:b/>
          <w:szCs w:val="20"/>
        </w:rPr>
      </w:pPr>
      <w:r w:rsidRPr="00FB53C7">
        <w:rPr>
          <w:b/>
          <w:szCs w:val="20"/>
        </w:rPr>
        <w:t>Финансов механизъм на Европейското икономическо пространство и Норвежки финансов механизъм за периода 2009-2014 г. и 2014-2021 г.</w:t>
      </w:r>
    </w:p>
    <w:p w:rsidR="002B1377" w:rsidRPr="00FB53C7" w:rsidRDefault="002B1377" w:rsidP="002B1377">
      <w:pPr>
        <w:ind w:firstLine="686"/>
        <w:jc w:val="both"/>
        <w:rPr>
          <w:snapToGrid w:val="0"/>
          <w:szCs w:val="20"/>
        </w:rPr>
      </w:pPr>
      <w:r w:rsidRPr="00FB53C7">
        <w:rPr>
          <w:snapToGrid w:val="0"/>
          <w:szCs w:val="20"/>
        </w:rPr>
        <w:t>Възстановените от НФ средства общо по ЕИП и НФМ 2009-2014 г. за периода са в размер на 0</w:t>
      </w:r>
      <w:r>
        <w:rPr>
          <w:snapToGrid w:val="0"/>
          <w:szCs w:val="20"/>
        </w:rPr>
        <w:t>,</w:t>
      </w:r>
      <w:r w:rsidRPr="00FB53C7">
        <w:rPr>
          <w:snapToGrid w:val="0"/>
          <w:szCs w:val="20"/>
        </w:rPr>
        <w:t>9 млн. лева.</w:t>
      </w:r>
    </w:p>
    <w:p w:rsidR="002B1377" w:rsidRPr="00FB53C7" w:rsidRDefault="002B1377" w:rsidP="002B1377">
      <w:pPr>
        <w:ind w:firstLine="686"/>
        <w:jc w:val="both"/>
        <w:rPr>
          <w:snapToGrid w:val="0"/>
          <w:szCs w:val="20"/>
        </w:rPr>
      </w:pPr>
      <w:r w:rsidRPr="00FB53C7">
        <w:rPr>
          <w:snapToGrid w:val="0"/>
          <w:szCs w:val="20"/>
        </w:rPr>
        <w:t>Сумата на разходите и трансферите (нето) към 31.03.2018 г. са на обща стойност 0</w:t>
      </w:r>
      <w:r>
        <w:rPr>
          <w:snapToGrid w:val="0"/>
          <w:szCs w:val="20"/>
        </w:rPr>
        <w:t>,</w:t>
      </w:r>
      <w:r w:rsidRPr="00FB53C7">
        <w:rPr>
          <w:snapToGrid w:val="0"/>
          <w:szCs w:val="20"/>
        </w:rPr>
        <w:t>7 млн. л</w:t>
      </w:r>
      <w:r>
        <w:rPr>
          <w:snapToGrid w:val="0"/>
          <w:szCs w:val="20"/>
        </w:rPr>
        <w:t>е</w:t>
      </w:r>
      <w:r w:rsidRPr="00FB53C7">
        <w:rPr>
          <w:snapToGrid w:val="0"/>
          <w:szCs w:val="20"/>
        </w:rPr>
        <w:t>в</w:t>
      </w:r>
      <w:r>
        <w:rPr>
          <w:snapToGrid w:val="0"/>
          <w:szCs w:val="20"/>
        </w:rPr>
        <w:t>а</w:t>
      </w:r>
      <w:r w:rsidRPr="00FB53C7">
        <w:rPr>
          <w:snapToGrid w:val="0"/>
          <w:szCs w:val="20"/>
        </w:rPr>
        <w:t>.</w:t>
      </w:r>
    </w:p>
    <w:p w:rsidR="002B1377" w:rsidRPr="00FB53C7" w:rsidRDefault="002B1377" w:rsidP="002B1377">
      <w:pPr>
        <w:ind w:firstLine="684"/>
        <w:jc w:val="both"/>
        <w:rPr>
          <w:rFonts w:eastAsia="Calibri"/>
        </w:rPr>
      </w:pPr>
      <w:r w:rsidRPr="00FB53C7">
        <w:rPr>
          <w:rFonts w:eastAsia="Calibri"/>
        </w:rPr>
        <w:t>За периода 01.</w:t>
      </w:r>
      <w:proofErr w:type="spellStart"/>
      <w:r w:rsidRPr="00FB53C7">
        <w:rPr>
          <w:rFonts w:eastAsia="Calibri"/>
        </w:rPr>
        <w:t>01</w:t>
      </w:r>
      <w:proofErr w:type="spellEnd"/>
      <w:r w:rsidRPr="00FB53C7">
        <w:rPr>
          <w:rFonts w:eastAsia="Calibri"/>
        </w:rPr>
        <w:t>.2018 г. – 31.03.2018 г.  дирекция „Национален фонд“ е процедирала към ОФМ на ЕИП 2009-2014 г. 9 Окончателни финансови доклади и 1 Междинен финансов доклад, след които се очаква да бъдат възстановени средства към офиса на ОФМ и ЕИП в размер на 17</w:t>
      </w:r>
      <w:r>
        <w:rPr>
          <w:rFonts w:eastAsia="Calibri"/>
        </w:rPr>
        <w:t>,</w:t>
      </w:r>
      <w:r w:rsidRPr="00FB53C7">
        <w:rPr>
          <w:rFonts w:eastAsia="Calibri"/>
        </w:rPr>
        <w:t>0 млн. лева. Заявените (предложени за получаване) средства са в размер на 0</w:t>
      </w:r>
      <w:r>
        <w:rPr>
          <w:rFonts w:eastAsia="Calibri"/>
        </w:rPr>
        <w:t>,</w:t>
      </w:r>
      <w:r w:rsidRPr="00FB53C7">
        <w:rPr>
          <w:rFonts w:eastAsia="Calibri"/>
        </w:rPr>
        <w:t>2 млн. лева.</w:t>
      </w:r>
    </w:p>
    <w:p w:rsidR="002B1377" w:rsidRPr="00FB53C7" w:rsidRDefault="002B1377" w:rsidP="002B1377">
      <w:pPr>
        <w:spacing w:before="120"/>
        <w:ind w:firstLine="743"/>
        <w:jc w:val="both"/>
        <w:rPr>
          <w:b/>
          <w:szCs w:val="20"/>
        </w:rPr>
      </w:pPr>
      <w:r w:rsidRPr="00FB53C7">
        <w:rPr>
          <w:b/>
          <w:szCs w:val="20"/>
        </w:rPr>
        <w:t>Българо-швейцарска програма за сътрудничество за намаляване на икономическите и социални неравенства в рамките на разширения Европейски съюз</w:t>
      </w:r>
    </w:p>
    <w:p w:rsidR="002B1377" w:rsidRPr="00FB53C7" w:rsidRDefault="002B1377" w:rsidP="002B1377">
      <w:pPr>
        <w:ind w:firstLine="686"/>
        <w:jc w:val="both"/>
        <w:rPr>
          <w:snapToGrid w:val="0"/>
          <w:szCs w:val="20"/>
        </w:rPr>
      </w:pPr>
      <w:r w:rsidRPr="00FB53C7">
        <w:rPr>
          <w:snapToGrid w:val="0"/>
          <w:szCs w:val="20"/>
        </w:rPr>
        <w:t>Получените средства по програмата за периода са в размер на 0</w:t>
      </w:r>
      <w:r>
        <w:rPr>
          <w:snapToGrid w:val="0"/>
          <w:szCs w:val="20"/>
        </w:rPr>
        <w:t>,</w:t>
      </w:r>
      <w:r w:rsidRPr="00FB53C7">
        <w:rPr>
          <w:snapToGrid w:val="0"/>
          <w:szCs w:val="20"/>
        </w:rPr>
        <w:t>007 млн. лева.</w:t>
      </w:r>
    </w:p>
    <w:p w:rsidR="002B1377" w:rsidRPr="00FB53C7" w:rsidRDefault="002B1377" w:rsidP="002B1377">
      <w:pPr>
        <w:ind w:firstLine="686"/>
        <w:jc w:val="both"/>
        <w:rPr>
          <w:bCs/>
        </w:rPr>
      </w:pPr>
      <w:r w:rsidRPr="00FB53C7">
        <w:rPr>
          <w:bCs/>
        </w:rPr>
        <w:t>Извършените изходящи трансфери към бенефициенти-бюджетни организации от началото на годината са в размер на 0</w:t>
      </w:r>
      <w:r>
        <w:rPr>
          <w:bCs/>
        </w:rPr>
        <w:t>,</w:t>
      </w:r>
      <w:r w:rsidRPr="00FB53C7">
        <w:rPr>
          <w:bCs/>
        </w:rPr>
        <w:t>008 млн. л</w:t>
      </w:r>
      <w:r>
        <w:rPr>
          <w:bCs/>
        </w:rPr>
        <w:t>е</w:t>
      </w:r>
      <w:r w:rsidRPr="00FB53C7">
        <w:rPr>
          <w:bCs/>
        </w:rPr>
        <w:t>в</w:t>
      </w:r>
      <w:r>
        <w:rPr>
          <w:bCs/>
        </w:rPr>
        <w:t>а</w:t>
      </w:r>
      <w:r w:rsidRPr="00FB53C7">
        <w:rPr>
          <w:bCs/>
        </w:rPr>
        <w:t>.</w:t>
      </w:r>
    </w:p>
    <w:p w:rsidR="00F521AA" w:rsidRPr="00F521AA" w:rsidRDefault="00F521AA" w:rsidP="00967BB9">
      <w:pPr>
        <w:ind w:firstLine="567"/>
        <w:jc w:val="both"/>
        <w:rPr>
          <w:color w:val="0070C0"/>
          <w:lang w:val="en-US"/>
        </w:rPr>
      </w:pPr>
    </w:p>
    <w:p w:rsidR="00E449C3" w:rsidRPr="007C2392" w:rsidRDefault="00E449C3" w:rsidP="00E449C3">
      <w:pPr>
        <w:pStyle w:val="Heading1"/>
        <w:numPr>
          <w:ilvl w:val="0"/>
          <w:numId w:val="10"/>
        </w:numPr>
        <w:spacing w:before="240" w:after="120"/>
        <w:ind w:right="-108"/>
        <w:jc w:val="both"/>
        <w:rPr>
          <w:sz w:val="24"/>
        </w:rPr>
      </w:pPr>
      <w:r w:rsidRPr="007C2392">
        <w:rPr>
          <w:sz w:val="24"/>
        </w:rPr>
        <w:lastRenderedPageBreak/>
        <w:t>Бюджети на социално и здравно-осигурителните фондове и бюджети по чл. 13, ал. 2 и ал. 3 на Закона за публичните финанси</w:t>
      </w:r>
    </w:p>
    <w:p w:rsidR="00DB70EE" w:rsidRPr="007C2392" w:rsidRDefault="00DB70EE" w:rsidP="00DB70EE">
      <w:pPr>
        <w:pStyle w:val="Heading1"/>
        <w:numPr>
          <w:ilvl w:val="1"/>
          <w:numId w:val="10"/>
        </w:numPr>
        <w:spacing w:before="240" w:after="120"/>
        <w:ind w:left="788" w:right="-108" w:hanging="431"/>
        <w:jc w:val="both"/>
        <w:rPr>
          <w:sz w:val="24"/>
        </w:rPr>
      </w:pPr>
      <w:r w:rsidRPr="007C2392">
        <w:rPr>
          <w:sz w:val="24"/>
        </w:rPr>
        <w:t>Социално и здравно-осигурителни фондове</w:t>
      </w:r>
    </w:p>
    <w:p w:rsidR="007C2392" w:rsidRPr="007C2392" w:rsidRDefault="007C2392" w:rsidP="007C2392">
      <w:pPr>
        <w:numPr>
          <w:ilvl w:val="1"/>
          <w:numId w:val="6"/>
        </w:numPr>
        <w:spacing w:after="200" w:line="276" w:lineRule="auto"/>
        <w:ind w:left="993"/>
        <w:jc w:val="both"/>
        <w:rPr>
          <w:b/>
          <w:bCs/>
        </w:rPr>
      </w:pPr>
      <w:r w:rsidRPr="007C2392">
        <w:rPr>
          <w:b/>
        </w:rPr>
        <w:t>Държавно обществено осигуряване</w:t>
      </w:r>
    </w:p>
    <w:p w:rsidR="007C2392" w:rsidRPr="007C2392" w:rsidRDefault="007C2392" w:rsidP="00DD3B6A">
      <w:pPr>
        <w:spacing w:after="120"/>
        <w:ind w:firstLine="567"/>
        <w:jc w:val="both"/>
      </w:pPr>
      <w:r w:rsidRPr="007C2392">
        <w:t xml:space="preserve">Общата сума на </w:t>
      </w:r>
      <w:r w:rsidRPr="007C2392">
        <w:rPr>
          <w:b/>
        </w:rPr>
        <w:t>приходите и помощите</w:t>
      </w:r>
      <w:r w:rsidRPr="007C2392">
        <w:t xml:space="preserve"> по бюджета на Държавното обществено осигуряване (ДОО) към 31.03.2018 г. възлиза на 1 602,0 млн. лв., което представлява 24,4 % от заложените в Закона за бюджета на държавното обществено осигуряване за 201</w:t>
      </w:r>
      <w:r w:rsidR="00A14E53">
        <w:t>8</w:t>
      </w:r>
      <w:r w:rsidRPr="007C2392">
        <w:t xml:space="preserve"> г. (ЗБДОО) 6 572,3 млн. лева. Най-голям е делът на приходите от осигурителни вноски (98,6 % от общите приходи), които за отчетния период са в размер на 1 579,6 млн. лв., 24,2 % от заложените в ЗБДОО за 2018 година. </w:t>
      </w:r>
    </w:p>
    <w:p w:rsidR="007C2392" w:rsidRPr="007C2392" w:rsidRDefault="007C2392" w:rsidP="00DD3B6A">
      <w:pPr>
        <w:spacing w:after="120"/>
        <w:ind w:firstLine="567"/>
        <w:jc w:val="both"/>
        <w:rPr>
          <w:b/>
          <w:bCs/>
        </w:rPr>
      </w:pPr>
      <w:r w:rsidRPr="007C2392">
        <w:t>Съпоставени с първото тримесечие на 2017 г. приходите по бюджета на ДОО нарастват с 209,6 млн. лв. (15,1 %). Факторите, които оказват влияние върху състоянието на приходите през 2018 г. са следните:</w:t>
      </w:r>
    </w:p>
    <w:p w:rsidR="007C2392" w:rsidRPr="007C2392" w:rsidRDefault="007C2392" w:rsidP="00DD3B6A">
      <w:pPr>
        <w:numPr>
          <w:ilvl w:val="0"/>
          <w:numId w:val="21"/>
        </w:numPr>
        <w:tabs>
          <w:tab w:val="num" w:pos="1499"/>
          <w:tab w:val="num" w:pos="2148"/>
        </w:tabs>
        <w:spacing w:after="120"/>
        <w:ind w:firstLine="567"/>
        <w:jc w:val="both"/>
      </w:pPr>
      <w:r w:rsidRPr="007C2392">
        <w:t>увеличение на осигурителната вноска за фонд „Пенсии” с един процентен пункт от 1 януари 2018 г. – на 19,8 на сто за родените преди 1 януари 1960 г. и на 14,8 на сто за лицата родени след 31 декември 1959 г.;</w:t>
      </w:r>
    </w:p>
    <w:p w:rsidR="007C2392" w:rsidRPr="007C2392" w:rsidRDefault="007C2392" w:rsidP="00DD3B6A">
      <w:pPr>
        <w:numPr>
          <w:ilvl w:val="0"/>
          <w:numId w:val="21"/>
        </w:numPr>
        <w:tabs>
          <w:tab w:val="num" w:pos="1499"/>
          <w:tab w:val="num" w:pos="2148"/>
        </w:tabs>
        <w:spacing w:after="120"/>
        <w:ind w:firstLine="567"/>
        <w:jc w:val="both"/>
      </w:pPr>
      <w:r w:rsidRPr="007C2392">
        <w:t>нарастването на минималните осигурителни прагове по основните икономически дейности и квалификационни групи професии средно с 6,8 % за 2018 г. в сравнение с 2017 г. Най-ниският минимален осигурителен доход е равен на 510 лв., размерът на минималната работна заплата от началото на 2018 г.</w:t>
      </w:r>
    </w:p>
    <w:p w:rsidR="007C2392" w:rsidRPr="007C2392" w:rsidRDefault="007C2392" w:rsidP="00DD3B6A">
      <w:pPr>
        <w:spacing w:after="120"/>
        <w:ind w:firstLine="567"/>
        <w:jc w:val="both"/>
        <w:rPr>
          <w:bCs/>
        </w:rPr>
      </w:pPr>
      <w:r w:rsidRPr="007C2392">
        <w:rPr>
          <w:bCs/>
        </w:rPr>
        <w:t>Отчетените неданъчни приходи към края на март 2018 г. по бюджета на ДОО възлизат на 22,4 млн. лв., в т.ч. 15,2 млн. лв. постъпили средства от п</w:t>
      </w:r>
      <w:r w:rsidRPr="007C2392">
        <w:t xml:space="preserve">рехвърлени </w:t>
      </w:r>
      <w:r w:rsidRPr="007C2392">
        <w:rPr>
          <w:lang w:val="en-US"/>
        </w:rPr>
        <w:t>(</w:t>
      </w:r>
      <w:r w:rsidRPr="007C2392">
        <w:t>възстановени</w:t>
      </w:r>
      <w:r w:rsidRPr="007C2392">
        <w:rPr>
          <w:lang w:val="en-US"/>
        </w:rPr>
        <w:t>)</w:t>
      </w:r>
      <w:r w:rsidRPr="007C2392">
        <w:t xml:space="preserve"> акумулирани средства от осигурителни вноски.</w:t>
      </w:r>
      <w:r w:rsidRPr="007C2392">
        <w:rPr>
          <w:bCs/>
        </w:rPr>
        <w:t xml:space="preserve"> </w:t>
      </w:r>
    </w:p>
    <w:p w:rsidR="007C2392" w:rsidRPr="007C2392" w:rsidRDefault="007C2392" w:rsidP="00DD3B6A">
      <w:pPr>
        <w:tabs>
          <w:tab w:val="num" w:pos="1499"/>
          <w:tab w:val="num" w:pos="2148"/>
        </w:tabs>
        <w:spacing w:after="120"/>
        <w:ind w:firstLine="567"/>
        <w:jc w:val="both"/>
        <w:rPr>
          <w:color w:val="0070C0"/>
        </w:rPr>
      </w:pPr>
      <w:r w:rsidRPr="007C2392">
        <w:rPr>
          <w:bCs/>
        </w:rPr>
        <w:t xml:space="preserve">Размерът на извършените </w:t>
      </w:r>
      <w:r w:rsidRPr="007C2392">
        <w:rPr>
          <w:b/>
          <w:bCs/>
        </w:rPr>
        <w:t xml:space="preserve">разходи </w:t>
      </w:r>
      <w:r w:rsidRPr="007C2392">
        <w:rPr>
          <w:bCs/>
        </w:rPr>
        <w:t>за първото тримесечие на 201</w:t>
      </w:r>
      <w:r w:rsidRPr="007C2392">
        <w:rPr>
          <w:bCs/>
          <w:lang w:val="en-US"/>
        </w:rPr>
        <w:t>8</w:t>
      </w:r>
      <w:r w:rsidRPr="007C2392">
        <w:rPr>
          <w:bCs/>
        </w:rPr>
        <w:t xml:space="preserve"> г. по бюджета на ДОО е 2 </w:t>
      </w:r>
      <w:r w:rsidRPr="007C2392">
        <w:rPr>
          <w:bCs/>
          <w:lang w:val="en-US"/>
        </w:rPr>
        <w:t>695</w:t>
      </w:r>
      <w:r w:rsidRPr="007C2392">
        <w:rPr>
          <w:bCs/>
        </w:rPr>
        <w:t>,</w:t>
      </w:r>
      <w:r w:rsidRPr="007C2392">
        <w:rPr>
          <w:bCs/>
          <w:lang w:val="en-US"/>
        </w:rPr>
        <w:t>4</w:t>
      </w:r>
      <w:r w:rsidRPr="007C2392">
        <w:rPr>
          <w:bCs/>
        </w:rPr>
        <w:t xml:space="preserve"> млн. лв., което представлява 24,4 % от предвидените  в ЗБДОО за 201</w:t>
      </w:r>
      <w:r w:rsidRPr="007C2392">
        <w:rPr>
          <w:bCs/>
          <w:lang w:val="en-US"/>
        </w:rPr>
        <w:t>8</w:t>
      </w:r>
      <w:r w:rsidRPr="007C2392">
        <w:rPr>
          <w:bCs/>
        </w:rPr>
        <w:t xml:space="preserve"> г. средства. Спрямо същия период на миналата година, общо разходите по бюджета на ДОО са със </w:t>
      </w:r>
      <w:r w:rsidRPr="007C2392">
        <w:rPr>
          <w:bCs/>
          <w:lang w:val="en-US"/>
        </w:rPr>
        <w:t>168</w:t>
      </w:r>
      <w:r w:rsidRPr="007C2392">
        <w:rPr>
          <w:bCs/>
        </w:rPr>
        <w:t>,</w:t>
      </w:r>
      <w:r w:rsidRPr="007C2392">
        <w:rPr>
          <w:bCs/>
          <w:lang w:val="en-US"/>
        </w:rPr>
        <w:t>5</w:t>
      </w:r>
      <w:r w:rsidRPr="007C2392">
        <w:rPr>
          <w:bCs/>
        </w:rPr>
        <w:t xml:space="preserve"> млн. лв. (</w:t>
      </w:r>
      <w:r w:rsidRPr="007C2392">
        <w:rPr>
          <w:bCs/>
          <w:lang w:val="en-US"/>
        </w:rPr>
        <w:t>6</w:t>
      </w:r>
      <w:r w:rsidRPr="007C2392">
        <w:rPr>
          <w:bCs/>
        </w:rPr>
        <w:t>,</w:t>
      </w:r>
      <w:r w:rsidRPr="007C2392">
        <w:rPr>
          <w:bCs/>
          <w:lang w:val="en-US"/>
        </w:rPr>
        <w:t>7</w:t>
      </w:r>
      <w:r w:rsidRPr="007C2392">
        <w:rPr>
          <w:bCs/>
        </w:rPr>
        <w:t xml:space="preserve"> %) повече. От структурна гледна точка с най-голям относителен дял в общите разходи са разходите за пенсии, обезщетения и помощи, изплащани на основание Кодекса за социално осигуряване – общо 2 669,2 млн. лв. или 99,0 % от общия размер на разходите за отчетния период. Отчетените разходи за </w:t>
      </w:r>
      <w:r w:rsidRPr="007C2392">
        <w:rPr>
          <w:b/>
          <w:bCs/>
        </w:rPr>
        <w:t>пенсии</w:t>
      </w:r>
      <w:r w:rsidRPr="007C2392">
        <w:rPr>
          <w:bCs/>
        </w:rPr>
        <w:t xml:space="preserve"> по бюджета на ДОО към 31.03.2018 г. възлизат на 2 302,0 млн. лв., което е със 117,8 млн. лв. повече спрямо първото тримесечие на 2017 г. </w:t>
      </w:r>
      <w:r w:rsidRPr="007C2392">
        <w:t xml:space="preserve">Отчетените разходи за </w:t>
      </w:r>
      <w:r w:rsidRPr="007C2392">
        <w:rPr>
          <w:b/>
        </w:rPr>
        <w:t>краткосрочни обезщетения и помощи по КСО</w:t>
      </w:r>
      <w:r w:rsidRPr="007C2392">
        <w:t xml:space="preserve"> са в размер на 367,2 млн. лева. Спрямо същия период на миналата година изплатените обезщетения по КСО са с 26,8 млн. лв. (7,9 %) повече.</w:t>
      </w:r>
    </w:p>
    <w:p w:rsidR="007C2392" w:rsidRPr="007C2392" w:rsidRDefault="007C2392" w:rsidP="007C2392">
      <w:pPr>
        <w:numPr>
          <w:ilvl w:val="1"/>
          <w:numId w:val="6"/>
        </w:numPr>
        <w:spacing w:after="120" w:line="276" w:lineRule="auto"/>
        <w:jc w:val="both"/>
        <w:rPr>
          <w:b/>
          <w:bCs/>
        </w:rPr>
      </w:pPr>
      <w:r w:rsidRPr="007C2392">
        <w:rPr>
          <w:b/>
          <w:bCs/>
        </w:rPr>
        <w:t>Национална здравноосигурителна каса</w:t>
      </w:r>
    </w:p>
    <w:p w:rsidR="007C2392" w:rsidRPr="007C2392" w:rsidRDefault="007C2392" w:rsidP="00DD3B6A">
      <w:pPr>
        <w:spacing w:after="120"/>
        <w:ind w:firstLine="567"/>
        <w:jc w:val="both"/>
      </w:pPr>
      <w:r w:rsidRPr="007C2392">
        <w:t xml:space="preserve">Общият размер на събраните </w:t>
      </w:r>
      <w:r w:rsidRPr="007C2392">
        <w:rPr>
          <w:b/>
        </w:rPr>
        <w:t>приходи</w:t>
      </w:r>
      <w:r w:rsidRPr="007C2392">
        <w:t xml:space="preserve"> по бюджета на НЗОК за първото тримесечие на 2018 г. възлиза на 631,6 млн. лв., което представлява 24,5 % от предвидените със Закона за бюджета на НЗОК (ЗБНЗОК) за 2018 г. – 2 573,8 млн. лева. Постъпленията от здравноосигурителни вноски са в размер на 626,2 млн. лв., </w:t>
      </w:r>
      <w:r w:rsidR="005F770F" w:rsidRPr="005F770F">
        <w:t xml:space="preserve">което е </w:t>
      </w:r>
      <w:r w:rsidRPr="007C2392">
        <w:t>24,5 % изпълнение на утвърдените със ЗБНЗОК за 2018 г. средства в размер на 2 556,3 млн. лева. Събраните неданъчни приходи за първото тримес</w:t>
      </w:r>
      <w:r w:rsidR="00197278">
        <w:t>ечие на 2018 г. са 5,4 млн. лв. или</w:t>
      </w:r>
      <w:r w:rsidRPr="007C2392">
        <w:t xml:space="preserve"> 30,9 % от заложените в ЗБНЗОК за 2018 г., като основната част от тях са приходи от глоби и санкции. </w:t>
      </w:r>
    </w:p>
    <w:p w:rsidR="007C2392" w:rsidRPr="007C2392" w:rsidRDefault="007C2392" w:rsidP="00DD3B6A">
      <w:pPr>
        <w:ind w:firstLine="567"/>
        <w:jc w:val="both"/>
      </w:pPr>
      <w:r w:rsidRPr="007C2392">
        <w:t xml:space="preserve">Полученият трансфер от МЗ за финансиране на разходите за лекарствени продукти – ваксини и дейности по прилагането им за здравните дейности по чл. 82, ал. 2, т. 3 от Закона за здравето (ЗЗ); за дейности за </w:t>
      </w:r>
      <w:proofErr w:type="spellStart"/>
      <w:r w:rsidRPr="007C2392">
        <w:t>здравнонеосигурени</w:t>
      </w:r>
      <w:proofErr w:type="spellEnd"/>
      <w:r w:rsidRPr="007C2392">
        <w:t xml:space="preserve"> лица, включващи: комплексно диспансерно (амбулаторно) наблюдение при пациенти с кожно-венерически и психиатрични заболявания; интензивно лечение; дейности по чл. 82, ал. 1, т. 2 от ЗЗ и за сумите по чл. 37, ал. 6 от Закона </w:t>
      </w:r>
      <w:r w:rsidRPr="007C2392">
        <w:lastRenderedPageBreak/>
        <w:t>за здравното осигуряване е в размер на 11,6 млн. лв., което представлява 48,</w:t>
      </w:r>
      <w:r w:rsidR="00305F56">
        <w:rPr>
          <w:lang w:val="en-US"/>
        </w:rPr>
        <w:t>3</w:t>
      </w:r>
      <w:r w:rsidRPr="007C2392">
        <w:t xml:space="preserve"> % от заложените със ЗБНЗОК за 2018 г. средства в размер на 24,0 млн. лева. </w:t>
      </w:r>
    </w:p>
    <w:p w:rsidR="007C2392" w:rsidRPr="007C2392" w:rsidRDefault="007C2392" w:rsidP="00DD3B6A">
      <w:pPr>
        <w:ind w:firstLine="567"/>
        <w:jc w:val="both"/>
      </w:pPr>
      <w:r w:rsidRPr="007C2392">
        <w:t>Трансферите за здравно осигуряване от централния бюджет за периода са 315,5 млн. лв.</w:t>
      </w:r>
    </w:p>
    <w:p w:rsidR="007C2392" w:rsidRPr="007C2392" w:rsidRDefault="007C2392" w:rsidP="00DD3B6A">
      <w:pPr>
        <w:ind w:firstLine="567"/>
        <w:jc w:val="both"/>
      </w:pPr>
      <w:r w:rsidRPr="007C2392">
        <w:t xml:space="preserve">Отчетените </w:t>
      </w:r>
      <w:r w:rsidRPr="007C2392">
        <w:rPr>
          <w:b/>
        </w:rPr>
        <w:t>разходи</w:t>
      </w:r>
      <w:r w:rsidRPr="007C2392">
        <w:t xml:space="preserve"> към 31.03.2018 г. са в размер на 9</w:t>
      </w:r>
      <w:r w:rsidRPr="007C2392">
        <w:rPr>
          <w:lang w:val="en-US"/>
        </w:rPr>
        <w:t>75</w:t>
      </w:r>
      <w:r w:rsidRPr="007C2392">
        <w:t>,</w:t>
      </w:r>
      <w:r w:rsidRPr="007C2392">
        <w:rPr>
          <w:lang w:val="en-US"/>
        </w:rPr>
        <w:t>8</w:t>
      </w:r>
      <w:r w:rsidRPr="007C2392">
        <w:t xml:space="preserve"> млн. лв. и представляват 2</w:t>
      </w:r>
      <w:r w:rsidRPr="007C2392">
        <w:rPr>
          <w:lang w:val="en-US"/>
        </w:rPr>
        <w:t>5</w:t>
      </w:r>
      <w:r w:rsidRPr="007C2392">
        <w:t>,</w:t>
      </w:r>
      <w:r w:rsidRPr="007C2392">
        <w:rPr>
          <w:lang w:val="en-US"/>
        </w:rPr>
        <w:t>3</w:t>
      </w:r>
      <w:r w:rsidRPr="007C2392">
        <w:t> % от предвидените в ЗБНЗОК за 201</w:t>
      </w:r>
      <w:r w:rsidRPr="007C2392">
        <w:rPr>
          <w:lang w:val="en-US"/>
        </w:rPr>
        <w:t>8</w:t>
      </w:r>
      <w:r w:rsidRPr="007C2392">
        <w:t xml:space="preserve"> г. 3 </w:t>
      </w:r>
      <w:r w:rsidRPr="007C2392">
        <w:rPr>
          <w:lang w:val="en-US"/>
        </w:rPr>
        <w:t>855</w:t>
      </w:r>
      <w:r w:rsidRPr="007C2392">
        <w:t>,</w:t>
      </w:r>
      <w:r w:rsidRPr="007C2392">
        <w:rPr>
          <w:lang w:val="en-US"/>
        </w:rPr>
        <w:t>4</w:t>
      </w:r>
      <w:r w:rsidRPr="007C2392">
        <w:t xml:space="preserve"> млн. лева. Най-голям относителен дял (9</w:t>
      </w:r>
      <w:r w:rsidRPr="007C2392">
        <w:rPr>
          <w:lang w:val="en-US"/>
        </w:rPr>
        <w:t>7</w:t>
      </w:r>
      <w:r w:rsidRPr="007C2392">
        <w:t>,</w:t>
      </w:r>
      <w:r w:rsidRPr="007C2392">
        <w:rPr>
          <w:lang w:val="en-US"/>
        </w:rPr>
        <w:t>7</w:t>
      </w:r>
      <w:r w:rsidRPr="007C2392">
        <w:t> %) заемат здравноосигурителните плащания, които възлизат на 9</w:t>
      </w:r>
      <w:r w:rsidRPr="007C2392">
        <w:rPr>
          <w:lang w:val="en-US"/>
        </w:rPr>
        <w:t>53</w:t>
      </w:r>
      <w:r w:rsidRPr="007C2392">
        <w:t>,</w:t>
      </w:r>
      <w:r w:rsidRPr="007C2392">
        <w:rPr>
          <w:lang w:val="en-US"/>
        </w:rPr>
        <w:t>8</w:t>
      </w:r>
      <w:r w:rsidRPr="007C2392">
        <w:t xml:space="preserve"> млн. лева. В отделните направления на здравноосигурителни плащания, изпълнението на бюджета по предварителни данни за първото тримесечие на 201</w:t>
      </w:r>
      <w:r w:rsidRPr="007C2392">
        <w:rPr>
          <w:lang w:val="en-US"/>
        </w:rPr>
        <w:t>8</w:t>
      </w:r>
      <w:r w:rsidRPr="007C2392">
        <w:t xml:space="preserve"> г. е следното:</w:t>
      </w:r>
    </w:p>
    <w:p w:rsidR="007C2392" w:rsidRPr="007C2392" w:rsidRDefault="007C2392" w:rsidP="00DD3B6A">
      <w:pPr>
        <w:numPr>
          <w:ilvl w:val="0"/>
          <w:numId w:val="18"/>
        </w:numPr>
        <w:tabs>
          <w:tab w:val="num" w:pos="0"/>
          <w:tab w:val="left" w:pos="720"/>
          <w:tab w:val="left" w:pos="1134"/>
        </w:tabs>
        <w:ind w:left="0" w:firstLine="567"/>
        <w:jc w:val="both"/>
        <w:rPr>
          <w:bCs/>
        </w:rPr>
      </w:pPr>
      <w:r w:rsidRPr="007C2392">
        <w:rPr>
          <w:b/>
          <w:i/>
        </w:rPr>
        <w:t xml:space="preserve">Първична </w:t>
      </w:r>
      <w:proofErr w:type="spellStart"/>
      <w:r w:rsidRPr="007C2392">
        <w:rPr>
          <w:b/>
          <w:i/>
        </w:rPr>
        <w:t>извънболнична</w:t>
      </w:r>
      <w:proofErr w:type="spellEnd"/>
      <w:r w:rsidRPr="007C2392">
        <w:rPr>
          <w:b/>
          <w:i/>
        </w:rPr>
        <w:t xml:space="preserve"> медицинска помощ</w:t>
      </w:r>
      <w:r w:rsidRPr="007C2392">
        <w:rPr>
          <w:i/>
        </w:rPr>
        <w:t xml:space="preserve"> –</w:t>
      </w:r>
      <w:r w:rsidRPr="007C2392">
        <w:t xml:space="preserve"> 4</w:t>
      </w:r>
      <w:r w:rsidRPr="007C2392">
        <w:rPr>
          <w:lang w:val="en-US"/>
        </w:rPr>
        <w:t>8</w:t>
      </w:r>
      <w:r w:rsidRPr="007C2392">
        <w:t>,</w:t>
      </w:r>
      <w:r w:rsidRPr="007C2392">
        <w:rPr>
          <w:lang w:val="en-US"/>
        </w:rPr>
        <w:t>4</w:t>
      </w:r>
      <w:r w:rsidRPr="007C2392">
        <w:t xml:space="preserve"> млн. лева;</w:t>
      </w:r>
      <w:r w:rsidRPr="007C2392">
        <w:rPr>
          <w:bCs/>
        </w:rPr>
        <w:t xml:space="preserve"> </w:t>
      </w:r>
    </w:p>
    <w:p w:rsidR="007C2392" w:rsidRPr="007C2392" w:rsidRDefault="007C2392" w:rsidP="00DD3B6A">
      <w:pPr>
        <w:numPr>
          <w:ilvl w:val="0"/>
          <w:numId w:val="18"/>
        </w:numPr>
        <w:tabs>
          <w:tab w:val="num" w:pos="0"/>
          <w:tab w:val="left" w:pos="720"/>
          <w:tab w:val="left" w:pos="1134"/>
        </w:tabs>
        <w:ind w:left="0" w:firstLine="567"/>
        <w:jc w:val="both"/>
        <w:rPr>
          <w:i/>
          <w:color w:val="0070C0"/>
        </w:rPr>
      </w:pPr>
      <w:r w:rsidRPr="007C2392">
        <w:rPr>
          <w:b/>
          <w:i/>
        </w:rPr>
        <w:t xml:space="preserve">Специализирана </w:t>
      </w:r>
      <w:proofErr w:type="spellStart"/>
      <w:r w:rsidRPr="007C2392">
        <w:rPr>
          <w:b/>
          <w:i/>
        </w:rPr>
        <w:t>извънболнична</w:t>
      </w:r>
      <w:proofErr w:type="spellEnd"/>
      <w:r w:rsidRPr="007C2392">
        <w:rPr>
          <w:b/>
          <w:i/>
        </w:rPr>
        <w:t xml:space="preserve"> медицинска помощ </w:t>
      </w:r>
      <w:r w:rsidRPr="007C2392">
        <w:t xml:space="preserve"> – </w:t>
      </w:r>
      <w:r w:rsidRPr="007C2392">
        <w:rPr>
          <w:lang w:val="en-US"/>
        </w:rPr>
        <w:t>35</w:t>
      </w:r>
      <w:r w:rsidRPr="007C2392">
        <w:t>,</w:t>
      </w:r>
      <w:r w:rsidRPr="007C2392">
        <w:rPr>
          <w:lang w:val="en-US"/>
        </w:rPr>
        <w:t>6</w:t>
      </w:r>
      <w:r w:rsidRPr="007C2392">
        <w:t> млн. лева;</w:t>
      </w:r>
    </w:p>
    <w:p w:rsidR="007C2392" w:rsidRPr="007C2392" w:rsidRDefault="007C2392" w:rsidP="00DD3B6A">
      <w:pPr>
        <w:numPr>
          <w:ilvl w:val="0"/>
          <w:numId w:val="18"/>
        </w:numPr>
        <w:tabs>
          <w:tab w:val="num" w:pos="0"/>
          <w:tab w:val="left" w:pos="720"/>
          <w:tab w:val="left" w:pos="1134"/>
        </w:tabs>
        <w:ind w:left="0" w:firstLine="567"/>
        <w:jc w:val="both"/>
        <w:rPr>
          <w:b/>
        </w:rPr>
      </w:pPr>
      <w:proofErr w:type="spellStart"/>
      <w:r w:rsidRPr="007C2392">
        <w:rPr>
          <w:b/>
          <w:i/>
        </w:rPr>
        <w:t>Дентална</w:t>
      </w:r>
      <w:proofErr w:type="spellEnd"/>
      <w:r w:rsidRPr="007C2392">
        <w:rPr>
          <w:b/>
          <w:i/>
        </w:rPr>
        <w:t xml:space="preserve"> помощ – </w:t>
      </w:r>
      <w:r w:rsidRPr="007C2392">
        <w:rPr>
          <w:lang w:val="en-US"/>
        </w:rPr>
        <w:t>44</w:t>
      </w:r>
      <w:r w:rsidRPr="007C2392">
        <w:t>,</w:t>
      </w:r>
      <w:r w:rsidRPr="007C2392">
        <w:rPr>
          <w:lang w:val="en-US"/>
        </w:rPr>
        <w:t>1</w:t>
      </w:r>
      <w:r w:rsidRPr="007C2392">
        <w:t xml:space="preserve"> млн. лева;</w:t>
      </w:r>
    </w:p>
    <w:p w:rsidR="007C2392" w:rsidRPr="007C2392" w:rsidRDefault="007C2392" w:rsidP="00DD3B6A">
      <w:pPr>
        <w:numPr>
          <w:ilvl w:val="0"/>
          <w:numId w:val="18"/>
        </w:numPr>
        <w:tabs>
          <w:tab w:val="num" w:pos="0"/>
          <w:tab w:val="left" w:pos="720"/>
          <w:tab w:val="left" w:pos="1134"/>
        </w:tabs>
        <w:ind w:left="0" w:firstLine="567"/>
        <w:jc w:val="both"/>
        <w:rPr>
          <w:b/>
          <w:i/>
        </w:rPr>
      </w:pPr>
      <w:r w:rsidRPr="007C2392">
        <w:rPr>
          <w:b/>
          <w:i/>
        </w:rPr>
        <w:t xml:space="preserve">Медико-диагностична дейност – </w:t>
      </w:r>
      <w:r w:rsidRPr="007C2392">
        <w:t>1</w:t>
      </w:r>
      <w:r w:rsidRPr="007C2392">
        <w:rPr>
          <w:lang w:val="en-US"/>
        </w:rPr>
        <w:t>8</w:t>
      </w:r>
      <w:r w:rsidRPr="007C2392">
        <w:t>,</w:t>
      </w:r>
      <w:r w:rsidRPr="007C2392">
        <w:rPr>
          <w:lang w:val="en-US"/>
        </w:rPr>
        <w:t>8</w:t>
      </w:r>
      <w:r w:rsidRPr="007C2392">
        <w:t xml:space="preserve"> млн. лева;</w:t>
      </w:r>
      <w:r w:rsidRPr="007C2392">
        <w:rPr>
          <w:b/>
          <w:i/>
        </w:rPr>
        <w:t xml:space="preserve"> </w:t>
      </w:r>
    </w:p>
    <w:p w:rsidR="007C2392" w:rsidRPr="007C2392" w:rsidRDefault="007C2392" w:rsidP="00DD3B6A">
      <w:pPr>
        <w:numPr>
          <w:ilvl w:val="0"/>
          <w:numId w:val="18"/>
        </w:numPr>
        <w:tabs>
          <w:tab w:val="num" w:pos="0"/>
          <w:tab w:val="left" w:pos="720"/>
          <w:tab w:val="left" w:pos="1134"/>
        </w:tabs>
        <w:ind w:left="0" w:firstLine="567"/>
        <w:jc w:val="both"/>
      </w:pPr>
      <w:r w:rsidRPr="007C2392">
        <w:rPr>
          <w:b/>
          <w:i/>
        </w:rPr>
        <w:t xml:space="preserve">Лекарствени продукти, медицински изделия и диетични храни за специални медицински цели за домашно лечение на територията на страната </w:t>
      </w:r>
      <w:r w:rsidRPr="007C2392">
        <w:rPr>
          <w:b/>
          <w:i/>
          <w:lang w:val="en-US"/>
        </w:rPr>
        <w:t xml:space="preserve"> - </w:t>
      </w:r>
      <w:r w:rsidRPr="007C2392">
        <w:rPr>
          <w:lang w:val="en-US"/>
        </w:rPr>
        <w:t>244</w:t>
      </w:r>
      <w:r w:rsidRPr="007C2392">
        <w:t>,</w:t>
      </w:r>
      <w:r w:rsidRPr="007C2392">
        <w:rPr>
          <w:lang w:val="en-US"/>
        </w:rPr>
        <w:t>3</w:t>
      </w:r>
      <w:r w:rsidRPr="007C2392">
        <w:t xml:space="preserve"> млн. лв.</w:t>
      </w:r>
    </w:p>
    <w:p w:rsidR="007C2392" w:rsidRPr="007C2392" w:rsidRDefault="007C2392" w:rsidP="00DD3B6A">
      <w:pPr>
        <w:numPr>
          <w:ilvl w:val="0"/>
          <w:numId w:val="18"/>
        </w:numPr>
        <w:tabs>
          <w:tab w:val="num" w:pos="0"/>
          <w:tab w:val="left" w:pos="720"/>
          <w:tab w:val="left" w:pos="1134"/>
        </w:tabs>
        <w:ind w:left="0" w:firstLine="567"/>
        <w:jc w:val="both"/>
      </w:pPr>
      <w:r w:rsidRPr="007C2392">
        <w:rPr>
          <w:b/>
          <w:i/>
          <w:lang w:val="en-US"/>
        </w:rPr>
        <w:t xml:space="preserve"> </w:t>
      </w:r>
      <w:r w:rsidRPr="007C2392">
        <w:rPr>
          <w:b/>
          <w:i/>
        </w:rPr>
        <w:t xml:space="preserve">Лекарствени продукти за лечение на злокачествени заболявания в условията на болнична медицинска помощ </w:t>
      </w:r>
      <w:r w:rsidR="00C956DB">
        <w:t xml:space="preserve"> – 95,3 млн. лева</w:t>
      </w:r>
      <w:r w:rsidR="00C956DB" w:rsidRPr="007C2392">
        <w:t>;</w:t>
      </w:r>
    </w:p>
    <w:p w:rsidR="007C2392" w:rsidRPr="007C2392" w:rsidRDefault="007C2392" w:rsidP="00DD3B6A">
      <w:pPr>
        <w:numPr>
          <w:ilvl w:val="0"/>
          <w:numId w:val="18"/>
        </w:numPr>
        <w:tabs>
          <w:tab w:val="num" w:pos="0"/>
          <w:tab w:val="left" w:pos="720"/>
          <w:tab w:val="left" w:pos="1134"/>
        </w:tabs>
        <w:ind w:left="0" w:firstLine="567"/>
        <w:jc w:val="both"/>
      </w:pPr>
      <w:r w:rsidRPr="007C2392">
        <w:rPr>
          <w:b/>
          <w:i/>
        </w:rPr>
        <w:t>Медицински изделия, прилагани в болничната медицинска помощ –</w:t>
      </w:r>
      <w:r w:rsidRPr="007C2392">
        <w:t xml:space="preserve"> 25,8 млн. лева;</w:t>
      </w:r>
    </w:p>
    <w:p w:rsidR="007C2392" w:rsidRPr="007C2392" w:rsidRDefault="007C2392" w:rsidP="00DD3B6A">
      <w:pPr>
        <w:numPr>
          <w:ilvl w:val="0"/>
          <w:numId w:val="18"/>
        </w:numPr>
        <w:tabs>
          <w:tab w:val="num" w:pos="0"/>
          <w:tab w:val="left" w:pos="720"/>
          <w:tab w:val="left" w:pos="1134"/>
        </w:tabs>
        <w:ind w:left="0" w:firstLine="567"/>
        <w:jc w:val="both"/>
      </w:pPr>
      <w:r w:rsidRPr="007C2392">
        <w:rPr>
          <w:b/>
          <w:i/>
        </w:rPr>
        <w:t>Болнична медицинска помощ –</w:t>
      </w:r>
      <w:r w:rsidRPr="007C2392">
        <w:t xml:space="preserve"> 430,1 млн. лева.</w:t>
      </w:r>
      <w:r w:rsidRPr="007C2392">
        <w:tab/>
        <w:t xml:space="preserve"> </w:t>
      </w:r>
    </w:p>
    <w:p w:rsidR="007C2392" w:rsidRPr="007C2392" w:rsidRDefault="007C2392" w:rsidP="00DD3B6A">
      <w:pPr>
        <w:numPr>
          <w:ilvl w:val="0"/>
          <w:numId w:val="18"/>
        </w:numPr>
        <w:tabs>
          <w:tab w:val="num" w:pos="0"/>
          <w:tab w:val="left" w:pos="720"/>
          <w:tab w:val="left" w:pos="1134"/>
        </w:tabs>
        <w:ind w:left="0" w:firstLine="567"/>
        <w:jc w:val="both"/>
      </w:pPr>
      <w:r w:rsidRPr="007C2392">
        <w:rPr>
          <w:b/>
          <w:i/>
        </w:rPr>
        <w:t xml:space="preserve">Други здравноосигурителни плащания – </w:t>
      </w:r>
      <w:r w:rsidRPr="007C2392">
        <w:t>11,5 млн. лева.</w:t>
      </w:r>
    </w:p>
    <w:p w:rsidR="007C2392" w:rsidRPr="007C2392" w:rsidRDefault="007C2392" w:rsidP="00DD3B6A">
      <w:pPr>
        <w:spacing w:after="120"/>
        <w:ind w:firstLine="567"/>
        <w:jc w:val="both"/>
      </w:pPr>
      <w:r w:rsidRPr="007C2392">
        <w:t>Като здравноосигурителни плащания следва да се третират и преведените 22,3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Реално усвоените средства за болнична помощ, вкл. трансферите, възлизат на 976,1 млн. лева.</w:t>
      </w:r>
    </w:p>
    <w:p w:rsidR="007C2392" w:rsidRPr="007C2392" w:rsidRDefault="007C2392" w:rsidP="00DD3B6A">
      <w:pPr>
        <w:spacing w:after="120"/>
        <w:ind w:firstLine="567"/>
        <w:jc w:val="both"/>
      </w:pPr>
      <w:r w:rsidRPr="007C2392">
        <w:t xml:space="preserve">За периода са отчетени плащания в размер на 10,3 млн. лв. от предоставения трансфер  от Министерството на здравеопазването за дейности за </w:t>
      </w:r>
      <w:proofErr w:type="spellStart"/>
      <w:r w:rsidRPr="007C2392">
        <w:t>здравнонеосигурени</w:t>
      </w:r>
      <w:proofErr w:type="spellEnd"/>
      <w:r w:rsidRPr="007C2392">
        <w:t xml:space="preserve"> лица, лекарствени продукти и потребителска такса.</w:t>
      </w:r>
    </w:p>
    <w:p w:rsidR="007C2392" w:rsidRDefault="007C2392" w:rsidP="00DD3B6A">
      <w:pPr>
        <w:pStyle w:val="BodyText2"/>
        <w:spacing w:after="0" w:line="240" w:lineRule="auto"/>
        <w:ind w:firstLine="567"/>
        <w:jc w:val="both"/>
      </w:pPr>
      <w:r w:rsidRPr="007C2392">
        <w:t>По бюджета на НЗОК за 2018 година са утвърдени 49,8 млн. лв. за административни разходи на институцията, които включват разходите за персонал и за текуща издръжка. За първото тримесечие са отчетени 11,7 млн. лв., което представлява 23,</w:t>
      </w:r>
      <w:r w:rsidR="006F0B1D">
        <w:t>4</w:t>
      </w:r>
      <w:r w:rsidRPr="007C2392">
        <w:t xml:space="preserve"> % от годишния разчет. Усвоените средства за административни разходи заемат 1,2 на сто в структурата на общите разходи за отчетния период.</w:t>
      </w:r>
    </w:p>
    <w:p w:rsidR="007C2392" w:rsidRPr="007C2392" w:rsidRDefault="007C2392" w:rsidP="007C2392">
      <w:pPr>
        <w:pStyle w:val="BodyText2"/>
        <w:spacing w:after="0" w:line="240" w:lineRule="auto"/>
        <w:ind w:left="993"/>
        <w:jc w:val="both"/>
        <w:rPr>
          <w:b/>
          <w:bCs/>
          <w:color w:val="0070C0"/>
        </w:rPr>
      </w:pPr>
    </w:p>
    <w:p w:rsidR="002C4D33" w:rsidRPr="00B53232" w:rsidRDefault="002C4D33" w:rsidP="0060764B">
      <w:pPr>
        <w:ind w:firstLine="567"/>
        <w:jc w:val="both"/>
        <w:rPr>
          <w:color w:val="0070C0"/>
          <w:sz w:val="12"/>
          <w:szCs w:val="12"/>
        </w:rPr>
      </w:pPr>
    </w:p>
    <w:p w:rsidR="00144BF2" w:rsidRPr="008E20FF" w:rsidRDefault="00AB1C75" w:rsidP="00337CA7">
      <w:pPr>
        <w:pStyle w:val="Heading1"/>
        <w:numPr>
          <w:ilvl w:val="1"/>
          <w:numId w:val="10"/>
        </w:numPr>
        <w:spacing w:after="120"/>
        <w:ind w:left="788" w:right="-108" w:hanging="431"/>
        <w:jc w:val="both"/>
        <w:rPr>
          <w:sz w:val="24"/>
        </w:rPr>
      </w:pPr>
      <w:r w:rsidRPr="008E20FF">
        <w:rPr>
          <w:sz w:val="24"/>
        </w:rPr>
        <w:t>Общински бюджети</w:t>
      </w:r>
    </w:p>
    <w:p w:rsidR="00F75EF5" w:rsidRPr="008E20FF" w:rsidRDefault="00F75EF5" w:rsidP="00337CA7">
      <w:pPr>
        <w:numPr>
          <w:ilvl w:val="0"/>
          <w:numId w:val="8"/>
        </w:numPr>
        <w:tabs>
          <w:tab w:val="num" w:pos="540"/>
        </w:tabs>
        <w:spacing w:before="120" w:after="120" w:line="276" w:lineRule="auto"/>
        <w:ind w:left="714" w:hanging="357"/>
        <w:jc w:val="both"/>
        <w:rPr>
          <w:b/>
        </w:rPr>
      </w:pPr>
      <w:r w:rsidRPr="008E20FF">
        <w:rPr>
          <w:b/>
        </w:rPr>
        <w:t>Приходи</w:t>
      </w:r>
    </w:p>
    <w:p w:rsidR="008E20FF" w:rsidRPr="008F6594" w:rsidRDefault="008E20FF" w:rsidP="001D3E63">
      <w:pPr>
        <w:ind w:firstLine="567"/>
        <w:jc w:val="both"/>
        <w:rPr>
          <w:b/>
        </w:rPr>
      </w:pPr>
      <w:r w:rsidRPr="004A4054">
        <w:t>Собствените приходи по бюджетите на общините към 3</w:t>
      </w:r>
      <w:r w:rsidRPr="004A4054">
        <w:rPr>
          <w:lang w:val="en-US"/>
        </w:rPr>
        <w:t>1</w:t>
      </w:r>
      <w:r w:rsidRPr="004A4054">
        <w:t>.0</w:t>
      </w:r>
      <w:r w:rsidRPr="004A4054">
        <w:rPr>
          <w:lang w:val="en-US"/>
        </w:rPr>
        <w:t>3</w:t>
      </w:r>
      <w:r w:rsidRPr="004A4054">
        <w:t>.201</w:t>
      </w:r>
      <w:r w:rsidRPr="004A4054">
        <w:rPr>
          <w:lang w:val="en-US"/>
        </w:rPr>
        <w:t>8</w:t>
      </w:r>
      <w:r w:rsidRPr="004A4054">
        <w:t xml:space="preserve"> г. са в размер на </w:t>
      </w:r>
      <w:r w:rsidRPr="004A4054">
        <w:rPr>
          <w:bCs/>
        </w:rPr>
        <w:t>5</w:t>
      </w:r>
      <w:r w:rsidRPr="004A4054">
        <w:rPr>
          <w:bCs/>
          <w:lang w:val="en-US"/>
        </w:rPr>
        <w:t>70,4</w:t>
      </w:r>
      <w:r w:rsidRPr="004A4054">
        <w:rPr>
          <w:b/>
          <w:bCs/>
          <w:lang w:val="en-US"/>
        </w:rPr>
        <w:t xml:space="preserve"> </w:t>
      </w:r>
      <w:r w:rsidRPr="004A4054">
        <w:rPr>
          <w:bCs/>
        </w:rPr>
        <w:t>м</w:t>
      </w:r>
      <w:r w:rsidRPr="004A4054">
        <w:t xml:space="preserve">лн. лв., което представлява </w:t>
      </w:r>
      <w:r w:rsidRPr="004A4054">
        <w:rPr>
          <w:lang w:val="en-US"/>
        </w:rPr>
        <w:t>24,9</w:t>
      </w:r>
      <w:r w:rsidRPr="004A4054">
        <w:t> % от разчетените към ЗДБРБ за 201</w:t>
      </w:r>
      <w:r w:rsidRPr="004A4054">
        <w:rPr>
          <w:lang w:val="en-US"/>
        </w:rPr>
        <w:t>8</w:t>
      </w:r>
      <w:r w:rsidRPr="004A4054">
        <w:t xml:space="preserve"> г. постъпления в размер на </w:t>
      </w:r>
      <w:r w:rsidRPr="004A4054">
        <w:rPr>
          <w:bCs/>
        </w:rPr>
        <w:t xml:space="preserve">2 </w:t>
      </w:r>
      <w:r w:rsidRPr="004A4054">
        <w:rPr>
          <w:bCs/>
          <w:lang w:val="en-US"/>
        </w:rPr>
        <w:t>289,6</w:t>
      </w:r>
      <w:r w:rsidRPr="004A4054">
        <w:t xml:space="preserve"> млн. лева. Съпоставени с първо тримесечие на  201</w:t>
      </w:r>
      <w:r w:rsidRPr="004A4054">
        <w:rPr>
          <w:lang w:val="en-US"/>
        </w:rPr>
        <w:t>7</w:t>
      </w:r>
      <w:r w:rsidRPr="004A4054">
        <w:t xml:space="preserve"> г. приходите нарастват с </w:t>
      </w:r>
      <w:r w:rsidRPr="004A4054">
        <w:rPr>
          <w:lang w:val="en-US"/>
        </w:rPr>
        <w:t>3</w:t>
      </w:r>
      <w:r w:rsidRPr="004A4054">
        <w:t>,</w:t>
      </w:r>
      <w:r w:rsidRPr="004A4054">
        <w:rPr>
          <w:lang w:val="en-US"/>
        </w:rPr>
        <w:t>9</w:t>
      </w:r>
      <w:r w:rsidRPr="004A4054">
        <w:t xml:space="preserve"> % </w:t>
      </w:r>
      <w:r w:rsidRPr="004A4054">
        <w:rPr>
          <w:lang w:val="en-US"/>
        </w:rPr>
        <w:t>(21</w:t>
      </w:r>
      <w:r w:rsidRPr="004A4054">
        <w:t>,3 млн. лв.</w:t>
      </w:r>
      <w:r w:rsidRPr="004A4054">
        <w:rPr>
          <w:lang w:val="en-US"/>
        </w:rPr>
        <w:t>)</w:t>
      </w:r>
      <w:r w:rsidRPr="004A4054">
        <w:t>.</w:t>
      </w:r>
      <w:r w:rsidRPr="00B53232">
        <w:rPr>
          <w:color w:val="0070C0"/>
        </w:rPr>
        <w:t xml:space="preserve"> </w:t>
      </w:r>
      <w:r w:rsidRPr="00AD36C8">
        <w:rPr>
          <w:i/>
        </w:rPr>
        <w:t>Данъчните приходи</w:t>
      </w:r>
      <w:r w:rsidRPr="00AD36C8">
        <w:t xml:space="preserve"> по общинските бюджети са в размер на 2</w:t>
      </w:r>
      <w:r w:rsidRPr="00AD36C8">
        <w:rPr>
          <w:lang w:val="en-US"/>
        </w:rPr>
        <w:t>56</w:t>
      </w:r>
      <w:r w:rsidRPr="00AD36C8">
        <w:t>,</w:t>
      </w:r>
      <w:r w:rsidRPr="00AD36C8">
        <w:rPr>
          <w:lang w:val="en-US"/>
        </w:rPr>
        <w:t>9</w:t>
      </w:r>
      <w:r w:rsidRPr="00AD36C8">
        <w:t xml:space="preserve"> млн. лв. или 2</w:t>
      </w:r>
      <w:r w:rsidRPr="00AD36C8">
        <w:rPr>
          <w:lang w:val="en-US"/>
        </w:rPr>
        <w:t>6</w:t>
      </w:r>
      <w:r w:rsidRPr="00AD36C8">
        <w:t>,</w:t>
      </w:r>
      <w:r w:rsidRPr="00AD36C8">
        <w:rPr>
          <w:lang w:val="en-US"/>
        </w:rPr>
        <w:t>5</w:t>
      </w:r>
      <w:r w:rsidRPr="00AD36C8">
        <w:t> % от годишните разчети към ЗДБРБ за 201</w:t>
      </w:r>
      <w:r w:rsidR="002002AA">
        <w:t>8</w:t>
      </w:r>
      <w:r w:rsidRPr="00AD36C8">
        <w:t xml:space="preserve"> г. и нарастват с</w:t>
      </w:r>
      <w:r w:rsidR="002747FE">
        <w:t>ъс</w:t>
      </w:r>
      <w:r w:rsidRPr="00AD36C8">
        <w:t xml:space="preserve"> </w:t>
      </w:r>
      <w:r w:rsidRPr="00AD36C8">
        <w:rPr>
          <w:lang w:val="en-US"/>
        </w:rPr>
        <w:t>7</w:t>
      </w:r>
      <w:r w:rsidRPr="00AD36C8">
        <w:t>,</w:t>
      </w:r>
      <w:r w:rsidRPr="00AD36C8">
        <w:rPr>
          <w:lang w:val="en-US"/>
        </w:rPr>
        <w:t>1</w:t>
      </w:r>
      <w:r w:rsidRPr="00AD36C8">
        <w:t xml:space="preserve"> %</w:t>
      </w:r>
      <w:r w:rsidRPr="00B53232">
        <w:rPr>
          <w:color w:val="0070C0"/>
        </w:rPr>
        <w:t xml:space="preserve"> </w:t>
      </w:r>
      <w:r w:rsidRPr="00AD36C8">
        <w:rPr>
          <w:lang w:val="en-US"/>
        </w:rPr>
        <w:t>(</w:t>
      </w:r>
      <w:r w:rsidRPr="00AD36C8">
        <w:t>1</w:t>
      </w:r>
      <w:r w:rsidRPr="00AD36C8">
        <w:rPr>
          <w:lang w:val="en-US"/>
        </w:rPr>
        <w:t>7</w:t>
      </w:r>
      <w:r w:rsidRPr="00AD36C8">
        <w:t>,</w:t>
      </w:r>
      <w:r w:rsidRPr="00AD36C8">
        <w:rPr>
          <w:lang w:val="en-US"/>
        </w:rPr>
        <w:t>0</w:t>
      </w:r>
      <w:r w:rsidRPr="00AD36C8">
        <w:t xml:space="preserve"> млн.</w:t>
      </w:r>
      <w:r w:rsidR="002747FE">
        <w:t> </w:t>
      </w:r>
      <w:r w:rsidRPr="00AD36C8">
        <w:t>лв.</w:t>
      </w:r>
      <w:r w:rsidRPr="00AD36C8">
        <w:rPr>
          <w:lang w:val="en-US"/>
        </w:rPr>
        <w:t>)</w:t>
      </w:r>
      <w:r w:rsidRPr="00AD36C8">
        <w:t xml:space="preserve"> спрямо същия период на предходната година. </w:t>
      </w:r>
      <w:r w:rsidRPr="008F6594">
        <w:rPr>
          <w:bCs/>
        </w:rPr>
        <w:t xml:space="preserve">От </w:t>
      </w:r>
      <w:r w:rsidRPr="008F6594">
        <w:rPr>
          <w:bCs/>
          <w:i/>
        </w:rPr>
        <w:t>имуществени данъци по Закона за местните данъци и такси</w:t>
      </w:r>
      <w:r w:rsidRPr="008F6594">
        <w:rPr>
          <w:bCs/>
        </w:rPr>
        <w:t xml:space="preserve"> в местните бюджети към март 201</w:t>
      </w:r>
      <w:r w:rsidR="002747FE">
        <w:rPr>
          <w:bCs/>
        </w:rPr>
        <w:t>8</w:t>
      </w:r>
      <w:r w:rsidRPr="008F6594">
        <w:rPr>
          <w:bCs/>
        </w:rPr>
        <w:t xml:space="preserve"> г. са постъпили общо 2</w:t>
      </w:r>
      <w:r w:rsidRPr="008F6594">
        <w:rPr>
          <w:bCs/>
          <w:lang w:val="en-US"/>
        </w:rPr>
        <w:t>50</w:t>
      </w:r>
      <w:r w:rsidRPr="008F6594">
        <w:rPr>
          <w:bCs/>
        </w:rPr>
        <w:t>,</w:t>
      </w:r>
      <w:r w:rsidRPr="008F6594">
        <w:rPr>
          <w:bCs/>
          <w:lang w:val="en-US"/>
        </w:rPr>
        <w:t>2</w:t>
      </w:r>
      <w:r w:rsidRPr="008F6594">
        <w:rPr>
          <w:bCs/>
        </w:rPr>
        <w:t xml:space="preserve"> млн. лв., което представлява 2</w:t>
      </w:r>
      <w:r w:rsidRPr="008F6594">
        <w:rPr>
          <w:bCs/>
          <w:lang w:val="en-US"/>
        </w:rPr>
        <w:t>6</w:t>
      </w:r>
      <w:r w:rsidRPr="008F6594">
        <w:rPr>
          <w:bCs/>
        </w:rPr>
        <w:t>,</w:t>
      </w:r>
      <w:r w:rsidRPr="008F6594">
        <w:rPr>
          <w:bCs/>
          <w:lang w:val="en-US"/>
        </w:rPr>
        <w:t>3</w:t>
      </w:r>
      <w:r w:rsidRPr="008F6594">
        <w:rPr>
          <w:bCs/>
        </w:rPr>
        <w:t xml:space="preserve"> % от годишния разчет</w:t>
      </w:r>
      <w:r w:rsidRPr="008F6594">
        <w:rPr>
          <w:bCs/>
          <w:lang w:val="en-US"/>
        </w:rPr>
        <w:t xml:space="preserve"> </w:t>
      </w:r>
      <w:r w:rsidRPr="008F6594">
        <w:rPr>
          <w:bCs/>
        </w:rPr>
        <w:t>и със 7,6 % над постъпленията за същия период на 2017 г. С най-значителен дял в приходите от имуществени данъци е данъкът върху превозните средства– 38,8 %, следват данъка върху недвижимите имоти – 37,4 %, данъка върху придобиване на имущество по дарения и възмезден начин – 22,7 % и туристически данък – 1,</w:t>
      </w:r>
      <w:proofErr w:type="spellStart"/>
      <w:r w:rsidRPr="008F6594">
        <w:rPr>
          <w:bCs/>
        </w:rPr>
        <w:t>1</w:t>
      </w:r>
      <w:proofErr w:type="spellEnd"/>
      <w:r w:rsidRPr="008F6594">
        <w:rPr>
          <w:bCs/>
        </w:rPr>
        <w:t xml:space="preserve"> %.</w:t>
      </w:r>
      <w:r w:rsidRPr="008F6594">
        <w:t xml:space="preserve"> През отчетния период по бюджетите на общините са постъпили 6,8 млн. лв. от </w:t>
      </w:r>
      <w:r w:rsidRPr="008F6594">
        <w:rPr>
          <w:i/>
        </w:rPr>
        <w:t>патентен данък и данък върху таксиметров превоз на пътници</w:t>
      </w:r>
      <w:r w:rsidRPr="008F6594">
        <w:t xml:space="preserve"> (33,5 % от годишния разчет). </w:t>
      </w:r>
    </w:p>
    <w:p w:rsidR="008E20FF" w:rsidRPr="00B53232" w:rsidRDefault="008E20FF" w:rsidP="001D3E63">
      <w:pPr>
        <w:ind w:firstLine="567"/>
        <w:jc w:val="both"/>
        <w:rPr>
          <w:color w:val="0070C0"/>
        </w:rPr>
      </w:pPr>
      <w:r w:rsidRPr="008F6594">
        <w:t xml:space="preserve">Общият размер на </w:t>
      </w:r>
      <w:r w:rsidRPr="008F6594">
        <w:rPr>
          <w:i/>
        </w:rPr>
        <w:t>неданъчните приходи</w:t>
      </w:r>
      <w:r w:rsidRPr="008F6594">
        <w:t xml:space="preserve"> по местните бюджети към края на първо тримесечие на 2018 г. е 310,2 млн. лв. или 24,0 % от планираните, което е с 4,5 % </w:t>
      </w:r>
      <w:r w:rsidRPr="008F6594">
        <w:rPr>
          <w:lang w:val="en-US"/>
        </w:rPr>
        <w:t>(</w:t>
      </w:r>
      <w:r w:rsidRPr="008F6594">
        <w:t xml:space="preserve">13,3 млн. </w:t>
      </w:r>
      <w:r w:rsidRPr="008F6594">
        <w:lastRenderedPageBreak/>
        <w:t>лв.</w:t>
      </w:r>
      <w:r w:rsidRPr="008F6594">
        <w:rPr>
          <w:lang w:val="en-US"/>
        </w:rPr>
        <w:t>)</w:t>
      </w:r>
      <w:r w:rsidRPr="008F6594">
        <w:t xml:space="preserve"> повече спрямо същия период на предходната година. Най-голям относителен дял заемат приходите от общински такси, които възлизат на 208,9 млн. лв. </w:t>
      </w:r>
      <w:r w:rsidRPr="00600F5A">
        <w:rPr>
          <w:lang w:val="en-US"/>
        </w:rPr>
        <w:t>(</w:t>
      </w:r>
      <w:r w:rsidRPr="00600F5A">
        <w:t>25</w:t>
      </w:r>
      <w:proofErr w:type="gramStart"/>
      <w:r w:rsidRPr="00600F5A">
        <w:t>,9</w:t>
      </w:r>
      <w:proofErr w:type="gramEnd"/>
      <w:r w:rsidRPr="00600F5A">
        <w:t xml:space="preserve"> % от разчетените за годината</w:t>
      </w:r>
      <w:r w:rsidRPr="00600F5A">
        <w:rPr>
          <w:lang w:val="en-US"/>
        </w:rPr>
        <w:t>)</w:t>
      </w:r>
      <w:r w:rsidRPr="00600F5A">
        <w:t>,</w:t>
      </w:r>
      <w:r w:rsidRPr="00B53232">
        <w:rPr>
          <w:color w:val="0070C0"/>
        </w:rPr>
        <w:t xml:space="preserve"> </w:t>
      </w:r>
      <w:r w:rsidRPr="00600F5A">
        <w:t xml:space="preserve">следват приходите и доходите от собственост – 63,2 млн. лв. </w:t>
      </w:r>
      <w:r w:rsidRPr="00600F5A">
        <w:rPr>
          <w:lang w:val="en-US"/>
        </w:rPr>
        <w:t>(</w:t>
      </w:r>
      <w:r w:rsidRPr="00600F5A">
        <w:t>21</w:t>
      </w:r>
      <w:proofErr w:type="gramStart"/>
      <w:r w:rsidRPr="00600F5A">
        <w:t>,9</w:t>
      </w:r>
      <w:proofErr w:type="gramEnd"/>
      <w:r w:rsidRPr="00600F5A">
        <w:t xml:space="preserve"> % от разчетените за 2018 г.</w:t>
      </w:r>
      <w:r w:rsidRPr="00600F5A">
        <w:rPr>
          <w:lang w:val="en-US"/>
        </w:rPr>
        <w:t>)</w:t>
      </w:r>
      <w:r w:rsidRPr="00600F5A">
        <w:t>, постъпленията</w:t>
      </w:r>
      <w:r w:rsidRPr="00600F5A">
        <w:rPr>
          <w:lang w:val="en-US"/>
        </w:rPr>
        <w:t xml:space="preserve"> </w:t>
      </w:r>
      <w:r w:rsidRPr="00600F5A">
        <w:t>от продажба на нефинансови активи – 20,1 млн. лв.</w:t>
      </w:r>
      <w:r w:rsidRPr="00B53232">
        <w:rPr>
          <w:color w:val="0070C0"/>
        </w:rPr>
        <w:t xml:space="preserve"> </w:t>
      </w:r>
      <w:r w:rsidRPr="00ED61FE">
        <w:rPr>
          <w:lang w:val="en-US"/>
        </w:rPr>
        <w:t>(18</w:t>
      </w:r>
      <w:proofErr w:type="gramStart"/>
      <w:r w:rsidRPr="00ED61FE">
        <w:t>,</w:t>
      </w:r>
      <w:r w:rsidRPr="00ED61FE">
        <w:rPr>
          <w:lang w:val="en-US"/>
        </w:rPr>
        <w:t>4</w:t>
      </w:r>
      <w:proofErr w:type="gramEnd"/>
      <w:r w:rsidRPr="00ED61FE">
        <w:t xml:space="preserve"> % от разчета за годината</w:t>
      </w:r>
      <w:r w:rsidRPr="00ED61FE">
        <w:rPr>
          <w:lang w:val="en-US"/>
        </w:rPr>
        <w:t>)</w:t>
      </w:r>
      <w:r w:rsidRPr="00ED61FE">
        <w:t xml:space="preserve">, приходите от концесии – 19,9 млн. лв. </w:t>
      </w:r>
      <w:r w:rsidRPr="00ED61FE">
        <w:rPr>
          <w:lang w:val="en-US"/>
        </w:rPr>
        <w:t>(</w:t>
      </w:r>
      <w:r w:rsidRPr="00ED61FE">
        <w:t>4</w:t>
      </w:r>
      <w:r w:rsidRPr="00ED61FE">
        <w:rPr>
          <w:lang w:val="en-US"/>
        </w:rPr>
        <w:t>2</w:t>
      </w:r>
      <w:proofErr w:type="gramStart"/>
      <w:r w:rsidRPr="00ED61FE">
        <w:t>,</w:t>
      </w:r>
      <w:r w:rsidR="0010212B">
        <w:rPr>
          <w:lang w:val="en-US"/>
        </w:rPr>
        <w:t>4</w:t>
      </w:r>
      <w:proofErr w:type="gramEnd"/>
      <w:r w:rsidRPr="00ED61FE">
        <w:t xml:space="preserve"> % от планираните</w:t>
      </w:r>
      <w:r w:rsidRPr="00ED61FE">
        <w:rPr>
          <w:lang w:val="en-US"/>
        </w:rPr>
        <w:t>)</w:t>
      </w:r>
      <w:r w:rsidRPr="00ED61FE">
        <w:t xml:space="preserve"> </w:t>
      </w:r>
      <w:r w:rsidRPr="00600F5A">
        <w:t>и постъпленията от глоби, санкции и наказателни лихви – 17,5 млн. лв</w:t>
      </w:r>
      <w:r w:rsidRPr="00ED61FE">
        <w:t xml:space="preserve">.  </w:t>
      </w:r>
      <w:r w:rsidRPr="00ED61FE">
        <w:rPr>
          <w:lang w:val="en-US"/>
        </w:rPr>
        <w:t>(</w:t>
      </w:r>
      <w:r w:rsidRPr="00ED61FE">
        <w:t>20</w:t>
      </w:r>
      <w:proofErr w:type="gramStart"/>
      <w:r w:rsidRPr="00ED61FE">
        <w:t>,2</w:t>
      </w:r>
      <w:proofErr w:type="gramEnd"/>
      <w:r w:rsidRPr="00ED61FE">
        <w:t xml:space="preserve"> % от разчета за 2018 г.</w:t>
      </w:r>
      <w:r w:rsidRPr="00ED61FE">
        <w:rPr>
          <w:lang w:val="en-US"/>
        </w:rPr>
        <w:t>)</w:t>
      </w:r>
      <w:r w:rsidRPr="00ED61FE">
        <w:t xml:space="preserve">. </w:t>
      </w:r>
    </w:p>
    <w:p w:rsidR="008E20FF" w:rsidRPr="00B53232" w:rsidRDefault="008E20FF" w:rsidP="001D3E63">
      <w:pPr>
        <w:ind w:firstLine="567"/>
        <w:jc w:val="both"/>
        <w:rPr>
          <w:color w:val="0070C0"/>
        </w:rPr>
      </w:pPr>
      <w:r w:rsidRPr="00807807">
        <w:t xml:space="preserve">През отчетния период по общинските бюджети са постъпили 3,2 млн. лв. приходи от </w:t>
      </w:r>
      <w:r w:rsidRPr="00807807">
        <w:rPr>
          <w:i/>
        </w:rPr>
        <w:t>помощи</w:t>
      </w:r>
      <w:r w:rsidRPr="00807807">
        <w:t xml:space="preserve">, което е 12,8 % от разчетените за годината 25,2 млн. лева. </w:t>
      </w:r>
    </w:p>
    <w:p w:rsidR="008E20FF" w:rsidRPr="00807807" w:rsidRDefault="008E20FF" w:rsidP="008E20FF">
      <w:pPr>
        <w:numPr>
          <w:ilvl w:val="0"/>
          <w:numId w:val="8"/>
        </w:numPr>
        <w:tabs>
          <w:tab w:val="num" w:pos="540"/>
        </w:tabs>
        <w:spacing w:before="120" w:after="120" w:line="276" w:lineRule="auto"/>
        <w:ind w:left="714" w:hanging="357"/>
        <w:jc w:val="both"/>
        <w:rPr>
          <w:b/>
        </w:rPr>
      </w:pPr>
      <w:r w:rsidRPr="00807807">
        <w:rPr>
          <w:b/>
        </w:rPr>
        <w:t>Разходи</w:t>
      </w:r>
    </w:p>
    <w:p w:rsidR="008E20FF" w:rsidRPr="00B51023" w:rsidRDefault="008E20FF" w:rsidP="008E20FF">
      <w:pPr>
        <w:ind w:firstLine="360"/>
        <w:jc w:val="both"/>
      </w:pPr>
      <w:r>
        <w:t>Към 31.03.2018</w:t>
      </w:r>
      <w:r w:rsidRPr="00807807">
        <w:t xml:space="preserve"> г</w:t>
      </w:r>
      <w:r w:rsidRPr="0077476C">
        <w:t xml:space="preserve">. общините са отчели общо разходи в размер на 1 237,9 млн. лв., които </w:t>
      </w:r>
      <w:r w:rsidRPr="005E53CB">
        <w:t xml:space="preserve">представляват 22,6 % от разчетите към ЗДБРБ за 2018 г. </w:t>
      </w:r>
      <w:r w:rsidRPr="00E949C5">
        <w:t>Текущите разходи възл</w:t>
      </w:r>
      <w:r>
        <w:t>изат на  1 </w:t>
      </w:r>
      <w:r>
        <w:rPr>
          <w:lang w:val="en-US"/>
        </w:rPr>
        <w:t>142</w:t>
      </w:r>
      <w:r>
        <w:t>,</w:t>
      </w:r>
      <w:r>
        <w:rPr>
          <w:lang w:val="en-US"/>
        </w:rPr>
        <w:t>9</w:t>
      </w:r>
      <w:r>
        <w:t xml:space="preserve"> млн. лв. или 2</w:t>
      </w:r>
      <w:r>
        <w:rPr>
          <w:lang w:val="en-US"/>
        </w:rPr>
        <w:t>4</w:t>
      </w:r>
      <w:r>
        <w:t>,</w:t>
      </w:r>
      <w:r>
        <w:rPr>
          <w:lang w:val="en-US"/>
        </w:rPr>
        <w:t>6</w:t>
      </w:r>
      <w:r w:rsidRPr="00E949C5">
        <w:t> % от годишния разчет.</w:t>
      </w:r>
      <w:r w:rsidRPr="00B53232">
        <w:rPr>
          <w:color w:val="0070C0"/>
        </w:rPr>
        <w:t xml:space="preserve"> </w:t>
      </w:r>
      <w:r w:rsidRPr="001B6E65">
        <w:t>Разходите за персонал (</w:t>
      </w:r>
      <w:r w:rsidRPr="001B6E65">
        <w:rPr>
          <w:bCs/>
        </w:rPr>
        <w:t>заплати и възнаграждения, други възнаграждения и плащания за персонала и осигурителни вноски)</w:t>
      </w:r>
      <w:r w:rsidRPr="001B6E65">
        <w:t xml:space="preserve"> са в размер на </w:t>
      </w:r>
      <w:r w:rsidRPr="001B6E65">
        <w:rPr>
          <w:lang w:val="en-US"/>
        </w:rPr>
        <w:t>648</w:t>
      </w:r>
      <w:r w:rsidRPr="001B6E65">
        <w:t>,</w:t>
      </w:r>
      <w:r w:rsidRPr="001B6E65">
        <w:rPr>
          <w:lang w:val="en-US"/>
        </w:rPr>
        <w:t>2</w:t>
      </w:r>
      <w:r w:rsidRPr="001B6E65">
        <w:t xml:space="preserve"> млн. лв. и заемат най-голям относителен дял в текущите разходи на общините – 5</w:t>
      </w:r>
      <w:r w:rsidRPr="001B6E65">
        <w:rPr>
          <w:lang w:val="en-US"/>
        </w:rPr>
        <w:t>6</w:t>
      </w:r>
      <w:r w:rsidRPr="001B6E65">
        <w:t>,</w:t>
      </w:r>
      <w:r w:rsidRPr="001B6E65">
        <w:rPr>
          <w:lang w:val="en-US"/>
        </w:rPr>
        <w:t>7</w:t>
      </w:r>
      <w:r w:rsidRPr="001B6E65">
        <w:t xml:space="preserve"> %. Разходите за издръжка </w:t>
      </w:r>
      <w:r w:rsidRPr="001B6E65">
        <w:rPr>
          <w:bCs/>
        </w:rPr>
        <w:t>(вкл. разходи за членски внос и участие в нетърговски организации и дейности, платени данъци, такси и административни санкции)</w:t>
      </w:r>
      <w:r w:rsidRPr="001B6E65">
        <w:t xml:space="preserve"> са в размер на 4</w:t>
      </w:r>
      <w:r w:rsidRPr="001B6E65">
        <w:rPr>
          <w:lang w:val="en-US"/>
        </w:rPr>
        <w:t>12</w:t>
      </w:r>
      <w:r w:rsidRPr="001B6E65">
        <w:t>,</w:t>
      </w:r>
      <w:r w:rsidRPr="001B6E65">
        <w:rPr>
          <w:lang w:val="en-US"/>
        </w:rPr>
        <w:t>1</w:t>
      </w:r>
      <w:r w:rsidRPr="001B6E65">
        <w:t xml:space="preserve"> млн. лв., </w:t>
      </w:r>
      <w:r w:rsidRPr="001B6E65">
        <w:rPr>
          <w:lang w:val="en-US"/>
        </w:rPr>
        <w:t>26</w:t>
      </w:r>
      <w:proofErr w:type="gramStart"/>
      <w:r w:rsidRPr="001B6E65">
        <w:t>,</w:t>
      </w:r>
      <w:r w:rsidRPr="001B6E65">
        <w:rPr>
          <w:lang w:val="en-US"/>
        </w:rPr>
        <w:t>4</w:t>
      </w:r>
      <w:proofErr w:type="gramEnd"/>
      <w:r w:rsidRPr="001B6E65">
        <w:t xml:space="preserve"> % от годишния разчет. </w:t>
      </w:r>
      <w:r w:rsidRPr="00B51023">
        <w:t>Разходите за субсидии са в размер на 3</w:t>
      </w:r>
      <w:r w:rsidRPr="00B51023">
        <w:rPr>
          <w:lang w:val="en-US"/>
        </w:rPr>
        <w:t>5</w:t>
      </w:r>
      <w:r w:rsidRPr="00B51023">
        <w:t>,</w:t>
      </w:r>
      <w:r w:rsidRPr="00B51023">
        <w:rPr>
          <w:lang w:val="en-US"/>
        </w:rPr>
        <w:t>9</w:t>
      </w:r>
      <w:r w:rsidRPr="00B51023">
        <w:t xml:space="preserve"> млн. лева. Тук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Текущите трансфери, обезщетения и помощи за домакинствата са в размер на 3</w:t>
      </w:r>
      <w:r w:rsidRPr="00B51023">
        <w:rPr>
          <w:lang w:val="en-US"/>
        </w:rPr>
        <w:t>5</w:t>
      </w:r>
      <w:r w:rsidRPr="00B51023">
        <w:t>,</w:t>
      </w:r>
      <w:r w:rsidRPr="00B51023">
        <w:rPr>
          <w:lang w:val="en-US"/>
        </w:rPr>
        <w:t>6</w:t>
      </w:r>
      <w:r w:rsidRPr="00B51023">
        <w:t xml:space="preserve"> млн. лв., което е 3</w:t>
      </w:r>
      <w:r w:rsidRPr="00B51023">
        <w:rPr>
          <w:lang w:val="en-US"/>
        </w:rPr>
        <w:t>3</w:t>
      </w:r>
      <w:r w:rsidRPr="00B51023">
        <w:t>,</w:t>
      </w:r>
      <w:r w:rsidRPr="00B51023">
        <w:rPr>
          <w:lang w:val="en-US"/>
        </w:rPr>
        <w:t>4</w:t>
      </w:r>
      <w:r w:rsidRPr="00B51023">
        <w:t xml:space="preserve"> % от разчетите към </w:t>
      </w:r>
      <w:r>
        <w:t>ЗДБРБ за 201</w:t>
      </w:r>
      <w:r>
        <w:rPr>
          <w:lang w:val="en-US"/>
        </w:rPr>
        <w:t>8</w:t>
      </w:r>
      <w:r w:rsidRPr="00B51023">
        <w:t xml:space="preserve"> г.  </w:t>
      </w:r>
    </w:p>
    <w:p w:rsidR="008E20FF" w:rsidRPr="00B53232" w:rsidRDefault="008E20FF" w:rsidP="008E20FF">
      <w:pPr>
        <w:ind w:firstLine="360"/>
        <w:jc w:val="both"/>
        <w:rPr>
          <w:color w:val="0070C0"/>
        </w:rPr>
      </w:pPr>
      <w:r w:rsidRPr="00306B96">
        <w:t xml:space="preserve">Разходите за лихви възлизат на </w:t>
      </w:r>
      <w:r w:rsidRPr="00306B96">
        <w:rPr>
          <w:lang w:val="en-US"/>
        </w:rPr>
        <w:t>7</w:t>
      </w:r>
      <w:r w:rsidRPr="00306B96">
        <w:t>,</w:t>
      </w:r>
      <w:r w:rsidRPr="00306B96">
        <w:rPr>
          <w:lang w:val="en-US"/>
        </w:rPr>
        <w:t>2</w:t>
      </w:r>
      <w:r w:rsidRPr="00306B96">
        <w:t xml:space="preserve"> млн. лв.,  </w:t>
      </w:r>
      <w:r w:rsidRPr="00306B96">
        <w:rPr>
          <w:lang w:val="en-US"/>
        </w:rPr>
        <w:t>1</w:t>
      </w:r>
      <w:r w:rsidRPr="00306B96">
        <w:t>8</w:t>
      </w:r>
      <w:proofErr w:type="gramStart"/>
      <w:r w:rsidRPr="00306B96">
        <w:t>,</w:t>
      </w:r>
      <w:r w:rsidRPr="00306B96">
        <w:rPr>
          <w:lang w:val="en-US"/>
        </w:rPr>
        <w:t>8</w:t>
      </w:r>
      <w:proofErr w:type="gramEnd"/>
      <w:r w:rsidRPr="00306B96">
        <w:t xml:space="preserve"> % от разчета за 201</w:t>
      </w:r>
      <w:r w:rsidRPr="00306B96">
        <w:rPr>
          <w:lang w:val="en-US"/>
        </w:rPr>
        <w:t>8</w:t>
      </w:r>
      <w:r w:rsidRPr="00306B96">
        <w:t xml:space="preserve"> година.</w:t>
      </w:r>
      <w:r w:rsidRPr="00B53232">
        <w:rPr>
          <w:color w:val="0070C0"/>
        </w:rPr>
        <w:t xml:space="preserve"> </w:t>
      </w:r>
    </w:p>
    <w:p w:rsidR="008E20FF" w:rsidRPr="00306B96" w:rsidRDefault="008E20FF" w:rsidP="008E20FF">
      <w:pPr>
        <w:ind w:firstLine="360"/>
      </w:pPr>
      <w:r w:rsidRPr="00306B96">
        <w:t xml:space="preserve">Капиталовите разходи са в размер на </w:t>
      </w:r>
      <w:r w:rsidRPr="00306B96">
        <w:rPr>
          <w:lang w:val="en-US"/>
        </w:rPr>
        <w:t>95</w:t>
      </w:r>
      <w:r w:rsidR="0010212B">
        <w:t>,</w:t>
      </w:r>
      <w:r w:rsidR="0010212B">
        <w:rPr>
          <w:lang w:val="en-US"/>
        </w:rPr>
        <w:t>0</w:t>
      </w:r>
      <w:r w:rsidRPr="00306B96">
        <w:t xml:space="preserve"> млн. лв. или </w:t>
      </w:r>
      <w:r w:rsidRPr="00306B96">
        <w:rPr>
          <w:lang w:val="en-US"/>
        </w:rPr>
        <w:t>11</w:t>
      </w:r>
      <w:r w:rsidRPr="00306B96">
        <w:t>,</w:t>
      </w:r>
      <w:r w:rsidRPr="00306B96">
        <w:rPr>
          <w:lang w:val="en-US"/>
        </w:rPr>
        <w:t>4</w:t>
      </w:r>
      <w:r w:rsidRPr="00306B96">
        <w:t xml:space="preserve"> % от разчетите към ЗДБРБ за 201</w:t>
      </w:r>
      <w:r w:rsidRPr="00306B96">
        <w:rPr>
          <w:lang w:val="en-US"/>
        </w:rPr>
        <w:t>8</w:t>
      </w:r>
      <w:r w:rsidRPr="00306B96">
        <w:t xml:space="preserve"> година.</w:t>
      </w:r>
    </w:p>
    <w:p w:rsidR="008E20FF" w:rsidRPr="00306B96" w:rsidRDefault="008E20FF" w:rsidP="008E20FF">
      <w:pPr>
        <w:tabs>
          <w:tab w:val="center" w:pos="4153"/>
          <w:tab w:val="right" w:pos="8306"/>
        </w:tabs>
        <w:jc w:val="both"/>
        <w:rPr>
          <w:rFonts w:eastAsia="Calibri"/>
        </w:rPr>
      </w:pPr>
      <w:r w:rsidRPr="00B53232">
        <w:rPr>
          <w:color w:val="0070C0"/>
          <w:lang w:val="en-US"/>
        </w:rPr>
        <w:t xml:space="preserve">      </w:t>
      </w:r>
      <w:r w:rsidRPr="00306B96">
        <w:t xml:space="preserve">Общият размер на отчетените разходи за </w:t>
      </w:r>
      <w:proofErr w:type="spellStart"/>
      <w:r w:rsidRPr="00306B96">
        <w:t>дофинансиране</w:t>
      </w:r>
      <w:proofErr w:type="spellEnd"/>
      <w:r w:rsidRPr="00306B96">
        <w:t xml:space="preserve"> на делегираните от държавата дейности с местни приходи е </w:t>
      </w:r>
      <w:r w:rsidRPr="00306B96">
        <w:rPr>
          <w:lang w:val="en-US"/>
        </w:rPr>
        <w:t>31</w:t>
      </w:r>
      <w:r w:rsidRPr="00306B96">
        <w:t>,</w:t>
      </w:r>
      <w:r w:rsidRPr="00306B96">
        <w:rPr>
          <w:lang w:val="en-US"/>
        </w:rPr>
        <w:t>4</w:t>
      </w:r>
      <w:r w:rsidRPr="00306B96">
        <w:t xml:space="preserve"> млн. лв.</w:t>
      </w:r>
      <w:r w:rsidRPr="00306B96">
        <w:rPr>
          <w:rFonts w:eastAsia="Calibri"/>
        </w:rPr>
        <w:t>, от които 2</w:t>
      </w:r>
      <w:r w:rsidRPr="00306B96">
        <w:rPr>
          <w:rFonts w:eastAsia="Calibri"/>
          <w:lang w:val="en-US"/>
        </w:rPr>
        <w:t>8</w:t>
      </w:r>
      <w:r w:rsidRPr="00306B96">
        <w:rPr>
          <w:rFonts w:eastAsia="Calibri"/>
        </w:rPr>
        <w:t>,</w:t>
      </w:r>
      <w:r w:rsidRPr="00306B96">
        <w:rPr>
          <w:rFonts w:eastAsia="Calibri"/>
          <w:lang w:val="en-US"/>
        </w:rPr>
        <w:t>8</w:t>
      </w:r>
      <w:r w:rsidRPr="00306B96">
        <w:rPr>
          <w:rFonts w:eastAsia="Calibri"/>
        </w:rPr>
        <w:t xml:space="preserve"> млн. лв. текущи разходи и </w:t>
      </w:r>
      <w:r w:rsidRPr="00306B96">
        <w:rPr>
          <w:rFonts w:eastAsia="Calibri"/>
          <w:lang w:val="en-US"/>
        </w:rPr>
        <w:t>2</w:t>
      </w:r>
      <w:r w:rsidRPr="00306B96">
        <w:rPr>
          <w:rFonts w:eastAsia="Calibri"/>
        </w:rPr>
        <w:t>,</w:t>
      </w:r>
      <w:r w:rsidRPr="00306B96">
        <w:rPr>
          <w:rFonts w:eastAsia="Calibri"/>
          <w:lang w:val="en-US"/>
        </w:rPr>
        <w:t>6</w:t>
      </w:r>
      <w:r w:rsidRPr="00306B96">
        <w:rPr>
          <w:rFonts w:eastAsia="Calibri"/>
        </w:rPr>
        <w:t xml:space="preserve"> млн. лв. капиталови разходи.</w:t>
      </w:r>
    </w:p>
    <w:p w:rsidR="008E20FF" w:rsidRPr="00306B96" w:rsidRDefault="008E20FF" w:rsidP="008E20FF">
      <w:pPr>
        <w:numPr>
          <w:ilvl w:val="0"/>
          <w:numId w:val="8"/>
        </w:numPr>
        <w:tabs>
          <w:tab w:val="num" w:pos="540"/>
        </w:tabs>
        <w:spacing w:before="120" w:after="120" w:line="276" w:lineRule="auto"/>
        <w:ind w:left="714" w:hanging="357"/>
        <w:jc w:val="both"/>
        <w:rPr>
          <w:b/>
        </w:rPr>
      </w:pPr>
      <w:r w:rsidRPr="00306B96">
        <w:rPr>
          <w:b/>
        </w:rPr>
        <w:t>Финансиране</w:t>
      </w:r>
    </w:p>
    <w:p w:rsidR="008E20FF" w:rsidRPr="00845BB7" w:rsidRDefault="008E20FF" w:rsidP="008E20FF">
      <w:pPr>
        <w:ind w:firstLine="360"/>
        <w:jc w:val="both"/>
      </w:pPr>
      <w:r w:rsidRPr="00845BB7">
        <w:t>За първото тримесечие на 201</w:t>
      </w:r>
      <w:r w:rsidRPr="00845BB7">
        <w:rPr>
          <w:lang w:val="en-US"/>
        </w:rPr>
        <w:t>8</w:t>
      </w:r>
      <w:r w:rsidRPr="00845BB7">
        <w:t xml:space="preserve"> г. по общинските бюджети са изплатени </w:t>
      </w:r>
      <w:r w:rsidRPr="00845BB7">
        <w:rPr>
          <w:i/>
        </w:rPr>
        <w:t>погашения по заеми</w:t>
      </w:r>
      <w:r w:rsidRPr="00845BB7">
        <w:t xml:space="preserve"> от чужбина  в размер на </w:t>
      </w:r>
      <w:r w:rsidRPr="00845BB7">
        <w:rPr>
          <w:lang w:val="en-US"/>
        </w:rPr>
        <w:t>7</w:t>
      </w:r>
      <w:r w:rsidRPr="00845BB7">
        <w:t>,</w:t>
      </w:r>
      <w:r w:rsidRPr="00845BB7">
        <w:rPr>
          <w:lang w:val="en-US"/>
        </w:rPr>
        <w:t>2</w:t>
      </w:r>
      <w:r w:rsidRPr="00845BB7">
        <w:t xml:space="preserve"> млн. лева. От банки  в страната общините са получили заеми в размер на </w:t>
      </w:r>
      <w:r w:rsidRPr="00845BB7">
        <w:rPr>
          <w:lang w:val="en-US"/>
        </w:rPr>
        <w:t>8</w:t>
      </w:r>
      <w:r w:rsidRPr="00845BB7">
        <w:t>,</w:t>
      </w:r>
      <w:r w:rsidRPr="00845BB7">
        <w:rPr>
          <w:lang w:val="en-US"/>
        </w:rPr>
        <w:t>5</w:t>
      </w:r>
      <w:r w:rsidRPr="00845BB7">
        <w:t xml:space="preserve"> млн. лв. и са изплатили погашения в размер на 1</w:t>
      </w:r>
      <w:r w:rsidRPr="00845BB7">
        <w:rPr>
          <w:lang w:val="en-US"/>
        </w:rPr>
        <w:t>2</w:t>
      </w:r>
      <w:r w:rsidRPr="00845BB7">
        <w:t>,1 млн. лева.</w:t>
      </w:r>
    </w:p>
    <w:p w:rsidR="008E20FF" w:rsidRPr="00845BB7" w:rsidRDefault="008E20FF" w:rsidP="008E20FF">
      <w:pPr>
        <w:ind w:firstLine="360"/>
        <w:jc w:val="both"/>
      </w:pPr>
      <w:r w:rsidRPr="00845BB7">
        <w:t>Усвоените за първото тримесечие на 201</w:t>
      </w:r>
      <w:r w:rsidRPr="00845BB7">
        <w:rPr>
          <w:lang w:val="en-US"/>
        </w:rPr>
        <w:t>8</w:t>
      </w:r>
      <w:r w:rsidRPr="00845BB7">
        <w:t xml:space="preserve"> г. средства по заеми, предоставени на общините чрез „Фонд за органите на местното самоуправление – ФЛАГ“ ЕАД са в размер на </w:t>
      </w:r>
      <w:r w:rsidRPr="00845BB7">
        <w:rPr>
          <w:lang w:val="en-US"/>
        </w:rPr>
        <w:t>9</w:t>
      </w:r>
      <w:r w:rsidRPr="00845BB7">
        <w:t>,</w:t>
      </w:r>
      <w:r w:rsidRPr="00845BB7">
        <w:rPr>
          <w:lang w:val="en-US"/>
        </w:rPr>
        <w:t>4</w:t>
      </w:r>
      <w:r w:rsidRPr="00845BB7">
        <w:t xml:space="preserve"> млн. лв., а извършените погашения по заеми са в размер на </w:t>
      </w:r>
      <w:r w:rsidRPr="00845BB7">
        <w:rPr>
          <w:lang w:val="en-US"/>
        </w:rPr>
        <w:t>7</w:t>
      </w:r>
      <w:r w:rsidRPr="00845BB7">
        <w:t>,</w:t>
      </w:r>
      <w:r w:rsidRPr="00845BB7">
        <w:rPr>
          <w:lang w:val="en-US"/>
        </w:rPr>
        <w:t>6</w:t>
      </w:r>
      <w:r w:rsidRPr="00845BB7">
        <w:t xml:space="preserve"> млн. лв.</w:t>
      </w:r>
    </w:p>
    <w:p w:rsidR="008E20FF" w:rsidRDefault="008E20FF" w:rsidP="008E20FF">
      <w:pPr>
        <w:pStyle w:val="Header"/>
        <w:tabs>
          <w:tab w:val="clear" w:pos="4153"/>
          <w:tab w:val="clear" w:pos="8306"/>
        </w:tabs>
        <w:jc w:val="both"/>
        <w:rPr>
          <w:lang w:val="en-US"/>
        </w:rPr>
      </w:pPr>
      <w:r w:rsidRPr="00FF73B5">
        <w:t>Общините приключиха първо тримесечие на 201</w:t>
      </w:r>
      <w:r w:rsidRPr="00FF73B5">
        <w:rPr>
          <w:lang w:val="en-US"/>
        </w:rPr>
        <w:t>8</w:t>
      </w:r>
      <w:r w:rsidRPr="00FF73B5">
        <w:t xml:space="preserve"> г. с бюджетни наличности (по банкови сметки и в каса) в размер на </w:t>
      </w:r>
      <w:r w:rsidRPr="00FF73B5">
        <w:rPr>
          <w:lang w:val="en-US"/>
        </w:rPr>
        <w:t>1 171</w:t>
      </w:r>
      <w:r w:rsidRPr="00FF73B5">
        <w:t>,</w:t>
      </w:r>
      <w:r w:rsidRPr="00FF73B5">
        <w:rPr>
          <w:lang w:val="en-US"/>
        </w:rPr>
        <w:t>3</w:t>
      </w:r>
      <w:r w:rsidRPr="00FF73B5">
        <w:t xml:space="preserve"> млн. лева.</w:t>
      </w:r>
    </w:p>
    <w:p w:rsidR="00967BB9" w:rsidRPr="00B53232" w:rsidRDefault="00967BB9" w:rsidP="00967BB9">
      <w:pPr>
        <w:pStyle w:val="Header"/>
        <w:tabs>
          <w:tab w:val="clear" w:pos="4153"/>
          <w:tab w:val="clear" w:pos="8306"/>
        </w:tabs>
        <w:jc w:val="both"/>
        <w:rPr>
          <w:color w:val="0070C0"/>
          <w:sz w:val="12"/>
          <w:szCs w:val="12"/>
        </w:rPr>
      </w:pPr>
    </w:p>
    <w:p w:rsidR="002C4D33" w:rsidRPr="00B53232" w:rsidRDefault="002C4D33" w:rsidP="00FD362E">
      <w:pPr>
        <w:pStyle w:val="BodyText"/>
        <w:spacing w:after="120"/>
        <w:ind w:firstLine="567"/>
        <w:rPr>
          <w:color w:val="0070C0"/>
          <w:sz w:val="12"/>
          <w:szCs w:val="12"/>
        </w:rPr>
      </w:pPr>
    </w:p>
    <w:p w:rsidR="00D96A20" w:rsidRPr="003C667C" w:rsidRDefault="00D96A20" w:rsidP="00337CA7">
      <w:pPr>
        <w:pStyle w:val="Heading1"/>
        <w:numPr>
          <w:ilvl w:val="1"/>
          <w:numId w:val="10"/>
        </w:numPr>
        <w:spacing w:after="120"/>
        <w:ind w:left="788" w:right="-108" w:hanging="431"/>
        <w:jc w:val="both"/>
        <w:rPr>
          <w:sz w:val="24"/>
        </w:rPr>
      </w:pPr>
      <w:r w:rsidRPr="003C667C">
        <w:rPr>
          <w:sz w:val="24"/>
        </w:rPr>
        <w:t>Бюджети на Българската национална телевизия (БНТ), Българското национално радио (БНР) и Българската телеграфна агенция (БТА)</w:t>
      </w:r>
    </w:p>
    <w:p w:rsidR="003C667C" w:rsidRPr="00DD69AB" w:rsidRDefault="003C667C" w:rsidP="001D3E63">
      <w:pPr>
        <w:spacing w:before="120"/>
        <w:ind w:firstLine="567"/>
        <w:jc w:val="both"/>
        <w:rPr>
          <w:szCs w:val="20"/>
        </w:rPr>
      </w:pPr>
      <w:r w:rsidRPr="004578A3">
        <w:rPr>
          <w:b/>
        </w:rPr>
        <w:t>Приходите на БНТ</w:t>
      </w:r>
      <w:r w:rsidRPr="004578A3">
        <w:t xml:space="preserve"> към </w:t>
      </w:r>
      <w:r w:rsidRPr="004578A3">
        <w:rPr>
          <w:lang w:val="en-US"/>
        </w:rPr>
        <w:t>3</w:t>
      </w:r>
      <w:r w:rsidRPr="004578A3">
        <w:t>1.03.201</w:t>
      </w:r>
      <w:r w:rsidRPr="004578A3">
        <w:rPr>
          <w:lang w:val="en-US"/>
        </w:rPr>
        <w:t>8</w:t>
      </w:r>
      <w:r w:rsidRPr="004578A3">
        <w:t xml:space="preserve"> г. са в размер на 0,6 млн. лв. при планирани за годината 7,5 млн. лв. или за отчетния период са постъпили 8,1 % от планираните за годината. </w:t>
      </w:r>
      <w:r w:rsidRPr="00CE7EC2">
        <w:rPr>
          <w:szCs w:val="20"/>
        </w:rPr>
        <w:t>Отчетените приходи са постъпления от продажби на услуги, стоки и продукция (реклама, спонсорство, технически услуги, почивно дело, продажба на програми) и</w:t>
      </w:r>
      <w:r w:rsidRPr="00CE7EC2">
        <w:rPr>
          <w:b/>
          <w:szCs w:val="20"/>
        </w:rPr>
        <w:t xml:space="preserve"> </w:t>
      </w:r>
      <w:r w:rsidRPr="00CE7EC2">
        <w:rPr>
          <w:szCs w:val="20"/>
        </w:rPr>
        <w:t>наеми на имущество</w:t>
      </w:r>
      <w:r w:rsidRPr="00DD69AB">
        <w:rPr>
          <w:szCs w:val="20"/>
        </w:rPr>
        <w:t>. Спрямо първото тримесечие на предходната година неданъчните приходи са с 0,7 млн. лв. по-малко в резултат от отчетени по-ниски постъпления от реклама, спонсорски и др. услуги, които формират основния дял приходи по бюджета на обществената телевизия.</w:t>
      </w:r>
    </w:p>
    <w:p w:rsidR="003C667C" w:rsidRPr="00183C08" w:rsidRDefault="003C667C" w:rsidP="001D3E63">
      <w:pPr>
        <w:spacing w:before="120"/>
        <w:ind w:firstLine="567"/>
        <w:jc w:val="both"/>
        <w:rPr>
          <w:color w:val="0070C0"/>
        </w:rPr>
      </w:pPr>
      <w:r w:rsidRPr="00CE7EC2">
        <w:t xml:space="preserve">Отчетените </w:t>
      </w:r>
      <w:r w:rsidRPr="00CE7EC2">
        <w:rPr>
          <w:b/>
        </w:rPr>
        <w:t>разходи</w:t>
      </w:r>
      <w:r w:rsidRPr="00CE7EC2">
        <w:t xml:space="preserve"> </w:t>
      </w:r>
      <w:r w:rsidRPr="00CE7EC2">
        <w:rPr>
          <w:b/>
        </w:rPr>
        <w:t>на БНТ</w:t>
      </w:r>
      <w:r>
        <w:t xml:space="preserve"> към 31.03.2018</w:t>
      </w:r>
      <w:r w:rsidRPr="00CE7EC2">
        <w:t xml:space="preserve"> г. са в размер на 15,8 млн. лв. или 21,</w:t>
      </w:r>
      <w:r w:rsidR="0010212B">
        <w:rPr>
          <w:lang w:val="en-US"/>
        </w:rPr>
        <w:t>6</w:t>
      </w:r>
      <w:r w:rsidRPr="00CE7EC2">
        <w:t xml:space="preserve"> % от годишния разчет по ЗДБРБ за 2018 г. </w:t>
      </w:r>
      <w:r w:rsidRPr="00CE7EC2">
        <w:rPr>
          <w:szCs w:val="20"/>
        </w:rPr>
        <w:t xml:space="preserve">За периода са отчетени 12,2 млн. лв. текущи разходи и 3,6 млн. лв. капиталови разходи. По бюджета на БНТ в частта на финансирането са отчетени погашения по търговски кредит  в размер на 2,4 млн. лв., които представляват погашения на </w:t>
      </w:r>
      <w:r w:rsidRPr="00CE7EC2">
        <w:rPr>
          <w:szCs w:val="20"/>
        </w:rPr>
        <w:lastRenderedPageBreak/>
        <w:t xml:space="preserve">задължения по договори от предходната година за </w:t>
      </w:r>
      <w:r w:rsidRPr="00DD69AB">
        <w:rPr>
          <w:szCs w:val="20"/>
        </w:rPr>
        <w:t xml:space="preserve">такси за разпространение на програмите на БНТ, придобиване на отстъпени права за излъчване на европейски и световни първенства и за придобиване на машини и съоръжения. В разпределението на разходите по бюджета на обществената медия е включен преходния остатък за 2017 г. (съгл. чл. 70, ал. 6 от ЗРТ) в размер на </w:t>
      </w:r>
      <w:r w:rsidRPr="00DD69AB">
        <w:rPr>
          <w:szCs w:val="20"/>
          <w:lang w:val="en-US"/>
        </w:rPr>
        <w:t>2</w:t>
      </w:r>
      <w:r w:rsidRPr="00DD69AB">
        <w:rPr>
          <w:szCs w:val="20"/>
        </w:rPr>
        <w:t xml:space="preserve">,7 млн. лв. 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 </w:t>
      </w:r>
    </w:p>
    <w:p w:rsidR="003C667C" w:rsidRPr="00CB4326" w:rsidRDefault="003C667C" w:rsidP="003C667C">
      <w:pPr>
        <w:spacing w:before="120" w:after="120"/>
        <w:ind w:firstLine="567"/>
        <w:jc w:val="both"/>
        <w:rPr>
          <w:szCs w:val="20"/>
        </w:rPr>
      </w:pPr>
      <w:r w:rsidRPr="00CB4326">
        <w:t xml:space="preserve">Общо утвърдените </w:t>
      </w:r>
      <w:r w:rsidRPr="00CB4326">
        <w:rPr>
          <w:b/>
          <w:i/>
        </w:rPr>
        <w:t>бюджетни взаимоотношения на БНТ с централния бюджет</w:t>
      </w:r>
      <w:r w:rsidRPr="00CB4326">
        <w:t xml:space="preserve"> за 2018 г. са в размер на </w:t>
      </w:r>
      <w:r w:rsidRPr="00CB4326">
        <w:rPr>
          <w:szCs w:val="20"/>
        </w:rPr>
        <w:t xml:space="preserve">66,9 млн. лв., в т.ч.: 65,4 млн. лв. съгласно чл. 50, т. 2 от ЗДБРБ за 2018 г. и одобрени допълнителни трансфери общо в размер на 1,5 млн. лв. за закупуване на техника за разпространяване на картина и звук от събитията по време на Българското председателство на Съвета на Европейския съюз през 2018 г. съгл. ПМС № 15 от 2018 г. </w:t>
      </w:r>
    </w:p>
    <w:p w:rsidR="003C667C" w:rsidRPr="00CB4326" w:rsidRDefault="003C667C" w:rsidP="003C667C">
      <w:pPr>
        <w:spacing w:before="120" w:after="120"/>
        <w:ind w:firstLine="567"/>
        <w:jc w:val="both"/>
      </w:pPr>
      <w:r w:rsidRPr="00CB4326">
        <w:rPr>
          <w:szCs w:val="20"/>
        </w:rPr>
        <w:t>За отчетния период е усвоена сума в размер на 17,7 млн. лв. или 26,5 % от размера на бюджетните взаимоотношения на БНТ с централния бюджет.</w:t>
      </w:r>
      <w:r w:rsidRPr="00CB4326">
        <w:t xml:space="preserve"> </w:t>
      </w:r>
    </w:p>
    <w:p w:rsidR="003C667C" w:rsidRPr="00183C08" w:rsidRDefault="003C667C" w:rsidP="001D3E63">
      <w:pPr>
        <w:spacing w:before="120"/>
        <w:ind w:firstLine="567"/>
        <w:jc w:val="both"/>
        <w:rPr>
          <w:color w:val="0070C0"/>
        </w:rPr>
      </w:pPr>
      <w:r w:rsidRPr="00CB4326">
        <w:rPr>
          <w:b/>
        </w:rPr>
        <w:t>П</w:t>
      </w:r>
      <w:r w:rsidRPr="00CB4326">
        <w:rPr>
          <w:b/>
          <w:bCs/>
        </w:rPr>
        <w:t>риходите</w:t>
      </w:r>
      <w:r w:rsidRPr="00CB4326">
        <w:rPr>
          <w:b/>
        </w:rPr>
        <w:t xml:space="preserve"> по бюджета на </w:t>
      </w:r>
      <w:r w:rsidRPr="00CB4326">
        <w:rPr>
          <w:b/>
          <w:bCs/>
        </w:rPr>
        <w:t>БНР</w:t>
      </w:r>
      <w:r w:rsidRPr="00CB4326">
        <w:rPr>
          <w:b/>
        </w:rPr>
        <w:t xml:space="preserve"> </w:t>
      </w:r>
      <w:r w:rsidRPr="00CB4326">
        <w:t>за първото тримесечие на 2018 г. са в размер на 0,3 млн. лв., което представлява 14,7 % от планираните за годината 2,1 млн. лв.</w:t>
      </w:r>
      <w:r w:rsidRPr="00CB4326">
        <w:rPr>
          <w:szCs w:val="20"/>
        </w:rPr>
        <w:t xml:space="preserve"> Отчетените приходи са постъпления от продажби на услуги, стоки и продукция (реклама, спонсорски съобщения, технически услуги, съвместни проекти, приходи от концертна дейност</w:t>
      </w:r>
      <w:r w:rsidRPr="00CB4326">
        <w:rPr>
          <w:szCs w:val="20"/>
          <w:lang w:val="en-US"/>
        </w:rPr>
        <w:t xml:space="preserve"> </w:t>
      </w:r>
      <w:r w:rsidRPr="00CB4326">
        <w:rPr>
          <w:szCs w:val="20"/>
        </w:rPr>
        <w:t>и др.), от наеми на имущество и др.</w:t>
      </w:r>
      <w:r w:rsidRPr="00CB4326">
        <w:t xml:space="preserve"> </w:t>
      </w:r>
    </w:p>
    <w:p w:rsidR="003C667C" w:rsidRPr="00183C08" w:rsidRDefault="003C667C" w:rsidP="001D3E63">
      <w:pPr>
        <w:spacing w:before="120"/>
        <w:ind w:firstLine="567"/>
        <w:jc w:val="both"/>
        <w:rPr>
          <w:color w:val="0070C0"/>
          <w:szCs w:val="20"/>
        </w:rPr>
      </w:pPr>
      <w:r w:rsidRPr="003A3377">
        <w:rPr>
          <w:szCs w:val="20"/>
        </w:rPr>
        <w:t xml:space="preserve">Изпълнението на </w:t>
      </w:r>
      <w:r w:rsidRPr="003A3377">
        <w:rPr>
          <w:b/>
          <w:szCs w:val="20"/>
        </w:rPr>
        <w:t>разходите</w:t>
      </w:r>
      <w:r w:rsidRPr="003A3377">
        <w:rPr>
          <w:szCs w:val="20"/>
        </w:rPr>
        <w:t xml:space="preserve"> </w:t>
      </w:r>
      <w:r w:rsidRPr="003A3377">
        <w:rPr>
          <w:b/>
          <w:szCs w:val="20"/>
        </w:rPr>
        <w:t>по бюджета на</w:t>
      </w:r>
      <w:r w:rsidRPr="003A3377">
        <w:rPr>
          <w:szCs w:val="20"/>
        </w:rPr>
        <w:t xml:space="preserve"> </w:t>
      </w:r>
      <w:r w:rsidRPr="003A3377">
        <w:rPr>
          <w:b/>
          <w:szCs w:val="20"/>
        </w:rPr>
        <w:t xml:space="preserve">БНР </w:t>
      </w:r>
      <w:r w:rsidRPr="003A3377">
        <w:rPr>
          <w:szCs w:val="20"/>
        </w:rPr>
        <w:t xml:space="preserve">възлиза на 11,1 млн. лв. или  24,8 % от предвидените в ЗДБРБ за 2018 г. За периода са отчетени </w:t>
      </w:r>
      <w:r w:rsidRPr="003A3377">
        <w:rPr>
          <w:szCs w:val="20"/>
          <w:lang w:val="en-US"/>
        </w:rPr>
        <w:t>10</w:t>
      </w:r>
      <w:r w:rsidRPr="003A3377">
        <w:rPr>
          <w:szCs w:val="20"/>
        </w:rPr>
        <w:t xml:space="preserve">,6 млн. лв. текущи разходи и 0,5 млн. лв. капиталови разходи. Средствата са усвоени за реализирането на основните цели и дейности на БНР по подготовката, създаването и разпространението на национални и регионални радиопрограми съгласно разпоредбите на Закона за радиото и телевизията. В разпределението на разходите по бюджета на БНР е включен и преходния остатък за 2017 г. (съгл. чл. 70, ал. 6 от Закона за радиото и телевизията) в размер на 2,0 млн. лева. </w:t>
      </w:r>
    </w:p>
    <w:p w:rsidR="003C667C" w:rsidRPr="000E5898" w:rsidRDefault="003C667C" w:rsidP="001D3E63">
      <w:pPr>
        <w:spacing w:before="120" w:after="240"/>
        <w:ind w:firstLine="567"/>
        <w:jc w:val="both"/>
      </w:pPr>
      <w:r w:rsidRPr="000E5898">
        <w:t xml:space="preserve">Общо утвърдените </w:t>
      </w:r>
      <w:r w:rsidRPr="000E5898">
        <w:rPr>
          <w:b/>
          <w:i/>
        </w:rPr>
        <w:t>бюджетни взаимоотношения на БНР с централния бюджет</w:t>
      </w:r>
      <w:r w:rsidRPr="000E5898">
        <w:t xml:space="preserve"> за 2018 г. са в размер на </w:t>
      </w:r>
      <w:r w:rsidRPr="000E5898">
        <w:rPr>
          <w:szCs w:val="20"/>
        </w:rPr>
        <w:t xml:space="preserve">42,3 млн. лв. съгласно чл. 50 т.1 от ЗДБРБ за 2018 г. </w:t>
      </w:r>
      <w:r w:rsidRPr="000E5898">
        <w:rPr>
          <w:b/>
          <w:szCs w:val="20"/>
        </w:rPr>
        <w:t xml:space="preserve"> </w:t>
      </w:r>
      <w:r w:rsidRPr="000E5898">
        <w:t xml:space="preserve">Към 31.03.2018 г. отчетените </w:t>
      </w:r>
      <w:r w:rsidRPr="000E5898">
        <w:rPr>
          <w:b/>
        </w:rPr>
        <w:t>трансфери</w:t>
      </w:r>
      <w:r w:rsidRPr="000E5898">
        <w:t xml:space="preserve"> от централния бюджет са в размер на 11,8 млн. лв. </w:t>
      </w:r>
      <w:r w:rsidRPr="000E5898">
        <w:rPr>
          <w:szCs w:val="20"/>
        </w:rPr>
        <w:t>(27,9</w:t>
      </w:r>
      <w:r w:rsidRPr="000E5898">
        <w:t> %  от предвидените за годината</w:t>
      </w:r>
      <w:r w:rsidRPr="000E5898">
        <w:rPr>
          <w:lang w:eastAsia="bg-BG"/>
        </w:rPr>
        <w:t>)</w:t>
      </w:r>
      <w:r w:rsidRPr="000E5898">
        <w:t xml:space="preserve">. </w:t>
      </w:r>
    </w:p>
    <w:p w:rsidR="003C667C" w:rsidRPr="00183C08" w:rsidRDefault="003C667C" w:rsidP="003C667C">
      <w:pPr>
        <w:ind w:firstLine="567"/>
        <w:jc w:val="both"/>
        <w:rPr>
          <w:b/>
          <w:color w:val="0070C0"/>
          <w:szCs w:val="20"/>
        </w:rPr>
      </w:pPr>
      <w:r w:rsidRPr="00BF5B73">
        <w:rPr>
          <w:b/>
          <w:szCs w:val="20"/>
        </w:rPr>
        <w:t xml:space="preserve">Приходите на БТА </w:t>
      </w:r>
      <w:r w:rsidRPr="00BF5B73">
        <w:rPr>
          <w:szCs w:val="20"/>
        </w:rPr>
        <w:t>към 31.03.2018 г. са 0,4 млн. лв. или 24,3 % от предвидените за годината, като това са основно постъпления от продажба на информационни продукти и услуги.</w:t>
      </w:r>
    </w:p>
    <w:p w:rsidR="003C667C" w:rsidRPr="00183C08" w:rsidRDefault="003C667C" w:rsidP="003C667C">
      <w:pPr>
        <w:ind w:firstLine="567"/>
        <w:jc w:val="both"/>
        <w:rPr>
          <w:color w:val="0070C0"/>
          <w:szCs w:val="20"/>
        </w:rPr>
      </w:pPr>
      <w:r w:rsidRPr="00BF5B73">
        <w:rPr>
          <w:b/>
          <w:szCs w:val="20"/>
        </w:rPr>
        <w:t xml:space="preserve">Отчетените разходи на </w:t>
      </w:r>
      <w:r w:rsidRPr="00BF5B73">
        <w:rPr>
          <w:szCs w:val="20"/>
        </w:rPr>
        <w:t>БТА за периода са 1,7 млн. лв., което е 26,7 % от годишния разчет по ЗДБРБ за 2018 г., в т.ч. разходи за персонал – 1,2 млн. лв. и разходи за издръжка – 0,5 млн. лв.</w:t>
      </w:r>
      <w:r w:rsidRPr="002E23EE">
        <w:rPr>
          <w:szCs w:val="20"/>
        </w:rPr>
        <w:t xml:space="preserve"> Общо утвърдените</w:t>
      </w:r>
      <w:r w:rsidRPr="002E23EE">
        <w:rPr>
          <w:b/>
          <w:i/>
        </w:rPr>
        <w:t xml:space="preserve"> бюджетни взаимоотношения на БТА с централния бюджет</w:t>
      </w:r>
      <w:r w:rsidRPr="002E23EE">
        <w:rPr>
          <w:szCs w:val="20"/>
        </w:rPr>
        <w:t xml:space="preserve"> за 2018 г. са в размер на 4,9 млн. лв. Отчетените трансфери са в размер</w:t>
      </w:r>
      <w:r w:rsidRPr="002E23EE">
        <w:rPr>
          <w:b/>
          <w:szCs w:val="20"/>
        </w:rPr>
        <w:t xml:space="preserve"> </w:t>
      </w:r>
      <w:r w:rsidRPr="002E23EE">
        <w:rPr>
          <w:szCs w:val="20"/>
        </w:rPr>
        <w:t>на 1,2 млн. лв. или 24,8 % от средствата, определени за БТА със ЗДБРБ за 2018 година.</w:t>
      </w:r>
    </w:p>
    <w:p w:rsidR="007F65FF" w:rsidRPr="00B53232" w:rsidRDefault="007F65FF" w:rsidP="00967BB9">
      <w:pPr>
        <w:ind w:firstLine="567"/>
        <w:jc w:val="both"/>
        <w:rPr>
          <w:color w:val="0070C0"/>
          <w:szCs w:val="20"/>
        </w:rPr>
      </w:pPr>
    </w:p>
    <w:p w:rsidR="007F65FF" w:rsidRPr="00B53232" w:rsidRDefault="007F65FF" w:rsidP="00DB70EE">
      <w:pPr>
        <w:jc w:val="both"/>
        <w:rPr>
          <w:color w:val="0070C0"/>
          <w:lang w:val="en-US"/>
        </w:rPr>
      </w:pPr>
    </w:p>
    <w:p w:rsidR="002B3E0D" w:rsidRPr="00B53232" w:rsidRDefault="002B3E0D" w:rsidP="00BE52A7">
      <w:pPr>
        <w:pStyle w:val="Title"/>
        <w:jc w:val="both"/>
        <w:rPr>
          <w:color w:val="0070C0"/>
        </w:rPr>
      </w:pPr>
    </w:p>
    <w:p w:rsidR="008D0DFE" w:rsidRPr="00FC3D4C" w:rsidRDefault="00BE52A7" w:rsidP="00BE52A7">
      <w:pPr>
        <w:pStyle w:val="Title"/>
        <w:jc w:val="both"/>
      </w:pPr>
      <w:r w:rsidRPr="00FC3D4C">
        <w:t xml:space="preserve">Министерство на финансите, </w:t>
      </w:r>
      <w:r w:rsidR="00FC3D4C" w:rsidRPr="00FC3D4C">
        <w:t>май</w:t>
      </w:r>
      <w:r w:rsidR="0097264F" w:rsidRPr="00FC3D4C">
        <w:t xml:space="preserve"> </w:t>
      </w:r>
      <w:r w:rsidRPr="00FC3D4C">
        <w:t>201</w:t>
      </w:r>
      <w:r w:rsidR="00FC3D4C" w:rsidRPr="00FC3D4C">
        <w:rPr>
          <w:lang w:val="en-US"/>
        </w:rPr>
        <w:t>8</w:t>
      </w:r>
      <w:r w:rsidRPr="00FC3D4C">
        <w:t xml:space="preserve"> г.</w:t>
      </w:r>
    </w:p>
    <w:p w:rsidR="00CA7CA8" w:rsidRPr="00B53232" w:rsidRDefault="00CA7CA8" w:rsidP="00BE52A7">
      <w:pPr>
        <w:pStyle w:val="Title"/>
        <w:jc w:val="both"/>
        <w:rPr>
          <w:color w:val="0070C0"/>
        </w:rPr>
      </w:pPr>
      <w:bookmarkStart w:id="0" w:name="_GoBack"/>
      <w:bookmarkEnd w:id="0"/>
    </w:p>
    <w:sectPr w:rsidR="00CA7CA8" w:rsidRPr="00B53232" w:rsidSect="002C24D7">
      <w:footerReference w:type="even" r:id="rId10"/>
      <w:footerReference w:type="default" r:id="rId11"/>
      <w:endnotePr>
        <w:numFmt w:val="decimal"/>
      </w:endnotePr>
      <w:type w:val="continuous"/>
      <w:pgSz w:w="11906" w:h="16838"/>
      <w:pgMar w:top="851" w:right="1106" w:bottom="567"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713" w:rsidRDefault="00463713">
      <w:r>
        <w:separator/>
      </w:r>
    </w:p>
  </w:endnote>
  <w:endnote w:type="continuationSeparator" w:id="0">
    <w:p w:rsidR="00463713" w:rsidRDefault="00463713">
      <w:r>
        <w:continuationSeparator/>
      </w:r>
    </w:p>
  </w:endnote>
  <w:endnote w:type="continuationNotice" w:id="1">
    <w:p w:rsidR="00463713" w:rsidRDefault="00463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utura Bk">
    <w:altName w:val="AvantGarde"/>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altName w:val="MS Mincho"/>
    <w:charset w:val="8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13" w:rsidRDefault="00463713"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3713" w:rsidRDefault="00463713" w:rsidP="00A741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13" w:rsidRDefault="00463713"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6677">
      <w:rPr>
        <w:rStyle w:val="PageNumber"/>
        <w:noProof/>
      </w:rPr>
      <w:t>28</w:t>
    </w:r>
    <w:r>
      <w:rPr>
        <w:rStyle w:val="PageNumber"/>
      </w:rPr>
      <w:fldChar w:fldCharType="end"/>
    </w:r>
  </w:p>
  <w:p w:rsidR="00463713" w:rsidRDefault="00463713" w:rsidP="00A741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713" w:rsidRDefault="00463713">
      <w:r>
        <w:separator/>
      </w:r>
    </w:p>
  </w:footnote>
  <w:footnote w:type="continuationSeparator" w:id="0">
    <w:p w:rsidR="00463713" w:rsidRDefault="00463713">
      <w:r>
        <w:continuationSeparator/>
      </w:r>
    </w:p>
  </w:footnote>
  <w:footnote w:type="continuationNotice" w:id="1">
    <w:p w:rsidR="00463713" w:rsidRDefault="00463713"/>
  </w:footnote>
  <w:footnote w:id="2">
    <w:p w:rsidR="00463713" w:rsidRPr="00AB4667" w:rsidRDefault="00463713" w:rsidP="0039334A">
      <w:pPr>
        <w:pStyle w:val="FootnoteText"/>
        <w:rPr>
          <w:lang w:val="bg-BG"/>
        </w:rPr>
      </w:pPr>
      <w:r w:rsidRPr="00AB4667">
        <w:rPr>
          <w:rStyle w:val="FootnoteReference"/>
          <w:lang w:val="bg-BG"/>
        </w:rPr>
        <w:footnoteRef/>
      </w:r>
      <w:r w:rsidRPr="00AB4667">
        <w:rPr>
          <w:lang w:val="bg-BG"/>
        </w:rPr>
        <w:t xml:space="preserve"> От общия индекс е изключено изменението в цените на енергийните стоки и непреработените храни.</w:t>
      </w:r>
    </w:p>
  </w:footnote>
  <w:footnote w:id="3">
    <w:p w:rsidR="00463713" w:rsidRDefault="00463713" w:rsidP="00E74802">
      <w:pPr>
        <w:pStyle w:val="FootnoteText"/>
        <w:jc w:val="both"/>
      </w:pPr>
      <w:r>
        <w:rPr>
          <w:rStyle w:val="FootnoteReference"/>
        </w:rPr>
        <w:footnoteRef/>
      </w:r>
      <w:r>
        <w:t xml:space="preserve"> </w:t>
      </w:r>
      <w:r w:rsidRPr="00335B65">
        <w:rPr>
          <w:sz w:val="18"/>
          <w:szCs w:val="16"/>
          <w:lang w:val="bg-BG"/>
        </w:rPr>
        <w:t xml:space="preserve">Обхваща държавния бюджет и  бюджетите на общините, </w:t>
      </w:r>
      <w:proofErr w:type="spellStart"/>
      <w:r w:rsidRPr="00335B65">
        <w:rPr>
          <w:sz w:val="18"/>
          <w:szCs w:val="16"/>
          <w:lang w:val="bg-BG"/>
        </w:rPr>
        <w:t>социалноосигурителните</w:t>
      </w:r>
      <w:proofErr w:type="spellEnd"/>
      <w:r w:rsidRPr="00335B65">
        <w:rPr>
          <w:sz w:val="18"/>
          <w:szCs w:val="16"/>
          <w:lang w:val="bg-BG"/>
        </w:rPr>
        <w:t xml:space="preserve"> фондове, ДВУ, БАН, БНР, БНТ, БТА, бюджетите по чл.14, ал.4 от ЗПФ,  както и сметките за средствата от ЕС и сметките за чужди средства на бюджетните организации. Данните за 201</w:t>
      </w:r>
      <w:r>
        <w:rPr>
          <w:sz w:val="18"/>
          <w:szCs w:val="16"/>
          <w:lang w:val="bg-BG"/>
        </w:rPr>
        <w:t>8</w:t>
      </w:r>
      <w:r w:rsidRPr="00335B65">
        <w:rPr>
          <w:sz w:val="18"/>
          <w:szCs w:val="16"/>
          <w:lang w:val="bg-BG"/>
        </w:rPr>
        <w:t xml:space="preserve"> г. са на база месечни отчети, а тези за 201</w:t>
      </w:r>
      <w:r>
        <w:rPr>
          <w:sz w:val="18"/>
          <w:szCs w:val="16"/>
          <w:lang w:val="bg-BG"/>
        </w:rPr>
        <w:t>7</w:t>
      </w:r>
      <w:r w:rsidRPr="00335B65">
        <w:rPr>
          <w:sz w:val="18"/>
          <w:szCs w:val="16"/>
          <w:lang w:val="bg-BG"/>
        </w:rPr>
        <w:t xml:space="preserve"> г. - на база тримесечни отчети на ПРБ.</w:t>
      </w:r>
    </w:p>
  </w:footnote>
  <w:footnote w:id="4">
    <w:p w:rsidR="00463713" w:rsidRPr="00B70BD3" w:rsidRDefault="00463713" w:rsidP="00E74802">
      <w:pPr>
        <w:pStyle w:val="FootnoteText"/>
        <w:rPr>
          <w:sz w:val="18"/>
          <w:szCs w:val="18"/>
        </w:rPr>
      </w:pPr>
      <w:r w:rsidRPr="00B70BD3">
        <w:rPr>
          <w:rStyle w:val="FootnoteReference"/>
          <w:sz w:val="18"/>
          <w:szCs w:val="18"/>
        </w:rPr>
        <w:footnoteRef/>
      </w:r>
      <w:r w:rsidRPr="00B70BD3">
        <w:rPr>
          <w:sz w:val="18"/>
          <w:szCs w:val="18"/>
        </w:rPr>
        <w:t xml:space="preserve"> </w:t>
      </w:r>
      <w:r w:rsidRPr="00B70BD3">
        <w:rPr>
          <w:sz w:val="18"/>
          <w:szCs w:val="18"/>
          <w:lang w:val="bg-BG"/>
        </w:rPr>
        <w:t>Поради извършено закръгление в млн. лв., някои сумарни позиции в Таблица №1</w:t>
      </w:r>
      <w:r>
        <w:rPr>
          <w:sz w:val="18"/>
          <w:szCs w:val="18"/>
          <w:lang w:val="bg-BG"/>
        </w:rPr>
        <w:t>,</w:t>
      </w:r>
      <w:r w:rsidRPr="00B70BD3">
        <w:rPr>
          <w:sz w:val="18"/>
          <w:szCs w:val="18"/>
          <w:lang w:val="bg-BG"/>
        </w:rPr>
        <w:t xml:space="preserve"> Таблица  №2</w:t>
      </w:r>
      <w:r>
        <w:rPr>
          <w:sz w:val="18"/>
          <w:szCs w:val="18"/>
          <w:lang w:val="bg-BG"/>
        </w:rPr>
        <w:t xml:space="preserve"> и в текста </w:t>
      </w:r>
      <w:r w:rsidRPr="00B70BD3">
        <w:rPr>
          <w:sz w:val="18"/>
          <w:szCs w:val="18"/>
          <w:lang w:val="bg-BG"/>
        </w:rPr>
        <w:t xml:space="preserve"> не се изчерпват от съставните им числа.</w:t>
      </w:r>
    </w:p>
  </w:footnote>
  <w:footnote w:id="5">
    <w:p w:rsidR="00463713" w:rsidRPr="00E74802" w:rsidRDefault="00463713" w:rsidP="00E74802">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6">
    <w:p w:rsidR="00463713" w:rsidRPr="00DF79A3" w:rsidRDefault="00463713" w:rsidP="001E7EA4">
      <w:pPr>
        <w:pStyle w:val="FootnoteText"/>
        <w:rPr>
          <w:lang w:val="bg-BG"/>
        </w:rPr>
      </w:pPr>
      <w:r w:rsidRPr="00F97BCC">
        <w:rPr>
          <w:rStyle w:val="FootnoteReference"/>
          <w:lang w:val="bg-BG"/>
        </w:rPr>
        <w:footnoteRef/>
      </w:r>
      <w:r w:rsidRPr="00F97BCC">
        <w:rPr>
          <w:lang w:val="bg-BG"/>
        </w:rPr>
        <w:t xml:space="preserve"> </w:t>
      </w:r>
      <w:r w:rsidRPr="00185D08">
        <w:rPr>
          <w:sz w:val="18"/>
          <w:szCs w:val="16"/>
          <w:lang w:val="bg-BG"/>
        </w:rPr>
        <w:t>Държавният бюджет включва централен бюджет, бюджетите на НС, съдебната власт, министерствата и ведомствата.</w:t>
      </w:r>
    </w:p>
  </w:footnote>
  <w:footnote w:id="7">
    <w:p w:rsidR="00463713" w:rsidRPr="00BA6AD2" w:rsidRDefault="00463713" w:rsidP="00F226B6">
      <w:pPr>
        <w:pStyle w:val="FootnoteText"/>
        <w:jc w:val="both"/>
        <w:rPr>
          <w:sz w:val="18"/>
          <w:szCs w:val="18"/>
          <w:lang w:val="bg-BG"/>
        </w:rPr>
      </w:pPr>
      <w:r w:rsidRPr="00182A94">
        <w:rPr>
          <w:rStyle w:val="FootnoteReference"/>
          <w:sz w:val="18"/>
          <w:szCs w:val="18"/>
          <w:lang w:val="bg-BG"/>
        </w:rPr>
        <w:footnoteRef/>
      </w:r>
      <w:r w:rsidRPr="00182A94">
        <w:rPr>
          <w:sz w:val="18"/>
          <w:szCs w:val="18"/>
          <w:lang w:val="bg-BG"/>
        </w:rPr>
        <w:t xml:space="preserve"> Поради извършено закръгление в млн. лв., някои сумарни позиции в Таблица №1</w:t>
      </w:r>
      <w:r>
        <w:rPr>
          <w:sz w:val="18"/>
          <w:szCs w:val="18"/>
          <w:lang w:val="bg-BG"/>
        </w:rPr>
        <w:t xml:space="preserve">, </w:t>
      </w:r>
      <w:r w:rsidRPr="00182A94">
        <w:rPr>
          <w:sz w:val="18"/>
          <w:szCs w:val="18"/>
          <w:lang w:val="bg-BG"/>
        </w:rPr>
        <w:t>Таблица №</w:t>
      </w:r>
      <w:r>
        <w:rPr>
          <w:sz w:val="18"/>
          <w:szCs w:val="18"/>
          <w:lang w:val="bg-BG"/>
        </w:rPr>
        <w:t>2</w:t>
      </w:r>
      <w:r w:rsidRPr="00182A94">
        <w:rPr>
          <w:sz w:val="18"/>
          <w:szCs w:val="18"/>
          <w:lang w:val="bg-BG"/>
        </w:rPr>
        <w:t xml:space="preserve"> и в текста не се изчерпват от </w:t>
      </w:r>
      <w:r w:rsidRPr="00BA6AD2">
        <w:rPr>
          <w:sz w:val="18"/>
          <w:szCs w:val="18"/>
          <w:lang w:val="bg-BG"/>
        </w:rPr>
        <w:t>съставните им числа.</w:t>
      </w:r>
    </w:p>
  </w:footnote>
  <w:footnote w:id="8">
    <w:p w:rsidR="00463713" w:rsidRPr="006C2AFF" w:rsidRDefault="00463713" w:rsidP="00EB0322">
      <w:pPr>
        <w:pStyle w:val="FootnoteText"/>
        <w:jc w:val="both"/>
        <w:rPr>
          <w:sz w:val="18"/>
          <w:szCs w:val="18"/>
        </w:rPr>
      </w:pPr>
      <w:r w:rsidRPr="00B94753">
        <w:rPr>
          <w:rStyle w:val="FootnoteReference"/>
          <w:sz w:val="18"/>
          <w:szCs w:val="18"/>
        </w:rPr>
        <w:footnoteRef/>
      </w:r>
      <w:r w:rsidRPr="00B94753">
        <w:rPr>
          <w:sz w:val="18"/>
          <w:szCs w:val="18"/>
        </w:rPr>
        <w:t xml:space="preserve"> </w:t>
      </w:r>
      <w:proofErr w:type="gramStart"/>
      <w:r w:rsidRPr="00B94753">
        <w:rPr>
          <w:sz w:val="18"/>
          <w:szCs w:val="18"/>
        </w:rPr>
        <w:t xml:space="preserve">В </w:t>
      </w:r>
      <w:proofErr w:type="spellStart"/>
      <w:r w:rsidRPr="00B94753">
        <w:rPr>
          <w:sz w:val="18"/>
          <w:szCs w:val="18"/>
        </w:rPr>
        <w:t>позицията</w:t>
      </w:r>
      <w:proofErr w:type="spellEnd"/>
      <w:r w:rsidRPr="00B94753">
        <w:rPr>
          <w:sz w:val="18"/>
          <w:szCs w:val="18"/>
        </w:rPr>
        <w:t xml:space="preserve"> "</w:t>
      </w:r>
      <w:proofErr w:type="spellStart"/>
      <w:r w:rsidRPr="00B94753">
        <w:rPr>
          <w:sz w:val="18"/>
          <w:szCs w:val="18"/>
        </w:rPr>
        <w:t>Резерв</w:t>
      </w:r>
      <w:proofErr w:type="spellEnd"/>
      <w:r w:rsidRPr="00B94753">
        <w:rPr>
          <w:sz w:val="18"/>
          <w:szCs w:val="18"/>
        </w:rPr>
        <w:t xml:space="preserve"> </w:t>
      </w:r>
      <w:proofErr w:type="spellStart"/>
      <w:r w:rsidRPr="00B94753">
        <w:rPr>
          <w:sz w:val="18"/>
          <w:szCs w:val="18"/>
        </w:rPr>
        <w:t>за</w:t>
      </w:r>
      <w:proofErr w:type="spellEnd"/>
      <w:r w:rsidRPr="00B94753">
        <w:rPr>
          <w:sz w:val="18"/>
          <w:szCs w:val="18"/>
        </w:rPr>
        <w:t xml:space="preserve"> </w:t>
      </w:r>
      <w:proofErr w:type="spellStart"/>
      <w:r w:rsidRPr="00B94753">
        <w:rPr>
          <w:sz w:val="18"/>
          <w:szCs w:val="18"/>
        </w:rPr>
        <w:t>непредвидени</w:t>
      </w:r>
      <w:proofErr w:type="spellEnd"/>
      <w:r w:rsidRPr="00B94753">
        <w:rPr>
          <w:sz w:val="18"/>
          <w:szCs w:val="18"/>
        </w:rPr>
        <w:t xml:space="preserve"> и </w:t>
      </w:r>
      <w:proofErr w:type="spellStart"/>
      <w:r w:rsidRPr="00B94753">
        <w:rPr>
          <w:sz w:val="18"/>
          <w:szCs w:val="18"/>
        </w:rPr>
        <w:t>неотложни</w:t>
      </w:r>
      <w:proofErr w:type="spellEnd"/>
      <w:r w:rsidRPr="00B94753">
        <w:rPr>
          <w:sz w:val="18"/>
          <w:szCs w:val="18"/>
        </w:rPr>
        <w:t xml:space="preserve"> </w:t>
      </w:r>
      <w:proofErr w:type="spellStart"/>
      <w:r w:rsidRPr="00B94753">
        <w:rPr>
          <w:sz w:val="18"/>
          <w:szCs w:val="18"/>
        </w:rPr>
        <w:t>разходи</w:t>
      </w:r>
      <w:proofErr w:type="spellEnd"/>
      <w:r w:rsidRPr="00B94753">
        <w:rPr>
          <w:sz w:val="18"/>
          <w:szCs w:val="18"/>
        </w:rPr>
        <w:t xml:space="preserve">" </w:t>
      </w:r>
      <w:proofErr w:type="spellStart"/>
      <w:r w:rsidRPr="00B94753">
        <w:rPr>
          <w:sz w:val="18"/>
          <w:szCs w:val="18"/>
        </w:rPr>
        <w:t>се</w:t>
      </w:r>
      <w:proofErr w:type="spellEnd"/>
      <w:r w:rsidRPr="00B94753">
        <w:rPr>
          <w:sz w:val="18"/>
          <w:szCs w:val="18"/>
        </w:rPr>
        <w:t xml:space="preserve"> </w:t>
      </w:r>
      <w:proofErr w:type="spellStart"/>
      <w:r w:rsidRPr="00B94753">
        <w:rPr>
          <w:sz w:val="18"/>
          <w:szCs w:val="18"/>
        </w:rPr>
        <w:t>посочват</w:t>
      </w:r>
      <w:proofErr w:type="spellEnd"/>
      <w:r w:rsidRPr="00B94753">
        <w:rPr>
          <w:sz w:val="18"/>
          <w:szCs w:val="18"/>
        </w:rPr>
        <w:t xml:space="preserve"> </w:t>
      </w:r>
      <w:proofErr w:type="spellStart"/>
      <w:r w:rsidRPr="00B94753">
        <w:rPr>
          <w:sz w:val="18"/>
          <w:szCs w:val="18"/>
        </w:rPr>
        <w:t>само</w:t>
      </w:r>
      <w:proofErr w:type="spellEnd"/>
      <w:r w:rsidRPr="00B94753">
        <w:rPr>
          <w:sz w:val="18"/>
          <w:szCs w:val="18"/>
        </w:rPr>
        <w:t xml:space="preserve"> </w:t>
      </w:r>
      <w:proofErr w:type="spellStart"/>
      <w:r w:rsidRPr="00B94753">
        <w:rPr>
          <w:sz w:val="18"/>
          <w:szCs w:val="18"/>
        </w:rPr>
        <w:t>данните</w:t>
      </w:r>
      <w:proofErr w:type="spellEnd"/>
      <w:r w:rsidRPr="00B94753">
        <w:rPr>
          <w:sz w:val="18"/>
          <w:szCs w:val="18"/>
        </w:rPr>
        <w:t xml:space="preserve"> </w:t>
      </w:r>
      <w:proofErr w:type="spellStart"/>
      <w:r w:rsidRPr="00B94753">
        <w:rPr>
          <w:sz w:val="18"/>
          <w:szCs w:val="18"/>
        </w:rPr>
        <w:t>по</w:t>
      </w:r>
      <w:proofErr w:type="spellEnd"/>
      <w:r w:rsidRPr="00B94753">
        <w:rPr>
          <w:sz w:val="18"/>
          <w:szCs w:val="18"/>
        </w:rPr>
        <w:t xml:space="preserve"> </w:t>
      </w:r>
      <w:proofErr w:type="spellStart"/>
      <w:r w:rsidRPr="00B94753">
        <w:rPr>
          <w:sz w:val="18"/>
          <w:szCs w:val="18"/>
        </w:rPr>
        <w:t>разчет</w:t>
      </w:r>
      <w:proofErr w:type="spellEnd"/>
      <w:r w:rsidRPr="00B94753">
        <w:rPr>
          <w:sz w:val="18"/>
          <w:szCs w:val="18"/>
        </w:rPr>
        <w:t>.</w:t>
      </w:r>
      <w:proofErr w:type="gramEnd"/>
      <w:r w:rsidRPr="00B94753">
        <w:rPr>
          <w:sz w:val="18"/>
          <w:szCs w:val="18"/>
        </w:rPr>
        <w:t xml:space="preserve"> </w:t>
      </w:r>
      <w:proofErr w:type="spellStart"/>
      <w:proofErr w:type="gramStart"/>
      <w:r w:rsidRPr="00B94753">
        <w:rPr>
          <w:sz w:val="18"/>
          <w:szCs w:val="18"/>
        </w:rPr>
        <w:t>Разходите</w:t>
      </w:r>
      <w:proofErr w:type="spellEnd"/>
      <w:r w:rsidRPr="00B94753">
        <w:rPr>
          <w:sz w:val="18"/>
          <w:szCs w:val="18"/>
        </w:rPr>
        <w:t xml:space="preserve"> </w:t>
      </w:r>
      <w:proofErr w:type="spellStart"/>
      <w:r w:rsidRPr="00B94753">
        <w:rPr>
          <w:sz w:val="18"/>
          <w:szCs w:val="18"/>
        </w:rPr>
        <w:t>по</w:t>
      </w:r>
      <w:proofErr w:type="spellEnd"/>
      <w:r w:rsidRPr="00B94753">
        <w:rPr>
          <w:sz w:val="18"/>
          <w:szCs w:val="18"/>
        </w:rPr>
        <w:t xml:space="preserve"> </w:t>
      </w:r>
      <w:proofErr w:type="spellStart"/>
      <w:r w:rsidRPr="00B94753">
        <w:rPr>
          <w:sz w:val="18"/>
          <w:szCs w:val="18"/>
        </w:rPr>
        <w:t>отчет</w:t>
      </w:r>
      <w:proofErr w:type="spellEnd"/>
      <w:r w:rsidRPr="00B94753">
        <w:rPr>
          <w:sz w:val="18"/>
          <w:szCs w:val="18"/>
        </w:rPr>
        <w:t xml:space="preserve"> </w:t>
      </w:r>
      <w:proofErr w:type="spellStart"/>
      <w:r w:rsidRPr="00B94753">
        <w:rPr>
          <w:sz w:val="18"/>
          <w:szCs w:val="18"/>
        </w:rPr>
        <w:t>се</w:t>
      </w:r>
      <w:proofErr w:type="spellEnd"/>
      <w:r w:rsidRPr="00B94753">
        <w:rPr>
          <w:sz w:val="18"/>
          <w:szCs w:val="18"/>
        </w:rPr>
        <w:t xml:space="preserve"> </w:t>
      </w:r>
      <w:proofErr w:type="spellStart"/>
      <w:r w:rsidRPr="00B94753">
        <w:rPr>
          <w:sz w:val="18"/>
          <w:szCs w:val="18"/>
        </w:rPr>
        <w:t>отразяват</w:t>
      </w:r>
      <w:proofErr w:type="spellEnd"/>
      <w:r w:rsidRPr="00B94753">
        <w:rPr>
          <w:sz w:val="18"/>
          <w:szCs w:val="18"/>
        </w:rPr>
        <w:t xml:space="preserve"> </w:t>
      </w:r>
      <w:proofErr w:type="spellStart"/>
      <w:r w:rsidRPr="00B94753">
        <w:rPr>
          <w:sz w:val="18"/>
          <w:szCs w:val="18"/>
        </w:rPr>
        <w:t>по</w:t>
      </w:r>
      <w:proofErr w:type="spellEnd"/>
      <w:r w:rsidRPr="00B94753">
        <w:rPr>
          <w:sz w:val="18"/>
          <w:szCs w:val="18"/>
        </w:rPr>
        <w:t xml:space="preserve"> </w:t>
      </w:r>
      <w:proofErr w:type="spellStart"/>
      <w:r w:rsidRPr="00B94753">
        <w:rPr>
          <w:sz w:val="18"/>
          <w:szCs w:val="18"/>
        </w:rPr>
        <w:t>съответните</w:t>
      </w:r>
      <w:proofErr w:type="spellEnd"/>
      <w:r w:rsidRPr="00B94753">
        <w:rPr>
          <w:sz w:val="18"/>
          <w:szCs w:val="18"/>
        </w:rPr>
        <w:t xml:space="preserve"> </w:t>
      </w:r>
      <w:proofErr w:type="spellStart"/>
      <w:r w:rsidRPr="00B94753">
        <w:rPr>
          <w:sz w:val="18"/>
          <w:szCs w:val="18"/>
        </w:rPr>
        <w:t>разходни</w:t>
      </w:r>
      <w:proofErr w:type="spellEnd"/>
      <w:r w:rsidRPr="00B94753">
        <w:rPr>
          <w:sz w:val="18"/>
          <w:szCs w:val="18"/>
        </w:rPr>
        <w:t xml:space="preserve"> </w:t>
      </w:r>
      <w:proofErr w:type="spellStart"/>
      <w:r w:rsidRPr="00B94753">
        <w:rPr>
          <w:sz w:val="18"/>
          <w:szCs w:val="18"/>
        </w:rPr>
        <w:t>позиции</w:t>
      </w:r>
      <w:proofErr w:type="spellEnd"/>
      <w:r w:rsidRPr="00B94753">
        <w:rPr>
          <w:sz w:val="18"/>
          <w:szCs w:val="18"/>
        </w:rPr>
        <w:t xml:space="preserve">, </w:t>
      </w:r>
      <w:proofErr w:type="spellStart"/>
      <w:r w:rsidRPr="00B94753">
        <w:rPr>
          <w:sz w:val="18"/>
          <w:szCs w:val="18"/>
        </w:rPr>
        <w:t>към</w:t>
      </w:r>
      <w:proofErr w:type="spellEnd"/>
      <w:r w:rsidRPr="00B94753">
        <w:rPr>
          <w:sz w:val="18"/>
          <w:szCs w:val="18"/>
        </w:rPr>
        <w:t xml:space="preserve"> </w:t>
      </w:r>
      <w:proofErr w:type="spellStart"/>
      <w:r w:rsidRPr="00B94753">
        <w:rPr>
          <w:sz w:val="18"/>
          <w:szCs w:val="18"/>
        </w:rPr>
        <w:t>които</w:t>
      </w:r>
      <w:proofErr w:type="spellEnd"/>
      <w:r w:rsidRPr="00B94753">
        <w:rPr>
          <w:sz w:val="18"/>
          <w:szCs w:val="18"/>
        </w:rPr>
        <w:t xml:space="preserve"> </w:t>
      </w:r>
      <w:proofErr w:type="spellStart"/>
      <w:r w:rsidRPr="00B94753">
        <w:rPr>
          <w:sz w:val="18"/>
          <w:szCs w:val="18"/>
        </w:rPr>
        <w:t>се</w:t>
      </w:r>
      <w:proofErr w:type="spellEnd"/>
      <w:r w:rsidRPr="00B94753">
        <w:rPr>
          <w:sz w:val="18"/>
          <w:szCs w:val="18"/>
        </w:rPr>
        <w:t xml:space="preserve"> </w:t>
      </w:r>
      <w:proofErr w:type="spellStart"/>
      <w:r w:rsidRPr="00B94753">
        <w:rPr>
          <w:sz w:val="18"/>
          <w:szCs w:val="18"/>
        </w:rPr>
        <w:t>отнасят</w:t>
      </w:r>
      <w:proofErr w:type="spellEnd"/>
      <w:r w:rsidRPr="00B94753">
        <w:rPr>
          <w:sz w:val="18"/>
          <w:szCs w:val="18"/>
        </w:rPr>
        <w:t xml:space="preserve"> </w:t>
      </w:r>
      <w:proofErr w:type="spellStart"/>
      <w:r w:rsidRPr="00B94753">
        <w:rPr>
          <w:sz w:val="18"/>
          <w:szCs w:val="18"/>
        </w:rPr>
        <w:t>извършените</w:t>
      </w:r>
      <w:proofErr w:type="spellEnd"/>
      <w:r w:rsidRPr="00B94753">
        <w:rPr>
          <w:sz w:val="18"/>
          <w:szCs w:val="18"/>
        </w:rPr>
        <w:t xml:space="preserve"> </w:t>
      </w:r>
      <w:proofErr w:type="spellStart"/>
      <w:r w:rsidRPr="00B94753">
        <w:rPr>
          <w:sz w:val="18"/>
          <w:szCs w:val="18"/>
        </w:rPr>
        <w:t>разходи</w:t>
      </w:r>
      <w:proofErr w:type="spellEnd"/>
      <w:r w:rsidRPr="00B94753">
        <w:rPr>
          <w:sz w:val="18"/>
          <w:szCs w:val="18"/>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090"/>
    <w:multiLevelType w:val="hybridMultilevel"/>
    <w:tmpl w:val="92F660C8"/>
    <w:lvl w:ilvl="0" w:tplc="0402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00892FFA"/>
    <w:multiLevelType w:val="hybridMultilevel"/>
    <w:tmpl w:val="94A88EA6"/>
    <w:lvl w:ilvl="0" w:tplc="257A31AA">
      <w:start w:val="1"/>
      <w:numFmt w:val="bullet"/>
      <w:lvlText w:val=""/>
      <w:lvlJc w:val="left"/>
      <w:pPr>
        <w:ind w:left="1069" w:hanging="360"/>
      </w:pPr>
      <w:rPr>
        <w:rFonts w:ascii="Symbol" w:hAnsi="Symbol" w:hint="default"/>
        <w:b/>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0F3230CB"/>
    <w:multiLevelType w:val="hybridMultilevel"/>
    <w:tmpl w:val="48F0886C"/>
    <w:lvl w:ilvl="0" w:tplc="0012154E">
      <w:start w:val="1"/>
      <w:numFmt w:val="bullet"/>
      <w:lvlText w:val=""/>
      <w:lvlJc w:val="left"/>
      <w:pPr>
        <w:tabs>
          <w:tab w:val="num" w:pos="2157"/>
        </w:tabs>
        <w:ind w:left="2157" w:hanging="357"/>
      </w:pPr>
      <w:rPr>
        <w:rFonts w:ascii="Wingdings" w:hAnsi="Wingdings" w:hint="default"/>
        <w:color w:val="auto"/>
        <w:sz w:val="24"/>
        <w:szCs w:val="24"/>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1194083D"/>
    <w:multiLevelType w:val="hybridMultilevel"/>
    <w:tmpl w:val="B434DC02"/>
    <w:lvl w:ilvl="0" w:tplc="54C466F6">
      <w:numFmt w:val="bullet"/>
      <w:lvlText w:val="-"/>
      <w:lvlJc w:val="left"/>
      <w:pPr>
        <w:tabs>
          <w:tab w:val="num" w:pos="1500"/>
        </w:tabs>
        <w:ind w:left="15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CEE0108"/>
    <w:multiLevelType w:val="hybridMultilevel"/>
    <w:tmpl w:val="8222E77A"/>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25A20358"/>
    <w:multiLevelType w:val="hybridMultilevel"/>
    <w:tmpl w:val="E1D8CE2E"/>
    <w:lvl w:ilvl="0" w:tplc="B8369D36">
      <w:start w:val="1"/>
      <w:numFmt w:val="bullet"/>
      <w:lvlText w:val=""/>
      <w:lvlJc w:val="left"/>
      <w:pPr>
        <w:tabs>
          <w:tab w:val="num" w:pos="898"/>
        </w:tabs>
        <w:ind w:left="0" w:firstLine="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34706099"/>
    <w:multiLevelType w:val="hybridMultilevel"/>
    <w:tmpl w:val="517EAAC6"/>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40506C4C"/>
    <w:multiLevelType w:val="hybridMultilevel"/>
    <w:tmpl w:val="8E46A080"/>
    <w:lvl w:ilvl="0" w:tplc="0402000B">
      <w:start w:val="1"/>
      <w:numFmt w:val="bullet"/>
      <w:lvlText w:val=""/>
      <w:lvlJc w:val="left"/>
      <w:pPr>
        <w:tabs>
          <w:tab w:val="num" w:pos="720"/>
        </w:tabs>
        <w:ind w:left="720"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3">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7">
    <w:nsid w:val="53A41434"/>
    <w:multiLevelType w:val="hybridMultilevel"/>
    <w:tmpl w:val="D4069CA2"/>
    <w:lvl w:ilvl="0" w:tplc="AB6E2D68">
      <w:start w:val="1"/>
      <w:numFmt w:val="bullet"/>
      <w:lvlText w:val=""/>
      <w:lvlJc w:val="left"/>
      <w:pPr>
        <w:tabs>
          <w:tab w:val="num" w:pos="700"/>
        </w:tabs>
        <w:ind w:left="70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D92F24"/>
    <w:multiLevelType w:val="hybridMultilevel"/>
    <w:tmpl w:val="C3E23384"/>
    <w:lvl w:ilvl="0" w:tplc="0402000D">
      <w:start w:val="1"/>
      <w:numFmt w:val="bullet"/>
      <w:lvlText w:val=""/>
      <w:lvlJc w:val="left"/>
      <w:pPr>
        <w:ind w:left="132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19">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nsid w:val="643A5E75"/>
    <w:multiLevelType w:val="hybridMultilevel"/>
    <w:tmpl w:val="F88C976A"/>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21">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3">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5">
    <w:nsid w:val="6E544B1C"/>
    <w:multiLevelType w:val="hybridMultilevel"/>
    <w:tmpl w:val="F19A58DE"/>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6">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70676522"/>
    <w:multiLevelType w:val="hybridMultilevel"/>
    <w:tmpl w:val="4E68849A"/>
    <w:lvl w:ilvl="0" w:tplc="0402000D">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8">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9">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nsid w:val="74896D38"/>
    <w:multiLevelType w:val="hybridMultilevel"/>
    <w:tmpl w:val="ADA8828A"/>
    <w:lvl w:ilvl="0" w:tplc="0402000D">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31">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2"/>
  </w:num>
  <w:num w:numId="3">
    <w:abstractNumId w:val="23"/>
  </w:num>
  <w:num w:numId="4">
    <w:abstractNumId w:val="9"/>
  </w:num>
  <w:num w:numId="5">
    <w:abstractNumId w:val="26"/>
  </w:num>
  <w:num w:numId="6">
    <w:abstractNumId w:val="17"/>
  </w:num>
  <w:num w:numId="7">
    <w:abstractNumId w:val="21"/>
  </w:num>
  <w:num w:numId="8">
    <w:abstractNumId w:val="11"/>
  </w:num>
  <w:num w:numId="9">
    <w:abstractNumId w:val="15"/>
  </w:num>
  <w:num w:numId="10">
    <w:abstractNumId w:val="28"/>
  </w:num>
  <w:num w:numId="11">
    <w:abstractNumId w:val="22"/>
  </w:num>
  <w:num w:numId="12">
    <w:abstractNumId w:val="20"/>
  </w:num>
  <w:num w:numId="13">
    <w:abstractNumId w:val="3"/>
  </w:num>
  <w:num w:numId="14">
    <w:abstractNumId w:val="31"/>
  </w:num>
  <w:num w:numId="15">
    <w:abstractNumId w:val="29"/>
  </w:num>
  <w:num w:numId="16">
    <w:abstractNumId w:val="2"/>
  </w:num>
  <w:num w:numId="17">
    <w:abstractNumId w:val="24"/>
  </w:num>
  <w:num w:numId="18">
    <w:abstractNumId w:val="13"/>
  </w:num>
  <w:num w:numId="19">
    <w:abstractNumId w:val="6"/>
  </w:num>
  <w:num w:numId="20">
    <w:abstractNumId w:val="16"/>
  </w:num>
  <w:num w:numId="21">
    <w:abstractNumId w:val="7"/>
  </w:num>
  <w:num w:numId="22">
    <w:abstractNumId w:val="8"/>
  </w:num>
  <w:num w:numId="23">
    <w:abstractNumId w:val="30"/>
  </w:num>
  <w:num w:numId="24">
    <w:abstractNumId w:val="14"/>
  </w:num>
  <w:num w:numId="25">
    <w:abstractNumId w:val="18"/>
  </w:num>
  <w:num w:numId="26">
    <w:abstractNumId w:val="5"/>
  </w:num>
  <w:num w:numId="27">
    <w:abstractNumId w:val="10"/>
  </w:num>
  <w:num w:numId="28">
    <w:abstractNumId w:val="25"/>
  </w:num>
  <w:num w:numId="29">
    <w:abstractNumId w:val="0"/>
  </w:num>
  <w:num w:numId="30">
    <w:abstractNumId w:val="19"/>
  </w:num>
  <w:num w:numId="31">
    <w:abstractNumId w:val="27"/>
  </w:num>
  <w:num w:numId="32">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15"/>
    <w:rsid w:val="00000EF0"/>
    <w:rsid w:val="00002BD7"/>
    <w:rsid w:val="00002D9C"/>
    <w:rsid w:val="00004264"/>
    <w:rsid w:val="000063FC"/>
    <w:rsid w:val="0000691E"/>
    <w:rsid w:val="000111D3"/>
    <w:rsid w:val="00012AE6"/>
    <w:rsid w:val="00013B93"/>
    <w:rsid w:val="00013C59"/>
    <w:rsid w:val="000146EA"/>
    <w:rsid w:val="000158A2"/>
    <w:rsid w:val="000175C7"/>
    <w:rsid w:val="000215BD"/>
    <w:rsid w:val="00021A5F"/>
    <w:rsid w:val="000221B7"/>
    <w:rsid w:val="000229E1"/>
    <w:rsid w:val="00022D9E"/>
    <w:rsid w:val="0002351F"/>
    <w:rsid w:val="0002477E"/>
    <w:rsid w:val="000249B9"/>
    <w:rsid w:val="000256B4"/>
    <w:rsid w:val="00025953"/>
    <w:rsid w:val="00025F45"/>
    <w:rsid w:val="00026903"/>
    <w:rsid w:val="0002693A"/>
    <w:rsid w:val="00026AD5"/>
    <w:rsid w:val="00027951"/>
    <w:rsid w:val="000307D3"/>
    <w:rsid w:val="000311EA"/>
    <w:rsid w:val="00031377"/>
    <w:rsid w:val="00031593"/>
    <w:rsid w:val="000320C8"/>
    <w:rsid w:val="00032966"/>
    <w:rsid w:val="00034135"/>
    <w:rsid w:val="00034FE3"/>
    <w:rsid w:val="000359FA"/>
    <w:rsid w:val="0003621F"/>
    <w:rsid w:val="00036A1B"/>
    <w:rsid w:val="000378DC"/>
    <w:rsid w:val="0004080C"/>
    <w:rsid w:val="0004098D"/>
    <w:rsid w:val="00040C20"/>
    <w:rsid w:val="000411D9"/>
    <w:rsid w:val="00041338"/>
    <w:rsid w:val="00042634"/>
    <w:rsid w:val="0004338F"/>
    <w:rsid w:val="000436DD"/>
    <w:rsid w:val="00043AA0"/>
    <w:rsid w:val="00043AB2"/>
    <w:rsid w:val="00043E35"/>
    <w:rsid w:val="0004426E"/>
    <w:rsid w:val="00044273"/>
    <w:rsid w:val="0004753C"/>
    <w:rsid w:val="00050A1B"/>
    <w:rsid w:val="00051E5E"/>
    <w:rsid w:val="00052C5C"/>
    <w:rsid w:val="00053D51"/>
    <w:rsid w:val="000546BF"/>
    <w:rsid w:val="00054E02"/>
    <w:rsid w:val="00055007"/>
    <w:rsid w:val="00055A61"/>
    <w:rsid w:val="00056221"/>
    <w:rsid w:val="00056D9D"/>
    <w:rsid w:val="0005737D"/>
    <w:rsid w:val="00057886"/>
    <w:rsid w:val="00060A02"/>
    <w:rsid w:val="00060B42"/>
    <w:rsid w:val="0006166E"/>
    <w:rsid w:val="00061758"/>
    <w:rsid w:val="00063235"/>
    <w:rsid w:val="00063E15"/>
    <w:rsid w:val="000642B9"/>
    <w:rsid w:val="0006477A"/>
    <w:rsid w:val="00064AF3"/>
    <w:rsid w:val="00064C44"/>
    <w:rsid w:val="00064E39"/>
    <w:rsid w:val="00065A46"/>
    <w:rsid w:val="000663D1"/>
    <w:rsid w:val="00066EED"/>
    <w:rsid w:val="00067283"/>
    <w:rsid w:val="00071F12"/>
    <w:rsid w:val="00072D22"/>
    <w:rsid w:val="00073DF5"/>
    <w:rsid w:val="000751C1"/>
    <w:rsid w:val="00075256"/>
    <w:rsid w:val="000768B3"/>
    <w:rsid w:val="00080AB2"/>
    <w:rsid w:val="00080EF5"/>
    <w:rsid w:val="0008155D"/>
    <w:rsid w:val="000819F9"/>
    <w:rsid w:val="00081AFD"/>
    <w:rsid w:val="00082679"/>
    <w:rsid w:val="00082BD9"/>
    <w:rsid w:val="0008327E"/>
    <w:rsid w:val="000832E5"/>
    <w:rsid w:val="0008357F"/>
    <w:rsid w:val="00085E01"/>
    <w:rsid w:val="00085E1A"/>
    <w:rsid w:val="00086FA7"/>
    <w:rsid w:val="00087295"/>
    <w:rsid w:val="0008745A"/>
    <w:rsid w:val="000878C4"/>
    <w:rsid w:val="0009002F"/>
    <w:rsid w:val="000902B5"/>
    <w:rsid w:val="00090D1D"/>
    <w:rsid w:val="00091196"/>
    <w:rsid w:val="00091BCE"/>
    <w:rsid w:val="000937AB"/>
    <w:rsid w:val="000937E0"/>
    <w:rsid w:val="000943E4"/>
    <w:rsid w:val="00094A6C"/>
    <w:rsid w:val="0009743A"/>
    <w:rsid w:val="000A09BA"/>
    <w:rsid w:val="000A301B"/>
    <w:rsid w:val="000A3F57"/>
    <w:rsid w:val="000A5B32"/>
    <w:rsid w:val="000B09E5"/>
    <w:rsid w:val="000B11FB"/>
    <w:rsid w:val="000B175F"/>
    <w:rsid w:val="000B1A24"/>
    <w:rsid w:val="000B1E59"/>
    <w:rsid w:val="000B2CBE"/>
    <w:rsid w:val="000B5F1E"/>
    <w:rsid w:val="000B62C7"/>
    <w:rsid w:val="000B7234"/>
    <w:rsid w:val="000B7447"/>
    <w:rsid w:val="000B7C4F"/>
    <w:rsid w:val="000B7E66"/>
    <w:rsid w:val="000C06FE"/>
    <w:rsid w:val="000C0FA1"/>
    <w:rsid w:val="000C13A5"/>
    <w:rsid w:val="000C2FAC"/>
    <w:rsid w:val="000C5ACF"/>
    <w:rsid w:val="000C5C6D"/>
    <w:rsid w:val="000C69AE"/>
    <w:rsid w:val="000C6CB5"/>
    <w:rsid w:val="000C6CF3"/>
    <w:rsid w:val="000C7303"/>
    <w:rsid w:val="000C7BB6"/>
    <w:rsid w:val="000D0538"/>
    <w:rsid w:val="000D0AB1"/>
    <w:rsid w:val="000D2516"/>
    <w:rsid w:val="000D2B33"/>
    <w:rsid w:val="000D2BE7"/>
    <w:rsid w:val="000D3942"/>
    <w:rsid w:val="000D3FA7"/>
    <w:rsid w:val="000D49F5"/>
    <w:rsid w:val="000D4BEB"/>
    <w:rsid w:val="000D6D92"/>
    <w:rsid w:val="000D725A"/>
    <w:rsid w:val="000D740D"/>
    <w:rsid w:val="000D78E4"/>
    <w:rsid w:val="000E1529"/>
    <w:rsid w:val="000E1EAF"/>
    <w:rsid w:val="000E1FB5"/>
    <w:rsid w:val="000E234B"/>
    <w:rsid w:val="000E2894"/>
    <w:rsid w:val="000E39DF"/>
    <w:rsid w:val="000E5205"/>
    <w:rsid w:val="000E5295"/>
    <w:rsid w:val="000E5483"/>
    <w:rsid w:val="000E5EE9"/>
    <w:rsid w:val="000E632B"/>
    <w:rsid w:val="000E76B3"/>
    <w:rsid w:val="000F04F4"/>
    <w:rsid w:val="000F26DE"/>
    <w:rsid w:val="000F3534"/>
    <w:rsid w:val="000F3EA1"/>
    <w:rsid w:val="000F47A8"/>
    <w:rsid w:val="000F5080"/>
    <w:rsid w:val="000F5EF4"/>
    <w:rsid w:val="000F5F76"/>
    <w:rsid w:val="000F6B35"/>
    <w:rsid w:val="0010026D"/>
    <w:rsid w:val="0010055E"/>
    <w:rsid w:val="001006E1"/>
    <w:rsid w:val="00100CE5"/>
    <w:rsid w:val="001011A4"/>
    <w:rsid w:val="001017B7"/>
    <w:rsid w:val="0010212B"/>
    <w:rsid w:val="00102523"/>
    <w:rsid w:val="00102869"/>
    <w:rsid w:val="00102BA6"/>
    <w:rsid w:val="001046B0"/>
    <w:rsid w:val="00104BB5"/>
    <w:rsid w:val="001053A6"/>
    <w:rsid w:val="00106081"/>
    <w:rsid w:val="0010649F"/>
    <w:rsid w:val="0010683E"/>
    <w:rsid w:val="00107258"/>
    <w:rsid w:val="001077FA"/>
    <w:rsid w:val="00107F93"/>
    <w:rsid w:val="0011244D"/>
    <w:rsid w:val="00116D77"/>
    <w:rsid w:val="001179C1"/>
    <w:rsid w:val="00117C68"/>
    <w:rsid w:val="001202E6"/>
    <w:rsid w:val="00120CC7"/>
    <w:rsid w:val="00122FCA"/>
    <w:rsid w:val="00123862"/>
    <w:rsid w:val="00123B59"/>
    <w:rsid w:val="00124FB9"/>
    <w:rsid w:val="001260AA"/>
    <w:rsid w:val="001264C3"/>
    <w:rsid w:val="001269AE"/>
    <w:rsid w:val="00127D25"/>
    <w:rsid w:val="00131B05"/>
    <w:rsid w:val="00132AD1"/>
    <w:rsid w:val="00133033"/>
    <w:rsid w:val="00133644"/>
    <w:rsid w:val="0013522E"/>
    <w:rsid w:val="00135A23"/>
    <w:rsid w:val="00136DA4"/>
    <w:rsid w:val="001371FA"/>
    <w:rsid w:val="00141B03"/>
    <w:rsid w:val="00142979"/>
    <w:rsid w:val="00142ABD"/>
    <w:rsid w:val="00142EDB"/>
    <w:rsid w:val="00143814"/>
    <w:rsid w:val="001445AC"/>
    <w:rsid w:val="00144B67"/>
    <w:rsid w:val="00144BF2"/>
    <w:rsid w:val="0014585D"/>
    <w:rsid w:val="00145AD1"/>
    <w:rsid w:val="001462A0"/>
    <w:rsid w:val="001466F3"/>
    <w:rsid w:val="00146C11"/>
    <w:rsid w:val="00150706"/>
    <w:rsid w:val="00151260"/>
    <w:rsid w:val="001514CB"/>
    <w:rsid w:val="001528EE"/>
    <w:rsid w:val="00152B9C"/>
    <w:rsid w:val="00153077"/>
    <w:rsid w:val="001535F3"/>
    <w:rsid w:val="00153DF3"/>
    <w:rsid w:val="00154FA1"/>
    <w:rsid w:val="00156B18"/>
    <w:rsid w:val="00156F40"/>
    <w:rsid w:val="00157673"/>
    <w:rsid w:val="00157B70"/>
    <w:rsid w:val="00157EC4"/>
    <w:rsid w:val="00157EF5"/>
    <w:rsid w:val="001606A4"/>
    <w:rsid w:val="00160A10"/>
    <w:rsid w:val="00160C5B"/>
    <w:rsid w:val="0016116C"/>
    <w:rsid w:val="00161F90"/>
    <w:rsid w:val="00162F68"/>
    <w:rsid w:val="00163645"/>
    <w:rsid w:val="00165FF0"/>
    <w:rsid w:val="00166023"/>
    <w:rsid w:val="00170EFE"/>
    <w:rsid w:val="0017216E"/>
    <w:rsid w:val="00172AEE"/>
    <w:rsid w:val="00175539"/>
    <w:rsid w:val="00175890"/>
    <w:rsid w:val="00176340"/>
    <w:rsid w:val="00176E98"/>
    <w:rsid w:val="00177307"/>
    <w:rsid w:val="00180811"/>
    <w:rsid w:val="0018154E"/>
    <w:rsid w:val="00181FCA"/>
    <w:rsid w:val="001820C4"/>
    <w:rsid w:val="001824F0"/>
    <w:rsid w:val="00182A94"/>
    <w:rsid w:val="00182D63"/>
    <w:rsid w:val="00183392"/>
    <w:rsid w:val="0018398A"/>
    <w:rsid w:val="00183D5F"/>
    <w:rsid w:val="00183EA5"/>
    <w:rsid w:val="00184502"/>
    <w:rsid w:val="001845D5"/>
    <w:rsid w:val="001850C5"/>
    <w:rsid w:val="0018526D"/>
    <w:rsid w:val="00185A12"/>
    <w:rsid w:val="00185D08"/>
    <w:rsid w:val="00186C81"/>
    <w:rsid w:val="00186DF9"/>
    <w:rsid w:val="00190983"/>
    <w:rsid w:val="0019151C"/>
    <w:rsid w:val="00191AA6"/>
    <w:rsid w:val="00191F79"/>
    <w:rsid w:val="0019213B"/>
    <w:rsid w:val="0019232E"/>
    <w:rsid w:val="0019239F"/>
    <w:rsid w:val="001924F6"/>
    <w:rsid w:val="00192CDB"/>
    <w:rsid w:val="00193F20"/>
    <w:rsid w:val="001941E4"/>
    <w:rsid w:val="00195CF2"/>
    <w:rsid w:val="001965AA"/>
    <w:rsid w:val="001968E4"/>
    <w:rsid w:val="001971AE"/>
    <w:rsid w:val="00197278"/>
    <w:rsid w:val="00197392"/>
    <w:rsid w:val="00197EC3"/>
    <w:rsid w:val="001A0601"/>
    <w:rsid w:val="001A0BB0"/>
    <w:rsid w:val="001A1837"/>
    <w:rsid w:val="001A1C51"/>
    <w:rsid w:val="001A236F"/>
    <w:rsid w:val="001A28BA"/>
    <w:rsid w:val="001A3051"/>
    <w:rsid w:val="001A3387"/>
    <w:rsid w:val="001A5350"/>
    <w:rsid w:val="001A59AF"/>
    <w:rsid w:val="001A6777"/>
    <w:rsid w:val="001A718F"/>
    <w:rsid w:val="001B20E4"/>
    <w:rsid w:val="001B2FCD"/>
    <w:rsid w:val="001B3285"/>
    <w:rsid w:val="001B370A"/>
    <w:rsid w:val="001B3E1C"/>
    <w:rsid w:val="001B44DB"/>
    <w:rsid w:val="001B5EA6"/>
    <w:rsid w:val="001C0F05"/>
    <w:rsid w:val="001C110F"/>
    <w:rsid w:val="001C2EE5"/>
    <w:rsid w:val="001C4B35"/>
    <w:rsid w:val="001C4CCF"/>
    <w:rsid w:val="001C501A"/>
    <w:rsid w:val="001C6573"/>
    <w:rsid w:val="001C6BA6"/>
    <w:rsid w:val="001C726D"/>
    <w:rsid w:val="001C78CA"/>
    <w:rsid w:val="001D01FB"/>
    <w:rsid w:val="001D15E5"/>
    <w:rsid w:val="001D2381"/>
    <w:rsid w:val="001D2CE9"/>
    <w:rsid w:val="001D3E63"/>
    <w:rsid w:val="001D40DA"/>
    <w:rsid w:val="001D6081"/>
    <w:rsid w:val="001D6F2E"/>
    <w:rsid w:val="001D755A"/>
    <w:rsid w:val="001E0367"/>
    <w:rsid w:val="001E11E2"/>
    <w:rsid w:val="001E2B1A"/>
    <w:rsid w:val="001E3753"/>
    <w:rsid w:val="001E383E"/>
    <w:rsid w:val="001E4456"/>
    <w:rsid w:val="001E44C8"/>
    <w:rsid w:val="001E4E88"/>
    <w:rsid w:val="001E4FFF"/>
    <w:rsid w:val="001E5BEE"/>
    <w:rsid w:val="001E68EE"/>
    <w:rsid w:val="001E751C"/>
    <w:rsid w:val="001E77C4"/>
    <w:rsid w:val="001E7EA4"/>
    <w:rsid w:val="001F00B7"/>
    <w:rsid w:val="001F1092"/>
    <w:rsid w:val="001F2337"/>
    <w:rsid w:val="001F367C"/>
    <w:rsid w:val="001F4EB9"/>
    <w:rsid w:val="001F4FDB"/>
    <w:rsid w:val="001F540A"/>
    <w:rsid w:val="001F5D2F"/>
    <w:rsid w:val="001F5FA3"/>
    <w:rsid w:val="001F6F0C"/>
    <w:rsid w:val="001F74B9"/>
    <w:rsid w:val="002002AA"/>
    <w:rsid w:val="002019D1"/>
    <w:rsid w:val="00201E8F"/>
    <w:rsid w:val="002023B3"/>
    <w:rsid w:val="00203052"/>
    <w:rsid w:val="00204779"/>
    <w:rsid w:val="00204799"/>
    <w:rsid w:val="00204EBE"/>
    <w:rsid w:val="002051EA"/>
    <w:rsid w:val="002060C2"/>
    <w:rsid w:val="00207674"/>
    <w:rsid w:val="002076D5"/>
    <w:rsid w:val="002117F4"/>
    <w:rsid w:val="002118E8"/>
    <w:rsid w:val="00212116"/>
    <w:rsid w:val="00212798"/>
    <w:rsid w:val="00213180"/>
    <w:rsid w:val="002136EF"/>
    <w:rsid w:val="00213D58"/>
    <w:rsid w:val="00213EB4"/>
    <w:rsid w:val="002142CA"/>
    <w:rsid w:val="0021481A"/>
    <w:rsid w:val="00214D1A"/>
    <w:rsid w:val="00214EEA"/>
    <w:rsid w:val="00215254"/>
    <w:rsid w:val="00215ADA"/>
    <w:rsid w:val="00216326"/>
    <w:rsid w:val="00216AAD"/>
    <w:rsid w:val="00217096"/>
    <w:rsid w:val="0022027B"/>
    <w:rsid w:val="00220699"/>
    <w:rsid w:val="00220CF8"/>
    <w:rsid w:val="00220D8D"/>
    <w:rsid w:val="0022151A"/>
    <w:rsid w:val="002215FD"/>
    <w:rsid w:val="002216C7"/>
    <w:rsid w:val="00221E48"/>
    <w:rsid w:val="00222228"/>
    <w:rsid w:val="00223892"/>
    <w:rsid w:val="00223F09"/>
    <w:rsid w:val="002245C8"/>
    <w:rsid w:val="0022465E"/>
    <w:rsid w:val="00225168"/>
    <w:rsid w:val="0023041D"/>
    <w:rsid w:val="00231385"/>
    <w:rsid w:val="002316E9"/>
    <w:rsid w:val="002326C1"/>
    <w:rsid w:val="00232A8A"/>
    <w:rsid w:val="00233032"/>
    <w:rsid w:val="00233D50"/>
    <w:rsid w:val="00240C3D"/>
    <w:rsid w:val="00240D9B"/>
    <w:rsid w:val="00243641"/>
    <w:rsid w:val="00244642"/>
    <w:rsid w:val="00244D15"/>
    <w:rsid w:val="00244E1B"/>
    <w:rsid w:val="00245474"/>
    <w:rsid w:val="002462FC"/>
    <w:rsid w:val="00246417"/>
    <w:rsid w:val="0024752F"/>
    <w:rsid w:val="00247C3E"/>
    <w:rsid w:val="002500E6"/>
    <w:rsid w:val="00250302"/>
    <w:rsid w:val="00251005"/>
    <w:rsid w:val="0025173F"/>
    <w:rsid w:val="002529E3"/>
    <w:rsid w:val="00252E78"/>
    <w:rsid w:val="002545AB"/>
    <w:rsid w:val="00254667"/>
    <w:rsid w:val="0025469B"/>
    <w:rsid w:val="00255101"/>
    <w:rsid w:val="002553EF"/>
    <w:rsid w:val="0025556C"/>
    <w:rsid w:val="002555A1"/>
    <w:rsid w:val="002557F9"/>
    <w:rsid w:val="002559EF"/>
    <w:rsid w:val="0025637F"/>
    <w:rsid w:val="002567D3"/>
    <w:rsid w:val="00257669"/>
    <w:rsid w:val="00257837"/>
    <w:rsid w:val="002605A7"/>
    <w:rsid w:val="00261653"/>
    <w:rsid w:val="00262391"/>
    <w:rsid w:val="0026368D"/>
    <w:rsid w:val="00263A27"/>
    <w:rsid w:val="00266AF5"/>
    <w:rsid w:val="00266D04"/>
    <w:rsid w:val="00267867"/>
    <w:rsid w:val="0027076E"/>
    <w:rsid w:val="002715E5"/>
    <w:rsid w:val="00271642"/>
    <w:rsid w:val="00271AF4"/>
    <w:rsid w:val="00272747"/>
    <w:rsid w:val="00272812"/>
    <w:rsid w:val="00273AF1"/>
    <w:rsid w:val="00273EB1"/>
    <w:rsid w:val="002742C4"/>
    <w:rsid w:val="0027478C"/>
    <w:rsid w:val="002747FE"/>
    <w:rsid w:val="002749F4"/>
    <w:rsid w:val="00280569"/>
    <w:rsid w:val="0028159B"/>
    <w:rsid w:val="00283343"/>
    <w:rsid w:val="00283475"/>
    <w:rsid w:val="002841B8"/>
    <w:rsid w:val="002843A3"/>
    <w:rsid w:val="00284488"/>
    <w:rsid w:val="00285044"/>
    <w:rsid w:val="00285594"/>
    <w:rsid w:val="00285654"/>
    <w:rsid w:val="00285BC7"/>
    <w:rsid w:val="00286740"/>
    <w:rsid w:val="00286AC4"/>
    <w:rsid w:val="00287F6C"/>
    <w:rsid w:val="00290876"/>
    <w:rsid w:val="00292884"/>
    <w:rsid w:val="00292971"/>
    <w:rsid w:val="00292EC1"/>
    <w:rsid w:val="00293051"/>
    <w:rsid w:val="0029338A"/>
    <w:rsid w:val="00293D1E"/>
    <w:rsid w:val="00294B02"/>
    <w:rsid w:val="00294D83"/>
    <w:rsid w:val="0029593D"/>
    <w:rsid w:val="00295C97"/>
    <w:rsid w:val="002961BB"/>
    <w:rsid w:val="002968B1"/>
    <w:rsid w:val="002968FE"/>
    <w:rsid w:val="00296F46"/>
    <w:rsid w:val="0029717D"/>
    <w:rsid w:val="00297C07"/>
    <w:rsid w:val="002A1277"/>
    <w:rsid w:val="002A29F2"/>
    <w:rsid w:val="002A3C2E"/>
    <w:rsid w:val="002A50A9"/>
    <w:rsid w:val="002A5F57"/>
    <w:rsid w:val="002A6CBF"/>
    <w:rsid w:val="002A748F"/>
    <w:rsid w:val="002B02E8"/>
    <w:rsid w:val="002B1377"/>
    <w:rsid w:val="002B14CD"/>
    <w:rsid w:val="002B2304"/>
    <w:rsid w:val="002B25DE"/>
    <w:rsid w:val="002B2668"/>
    <w:rsid w:val="002B3E0D"/>
    <w:rsid w:val="002B3E89"/>
    <w:rsid w:val="002B484C"/>
    <w:rsid w:val="002B5D34"/>
    <w:rsid w:val="002B695A"/>
    <w:rsid w:val="002B7904"/>
    <w:rsid w:val="002B79DA"/>
    <w:rsid w:val="002B7F97"/>
    <w:rsid w:val="002C0110"/>
    <w:rsid w:val="002C12D6"/>
    <w:rsid w:val="002C18B7"/>
    <w:rsid w:val="002C1B26"/>
    <w:rsid w:val="002C23BF"/>
    <w:rsid w:val="002C24D7"/>
    <w:rsid w:val="002C286D"/>
    <w:rsid w:val="002C2CAC"/>
    <w:rsid w:val="002C2F4E"/>
    <w:rsid w:val="002C33B7"/>
    <w:rsid w:val="002C418B"/>
    <w:rsid w:val="002C468E"/>
    <w:rsid w:val="002C4D33"/>
    <w:rsid w:val="002C6996"/>
    <w:rsid w:val="002C69F6"/>
    <w:rsid w:val="002C6C5B"/>
    <w:rsid w:val="002C7537"/>
    <w:rsid w:val="002D00C7"/>
    <w:rsid w:val="002D0399"/>
    <w:rsid w:val="002D0882"/>
    <w:rsid w:val="002D1067"/>
    <w:rsid w:val="002D11C6"/>
    <w:rsid w:val="002D1252"/>
    <w:rsid w:val="002D17E3"/>
    <w:rsid w:val="002D2B07"/>
    <w:rsid w:val="002D2DC4"/>
    <w:rsid w:val="002D2FA5"/>
    <w:rsid w:val="002D3AE3"/>
    <w:rsid w:val="002D3F6E"/>
    <w:rsid w:val="002D516B"/>
    <w:rsid w:val="002D527A"/>
    <w:rsid w:val="002D5811"/>
    <w:rsid w:val="002D6978"/>
    <w:rsid w:val="002D6A0C"/>
    <w:rsid w:val="002D6A9D"/>
    <w:rsid w:val="002D72DE"/>
    <w:rsid w:val="002D7651"/>
    <w:rsid w:val="002D7BAD"/>
    <w:rsid w:val="002E029F"/>
    <w:rsid w:val="002E130D"/>
    <w:rsid w:val="002E1ADD"/>
    <w:rsid w:val="002E1EDB"/>
    <w:rsid w:val="002E2255"/>
    <w:rsid w:val="002E4150"/>
    <w:rsid w:val="002E43D0"/>
    <w:rsid w:val="002E49A6"/>
    <w:rsid w:val="002E7F57"/>
    <w:rsid w:val="002F013B"/>
    <w:rsid w:val="002F0511"/>
    <w:rsid w:val="002F094A"/>
    <w:rsid w:val="002F209C"/>
    <w:rsid w:val="002F2AA4"/>
    <w:rsid w:val="002F37A8"/>
    <w:rsid w:val="002F3E25"/>
    <w:rsid w:val="002F4E32"/>
    <w:rsid w:val="002F5021"/>
    <w:rsid w:val="002F50A5"/>
    <w:rsid w:val="002F5497"/>
    <w:rsid w:val="002F56B6"/>
    <w:rsid w:val="002F6391"/>
    <w:rsid w:val="002F68BA"/>
    <w:rsid w:val="002F6AC3"/>
    <w:rsid w:val="002F781A"/>
    <w:rsid w:val="002F7EAC"/>
    <w:rsid w:val="00300566"/>
    <w:rsid w:val="00300DE1"/>
    <w:rsid w:val="00300E8B"/>
    <w:rsid w:val="0030108C"/>
    <w:rsid w:val="003015BA"/>
    <w:rsid w:val="00301E6A"/>
    <w:rsid w:val="00302CD2"/>
    <w:rsid w:val="00303208"/>
    <w:rsid w:val="00303427"/>
    <w:rsid w:val="0030350B"/>
    <w:rsid w:val="00303543"/>
    <w:rsid w:val="00303716"/>
    <w:rsid w:val="00304129"/>
    <w:rsid w:val="00305F56"/>
    <w:rsid w:val="00307BFD"/>
    <w:rsid w:val="00307E09"/>
    <w:rsid w:val="00307E4B"/>
    <w:rsid w:val="00307F21"/>
    <w:rsid w:val="003114FA"/>
    <w:rsid w:val="00312B38"/>
    <w:rsid w:val="00313907"/>
    <w:rsid w:val="00313A44"/>
    <w:rsid w:val="00314D1E"/>
    <w:rsid w:val="00315241"/>
    <w:rsid w:val="0031729F"/>
    <w:rsid w:val="00320B2A"/>
    <w:rsid w:val="00320F20"/>
    <w:rsid w:val="00321743"/>
    <w:rsid w:val="00322FA8"/>
    <w:rsid w:val="00325472"/>
    <w:rsid w:val="00325769"/>
    <w:rsid w:val="00325AC3"/>
    <w:rsid w:val="00326155"/>
    <w:rsid w:val="003308A9"/>
    <w:rsid w:val="0033105F"/>
    <w:rsid w:val="003310A7"/>
    <w:rsid w:val="003311C5"/>
    <w:rsid w:val="00331492"/>
    <w:rsid w:val="00332972"/>
    <w:rsid w:val="0033309B"/>
    <w:rsid w:val="00333789"/>
    <w:rsid w:val="00333B5E"/>
    <w:rsid w:val="0033470F"/>
    <w:rsid w:val="00334766"/>
    <w:rsid w:val="00334E1E"/>
    <w:rsid w:val="00335F25"/>
    <w:rsid w:val="00336631"/>
    <w:rsid w:val="003368A9"/>
    <w:rsid w:val="00337793"/>
    <w:rsid w:val="00337863"/>
    <w:rsid w:val="00337CA7"/>
    <w:rsid w:val="003418A7"/>
    <w:rsid w:val="00342205"/>
    <w:rsid w:val="003423EB"/>
    <w:rsid w:val="003429F1"/>
    <w:rsid w:val="00342B71"/>
    <w:rsid w:val="00342EDD"/>
    <w:rsid w:val="0034309B"/>
    <w:rsid w:val="00343737"/>
    <w:rsid w:val="00344353"/>
    <w:rsid w:val="00344B38"/>
    <w:rsid w:val="003459AC"/>
    <w:rsid w:val="003464BD"/>
    <w:rsid w:val="00346E32"/>
    <w:rsid w:val="0034755B"/>
    <w:rsid w:val="00351513"/>
    <w:rsid w:val="00351BD9"/>
    <w:rsid w:val="00352F76"/>
    <w:rsid w:val="003533A4"/>
    <w:rsid w:val="0035368F"/>
    <w:rsid w:val="00354E8D"/>
    <w:rsid w:val="0035525B"/>
    <w:rsid w:val="003554A7"/>
    <w:rsid w:val="00355C2D"/>
    <w:rsid w:val="00356CE8"/>
    <w:rsid w:val="00357974"/>
    <w:rsid w:val="003579F2"/>
    <w:rsid w:val="00360058"/>
    <w:rsid w:val="00360470"/>
    <w:rsid w:val="00360BE6"/>
    <w:rsid w:val="00361524"/>
    <w:rsid w:val="00361EAF"/>
    <w:rsid w:val="00361FC7"/>
    <w:rsid w:val="00362463"/>
    <w:rsid w:val="0036257D"/>
    <w:rsid w:val="00363014"/>
    <w:rsid w:val="0036316C"/>
    <w:rsid w:val="00363315"/>
    <w:rsid w:val="003636BA"/>
    <w:rsid w:val="00363C1A"/>
    <w:rsid w:val="00363E99"/>
    <w:rsid w:val="00365690"/>
    <w:rsid w:val="0036577B"/>
    <w:rsid w:val="00365959"/>
    <w:rsid w:val="003674D9"/>
    <w:rsid w:val="0037017F"/>
    <w:rsid w:val="00370377"/>
    <w:rsid w:val="00371384"/>
    <w:rsid w:val="00371EEF"/>
    <w:rsid w:val="00372965"/>
    <w:rsid w:val="00372C6F"/>
    <w:rsid w:val="00373E32"/>
    <w:rsid w:val="003748CB"/>
    <w:rsid w:val="00375C31"/>
    <w:rsid w:val="00376467"/>
    <w:rsid w:val="00380F3E"/>
    <w:rsid w:val="00380F49"/>
    <w:rsid w:val="003810AB"/>
    <w:rsid w:val="00381745"/>
    <w:rsid w:val="0038363F"/>
    <w:rsid w:val="00383E33"/>
    <w:rsid w:val="003849E0"/>
    <w:rsid w:val="0038577D"/>
    <w:rsid w:val="00385C8A"/>
    <w:rsid w:val="0038746F"/>
    <w:rsid w:val="00390575"/>
    <w:rsid w:val="003906CD"/>
    <w:rsid w:val="00391125"/>
    <w:rsid w:val="0039296F"/>
    <w:rsid w:val="0039334A"/>
    <w:rsid w:val="00393468"/>
    <w:rsid w:val="00393585"/>
    <w:rsid w:val="003935B9"/>
    <w:rsid w:val="00395CCF"/>
    <w:rsid w:val="003967B0"/>
    <w:rsid w:val="00396958"/>
    <w:rsid w:val="00396E17"/>
    <w:rsid w:val="003A06C5"/>
    <w:rsid w:val="003A0A29"/>
    <w:rsid w:val="003A1AF7"/>
    <w:rsid w:val="003A221F"/>
    <w:rsid w:val="003A295A"/>
    <w:rsid w:val="003A3159"/>
    <w:rsid w:val="003A39C7"/>
    <w:rsid w:val="003A3AC4"/>
    <w:rsid w:val="003A3D0E"/>
    <w:rsid w:val="003A3D9A"/>
    <w:rsid w:val="003A409D"/>
    <w:rsid w:val="003A4129"/>
    <w:rsid w:val="003A4AAF"/>
    <w:rsid w:val="003A54BC"/>
    <w:rsid w:val="003B01E4"/>
    <w:rsid w:val="003B088E"/>
    <w:rsid w:val="003B1F25"/>
    <w:rsid w:val="003B2E07"/>
    <w:rsid w:val="003B3BDF"/>
    <w:rsid w:val="003B4787"/>
    <w:rsid w:val="003B4F0C"/>
    <w:rsid w:val="003B50BA"/>
    <w:rsid w:val="003B5452"/>
    <w:rsid w:val="003B5717"/>
    <w:rsid w:val="003B5B2E"/>
    <w:rsid w:val="003B5CAF"/>
    <w:rsid w:val="003B6534"/>
    <w:rsid w:val="003B6D41"/>
    <w:rsid w:val="003C0E58"/>
    <w:rsid w:val="003C14B1"/>
    <w:rsid w:val="003C1591"/>
    <w:rsid w:val="003C199E"/>
    <w:rsid w:val="003C2280"/>
    <w:rsid w:val="003C2AA7"/>
    <w:rsid w:val="003C2F47"/>
    <w:rsid w:val="003C44D1"/>
    <w:rsid w:val="003C4F06"/>
    <w:rsid w:val="003C5A14"/>
    <w:rsid w:val="003C5DE7"/>
    <w:rsid w:val="003C6080"/>
    <w:rsid w:val="003C6592"/>
    <w:rsid w:val="003C667C"/>
    <w:rsid w:val="003D067C"/>
    <w:rsid w:val="003D0906"/>
    <w:rsid w:val="003D15ED"/>
    <w:rsid w:val="003D2A35"/>
    <w:rsid w:val="003D35FA"/>
    <w:rsid w:val="003D39EF"/>
    <w:rsid w:val="003D41BA"/>
    <w:rsid w:val="003D41C7"/>
    <w:rsid w:val="003D4CC1"/>
    <w:rsid w:val="003D6474"/>
    <w:rsid w:val="003D664F"/>
    <w:rsid w:val="003D71D5"/>
    <w:rsid w:val="003E1122"/>
    <w:rsid w:val="003E1604"/>
    <w:rsid w:val="003E1766"/>
    <w:rsid w:val="003E18F5"/>
    <w:rsid w:val="003E1A61"/>
    <w:rsid w:val="003E279B"/>
    <w:rsid w:val="003E2AB7"/>
    <w:rsid w:val="003E2F36"/>
    <w:rsid w:val="003E37A0"/>
    <w:rsid w:val="003E393E"/>
    <w:rsid w:val="003E507E"/>
    <w:rsid w:val="003E5394"/>
    <w:rsid w:val="003E678B"/>
    <w:rsid w:val="003E6D93"/>
    <w:rsid w:val="003E76C6"/>
    <w:rsid w:val="003F0186"/>
    <w:rsid w:val="003F038A"/>
    <w:rsid w:val="003F0555"/>
    <w:rsid w:val="003F09E9"/>
    <w:rsid w:val="003F0D0F"/>
    <w:rsid w:val="003F11D8"/>
    <w:rsid w:val="003F1222"/>
    <w:rsid w:val="003F1AAC"/>
    <w:rsid w:val="003F1C6D"/>
    <w:rsid w:val="003F1D12"/>
    <w:rsid w:val="003F1E3F"/>
    <w:rsid w:val="003F1ECD"/>
    <w:rsid w:val="003F3195"/>
    <w:rsid w:val="003F32A8"/>
    <w:rsid w:val="003F3673"/>
    <w:rsid w:val="003F47AB"/>
    <w:rsid w:val="003F4B6C"/>
    <w:rsid w:val="003F5A39"/>
    <w:rsid w:val="003F6039"/>
    <w:rsid w:val="003F67D7"/>
    <w:rsid w:val="00400758"/>
    <w:rsid w:val="00401B6E"/>
    <w:rsid w:val="00404123"/>
    <w:rsid w:val="00404B91"/>
    <w:rsid w:val="00404BB2"/>
    <w:rsid w:val="0040541F"/>
    <w:rsid w:val="00405424"/>
    <w:rsid w:val="00405C8A"/>
    <w:rsid w:val="00406889"/>
    <w:rsid w:val="004072DC"/>
    <w:rsid w:val="00411C1D"/>
    <w:rsid w:val="0041242B"/>
    <w:rsid w:val="00412C22"/>
    <w:rsid w:val="00412DB7"/>
    <w:rsid w:val="0041307A"/>
    <w:rsid w:val="00413397"/>
    <w:rsid w:val="00413D02"/>
    <w:rsid w:val="00413DF7"/>
    <w:rsid w:val="004150A8"/>
    <w:rsid w:val="00420473"/>
    <w:rsid w:val="00420694"/>
    <w:rsid w:val="0042081E"/>
    <w:rsid w:val="00420E0C"/>
    <w:rsid w:val="00421989"/>
    <w:rsid w:val="00421C02"/>
    <w:rsid w:val="0042331A"/>
    <w:rsid w:val="00423479"/>
    <w:rsid w:val="00424B49"/>
    <w:rsid w:val="00424BC0"/>
    <w:rsid w:val="00424CD9"/>
    <w:rsid w:val="00424EE9"/>
    <w:rsid w:val="004267BD"/>
    <w:rsid w:val="00426D00"/>
    <w:rsid w:val="00427071"/>
    <w:rsid w:val="0043000A"/>
    <w:rsid w:val="0043033C"/>
    <w:rsid w:val="00430A35"/>
    <w:rsid w:val="004318F3"/>
    <w:rsid w:val="00432C14"/>
    <w:rsid w:val="00432D80"/>
    <w:rsid w:val="00432EC8"/>
    <w:rsid w:val="00433ACC"/>
    <w:rsid w:val="004341E9"/>
    <w:rsid w:val="00434323"/>
    <w:rsid w:val="00434720"/>
    <w:rsid w:val="00434C76"/>
    <w:rsid w:val="00434CA4"/>
    <w:rsid w:val="004379FE"/>
    <w:rsid w:val="00440C48"/>
    <w:rsid w:val="00440E3B"/>
    <w:rsid w:val="0044111B"/>
    <w:rsid w:val="00441F13"/>
    <w:rsid w:val="00441FF4"/>
    <w:rsid w:val="004437DC"/>
    <w:rsid w:val="004443AB"/>
    <w:rsid w:val="00444624"/>
    <w:rsid w:val="0044486A"/>
    <w:rsid w:val="004448DB"/>
    <w:rsid w:val="00445D17"/>
    <w:rsid w:val="00445F93"/>
    <w:rsid w:val="0044645D"/>
    <w:rsid w:val="004473E1"/>
    <w:rsid w:val="00447467"/>
    <w:rsid w:val="00447BE4"/>
    <w:rsid w:val="00447CC7"/>
    <w:rsid w:val="0045342A"/>
    <w:rsid w:val="004539F3"/>
    <w:rsid w:val="00454F37"/>
    <w:rsid w:val="0045536D"/>
    <w:rsid w:val="0045563A"/>
    <w:rsid w:val="00455C0B"/>
    <w:rsid w:val="00460A2F"/>
    <w:rsid w:val="00460DFC"/>
    <w:rsid w:val="00462344"/>
    <w:rsid w:val="00462792"/>
    <w:rsid w:val="00462EC3"/>
    <w:rsid w:val="00463713"/>
    <w:rsid w:val="00464A54"/>
    <w:rsid w:val="00466917"/>
    <w:rsid w:val="00466A68"/>
    <w:rsid w:val="00467A07"/>
    <w:rsid w:val="00467DDF"/>
    <w:rsid w:val="00467E6F"/>
    <w:rsid w:val="0047087C"/>
    <w:rsid w:val="004709CF"/>
    <w:rsid w:val="00470D72"/>
    <w:rsid w:val="004712BA"/>
    <w:rsid w:val="004715DB"/>
    <w:rsid w:val="004717FC"/>
    <w:rsid w:val="0047319E"/>
    <w:rsid w:val="0047343D"/>
    <w:rsid w:val="004737AB"/>
    <w:rsid w:val="004756A4"/>
    <w:rsid w:val="004757DD"/>
    <w:rsid w:val="004765C1"/>
    <w:rsid w:val="00476839"/>
    <w:rsid w:val="00480836"/>
    <w:rsid w:val="0048093C"/>
    <w:rsid w:val="00480C6C"/>
    <w:rsid w:val="00483EBC"/>
    <w:rsid w:val="004842F9"/>
    <w:rsid w:val="0048633C"/>
    <w:rsid w:val="00487663"/>
    <w:rsid w:val="00487AA1"/>
    <w:rsid w:val="0049089F"/>
    <w:rsid w:val="0049099D"/>
    <w:rsid w:val="004913DD"/>
    <w:rsid w:val="00491AF2"/>
    <w:rsid w:val="00491FB0"/>
    <w:rsid w:val="00492077"/>
    <w:rsid w:val="004920BE"/>
    <w:rsid w:val="004923E3"/>
    <w:rsid w:val="004930C9"/>
    <w:rsid w:val="00495607"/>
    <w:rsid w:val="00495774"/>
    <w:rsid w:val="00495F75"/>
    <w:rsid w:val="00496151"/>
    <w:rsid w:val="004969CB"/>
    <w:rsid w:val="00496CB2"/>
    <w:rsid w:val="00497689"/>
    <w:rsid w:val="00497B8B"/>
    <w:rsid w:val="004A0111"/>
    <w:rsid w:val="004A0A58"/>
    <w:rsid w:val="004A0FBA"/>
    <w:rsid w:val="004A1B28"/>
    <w:rsid w:val="004A2BF9"/>
    <w:rsid w:val="004A2C3A"/>
    <w:rsid w:val="004A39B3"/>
    <w:rsid w:val="004A3A16"/>
    <w:rsid w:val="004A73AA"/>
    <w:rsid w:val="004B014F"/>
    <w:rsid w:val="004B0A99"/>
    <w:rsid w:val="004B14D9"/>
    <w:rsid w:val="004B2450"/>
    <w:rsid w:val="004B32FC"/>
    <w:rsid w:val="004B4071"/>
    <w:rsid w:val="004B41D3"/>
    <w:rsid w:val="004B4228"/>
    <w:rsid w:val="004B4A3D"/>
    <w:rsid w:val="004B5ADF"/>
    <w:rsid w:val="004B5DC2"/>
    <w:rsid w:val="004B66C4"/>
    <w:rsid w:val="004B67FA"/>
    <w:rsid w:val="004B702C"/>
    <w:rsid w:val="004B7411"/>
    <w:rsid w:val="004B74DA"/>
    <w:rsid w:val="004C009E"/>
    <w:rsid w:val="004C2707"/>
    <w:rsid w:val="004C43B3"/>
    <w:rsid w:val="004C458A"/>
    <w:rsid w:val="004C4C7A"/>
    <w:rsid w:val="004C4F65"/>
    <w:rsid w:val="004C5F4E"/>
    <w:rsid w:val="004C60F8"/>
    <w:rsid w:val="004C665A"/>
    <w:rsid w:val="004C6BE5"/>
    <w:rsid w:val="004C6F08"/>
    <w:rsid w:val="004C75F6"/>
    <w:rsid w:val="004D0314"/>
    <w:rsid w:val="004D0661"/>
    <w:rsid w:val="004D0892"/>
    <w:rsid w:val="004D311F"/>
    <w:rsid w:val="004D4B5F"/>
    <w:rsid w:val="004D4EF0"/>
    <w:rsid w:val="004D54BD"/>
    <w:rsid w:val="004D6524"/>
    <w:rsid w:val="004D6BD9"/>
    <w:rsid w:val="004E0134"/>
    <w:rsid w:val="004E09DC"/>
    <w:rsid w:val="004E1731"/>
    <w:rsid w:val="004E20A2"/>
    <w:rsid w:val="004E2A05"/>
    <w:rsid w:val="004E31BA"/>
    <w:rsid w:val="004E3966"/>
    <w:rsid w:val="004E3D62"/>
    <w:rsid w:val="004E43D2"/>
    <w:rsid w:val="004E45A3"/>
    <w:rsid w:val="004E46DA"/>
    <w:rsid w:val="004E59B2"/>
    <w:rsid w:val="004E5E56"/>
    <w:rsid w:val="004E604F"/>
    <w:rsid w:val="004E73E8"/>
    <w:rsid w:val="004E74EC"/>
    <w:rsid w:val="004E7BF8"/>
    <w:rsid w:val="004F141F"/>
    <w:rsid w:val="004F24FB"/>
    <w:rsid w:val="004F2F68"/>
    <w:rsid w:val="004F5B6B"/>
    <w:rsid w:val="004F5B94"/>
    <w:rsid w:val="004F63B9"/>
    <w:rsid w:val="004F709F"/>
    <w:rsid w:val="004F767C"/>
    <w:rsid w:val="005001BC"/>
    <w:rsid w:val="00500DD6"/>
    <w:rsid w:val="00501C83"/>
    <w:rsid w:val="0050271A"/>
    <w:rsid w:val="00502E71"/>
    <w:rsid w:val="00503A88"/>
    <w:rsid w:val="00504C80"/>
    <w:rsid w:val="005061E5"/>
    <w:rsid w:val="00506F08"/>
    <w:rsid w:val="005104CF"/>
    <w:rsid w:val="00510E7E"/>
    <w:rsid w:val="00511EE9"/>
    <w:rsid w:val="00513759"/>
    <w:rsid w:val="00514262"/>
    <w:rsid w:val="00514327"/>
    <w:rsid w:val="005159CD"/>
    <w:rsid w:val="005160E2"/>
    <w:rsid w:val="00516CBD"/>
    <w:rsid w:val="00516EB9"/>
    <w:rsid w:val="0051752A"/>
    <w:rsid w:val="00517FBF"/>
    <w:rsid w:val="00521371"/>
    <w:rsid w:val="00521617"/>
    <w:rsid w:val="00522945"/>
    <w:rsid w:val="00523FAF"/>
    <w:rsid w:val="00524146"/>
    <w:rsid w:val="00524EA5"/>
    <w:rsid w:val="00525B7E"/>
    <w:rsid w:val="00525D95"/>
    <w:rsid w:val="005260E6"/>
    <w:rsid w:val="0052633F"/>
    <w:rsid w:val="00526DB4"/>
    <w:rsid w:val="00527901"/>
    <w:rsid w:val="00527EDB"/>
    <w:rsid w:val="00530B61"/>
    <w:rsid w:val="00530FDE"/>
    <w:rsid w:val="00531CF0"/>
    <w:rsid w:val="00531E6A"/>
    <w:rsid w:val="0053288C"/>
    <w:rsid w:val="00532B67"/>
    <w:rsid w:val="00532B8D"/>
    <w:rsid w:val="005342A1"/>
    <w:rsid w:val="0053580A"/>
    <w:rsid w:val="00535D0B"/>
    <w:rsid w:val="00536119"/>
    <w:rsid w:val="0053646A"/>
    <w:rsid w:val="0053674A"/>
    <w:rsid w:val="00536EB8"/>
    <w:rsid w:val="0053709A"/>
    <w:rsid w:val="00537407"/>
    <w:rsid w:val="00540B24"/>
    <w:rsid w:val="005415DB"/>
    <w:rsid w:val="005418E2"/>
    <w:rsid w:val="00541A87"/>
    <w:rsid w:val="00541CC7"/>
    <w:rsid w:val="00541D3C"/>
    <w:rsid w:val="00542445"/>
    <w:rsid w:val="00543B10"/>
    <w:rsid w:val="00545235"/>
    <w:rsid w:val="005452F5"/>
    <w:rsid w:val="005466DD"/>
    <w:rsid w:val="00546765"/>
    <w:rsid w:val="00546871"/>
    <w:rsid w:val="00547879"/>
    <w:rsid w:val="005479F1"/>
    <w:rsid w:val="00547B59"/>
    <w:rsid w:val="00547E58"/>
    <w:rsid w:val="00550288"/>
    <w:rsid w:val="005517D2"/>
    <w:rsid w:val="00551840"/>
    <w:rsid w:val="005523C9"/>
    <w:rsid w:val="00552767"/>
    <w:rsid w:val="005529F1"/>
    <w:rsid w:val="00552DD1"/>
    <w:rsid w:val="00553279"/>
    <w:rsid w:val="0055332C"/>
    <w:rsid w:val="005536CF"/>
    <w:rsid w:val="0055394B"/>
    <w:rsid w:val="00553FA6"/>
    <w:rsid w:val="0055413D"/>
    <w:rsid w:val="005544B3"/>
    <w:rsid w:val="00554E40"/>
    <w:rsid w:val="00554F97"/>
    <w:rsid w:val="005554C2"/>
    <w:rsid w:val="00555ED2"/>
    <w:rsid w:val="00556C0A"/>
    <w:rsid w:val="0055775F"/>
    <w:rsid w:val="00562AE4"/>
    <w:rsid w:val="00564B27"/>
    <w:rsid w:val="00564C9B"/>
    <w:rsid w:val="00564DE4"/>
    <w:rsid w:val="00564FA7"/>
    <w:rsid w:val="00565386"/>
    <w:rsid w:val="00565A20"/>
    <w:rsid w:val="0056691D"/>
    <w:rsid w:val="005679D6"/>
    <w:rsid w:val="00567D22"/>
    <w:rsid w:val="00567FC1"/>
    <w:rsid w:val="00570A13"/>
    <w:rsid w:val="005710C0"/>
    <w:rsid w:val="00572297"/>
    <w:rsid w:val="00572482"/>
    <w:rsid w:val="00572C96"/>
    <w:rsid w:val="005730AB"/>
    <w:rsid w:val="005730C8"/>
    <w:rsid w:val="00573774"/>
    <w:rsid w:val="00573EAB"/>
    <w:rsid w:val="005748E5"/>
    <w:rsid w:val="0057515A"/>
    <w:rsid w:val="00575BC1"/>
    <w:rsid w:val="00576B32"/>
    <w:rsid w:val="0058007A"/>
    <w:rsid w:val="00582E34"/>
    <w:rsid w:val="005830F2"/>
    <w:rsid w:val="005843CD"/>
    <w:rsid w:val="00585ABE"/>
    <w:rsid w:val="00585DEE"/>
    <w:rsid w:val="00586239"/>
    <w:rsid w:val="0058649D"/>
    <w:rsid w:val="005868D0"/>
    <w:rsid w:val="005875DB"/>
    <w:rsid w:val="00587993"/>
    <w:rsid w:val="00587B01"/>
    <w:rsid w:val="0059095A"/>
    <w:rsid w:val="00590BA5"/>
    <w:rsid w:val="00590F0B"/>
    <w:rsid w:val="005914A0"/>
    <w:rsid w:val="00591C47"/>
    <w:rsid w:val="005923EC"/>
    <w:rsid w:val="005928C5"/>
    <w:rsid w:val="00593297"/>
    <w:rsid w:val="00594879"/>
    <w:rsid w:val="00595AB2"/>
    <w:rsid w:val="00596854"/>
    <w:rsid w:val="00597A30"/>
    <w:rsid w:val="00597A74"/>
    <w:rsid w:val="00597E5D"/>
    <w:rsid w:val="00597FA3"/>
    <w:rsid w:val="005A0129"/>
    <w:rsid w:val="005A0EFB"/>
    <w:rsid w:val="005A1885"/>
    <w:rsid w:val="005A21BC"/>
    <w:rsid w:val="005A2571"/>
    <w:rsid w:val="005A3963"/>
    <w:rsid w:val="005A4CCA"/>
    <w:rsid w:val="005A5C9B"/>
    <w:rsid w:val="005A6AE8"/>
    <w:rsid w:val="005A72D7"/>
    <w:rsid w:val="005A73B5"/>
    <w:rsid w:val="005A7911"/>
    <w:rsid w:val="005A7BE4"/>
    <w:rsid w:val="005B0468"/>
    <w:rsid w:val="005B0BCF"/>
    <w:rsid w:val="005B1C5D"/>
    <w:rsid w:val="005B32E1"/>
    <w:rsid w:val="005B3653"/>
    <w:rsid w:val="005B372F"/>
    <w:rsid w:val="005B4024"/>
    <w:rsid w:val="005B4374"/>
    <w:rsid w:val="005B4559"/>
    <w:rsid w:val="005B4689"/>
    <w:rsid w:val="005B54E9"/>
    <w:rsid w:val="005B5773"/>
    <w:rsid w:val="005B77C7"/>
    <w:rsid w:val="005B79D1"/>
    <w:rsid w:val="005B7BF4"/>
    <w:rsid w:val="005C0F0A"/>
    <w:rsid w:val="005C2439"/>
    <w:rsid w:val="005C2746"/>
    <w:rsid w:val="005C2B9F"/>
    <w:rsid w:val="005C3FEE"/>
    <w:rsid w:val="005C4796"/>
    <w:rsid w:val="005C4E3B"/>
    <w:rsid w:val="005C5AE4"/>
    <w:rsid w:val="005C5C59"/>
    <w:rsid w:val="005C73FB"/>
    <w:rsid w:val="005C7C55"/>
    <w:rsid w:val="005D0A1C"/>
    <w:rsid w:val="005D114B"/>
    <w:rsid w:val="005D2250"/>
    <w:rsid w:val="005D30DB"/>
    <w:rsid w:val="005D3712"/>
    <w:rsid w:val="005D4951"/>
    <w:rsid w:val="005D6209"/>
    <w:rsid w:val="005D6312"/>
    <w:rsid w:val="005D707E"/>
    <w:rsid w:val="005D7867"/>
    <w:rsid w:val="005D7EEA"/>
    <w:rsid w:val="005E0989"/>
    <w:rsid w:val="005E0A3F"/>
    <w:rsid w:val="005E0F68"/>
    <w:rsid w:val="005E0FB0"/>
    <w:rsid w:val="005E12E0"/>
    <w:rsid w:val="005E1717"/>
    <w:rsid w:val="005E1A9F"/>
    <w:rsid w:val="005E2907"/>
    <w:rsid w:val="005E3375"/>
    <w:rsid w:val="005E3957"/>
    <w:rsid w:val="005E50DF"/>
    <w:rsid w:val="005E53B2"/>
    <w:rsid w:val="005E5D7B"/>
    <w:rsid w:val="005E6143"/>
    <w:rsid w:val="005E618A"/>
    <w:rsid w:val="005E6F26"/>
    <w:rsid w:val="005E7E1E"/>
    <w:rsid w:val="005F1247"/>
    <w:rsid w:val="005F32FC"/>
    <w:rsid w:val="005F374A"/>
    <w:rsid w:val="005F3C83"/>
    <w:rsid w:val="005F4066"/>
    <w:rsid w:val="005F5068"/>
    <w:rsid w:val="005F585D"/>
    <w:rsid w:val="005F6133"/>
    <w:rsid w:val="005F661F"/>
    <w:rsid w:val="005F6E29"/>
    <w:rsid w:val="005F7245"/>
    <w:rsid w:val="005F770F"/>
    <w:rsid w:val="006006E5"/>
    <w:rsid w:val="00600C91"/>
    <w:rsid w:val="00601B4A"/>
    <w:rsid w:val="00601C6D"/>
    <w:rsid w:val="00601E59"/>
    <w:rsid w:val="006029EF"/>
    <w:rsid w:val="006031AD"/>
    <w:rsid w:val="00603C32"/>
    <w:rsid w:val="006040AB"/>
    <w:rsid w:val="00604699"/>
    <w:rsid w:val="00605D5C"/>
    <w:rsid w:val="00606840"/>
    <w:rsid w:val="006073CE"/>
    <w:rsid w:val="0060764B"/>
    <w:rsid w:val="00607658"/>
    <w:rsid w:val="00610BF6"/>
    <w:rsid w:val="00610E61"/>
    <w:rsid w:val="00611140"/>
    <w:rsid w:val="006114AE"/>
    <w:rsid w:val="006124DD"/>
    <w:rsid w:val="006127AB"/>
    <w:rsid w:val="0061290D"/>
    <w:rsid w:val="00612DE7"/>
    <w:rsid w:val="006130EE"/>
    <w:rsid w:val="006131CE"/>
    <w:rsid w:val="006138C0"/>
    <w:rsid w:val="0061441E"/>
    <w:rsid w:val="006147E5"/>
    <w:rsid w:val="006149DB"/>
    <w:rsid w:val="00615836"/>
    <w:rsid w:val="00615D2C"/>
    <w:rsid w:val="00616104"/>
    <w:rsid w:val="00616AAF"/>
    <w:rsid w:val="006173C1"/>
    <w:rsid w:val="006176D9"/>
    <w:rsid w:val="00617B03"/>
    <w:rsid w:val="00620605"/>
    <w:rsid w:val="00621247"/>
    <w:rsid w:val="006226A2"/>
    <w:rsid w:val="00622E44"/>
    <w:rsid w:val="00623C52"/>
    <w:rsid w:val="00624692"/>
    <w:rsid w:val="00624A65"/>
    <w:rsid w:val="00625445"/>
    <w:rsid w:val="0062612B"/>
    <w:rsid w:val="006311F1"/>
    <w:rsid w:val="0063209E"/>
    <w:rsid w:val="006320EC"/>
    <w:rsid w:val="006326C5"/>
    <w:rsid w:val="00632AF3"/>
    <w:rsid w:val="00633754"/>
    <w:rsid w:val="0063405A"/>
    <w:rsid w:val="00635AD4"/>
    <w:rsid w:val="00636CD7"/>
    <w:rsid w:val="00636CE4"/>
    <w:rsid w:val="0063794E"/>
    <w:rsid w:val="00640454"/>
    <w:rsid w:val="00641023"/>
    <w:rsid w:val="00641482"/>
    <w:rsid w:val="0064274E"/>
    <w:rsid w:val="00642AF6"/>
    <w:rsid w:val="0064302D"/>
    <w:rsid w:val="006438FE"/>
    <w:rsid w:val="006459AD"/>
    <w:rsid w:val="006464AC"/>
    <w:rsid w:val="006469C2"/>
    <w:rsid w:val="00646A3A"/>
    <w:rsid w:val="00646F69"/>
    <w:rsid w:val="00647013"/>
    <w:rsid w:val="00647C7E"/>
    <w:rsid w:val="006502ED"/>
    <w:rsid w:val="006512F0"/>
    <w:rsid w:val="0065135E"/>
    <w:rsid w:val="00651ADF"/>
    <w:rsid w:val="00652861"/>
    <w:rsid w:val="00652B05"/>
    <w:rsid w:val="00652BF0"/>
    <w:rsid w:val="00652F60"/>
    <w:rsid w:val="00653F1C"/>
    <w:rsid w:val="0065423E"/>
    <w:rsid w:val="0065486D"/>
    <w:rsid w:val="00654CF7"/>
    <w:rsid w:val="00654D82"/>
    <w:rsid w:val="00656AE0"/>
    <w:rsid w:val="00656DBF"/>
    <w:rsid w:val="00657160"/>
    <w:rsid w:val="006573F5"/>
    <w:rsid w:val="006577FA"/>
    <w:rsid w:val="00660629"/>
    <w:rsid w:val="00660C93"/>
    <w:rsid w:val="00661B4C"/>
    <w:rsid w:val="00662282"/>
    <w:rsid w:val="006629AB"/>
    <w:rsid w:val="0066339D"/>
    <w:rsid w:val="00664474"/>
    <w:rsid w:val="00664D95"/>
    <w:rsid w:val="00664FC5"/>
    <w:rsid w:val="00666DDF"/>
    <w:rsid w:val="006673D9"/>
    <w:rsid w:val="00667D51"/>
    <w:rsid w:val="00670491"/>
    <w:rsid w:val="00670F08"/>
    <w:rsid w:val="00671112"/>
    <w:rsid w:val="00671274"/>
    <w:rsid w:val="006714CE"/>
    <w:rsid w:val="00672021"/>
    <w:rsid w:val="00672626"/>
    <w:rsid w:val="00672876"/>
    <w:rsid w:val="00672DD5"/>
    <w:rsid w:val="00672F78"/>
    <w:rsid w:val="006734BE"/>
    <w:rsid w:val="00673D32"/>
    <w:rsid w:val="006760DF"/>
    <w:rsid w:val="0067611A"/>
    <w:rsid w:val="0067642C"/>
    <w:rsid w:val="00676A74"/>
    <w:rsid w:val="00676B58"/>
    <w:rsid w:val="00676D5D"/>
    <w:rsid w:val="00680148"/>
    <w:rsid w:val="00680F5B"/>
    <w:rsid w:val="00682164"/>
    <w:rsid w:val="00682FA5"/>
    <w:rsid w:val="0068316A"/>
    <w:rsid w:val="006834D8"/>
    <w:rsid w:val="00683CCE"/>
    <w:rsid w:val="00683DEA"/>
    <w:rsid w:val="00683F05"/>
    <w:rsid w:val="006843EE"/>
    <w:rsid w:val="00684B43"/>
    <w:rsid w:val="00684D70"/>
    <w:rsid w:val="006858F0"/>
    <w:rsid w:val="00685937"/>
    <w:rsid w:val="0068612F"/>
    <w:rsid w:val="00687B93"/>
    <w:rsid w:val="00687E4C"/>
    <w:rsid w:val="00690A36"/>
    <w:rsid w:val="00690C85"/>
    <w:rsid w:val="006914E7"/>
    <w:rsid w:val="006916AA"/>
    <w:rsid w:val="00691D6E"/>
    <w:rsid w:val="00692436"/>
    <w:rsid w:val="00692D16"/>
    <w:rsid w:val="00692FF7"/>
    <w:rsid w:val="006930BD"/>
    <w:rsid w:val="0069324C"/>
    <w:rsid w:val="0069509B"/>
    <w:rsid w:val="006951E2"/>
    <w:rsid w:val="006960FC"/>
    <w:rsid w:val="006964C6"/>
    <w:rsid w:val="00696852"/>
    <w:rsid w:val="006978ED"/>
    <w:rsid w:val="00697AF3"/>
    <w:rsid w:val="006A015F"/>
    <w:rsid w:val="006A184C"/>
    <w:rsid w:val="006A3481"/>
    <w:rsid w:val="006A433E"/>
    <w:rsid w:val="006A4F97"/>
    <w:rsid w:val="006A6E5D"/>
    <w:rsid w:val="006B1158"/>
    <w:rsid w:val="006B4618"/>
    <w:rsid w:val="006B4F01"/>
    <w:rsid w:val="006B58A1"/>
    <w:rsid w:val="006B7867"/>
    <w:rsid w:val="006C0638"/>
    <w:rsid w:val="006C09E4"/>
    <w:rsid w:val="006C102B"/>
    <w:rsid w:val="006C1144"/>
    <w:rsid w:val="006C16F4"/>
    <w:rsid w:val="006C1B63"/>
    <w:rsid w:val="006C1F97"/>
    <w:rsid w:val="006C2872"/>
    <w:rsid w:val="006C3DDE"/>
    <w:rsid w:val="006C783F"/>
    <w:rsid w:val="006C7A48"/>
    <w:rsid w:val="006C7E40"/>
    <w:rsid w:val="006D05DB"/>
    <w:rsid w:val="006D179A"/>
    <w:rsid w:val="006D21E9"/>
    <w:rsid w:val="006D22F6"/>
    <w:rsid w:val="006D311A"/>
    <w:rsid w:val="006D3A1F"/>
    <w:rsid w:val="006D4403"/>
    <w:rsid w:val="006D4720"/>
    <w:rsid w:val="006D4DF2"/>
    <w:rsid w:val="006D5019"/>
    <w:rsid w:val="006D501E"/>
    <w:rsid w:val="006D5274"/>
    <w:rsid w:val="006D5B26"/>
    <w:rsid w:val="006D6D49"/>
    <w:rsid w:val="006D6DB7"/>
    <w:rsid w:val="006D70E0"/>
    <w:rsid w:val="006E0F71"/>
    <w:rsid w:val="006E13AE"/>
    <w:rsid w:val="006E3498"/>
    <w:rsid w:val="006E3D8A"/>
    <w:rsid w:val="006E4199"/>
    <w:rsid w:val="006E43F6"/>
    <w:rsid w:val="006E450A"/>
    <w:rsid w:val="006E4E3E"/>
    <w:rsid w:val="006E532B"/>
    <w:rsid w:val="006E5464"/>
    <w:rsid w:val="006E5EE8"/>
    <w:rsid w:val="006E718A"/>
    <w:rsid w:val="006E71F1"/>
    <w:rsid w:val="006E78A2"/>
    <w:rsid w:val="006E7D1E"/>
    <w:rsid w:val="006F0B1D"/>
    <w:rsid w:val="006F195F"/>
    <w:rsid w:val="006F1CEE"/>
    <w:rsid w:val="006F1F96"/>
    <w:rsid w:val="006F2870"/>
    <w:rsid w:val="006F28CA"/>
    <w:rsid w:val="006F2DD0"/>
    <w:rsid w:val="006F3AED"/>
    <w:rsid w:val="006F5A43"/>
    <w:rsid w:val="006F618D"/>
    <w:rsid w:val="006F61DF"/>
    <w:rsid w:val="006F67AF"/>
    <w:rsid w:val="006F70EF"/>
    <w:rsid w:val="007014EC"/>
    <w:rsid w:val="007019F6"/>
    <w:rsid w:val="00703521"/>
    <w:rsid w:val="00704407"/>
    <w:rsid w:val="00704FF7"/>
    <w:rsid w:val="00705B86"/>
    <w:rsid w:val="00705E27"/>
    <w:rsid w:val="00705F5D"/>
    <w:rsid w:val="007103DD"/>
    <w:rsid w:val="007107DF"/>
    <w:rsid w:val="007108F1"/>
    <w:rsid w:val="00710FA6"/>
    <w:rsid w:val="00710FBC"/>
    <w:rsid w:val="00711275"/>
    <w:rsid w:val="007125DE"/>
    <w:rsid w:val="00713A52"/>
    <w:rsid w:val="00713ED4"/>
    <w:rsid w:val="00713EF8"/>
    <w:rsid w:val="00714741"/>
    <w:rsid w:val="00714C37"/>
    <w:rsid w:val="00714C8E"/>
    <w:rsid w:val="007156A6"/>
    <w:rsid w:val="0071574D"/>
    <w:rsid w:val="0071747F"/>
    <w:rsid w:val="00717754"/>
    <w:rsid w:val="00717B7A"/>
    <w:rsid w:val="00720BDD"/>
    <w:rsid w:val="0072101F"/>
    <w:rsid w:val="007212CB"/>
    <w:rsid w:val="0072166A"/>
    <w:rsid w:val="00721EE9"/>
    <w:rsid w:val="0072369E"/>
    <w:rsid w:val="007243FC"/>
    <w:rsid w:val="00724512"/>
    <w:rsid w:val="00724E80"/>
    <w:rsid w:val="00724F48"/>
    <w:rsid w:val="00725400"/>
    <w:rsid w:val="0072742F"/>
    <w:rsid w:val="0073154D"/>
    <w:rsid w:val="00731913"/>
    <w:rsid w:val="007321D1"/>
    <w:rsid w:val="0073226A"/>
    <w:rsid w:val="007326BB"/>
    <w:rsid w:val="00732B3D"/>
    <w:rsid w:val="0073326B"/>
    <w:rsid w:val="007337E1"/>
    <w:rsid w:val="00733FA3"/>
    <w:rsid w:val="00736743"/>
    <w:rsid w:val="007373FD"/>
    <w:rsid w:val="00737A7A"/>
    <w:rsid w:val="00737FE5"/>
    <w:rsid w:val="007401D9"/>
    <w:rsid w:val="00740460"/>
    <w:rsid w:val="0074051D"/>
    <w:rsid w:val="00741B45"/>
    <w:rsid w:val="00741E2F"/>
    <w:rsid w:val="00741EC9"/>
    <w:rsid w:val="0074246F"/>
    <w:rsid w:val="007429ED"/>
    <w:rsid w:val="00743DC3"/>
    <w:rsid w:val="00743F94"/>
    <w:rsid w:val="007450A7"/>
    <w:rsid w:val="00745692"/>
    <w:rsid w:val="007464FB"/>
    <w:rsid w:val="00747741"/>
    <w:rsid w:val="00750C6B"/>
    <w:rsid w:val="00752066"/>
    <w:rsid w:val="00753B48"/>
    <w:rsid w:val="00753EB2"/>
    <w:rsid w:val="0075428E"/>
    <w:rsid w:val="00754D0A"/>
    <w:rsid w:val="0075719C"/>
    <w:rsid w:val="007577CE"/>
    <w:rsid w:val="007579E1"/>
    <w:rsid w:val="00757B91"/>
    <w:rsid w:val="007607CE"/>
    <w:rsid w:val="00760AD3"/>
    <w:rsid w:val="00760DF0"/>
    <w:rsid w:val="00760F06"/>
    <w:rsid w:val="0076186B"/>
    <w:rsid w:val="00761E0D"/>
    <w:rsid w:val="00762133"/>
    <w:rsid w:val="0076230C"/>
    <w:rsid w:val="00762DD6"/>
    <w:rsid w:val="00763648"/>
    <w:rsid w:val="00763A62"/>
    <w:rsid w:val="007640A5"/>
    <w:rsid w:val="007648E6"/>
    <w:rsid w:val="00765995"/>
    <w:rsid w:val="00765E01"/>
    <w:rsid w:val="00765E98"/>
    <w:rsid w:val="00766416"/>
    <w:rsid w:val="00766422"/>
    <w:rsid w:val="00766B23"/>
    <w:rsid w:val="00766CA5"/>
    <w:rsid w:val="00767D7B"/>
    <w:rsid w:val="0077045B"/>
    <w:rsid w:val="00770887"/>
    <w:rsid w:val="007708DC"/>
    <w:rsid w:val="007727F1"/>
    <w:rsid w:val="00772CAA"/>
    <w:rsid w:val="007730CC"/>
    <w:rsid w:val="00774716"/>
    <w:rsid w:val="0077484D"/>
    <w:rsid w:val="007752F8"/>
    <w:rsid w:val="00775AF6"/>
    <w:rsid w:val="00776409"/>
    <w:rsid w:val="007766A4"/>
    <w:rsid w:val="00776784"/>
    <w:rsid w:val="007767C5"/>
    <w:rsid w:val="0077785A"/>
    <w:rsid w:val="00777E17"/>
    <w:rsid w:val="00780319"/>
    <w:rsid w:val="00780ABC"/>
    <w:rsid w:val="007815EB"/>
    <w:rsid w:val="00781659"/>
    <w:rsid w:val="0078251F"/>
    <w:rsid w:val="00783029"/>
    <w:rsid w:val="007830F5"/>
    <w:rsid w:val="007841D6"/>
    <w:rsid w:val="00784D35"/>
    <w:rsid w:val="00784E3D"/>
    <w:rsid w:val="007866E5"/>
    <w:rsid w:val="00790C39"/>
    <w:rsid w:val="0079130C"/>
    <w:rsid w:val="007919BA"/>
    <w:rsid w:val="00792348"/>
    <w:rsid w:val="00793281"/>
    <w:rsid w:val="007950CE"/>
    <w:rsid w:val="0079645D"/>
    <w:rsid w:val="00796C8D"/>
    <w:rsid w:val="007977B0"/>
    <w:rsid w:val="00797848"/>
    <w:rsid w:val="00797A1F"/>
    <w:rsid w:val="007A10A3"/>
    <w:rsid w:val="007A126F"/>
    <w:rsid w:val="007A12F9"/>
    <w:rsid w:val="007A1642"/>
    <w:rsid w:val="007A2B3E"/>
    <w:rsid w:val="007A3376"/>
    <w:rsid w:val="007A34B2"/>
    <w:rsid w:val="007A4208"/>
    <w:rsid w:val="007A4EC2"/>
    <w:rsid w:val="007A50B2"/>
    <w:rsid w:val="007A62E3"/>
    <w:rsid w:val="007A6B37"/>
    <w:rsid w:val="007A7191"/>
    <w:rsid w:val="007A7314"/>
    <w:rsid w:val="007B008F"/>
    <w:rsid w:val="007B04F5"/>
    <w:rsid w:val="007B3315"/>
    <w:rsid w:val="007B3549"/>
    <w:rsid w:val="007B4A82"/>
    <w:rsid w:val="007B52A7"/>
    <w:rsid w:val="007B7198"/>
    <w:rsid w:val="007B7497"/>
    <w:rsid w:val="007C1790"/>
    <w:rsid w:val="007C18CB"/>
    <w:rsid w:val="007C2392"/>
    <w:rsid w:val="007C24EE"/>
    <w:rsid w:val="007C2A25"/>
    <w:rsid w:val="007C3B8A"/>
    <w:rsid w:val="007C5910"/>
    <w:rsid w:val="007C5951"/>
    <w:rsid w:val="007C6DCF"/>
    <w:rsid w:val="007C6E65"/>
    <w:rsid w:val="007C7BB9"/>
    <w:rsid w:val="007C7C33"/>
    <w:rsid w:val="007C7F1F"/>
    <w:rsid w:val="007D0044"/>
    <w:rsid w:val="007D06F4"/>
    <w:rsid w:val="007D2455"/>
    <w:rsid w:val="007D32B4"/>
    <w:rsid w:val="007D3AF7"/>
    <w:rsid w:val="007D434E"/>
    <w:rsid w:val="007D4BA8"/>
    <w:rsid w:val="007D4C28"/>
    <w:rsid w:val="007D4DEE"/>
    <w:rsid w:val="007D569F"/>
    <w:rsid w:val="007D5B05"/>
    <w:rsid w:val="007D716C"/>
    <w:rsid w:val="007D79D5"/>
    <w:rsid w:val="007E00E9"/>
    <w:rsid w:val="007E0F97"/>
    <w:rsid w:val="007E100E"/>
    <w:rsid w:val="007E127A"/>
    <w:rsid w:val="007E1753"/>
    <w:rsid w:val="007E1904"/>
    <w:rsid w:val="007E1F9F"/>
    <w:rsid w:val="007E2108"/>
    <w:rsid w:val="007E28C4"/>
    <w:rsid w:val="007E301B"/>
    <w:rsid w:val="007E323F"/>
    <w:rsid w:val="007E376B"/>
    <w:rsid w:val="007E3A9E"/>
    <w:rsid w:val="007E3CBB"/>
    <w:rsid w:val="007E413C"/>
    <w:rsid w:val="007E41FB"/>
    <w:rsid w:val="007E4CC0"/>
    <w:rsid w:val="007E4DD3"/>
    <w:rsid w:val="007E786E"/>
    <w:rsid w:val="007F07F3"/>
    <w:rsid w:val="007F1203"/>
    <w:rsid w:val="007F2625"/>
    <w:rsid w:val="007F35DF"/>
    <w:rsid w:val="007F406A"/>
    <w:rsid w:val="007F45BC"/>
    <w:rsid w:val="007F54DE"/>
    <w:rsid w:val="007F65F9"/>
    <w:rsid w:val="007F65FF"/>
    <w:rsid w:val="007F68B7"/>
    <w:rsid w:val="007F6C61"/>
    <w:rsid w:val="00801265"/>
    <w:rsid w:val="00801843"/>
    <w:rsid w:val="008024AE"/>
    <w:rsid w:val="0080396D"/>
    <w:rsid w:val="00803F6D"/>
    <w:rsid w:val="00803F9C"/>
    <w:rsid w:val="00805103"/>
    <w:rsid w:val="00805E97"/>
    <w:rsid w:val="00806131"/>
    <w:rsid w:val="008069A6"/>
    <w:rsid w:val="00807560"/>
    <w:rsid w:val="00810653"/>
    <w:rsid w:val="00810935"/>
    <w:rsid w:val="00810D7B"/>
    <w:rsid w:val="00810E3C"/>
    <w:rsid w:val="00812597"/>
    <w:rsid w:val="008138E4"/>
    <w:rsid w:val="00813BBB"/>
    <w:rsid w:val="00815198"/>
    <w:rsid w:val="00815CEC"/>
    <w:rsid w:val="00816D7C"/>
    <w:rsid w:val="00817036"/>
    <w:rsid w:val="00817C76"/>
    <w:rsid w:val="0082004A"/>
    <w:rsid w:val="008202F3"/>
    <w:rsid w:val="0082037E"/>
    <w:rsid w:val="0082079C"/>
    <w:rsid w:val="00820BE6"/>
    <w:rsid w:val="008210D3"/>
    <w:rsid w:val="008213AF"/>
    <w:rsid w:val="00821444"/>
    <w:rsid w:val="008215B9"/>
    <w:rsid w:val="00821747"/>
    <w:rsid w:val="00821B89"/>
    <w:rsid w:val="0082235A"/>
    <w:rsid w:val="00823976"/>
    <w:rsid w:val="00823C82"/>
    <w:rsid w:val="00823F07"/>
    <w:rsid w:val="008241D8"/>
    <w:rsid w:val="0082454A"/>
    <w:rsid w:val="00830423"/>
    <w:rsid w:val="008306CF"/>
    <w:rsid w:val="0083082F"/>
    <w:rsid w:val="008314D1"/>
    <w:rsid w:val="0083168F"/>
    <w:rsid w:val="00831EED"/>
    <w:rsid w:val="00832056"/>
    <w:rsid w:val="008326E7"/>
    <w:rsid w:val="008328E3"/>
    <w:rsid w:val="00834BCD"/>
    <w:rsid w:val="00834FB3"/>
    <w:rsid w:val="008354B6"/>
    <w:rsid w:val="00835CC8"/>
    <w:rsid w:val="00835DBD"/>
    <w:rsid w:val="008360FD"/>
    <w:rsid w:val="00836272"/>
    <w:rsid w:val="00836D0F"/>
    <w:rsid w:val="008374FC"/>
    <w:rsid w:val="00837BEB"/>
    <w:rsid w:val="00840198"/>
    <w:rsid w:val="00840441"/>
    <w:rsid w:val="00840BC5"/>
    <w:rsid w:val="00841150"/>
    <w:rsid w:val="00842ECE"/>
    <w:rsid w:val="00843CBA"/>
    <w:rsid w:val="00843EAC"/>
    <w:rsid w:val="008442D2"/>
    <w:rsid w:val="00844697"/>
    <w:rsid w:val="00844985"/>
    <w:rsid w:val="00844E9A"/>
    <w:rsid w:val="0084568A"/>
    <w:rsid w:val="00845BDB"/>
    <w:rsid w:val="008461C8"/>
    <w:rsid w:val="00846F2F"/>
    <w:rsid w:val="00847E54"/>
    <w:rsid w:val="00850E23"/>
    <w:rsid w:val="008519BC"/>
    <w:rsid w:val="00852638"/>
    <w:rsid w:val="00852F05"/>
    <w:rsid w:val="00853329"/>
    <w:rsid w:val="00853509"/>
    <w:rsid w:val="00853AF2"/>
    <w:rsid w:val="0085437C"/>
    <w:rsid w:val="0085580B"/>
    <w:rsid w:val="00855C1C"/>
    <w:rsid w:val="00856595"/>
    <w:rsid w:val="00860156"/>
    <w:rsid w:val="00860F01"/>
    <w:rsid w:val="00860F36"/>
    <w:rsid w:val="008625C0"/>
    <w:rsid w:val="00863FA2"/>
    <w:rsid w:val="00864BAC"/>
    <w:rsid w:val="00865223"/>
    <w:rsid w:val="00865264"/>
    <w:rsid w:val="0086592B"/>
    <w:rsid w:val="00866142"/>
    <w:rsid w:val="00866972"/>
    <w:rsid w:val="00867198"/>
    <w:rsid w:val="0086751D"/>
    <w:rsid w:val="00867903"/>
    <w:rsid w:val="00867EE1"/>
    <w:rsid w:val="00870084"/>
    <w:rsid w:val="00870888"/>
    <w:rsid w:val="0087193A"/>
    <w:rsid w:val="00871B9F"/>
    <w:rsid w:val="008722DD"/>
    <w:rsid w:val="008734C1"/>
    <w:rsid w:val="00874B1E"/>
    <w:rsid w:val="00874BAA"/>
    <w:rsid w:val="00875CB8"/>
    <w:rsid w:val="00876987"/>
    <w:rsid w:val="008777AC"/>
    <w:rsid w:val="00877A4E"/>
    <w:rsid w:val="00880721"/>
    <w:rsid w:val="00880CE6"/>
    <w:rsid w:val="00881DA0"/>
    <w:rsid w:val="00882DCD"/>
    <w:rsid w:val="00883399"/>
    <w:rsid w:val="00883A3D"/>
    <w:rsid w:val="00884394"/>
    <w:rsid w:val="00885C38"/>
    <w:rsid w:val="00886D08"/>
    <w:rsid w:val="00887157"/>
    <w:rsid w:val="00887FDF"/>
    <w:rsid w:val="00891B29"/>
    <w:rsid w:val="0089296D"/>
    <w:rsid w:val="008930F0"/>
    <w:rsid w:val="00893D2C"/>
    <w:rsid w:val="00893F6D"/>
    <w:rsid w:val="008947AD"/>
    <w:rsid w:val="00896D37"/>
    <w:rsid w:val="00897432"/>
    <w:rsid w:val="008A1FA2"/>
    <w:rsid w:val="008A3859"/>
    <w:rsid w:val="008A443A"/>
    <w:rsid w:val="008A4C9D"/>
    <w:rsid w:val="008A4FD2"/>
    <w:rsid w:val="008A50AB"/>
    <w:rsid w:val="008A5DC0"/>
    <w:rsid w:val="008A680B"/>
    <w:rsid w:val="008A7090"/>
    <w:rsid w:val="008B0629"/>
    <w:rsid w:val="008B1242"/>
    <w:rsid w:val="008B19FD"/>
    <w:rsid w:val="008B21AD"/>
    <w:rsid w:val="008B2795"/>
    <w:rsid w:val="008B2B3C"/>
    <w:rsid w:val="008B3C26"/>
    <w:rsid w:val="008B4705"/>
    <w:rsid w:val="008B5D4B"/>
    <w:rsid w:val="008B70EF"/>
    <w:rsid w:val="008C01D1"/>
    <w:rsid w:val="008C0A2D"/>
    <w:rsid w:val="008C298A"/>
    <w:rsid w:val="008C30EB"/>
    <w:rsid w:val="008C326F"/>
    <w:rsid w:val="008C34B2"/>
    <w:rsid w:val="008C3C39"/>
    <w:rsid w:val="008C541E"/>
    <w:rsid w:val="008C635B"/>
    <w:rsid w:val="008C6976"/>
    <w:rsid w:val="008C6B7D"/>
    <w:rsid w:val="008C7074"/>
    <w:rsid w:val="008C73F7"/>
    <w:rsid w:val="008C750D"/>
    <w:rsid w:val="008C7604"/>
    <w:rsid w:val="008D006B"/>
    <w:rsid w:val="008D0DFE"/>
    <w:rsid w:val="008D176B"/>
    <w:rsid w:val="008D1F29"/>
    <w:rsid w:val="008D2835"/>
    <w:rsid w:val="008D53C2"/>
    <w:rsid w:val="008D53D8"/>
    <w:rsid w:val="008D5C9C"/>
    <w:rsid w:val="008D60BA"/>
    <w:rsid w:val="008D653F"/>
    <w:rsid w:val="008D73C3"/>
    <w:rsid w:val="008D73D2"/>
    <w:rsid w:val="008D78AA"/>
    <w:rsid w:val="008E09C3"/>
    <w:rsid w:val="008E0ACA"/>
    <w:rsid w:val="008E13BD"/>
    <w:rsid w:val="008E182C"/>
    <w:rsid w:val="008E20FF"/>
    <w:rsid w:val="008E3521"/>
    <w:rsid w:val="008E3A2F"/>
    <w:rsid w:val="008E4C75"/>
    <w:rsid w:val="008E513C"/>
    <w:rsid w:val="008E56F4"/>
    <w:rsid w:val="008E7038"/>
    <w:rsid w:val="008F1D9B"/>
    <w:rsid w:val="008F1EA8"/>
    <w:rsid w:val="008F1EB5"/>
    <w:rsid w:val="008F209F"/>
    <w:rsid w:val="008F2B13"/>
    <w:rsid w:val="008F3684"/>
    <w:rsid w:val="008F4D07"/>
    <w:rsid w:val="008F57F6"/>
    <w:rsid w:val="008F5E15"/>
    <w:rsid w:val="008F62EF"/>
    <w:rsid w:val="008F6D8B"/>
    <w:rsid w:val="009006AA"/>
    <w:rsid w:val="009012FB"/>
    <w:rsid w:val="009020AD"/>
    <w:rsid w:val="0090215C"/>
    <w:rsid w:val="0090310A"/>
    <w:rsid w:val="009051FB"/>
    <w:rsid w:val="0090557C"/>
    <w:rsid w:val="0090641A"/>
    <w:rsid w:val="0090737E"/>
    <w:rsid w:val="00907E49"/>
    <w:rsid w:val="009108E1"/>
    <w:rsid w:val="00911411"/>
    <w:rsid w:val="00911B8C"/>
    <w:rsid w:val="00911DA0"/>
    <w:rsid w:val="0091226D"/>
    <w:rsid w:val="0091353B"/>
    <w:rsid w:val="00914399"/>
    <w:rsid w:val="0091562C"/>
    <w:rsid w:val="009160C9"/>
    <w:rsid w:val="0091667E"/>
    <w:rsid w:val="009167E2"/>
    <w:rsid w:val="0091680A"/>
    <w:rsid w:val="00917BC5"/>
    <w:rsid w:val="00921262"/>
    <w:rsid w:val="009223FB"/>
    <w:rsid w:val="00922FE6"/>
    <w:rsid w:val="009231A5"/>
    <w:rsid w:val="009240F6"/>
    <w:rsid w:val="0092429A"/>
    <w:rsid w:val="00924C97"/>
    <w:rsid w:val="00925C80"/>
    <w:rsid w:val="00926944"/>
    <w:rsid w:val="009269F4"/>
    <w:rsid w:val="009272C0"/>
    <w:rsid w:val="00927717"/>
    <w:rsid w:val="00927E90"/>
    <w:rsid w:val="0093004F"/>
    <w:rsid w:val="0093040B"/>
    <w:rsid w:val="00930DB4"/>
    <w:rsid w:val="00930E6C"/>
    <w:rsid w:val="0093211F"/>
    <w:rsid w:val="00932186"/>
    <w:rsid w:val="009325A8"/>
    <w:rsid w:val="0093296D"/>
    <w:rsid w:val="00933BBE"/>
    <w:rsid w:val="009343A4"/>
    <w:rsid w:val="00934F91"/>
    <w:rsid w:val="00935767"/>
    <w:rsid w:val="009366D4"/>
    <w:rsid w:val="009367C4"/>
    <w:rsid w:val="00937178"/>
    <w:rsid w:val="00937331"/>
    <w:rsid w:val="00937702"/>
    <w:rsid w:val="00937A89"/>
    <w:rsid w:val="00937F0C"/>
    <w:rsid w:val="00940328"/>
    <w:rsid w:val="00940EA8"/>
    <w:rsid w:val="00940FE5"/>
    <w:rsid w:val="00941E99"/>
    <w:rsid w:val="009420B2"/>
    <w:rsid w:val="009426F7"/>
    <w:rsid w:val="00944627"/>
    <w:rsid w:val="00944890"/>
    <w:rsid w:val="009448F8"/>
    <w:rsid w:val="00944B8F"/>
    <w:rsid w:val="00946883"/>
    <w:rsid w:val="009501B4"/>
    <w:rsid w:val="0095270C"/>
    <w:rsid w:val="00952D62"/>
    <w:rsid w:val="00953E5F"/>
    <w:rsid w:val="009544DF"/>
    <w:rsid w:val="00954CE2"/>
    <w:rsid w:val="009556AA"/>
    <w:rsid w:val="009557EA"/>
    <w:rsid w:val="00955A05"/>
    <w:rsid w:val="009567AC"/>
    <w:rsid w:val="00956E59"/>
    <w:rsid w:val="0096006A"/>
    <w:rsid w:val="009606FD"/>
    <w:rsid w:val="00960E05"/>
    <w:rsid w:val="00961073"/>
    <w:rsid w:val="00962004"/>
    <w:rsid w:val="00962749"/>
    <w:rsid w:val="00962F63"/>
    <w:rsid w:val="00962FD6"/>
    <w:rsid w:val="00963E5A"/>
    <w:rsid w:val="0096612D"/>
    <w:rsid w:val="009661FC"/>
    <w:rsid w:val="0096631B"/>
    <w:rsid w:val="00966977"/>
    <w:rsid w:val="00967BB9"/>
    <w:rsid w:val="00967E84"/>
    <w:rsid w:val="00970FB3"/>
    <w:rsid w:val="00971857"/>
    <w:rsid w:val="00971C40"/>
    <w:rsid w:val="0097264F"/>
    <w:rsid w:val="00973445"/>
    <w:rsid w:val="0097384D"/>
    <w:rsid w:val="009749AD"/>
    <w:rsid w:val="00975816"/>
    <w:rsid w:val="00976910"/>
    <w:rsid w:val="00976DCD"/>
    <w:rsid w:val="009772CA"/>
    <w:rsid w:val="009772D1"/>
    <w:rsid w:val="009810FB"/>
    <w:rsid w:val="00983265"/>
    <w:rsid w:val="00983505"/>
    <w:rsid w:val="00985622"/>
    <w:rsid w:val="00986786"/>
    <w:rsid w:val="00986FE2"/>
    <w:rsid w:val="009875A2"/>
    <w:rsid w:val="00987A25"/>
    <w:rsid w:val="00987A4B"/>
    <w:rsid w:val="00987CE4"/>
    <w:rsid w:val="00987D06"/>
    <w:rsid w:val="00987F6E"/>
    <w:rsid w:val="00990212"/>
    <w:rsid w:val="00990A2E"/>
    <w:rsid w:val="0099209A"/>
    <w:rsid w:val="009926DE"/>
    <w:rsid w:val="0099311B"/>
    <w:rsid w:val="00994293"/>
    <w:rsid w:val="009947C7"/>
    <w:rsid w:val="00995EA7"/>
    <w:rsid w:val="00996BA8"/>
    <w:rsid w:val="00996FC9"/>
    <w:rsid w:val="00997295"/>
    <w:rsid w:val="009973BB"/>
    <w:rsid w:val="009975EC"/>
    <w:rsid w:val="00997C45"/>
    <w:rsid w:val="009A067C"/>
    <w:rsid w:val="009A158A"/>
    <w:rsid w:val="009A2AD3"/>
    <w:rsid w:val="009A2D3C"/>
    <w:rsid w:val="009A38EA"/>
    <w:rsid w:val="009A3E8B"/>
    <w:rsid w:val="009A3FA1"/>
    <w:rsid w:val="009A4AC9"/>
    <w:rsid w:val="009A50B6"/>
    <w:rsid w:val="009A52F8"/>
    <w:rsid w:val="009A5BBF"/>
    <w:rsid w:val="009A6453"/>
    <w:rsid w:val="009A7350"/>
    <w:rsid w:val="009A7BBC"/>
    <w:rsid w:val="009B051D"/>
    <w:rsid w:val="009B0738"/>
    <w:rsid w:val="009B08E4"/>
    <w:rsid w:val="009B0977"/>
    <w:rsid w:val="009B1713"/>
    <w:rsid w:val="009B1E96"/>
    <w:rsid w:val="009B2E77"/>
    <w:rsid w:val="009B3F96"/>
    <w:rsid w:val="009B45A3"/>
    <w:rsid w:val="009B536C"/>
    <w:rsid w:val="009B62F2"/>
    <w:rsid w:val="009B6D9A"/>
    <w:rsid w:val="009B753E"/>
    <w:rsid w:val="009B78BC"/>
    <w:rsid w:val="009C24EB"/>
    <w:rsid w:val="009C2594"/>
    <w:rsid w:val="009C30A3"/>
    <w:rsid w:val="009C341D"/>
    <w:rsid w:val="009C3FD0"/>
    <w:rsid w:val="009C547C"/>
    <w:rsid w:val="009C6341"/>
    <w:rsid w:val="009C653D"/>
    <w:rsid w:val="009C721E"/>
    <w:rsid w:val="009C7B7E"/>
    <w:rsid w:val="009D06E2"/>
    <w:rsid w:val="009D0ADA"/>
    <w:rsid w:val="009D0CF2"/>
    <w:rsid w:val="009D1F8D"/>
    <w:rsid w:val="009D2C24"/>
    <w:rsid w:val="009D3E39"/>
    <w:rsid w:val="009D4399"/>
    <w:rsid w:val="009D4E74"/>
    <w:rsid w:val="009D4F20"/>
    <w:rsid w:val="009D4F9E"/>
    <w:rsid w:val="009D56E3"/>
    <w:rsid w:val="009D5B81"/>
    <w:rsid w:val="009D62F2"/>
    <w:rsid w:val="009E05D6"/>
    <w:rsid w:val="009E1E3D"/>
    <w:rsid w:val="009E202C"/>
    <w:rsid w:val="009E28B9"/>
    <w:rsid w:val="009E2E3B"/>
    <w:rsid w:val="009E3980"/>
    <w:rsid w:val="009E4599"/>
    <w:rsid w:val="009E5682"/>
    <w:rsid w:val="009E6012"/>
    <w:rsid w:val="009E7C7C"/>
    <w:rsid w:val="009E7EDD"/>
    <w:rsid w:val="009F0AA2"/>
    <w:rsid w:val="009F1983"/>
    <w:rsid w:val="009F23BD"/>
    <w:rsid w:val="009F28DA"/>
    <w:rsid w:val="009F2913"/>
    <w:rsid w:val="009F38CE"/>
    <w:rsid w:val="009F3C50"/>
    <w:rsid w:val="009F3FDB"/>
    <w:rsid w:val="009F425D"/>
    <w:rsid w:val="009F42B3"/>
    <w:rsid w:val="009F48AA"/>
    <w:rsid w:val="009F6253"/>
    <w:rsid w:val="009F6ACC"/>
    <w:rsid w:val="009F7087"/>
    <w:rsid w:val="009F7DA5"/>
    <w:rsid w:val="00A00672"/>
    <w:rsid w:val="00A01594"/>
    <w:rsid w:val="00A01B11"/>
    <w:rsid w:val="00A0283A"/>
    <w:rsid w:val="00A02887"/>
    <w:rsid w:val="00A02FCC"/>
    <w:rsid w:val="00A04F4B"/>
    <w:rsid w:val="00A04FFB"/>
    <w:rsid w:val="00A0695D"/>
    <w:rsid w:val="00A10AC7"/>
    <w:rsid w:val="00A10DA5"/>
    <w:rsid w:val="00A11319"/>
    <w:rsid w:val="00A12A2D"/>
    <w:rsid w:val="00A13915"/>
    <w:rsid w:val="00A13C4E"/>
    <w:rsid w:val="00A14560"/>
    <w:rsid w:val="00A14D7C"/>
    <w:rsid w:val="00A14E53"/>
    <w:rsid w:val="00A16B7B"/>
    <w:rsid w:val="00A178E7"/>
    <w:rsid w:val="00A17F7B"/>
    <w:rsid w:val="00A20195"/>
    <w:rsid w:val="00A20303"/>
    <w:rsid w:val="00A2032E"/>
    <w:rsid w:val="00A23F13"/>
    <w:rsid w:val="00A24643"/>
    <w:rsid w:val="00A249A0"/>
    <w:rsid w:val="00A249F7"/>
    <w:rsid w:val="00A24B24"/>
    <w:rsid w:val="00A24B51"/>
    <w:rsid w:val="00A24C80"/>
    <w:rsid w:val="00A24E4F"/>
    <w:rsid w:val="00A252C3"/>
    <w:rsid w:val="00A2728D"/>
    <w:rsid w:val="00A30EB9"/>
    <w:rsid w:val="00A32CAE"/>
    <w:rsid w:val="00A341C0"/>
    <w:rsid w:val="00A3523E"/>
    <w:rsid w:val="00A37C8C"/>
    <w:rsid w:val="00A37DB5"/>
    <w:rsid w:val="00A37E59"/>
    <w:rsid w:val="00A4079A"/>
    <w:rsid w:val="00A40A62"/>
    <w:rsid w:val="00A40C5B"/>
    <w:rsid w:val="00A40E17"/>
    <w:rsid w:val="00A415A9"/>
    <w:rsid w:val="00A41767"/>
    <w:rsid w:val="00A42538"/>
    <w:rsid w:val="00A43680"/>
    <w:rsid w:val="00A44286"/>
    <w:rsid w:val="00A446ED"/>
    <w:rsid w:val="00A44794"/>
    <w:rsid w:val="00A44E0A"/>
    <w:rsid w:val="00A44F16"/>
    <w:rsid w:val="00A4544B"/>
    <w:rsid w:val="00A45793"/>
    <w:rsid w:val="00A4612A"/>
    <w:rsid w:val="00A461A9"/>
    <w:rsid w:val="00A46541"/>
    <w:rsid w:val="00A473A0"/>
    <w:rsid w:val="00A47613"/>
    <w:rsid w:val="00A50017"/>
    <w:rsid w:val="00A5097F"/>
    <w:rsid w:val="00A50A2F"/>
    <w:rsid w:val="00A51A64"/>
    <w:rsid w:val="00A51A85"/>
    <w:rsid w:val="00A53E27"/>
    <w:rsid w:val="00A555A6"/>
    <w:rsid w:val="00A555DC"/>
    <w:rsid w:val="00A556DE"/>
    <w:rsid w:val="00A55DC7"/>
    <w:rsid w:val="00A57514"/>
    <w:rsid w:val="00A608D2"/>
    <w:rsid w:val="00A60A7C"/>
    <w:rsid w:val="00A63947"/>
    <w:rsid w:val="00A64063"/>
    <w:rsid w:val="00A64DD4"/>
    <w:rsid w:val="00A6526E"/>
    <w:rsid w:val="00A66962"/>
    <w:rsid w:val="00A70049"/>
    <w:rsid w:val="00A71831"/>
    <w:rsid w:val="00A72295"/>
    <w:rsid w:val="00A72310"/>
    <w:rsid w:val="00A72611"/>
    <w:rsid w:val="00A72FE5"/>
    <w:rsid w:val="00A73091"/>
    <w:rsid w:val="00A7328B"/>
    <w:rsid w:val="00A73DA1"/>
    <w:rsid w:val="00A73EF0"/>
    <w:rsid w:val="00A74112"/>
    <w:rsid w:val="00A74B3D"/>
    <w:rsid w:val="00A7504B"/>
    <w:rsid w:val="00A76160"/>
    <w:rsid w:val="00A77154"/>
    <w:rsid w:val="00A775F1"/>
    <w:rsid w:val="00A8034E"/>
    <w:rsid w:val="00A80774"/>
    <w:rsid w:val="00A81005"/>
    <w:rsid w:val="00A825FF"/>
    <w:rsid w:val="00A8294F"/>
    <w:rsid w:val="00A8297B"/>
    <w:rsid w:val="00A84E08"/>
    <w:rsid w:val="00A85602"/>
    <w:rsid w:val="00A85A19"/>
    <w:rsid w:val="00A90046"/>
    <w:rsid w:val="00A90A3E"/>
    <w:rsid w:val="00A9101B"/>
    <w:rsid w:val="00A91A56"/>
    <w:rsid w:val="00A91A5F"/>
    <w:rsid w:val="00A91FD2"/>
    <w:rsid w:val="00A93845"/>
    <w:rsid w:val="00A94ED5"/>
    <w:rsid w:val="00A953AC"/>
    <w:rsid w:val="00A95437"/>
    <w:rsid w:val="00A95523"/>
    <w:rsid w:val="00A968C9"/>
    <w:rsid w:val="00A977B0"/>
    <w:rsid w:val="00AA07C3"/>
    <w:rsid w:val="00AA0987"/>
    <w:rsid w:val="00AA1E72"/>
    <w:rsid w:val="00AA3595"/>
    <w:rsid w:val="00AA5177"/>
    <w:rsid w:val="00AA54D3"/>
    <w:rsid w:val="00AA7215"/>
    <w:rsid w:val="00AA7CAF"/>
    <w:rsid w:val="00AB0046"/>
    <w:rsid w:val="00AB1750"/>
    <w:rsid w:val="00AB1C75"/>
    <w:rsid w:val="00AB24F1"/>
    <w:rsid w:val="00AB365E"/>
    <w:rsid w:val="00AB443B"/>
    <w:rsid w:val="00AB44CD"/>
    <w:rsid w:val="00AB4667"/>
    <w:rsid w:val="00AB4E1B"/>
    <w:rsid w:val="00AB4EA7"/>
    <w:rsid w:val="00AB5AF3"/>
    <w:rsid w:val="00AB6B43"/>
    <w:rsid w:val="00AB6E51"/>
    <w:rsid w:val="00AB7A71"/>
    <w:rsid w:val="00AB7C65"/>
    <w:rsid w:val="00AC0A98"/>
    <w:rsid w:val="00AC1729"/>
    <w:rsid w:val="00AC2954"/>
    <w:rsid w:val="00AC2E5B"/>
    <w:rsid w:val="00AC3200"/>
    <w:rsid w:val="00AC3300"/>
    <w:rsid w:val="00AC41AA"/>
    <w:rsid w:val="00AC50F2"/>
    <w:rsid w:val="00AC6147"/>
    <w:rsid w:val="00AC6261"/>
    <w:rsid w:val="00AC63A4"/>
    <w:rsid w:val="00AC779C"/>
    <w:rsid w:val="00AD12AC"/>
    <w:rsid w:val="00AD1536"/>
    <w:rsid w:val="00AD1C9E"/>
    <w:rsid w:val="00AD27B4"/>
    <w:rsid w:val="00AD3A95"/>
    <w:rsid w:val="00AD3DB0"/>
    <w:rsid w:val="00AD4519"/>
    <w:rsid w:val="00AD584B"/>
    <w:rsid w:val="00AD5DC0"/>
    <w:rsid w:val="00AD5FD7"/>
    <w:rsid w:val="00AD63D3"/>
    <w:rsid w:val="00AD65BA"/>
    <w:rsid w:val="00AD6B5D"/>
    <w:rsid w:val="00AD7027"/>
    <w:rsid w:val="00AE120E"/>
    <w:rsid w:val="00AE17A1"/>
    <w:rsid w:val="00AE22BE"/>
    <w:rsid w:val="00AE5544"/>
    <w:rsid w:val="00AE6D16"/>
    <w:rsid w:val="00AE6E66"/>
    <w:rsid w:val="00AE70AA"/>
    <w:rsid w:val="00AE73F3"/>
    <w:rsid w:val="00AF0271"/>
    <w:rsid w:val="00AF099F"/>
    <w:rsid w:val="00AF1218"/>
    <w:rsid w:val="00AF12CD"/>
    <w:rsid w:val="00AF190A"/>
    <w:rsid w:val="00AF1BD5"/>
    <w:rsid w:val="00AF1CA0"/>
    <w:rsid w:val="00AF1E89"/>
    <w:rsid w:val="00AF1FFD"/>
    <w:rsid w:val="00AF205D"/>
    <w:rsid w:val="00AF242C"/>
    <w:rsid w:val="00AF3022"/>
    <w:rsid w:val="00AF4235"/>
    <w:rsid w:val="00AF5ED0"/>
    <w:rsid w:val="00AF7DE7"/>
    <w:rsid w:val="00B00085"/>
    <w:rsid w:val="00B00966"/>
    <w:rsid w:val="00B0247F"/>
    <w:rsid w:val="00B02A41"/>
    <w:rsid w:val="00B02B0D"/>
    <w:rsid w:val="00B03AF2"/>
    <w:rsid w:val="00B03D11"/>
    <w:rsid w:val="00B049D7"/>
    <w:rsid w:val="00B04A6B"/>
    <w:rsid w:val="00B04F49"/>
    <w:rsid w:val="00B05191"/>
    <w:rsid w:val="00B0527D"/>
    <w:rsid w:val="00B0532B"/>
    <w:rsid w:val="00B05EF9"/>
    <w:rsid w:val="00B06E02"/>
    <w:rsid w:val="00B07348"/>
    <w:rsid w:val="00B100AC"/>
    <w:rsid w:val="00B103A6"/>
    <w:rsid w:val="00B1053E"/>
    <w:rsid w:val="00B10A61"/>
    <w:rsid w:val="00B12935"/>
    <w:rsid w:val="00B129B7"/>
    <w:rsid w:val="00B12B2D"/>
    <w:rsid w:val="00B13721"/>
    <w:rsid w:val="00B16262"/>
    <w:rsid w:val="00B16A1D"/>
    <w:rsid w:val="00B170A3"/>
    <w:rsid w:val="00B17ADD"/>
    <w:rsid w:val="00B20173"/>
    <w:rsid w:val="00B201FA"/>
    <w:rsid w:val="00B20366"/>
    <w:rsid w:val="00B209F4"/>
    <w:rsid w:val="00B20BB9"/>
    <w:rsid w:val="00B20F01"/>
    <w:rsid w:val="00B2122C"/>
    <w:rsid w:val="00B22D04"/>
    <w:rsid w:val="00B23068"/>
    <w:rsid w:val="00B237FA"/>
    <w:rsid w:val="00B2387C"/>
    <w:rsid w:val="00B23FEF"/>
    <w:rsid w:val="00B24250"/>
    <w:rsid w:val="00B2429A"/>
    <w:rsid w:val="00B24950"/>
    <w:rsid w:val="00B24D9B"/>
    <w:rsid w:val="00B24E45"/>
    <w:rsid w:val="00B24EA2"/>
    <w:rsid w:val="00B2623A"/>
    <w:rsid w:val="00B26519"/>
    <w:rsid w:val="00B26E23"/>
    <w:rsid w:val="00B27B66"/>
    <w:rsid w:val="00B3002A"/>
    <w:rsid w:val="00B30B56"/>
    <w:rsid w:val="00B30D6F"/>
    <w:rsid w:val="00B31322"/>
    <w:rsid w:val="00B31D49"/>
    <w:rsid w:val="00B329C7"/>
    <w:rsid w:val="00B33729"/>
    <w:rsid w:val="00B34F16"/>
    <w:rsid w:val="00B36A14"/>
    <w:rsid w:val="00B3738D"/>
    <w:rsid w:val="00B378BA"/>
    <w:rsid w:val="00B37E10"/>
    <w:rsid w:val="00B37F8A"/>
    <w:rsid w:val="00B40C9B"/>
    <w:rsid w:val="00B40E83"/>
    <w:rsid w:val="00B414B6"/>
    <w:rsid w:val="00B4152F"/>
    <w:rsid w:val="00B418FB"/>
    <w:rsid w:val="00B41A74"/>
    <w:rsid w:val="00B41DDD"/>
    <w:rsid w:val="00B42914"/>
    <w:rsid w:val="00B42F86"/>
    <w:rsid w:val="00B432B9"/>
    <w:rsid w:val="00B43A5C"/>
    <w:rsid w:val="00B44C1C"/>
    <w:rsid w:val="00B45C7E"/>
    <w:rsid w:val="00B4647C"/>
    <w:rsid w:val="00B51846"/>
    <w:rsid w:val="00B5197A"/>
    <w:rsid w:val="00B52123"/>
    <w:rsid w:val="00B529DF"/>
    <w:rsid w:val="00B53232"/>
    <w:rsid w:val="00B5559A"/>
    <w:rsid w:val="00B566E2"/>
    <w:rsid w:val="00B573FE"/>
    <w:rsid w:val="00B57DC1"/>
    <w:rsid w:val="00B602EC"/>
    <w:rsid w:val="00B608A3"/>
    <w:rsid w:val="00B6108F"/>
    <w:rsid w:val="00B61869"/>
    <w:rsid w:val="00B61C85"/>
    <w:rsid w:val="00B62756"/>
    <w:rsid w:val="00B63FEA"/>
    <w:rsid w:val="00B64205"/>
    <w:rsid w:val="00B646BF"/>
    <w:rsid w:val="00B654DB"/>
    <w:rsid w:val="00B657E8"/>
    <w:rsid w:val="00B65A2D"/>
    <w:rsid w:val="00B65BBE"/>
    <w:rsid w:val="00B66261"/>
    <w:rsid w:val="00B66672"/>
    <w:rsid w:val="00B669A6"/>
    <w:rsid w:val="00B67B77"/>
    <w:rsid w:val="00B703AF"/>
    <w:rsid w:val="00B708FB"/>
    <w:rsid w:val="00B711C3"/>
    <w:rsid w:val="00B716C8"/>
    <w:rsid w:val="00B72BCF"/>
    <w:rsid w:val="00B72E9D"/>
    <w:rsid w:val="00B73395"/>
    <w:rsid w:val="00B7424D"/>
    <w:rsid w:val="00B74475"/>
    <w:rsid w:val="00B74D9E"/>
    <w:rsid w:val="00B76064"/>
    <w:rsid w:val="00B77876"/>
    <w:rsid w:val="00B80307"/>
    <w:rsid w:val="00B809F2"/>
    <w:rsid w:val="00B81142"/>
    <w:rsid w:val="00B82272"/>
    <w:rsid w:val="00B832B4"/>
    <w:rsid w:val="00B834AF"/>
    <w:rsid w:val="00B83D67"/>
    <w:rsid w:val="00B843FE"/>
    <w:rsid w:val="00B84E02"/>
    <w:rsid w:val="00B85F9A"/>
    <w:rsid w:val="00B8608B"/>
    <w:rsid w:val="00B86B13"/>
    <w:rsid w:val="00B87435"/>
    <w:rsid w:val="00B87481"/>
    <w:rsid w:val="00B87995"/>
    <w:rsid w:val="00B906CA"/>
    <w:rsid w:val="00B907BB"/>
    <w:rsid w:val="00B90A20"/>
    <w:rsid w:val="00B90E95"/>
    <w:rsid w:val="00B9144F"/>
    <w:rsid w:val="00B924EC"/>
    <w:rsid w:val="00B93219"/>
    <w:rsid w:val="00B9351A"/>
    <w:rsid w:val="00B93839"/>
    <w:rsid w:val="00B95110"/>
    <w:rsid w:val="00B976B5"/>
    <w:rsid w:val="00BA0C6C"/>
    <w:rsid w:val="00BA1B27"/>
    <w:rsid w:val="00BA1E27"/>
    <w:rsid w:val="00BA2285"/>
    <w:rsid w:val="00BA288F"/>
    <w:rsid w:val="00BA28CC"/>
    <w:rsid w:val="00BA2FDE"/>
    <w:rsid w:val="00BA376D"/>
    <w:rsid w:val="00BA5399"/>
    <w:rsid w:val="00BA5F4E"/>
    <w:rsid w:val="00BA5FDD"/>
    <w:rsid w:val="00BA6AD2"/>
    <w:rsid w:val="00BA6B11"/>
    <w:rsid w:val="00BA6D69"/>
    <w:rsid w:val="00BA6F24"/>
    <w:rsid w:val="00BA707E"/>
    <w:rsid w:val="00BA7B75"/>
    <w:rsid w:val="00BA7E6D"/>
    <w:rsid w:val="00BB059C"/>
    <w:rsid w:val="00BB0DAE"/>
    <w:rsid w:val="00BB0DBD"/>
    <w:rsid w:val="00BB0FA6"/>
    <w:rsid w:val="00BB106E"/>
    <w:rsid w:val="00BB11E9"/>
    <w:rsid w:val="00BB14D2"/>
    <w:rsid w:val="00BB1BC3"/>
    <w:rsid w:val="00BB27DB"/>
    <w:rsid w:val="00BB2AD2"/>
    <w:rsid w:val="00BB3D3C"/>
    <w:rsid w:val="00BB45A9"/>
    <w:rsid w:val="00BB4F85"/>
    <w:rsid w:val="00BB76BF"/>
    <w:rsid w:val="00BC280E"/>
    <w:rsid w:val="00BC376A"/>
    <w:rsid w:val="00BC392D"/>
    <w:rsid w:val="00BC4CB2"/>
    <w:rsid w:val="00BC6426"/>
    <w:rsid w:val="00BC6B51"/>
    <w:rsid w:val="00BC7265"/>
    <w:rsid w:val="00BD01E6"/>
    <w:rsid w:val="00BD0223"/>
    <w:rsid w:val="00BD0265"/>
    <w:rsid w:val="00BD0DFE"/>
    <w:rsid w:val="00BD174A"/>
    <w:rsid w:val="00BD1F2A"/>
    <w:rsid w:val="00BD209D"/>
    <w:rsid w:val="00BD25FB"/>
    <w:rsid w:val="00BD369D"/>
    <w:rsid w:val="00BD3B54"/>
    <w:rsid w:val="00BD3B97"/>
    <w:rsid w:val="00BD3E27"/>
    <w:rsid w:val="00BD462D"/>
    <w:rsid w:val="00BD4784"/>
    <w:rsid w:val="00BD4A93"/>
    <w:rsid w:val="00BD4E44"/>
    <w:rsid w:val="00BD76D4"/>
    <w:rsid w:val="00BE16B2"/>
    <w:rsid w:val="00BE1C49"/>
    <w:rsid w:val="00BE1D66"/>
    <w:rsid w:val="00BE1F9B"/>
    <w:rsid w:val="00BE2100"/>
    <w:rsid w:val="00BE2721"/>
    <w:rsid w:val="00BE3398"/>
    <w:rsid w:val="00BE3676"/>
    <w:rsid w:val="00BE44BE"/>
    <w:rsid w:val="00BE52A7"/>
    <w:rsid w:val="00BE5A27"/>
    <w:rsid w:val="00BE5C73"/>
    <w:rsid w:val="00BE6677"/>
    <w:rsid w:val="00BE7049"/>
    <w:rsid w:val="00BE708F"/>
    <w:rsid w:val="00BE7723"/>
    <w:rsid w:val="00BF10F5"/>
    <w:rsid w:val="00BF1593"/>
    <w:rsid w:val="00BF196E"/>
    <w:rsid w:val="00BF3625"/>
    <w:rsid w:val="00BF3966"/>
    <w:rsid w:val="00BF3A53"/>
    <w:rsid w:val="00BF3B6B"/>
    <w:rsid w:val="00BF41E2"/>
    <w:rsid w:val="00BF466D"/>
    <w:rsid w:val="00BF662F"/>
    <w:rsid w:val="00BF7316"/>
    <w:rsid w:val="00BF7DD9"/>
    <w:rsid w:val="00C0025C"/>
    <w:rsid w:val="00C0099A"/>
    <w:rsid w:val="00C012E6"/>
    <w:rsid w:val="00C024A9"/>
    <w:rsid w:val="00C032BF"/>
    <w:rsid w:val="00C0398A"/>
    <w:rsid w:val="00C04181"/>
    <w:rsid w:val="00C04B0A"/>
    <w:rsid w:val="00C05184"/>
    <w:rsid w:val="00C06F91"/>
    <w:rsid w:val="00C07085"/>
    <w:rsid w:val="00C07293"/>
    <w:rsid w:val="00C07C2B"/>
    <w:rsid w:val="00C1022A"/>
    <w:rsid w:val="00C10F9E"/>
    <w:rsid w:val="00C12A73"/>
    <w:rsid w:val="00C14078"/>
    <w:rsid w:val="00C14CAF"/>
    <w:rsid w:val="00C1518C"/>
    <w:rsid w:val="00C156DF"/>
    <w:rsid w:val="00C15AEF"/>
    <w:rsid w:val="00C16110"/>
    <w:rsid w:val="00C1636B"/>
    <w:rsid w:val="00C17244"/>
    <w:rsid w:val="00C173DC"/>
    <w:rsid w:val="00C17491"/>
    <w:rsid w:val="00C20200"/>
    <w:rsid w:val="00C2042B"/>
    <w:rsid w:val="00C205BF"/>
    <w:rsid w:val="00C20868"/>
    <w:rsid w:val="00C22592"/>
    <w:rsid w:val="00C22672"/>
    <w:rsid w:val="00C22C28"/>
    <w:rsid w:val="00C23B2D"/>
    <w:rsid w:val="00C2406A"/>
    <w:rsid w:val="00C248F3"/>
    <w:rsid w:val="00C25FA5"/>
    <w:rsid w:val="00C26351"/>
    <w:rsid w:val="00C26FED"/>
    <w:rsid w:val="00C27DB0"/>
    <w:rsid w:val="00C304B9"/>
    <w:rsid w:val="00C30D70"/>
    <w:rsid w:val="00C30F29"/>
    <w:rsid w:val="00C31729"/>
    <w:rsid w:val="00C31A7B"/>
    <w:rsid w:val="00C31DA6"/>
    <w:rsid w:val="00C32154"/>
    <w:rsid w:val="00C331F6"/>
    <w:rsid w:val="00C3320C"/>
    <w:rsid w:val="00C33489"/>
    <w:rsid w:val="00C34BD6"/>
    <w:rsid w:val="00C34BF2"/>
    <w:rsid w:val="00C34E44"/>
    <w:rsid w:val="00C35849"/>
    <w:rsid w:val="00C35C17"/>
    <w:rsid w:val="00C36431"/>
    <w:rsid w:val="00C3669A"/>
    <w:rsid w:val="00C370BE"/>
    <w:rsid w:val="00C370E6"/>
    <w:rsid w:val="00C3726E"/>
    <w:rsid w:val="00C3755D"/>
    <w:rsid w:val="00C3796D"/>
    <w:rsid w:val="00C40557"/>
    <w:rsid w:val="00C41F11"/>
    <w:rsid w:val="00C42992"/>
    <w:rsid w:val="00C42B66"/>
    <w:rsid w:val="00C4338C"/>
    <w:rsid w:val="00C4395A"/>
    <w:rsid w:val="00C44EEA"/>
    <w:rsid w:val="00C454D3"/>
    <w:rsid w:val="00C50227"/>
    <w:rsid w:val="00C50296"/>
    <w:rsid w:val="00C50631"/>
    <w:rsid w:val="00C50B51"/>
    <w:rsid w:val="00C50B99"/>
    <w:rsid w:val="00C514DD"/>
    <w:rsid w:val="00C522AE"/>
    <w:rsid w:val="00C52B8B"/>
    <w:rsid w:val="00C52C8E"/>
    <w:rsid w:val="00C53B42"/>
    <w:rsid w:val="00C53FE2"/>
    <w:rsid w:val="00C54440"/>
    <w:rsid w:val="00C544EB"/>
    <w:rsid w:val="00C54573"/>
    <w:rsid w:val="00C54FCA"/>
    <w:rsid w:val="00C5705A"/>
    <w:rsid w:val="00C570F8"/>
    <w:rsid w:val="00C5757B"/>
    <w:rsid w:val="00C60682"/>
    <w:rsid w:val="00C61620"/>
    <w:rsid w:val="00C6163A"/>
    <w:rsid w:val="00C61C61"/>
    <w:rsid w:val="00C62849"/>
    <w:rsid w:val="00C63BFF"/>
    <w:rsid w:val="00C652D4"/>
    <w:rsid w:val="00C65416"/>
    <w:rsid w:val="00C66B1D"/>
    <w:rsid w:val="00C66F48"/>
    <w:rsid w:val="00C66F7C"/>
    <w:rsid w:val="00C67DE6"/>
    <w:rsid w:val="00C70992"/>
    <w:rsid w:val="00C70DD2"/>
    <w:rsid w:val="00C70E7B"/>
    <w:rsid w:val="00C70FB7"/>
    <w:rsid w:val="00C71ECC"/>
    <w:rsid w:val="00C72624"/>
    <w:rsid w:val="00C72B02"/>
    <w:rsid w:val="00C73808"/>
    <w:rsid w:val="00C73984"/>
    <w:rsid w:val="00C747F6"/>
    <w:rsid w:val="00C74DAC"/>
    <w:rsid w:val="00C75F99"/>
    <w:rsid w:val="00C76712"/>
    <w:rsid w:val="00C77324"/>
    <w:rsid w:val="00C77A13"/>
    <w:rsid w:val="00C80BC1"/>
    <w:rsid w:val="00C80C93"/>
    <w:rsid w:val="00C80F1A"/>
    <w:rsid w:val="00C818E7"/>
    <w:rsid w:val="00C828FC"/>
    <w:rsid w:val="00C83494"/>
    <w:rsid w:val="00C846DA"/>
    <w:rsid w:val="00C853E8"/>
    <w:rsid w:val="00C85452"/>
    <w:rsid w:val="00C860D0"/>
    <w:rsid w:val="00C8701E"/>
    <w:rsid w:val="00C87E68"/>
    <w:rsid w:val="00C87F8A"/>
    <w:rsid w:val="00C91166"/>
    <w:rsid w:val="00C9192D"/>
    <w:rsid w:val="00C93B71"/>
    <w:rsid w:val="00C956DB"/>
    <w:rsid w:val="00C95C27"/>
    <w:rsid w:val="00C96244"/>
    <w:rsid w:val="00C9678B"/>
    <w:rsid w:val="00C9680B"/>
    <w:rsid w:val="00C96FF7"/>
    <w:rsid w:val="00C977E8"/>
    <w:rsid w:val="00CA0F20"/>
    <w:rsid w:val="00CA17BD"/>
    <w:rsid w:val="00CA1DC5"/>
    <w:rsid w:val="00CA22C4"/>
    <w:rsid w:val="00CA2753"/>
    <w:rsid w:val="00CA2BE7"/>
    <w:rsid w:val="00CA2F18"/>
    <w:rsid w:val="00CA3F79"/>
    <w:rsid w:val="00CA4187"/>
    <w:rsid w:val="00CA41AB"/>
    <w:rsid w:val="00CA46B8"/>
    <w:rsid w:val="00CA4B97"/>
    <w:rsid w:val="00CA4D46"/>
    <w:rsid w:val="00CA5E8D"/>
    <w:rsid w:val="00CA68C9"/>
    <w:rsid w:val="00CA69AE"/>
    <w:rsid w:val="00CA7C01"/>
    <w:rsid w:val="00CA7CA8"/>
    <w:rsid w:val="00CA7EB4"/>
    <w:rsid w:val="00CB0ED7"/>
    <w:rsid w:val="00CB15CA"/>
    <w:rsid w:val="00CB1C7E"/>
    <w:rsid w:val="00CB2E15"/>
    <w:rsid w:val="00CB2E79"/>
    <w:rsid w:val="00CB2FA2"/>
    <w:rsid w:val="00CB39AF"/>
    <w:rsid w:val="00CB3AA1"/>
    <w:rsid w:val="00CB3CB9"/>
    <w:rsid w:val="00CB49E4"/>
    <w:rsid w:val="00CB54D4"/>
    <w:rsid w:val="00CB57A1"/>
    <w:rsid w:val="00CB57D8"/>
    <w:rsid w:val="00CB5A40"/>
    <w:rsid w:val="00CB5EAF"/>
    <w:rsid w:val="00CB7771"/>
    <w:rsid w:val="00CB7FEE"/>
    <w:rsid w:val="00CC0B06"/>
    <w:rsid w:val="00CC1E51"/>
    <w:rsid w:val="00CC3186"/>
    <w:rsid w:val="00CC4216"/>
    <w:rsid w:val="00CC449A"/>
    <w:rsid w:val="00CC4BE9"/>
    <w:rsid w:val="00CC51BE"/>
    <w:rsid w:val="00CC5B57"/>
    <w:rsid w:val="00CC5BFC"/>
    <w:rsid w:val="00CC5F6E"/>
    <w:rsid w:val="00CC75D4"/>
    <w:rsid w:val="00CC79D5"/>
    <w:rsid w:val="00CC7D7B"/>
    <w:rsid w:val="00CD03D6"/>
    <w:rsid w:val="00CD3064"/>
    <w:rsid w:val="00CD3441"/>
    <w:rsid w:val="00CD390B"/>
    <w:rsid w:val="00CD4152"/>
    <w:rsid w:val="00CD4B7F"/>
    <w:rsid w:val="00CD4C41"/>
    <w:rsid w:val="00CD5CE1"/>
    <w:rsid w:val="00CD62FE"/>
    <w:rsid w:val="00CD766B"/>
    <w:rsid w:val="00CD7EB6"/>
    <w:rsid w:val="00CE04DE"/>
    <w:rsid w:val="00CE0E84"/>
    <w:rsid w:val="00CE153D"/>
    <w:rsid w:val="00CE1D7B"/>
    <w:rsid w:val="00CE2118"/>
    <w:rsid w:val="00CE243F"/>
    <w:rsid w:val="00CE3175"/>
    <w:rsid w:val="00CE3293"/>
    <w:rsid w:val="00CE3C6D"/>
    <w:rsid w:val="00CE3C82"/>
    <w:rsid w:val="00CE43B1"/>
    <w:rsid w:val="00CE45DB"/>
    <w:rsid w:val="00CE6D9E"/>
    <w:rsid w:val="00CE794B"/>
    <w:rsid w:val="00CE7C39"/>
    <w:rsid w:val="00CF05EA"/>
    <w:rsid w:val="00CF0FB9"/>
    <w:rsid w:val="00CF248F"/>
    <w:rsid w:val="00CF3F37"/>
    <w:rsid w:val="00CF4A46"/>
    <w:rsid w:val="00CF4BD8"/>
    <w:rsid w:val="00CF581A"/>
    <w:rsid w:val="00CF74C0"/>
    <w:rsid w:val="00D01E38"/>
    <w:rsid w:val="00D026AB"/>
    <w:rsid w:val="00D0283B"/>
    <w:rsid w:val="00D02ABB"/>
    <w:rsid w:val="00D03BB9"/>
    <w:rsid w:val="00D03D4D"/>
    <w:rsid w:val="00D03F6C"/>
    <w:rsid w:val="00D0415C"/>
    <w:rsid w:val="00D04983"/>
    <w:rsid w:val="00D05778"/>
    <w:rsid w:val="00D070FF"/>
    <w:rsid w:val="00D07D94"/>
    <w:rsid w:val="00D1058E"/>
    <w:rsid w:val="00D12059"/>
    <w:rsid w:val="00D1239D"/>
    <w:rsid w:val="00D125DE"/>
    <w:rsid w:val="00D13777"/>
    <w:rsid w:val="00D13BB6"/>
    <w:rsid w:val="00D1459C"/>
    <w:rsid w:val="00D151F0"/>
    <w:rsid w:val="00D15F8E"/>
    <w:rsid w:val="00D1690E"/>
    <w:rsid w:val="00D17B3F"/>
    <w:rsid w:val="00D219D5"/>
    <w:rsid w:val="00D23513"/>
    <w:rsid w:val="00D24A53"/>
    <w:rsid w:val="00D252B8"/>
    <w:rsid w:val="00D2729A"/>
    <w:rsid w:val="00D27506"/>
    <w:rsid w:val="00D27E6C"/>
    <w:rsid w:val="00D30F5A"/>
    <w:rsid w:val="00D3198D"/>
    <w:rsid w:val="00D3357B"/>
    <w:rsid w:val="00D34338"/>
    <w:rsid w:val="00D35601"/>
    <w:rsid w:val="00D36027"/>
    <w:rsid w:val="00D36337"/>
    <w:rsid w:val="00D36522"/>
    <w:rsid w:val="00D366B7"/>
    <w:rsid w:val="00D367F5"/>
    <w:rsid w:val="00D36C23"/>
    <w:rsid w:val="00D36FB2"/>
    <w:rsid w:val="00D375C7"/>
    <w:rsid w:val="00D40EAF"/>
    <w:rsid w:val="00D411A8"/>
    <w:rsid w:val="00D41B99"/>
    <w:rsid w:val="00D4244A"/>
    <w:rsid w:val="00D44CC7"/>
    <w:rsid w:val="00D45867"/>
    <w:rsid w:val="00D45CE3"/>
    <w:rsid w:val="00D46157"/>
    <w:rsid w:val="00D4646A"/>
    <w:rsid w:val="00D466A8"/>
    <w:rsid w:val="00D46A18"/>
    <w:rsid w:val="00D46BEF"/>
    <w:rsid w:val="00D47187"/>
    <w:rsid w:val="00D4751A"/>
    <w:rsid w:val="00D50011"/>
    <w:rsid w:val="00D500F2"/>
    <w:rsid w:val="00D5017E"/>
    <w:rsid w:val="00D508E4"/>
    <w:rsid w:val="00D52284"/>
    <w:rsid w:val="00D5322C"/>
    <w:rsid w:val="00D533BF"/>
    <w:rsid w:val="00D53841"/>
    <w:rsid w:val="00D53C05"/>
    <w:rsid w:val="00D546B8"/>
    <w:rsid w:val="00D55294"/>
    <w:rsid w:val="00D56ACF"/>
    <w:rsid w:val="00D57692"/>
    <w:rsid w:val="00D57AF1"/>
    <w:rsid w:val="00D60B43"/>
    <w:rsid w:val="00D614C7"/>
    <w:rsid w:val="00D61E9C"/>
    <w:rsid w:val="00D61F93"/>
    <w:rsid w:val="00D623A8"/>
    <w:rsid w:val="00D62EEF"/>
    <w:rsid w:val="00D6312F"/>
    <w:rsid w:val="00D63D69"/>
    <w:rsid w:val="00D640F2"/>
    <w:rsid w:val="00D642AD"/>
    <w:rsid w:val="00D64A40"/>
    <w:rsid w:val="00D64E02"/>
    <w:rsid w:val="00D654E8"/>
    <w:rsid w:val="00D654FB"/>
    <w:rsid w:val="00D65619"/>
    <w:rsid w:val="00D67780"/>
    <w:rsid w:val="00D701C2"/>
    <w:rsid w:val="00D7055C"/>
    <w:rsid w:val="00D7160C"/>
    <w:rsid w:val="00D71C1F"/>
    <w:rsid w:val="00D71CE6"/>
    <w:rsid w:val="00D727B3"/>
    <w:rsid w:val="00D73210"/>
    <w:rsid w:val="00D73AD4"/>
    <w:rsid w:val="00D74862"/>
    <w:rsid w:val="00D756D2"/>
    <w:rsid w:val="00D75879"/>
    <w:rsid w:val="00D75908"/>
    <w:rsid w:val="00D75ECA"/>
    <w:rsid w:val="00D766A9"/>
    <w:rsid w:val="00D775CD"/>
    <w:rsid w:val="00D8005C"/>
    <w:rsid w:val="00D81003"/>
    <w:rsid w:val="00D81129"/>
    <w:rsid w:val="00D81A7D"/>
    <w:rsid w:val="00D8202C"/>
    <w:rsid w:val="00D82F39"/>
    <w:rsid w:val="00D846D9"/>
    <w:rsid w:val="00D84CF1"/>
    <w:rsid w:val="00D84F1E"/>
    <w:rsid w:val="00D859E0"/>
    <w:rsid w:val="00D85CF7"/>
    <w:rsid w:val="00D863F7"/>
    <w:rsid w:val="00D87974"/>
    <w:rsid w:val="00D87C8F"/>
    <w:rsid w:val="00D9076C"/>
    <w:rsid w:val="00D90F3C"/>
    <w:rsid w:val="00D91686"/>
    <w:rsid w:val="00D9181C"/>
    <w:rsid w:val="00D9191D"/>
    <w:rsid w:val="00D91D95"/>
    <w:rsid w:val="00D91E5A"/>
    <w:rsid w:val="00D92454"/>
    <w:rsid w:val="00D9270B"/>
    <w:rsid w:val="00D927AB"/>
    <w:rsid w:val="00D93CB6"/>
    <w:rsid w:val="00D94506"/>
    <w:rsid w:val="00D94C19"/>
    <w:rsid w:val="00D94FA6"/>
    <w:rsid w:val="00D96A20"/>
    <w:rsid w:val="00D97020"/>
    <w:rsid w:val="00DA2813"/>
    <w:rsid w:val="00DA2C32"/>
    <w:rsid w:val="00DA2DF2"/>
    <w:rsid w:val="00DA31ED"/>
    <w:rsid w:val="00DA36B3"/>
    <w:rsid w:val="00DA467B"/>
    <w:rsid w:val="00DA4DDB"/>
    <w:rsid w:val="00DA53B9"/>
    <w:rsid w:val="00DA64C9"/>
    <w:rsid w:val="00DA6B67"/>
    <w:rsid w:val="00DA7371"/>
    <w:rsid w:val="00DA74CE"/>
    <w:rsid w:val="00DA7878"/>
    <w:rsid w:val="00DB0592"/>
    <w:rsid w:val="00DB0B44"/>
    <w:rsid w:val="00DB3613"/>
    <w:rsid w:val="00DB3DB1"/>
    <w:rsid w:val="00DB3E6A"/>
    <w:rsid w:val="00DB5712"/>
    <w:rsid w:val="00DB5C0E"/>
    <w:rsid w:val="00DB6379"/>
    <w:rsid w:val="00DB70EE"/>
    <w:rsid w:val="00DB75A4"/>
    <w:rsid w:val="00DB7827"/>
    <w:rsid w:val="00DB7BF9"/>
    <w:rsid w:val="00DC00C7"/>
    <w:rsid w:val="00DC0554"/>
    <w:rsid w:val="00DC07F1"/>
    <w:rsid w:val="00DC1A6F"/>
    <w:rsid w:val="00DC2DC5"/>
    <w:rsid w:val="00DC30EA"/>
    <w:rsid w:val="00DC33EC"/>
    <w:rsid w:val="00DC5B2D"/>
    <w:rsid w:val="00DC70CD"/>
    <w:rsid w:val="00DC7E6F"/>
    <w:rsid w:val="00DD00EA"/>
    <w:rsid w:val="00DD1BD3"/>
    <w:rsid w:val="00DD1EFE"/>
    <w:rsid w:val="00DD20DE"/>
    <w:rsid w:val="00DD3B6A"/>
    <w:rsid w:val="00DD405B"/>
    <w:rsid w:val="00DD4974"/>
    <w:rsid w:val="00DD6E0E"/>
    <w:rsid w:val="00DD7C13"/>
    <w:rsid w:val="00DD7C7A"/>
    <w:rsid w:val="00DE037E"/>
    <w:rsid w:val="00DE0DFB"/>
    <w:rsid w:val="00DE1550"/>
    <w:rsid w:val="00DE176E"/>
    <w:rsid w:val="00DE1EC9"/>
    <w:rsid w:val="00DE23F2"/>
    <w:rsid w:val="00DE28B1"/>
    <w:rsid w:val="00DE38AA"/>
    <w:rsid w:val="00DE4CB8"/>
    <w:rsid w:val="00DE5A1E"/>
    <w:rsid w:val="00DE5EEE"/>
    <w:rsid w:val="00DE6F95"/>
    <w:rsid w:val="00DE7E8B"/>
    <w:rsid w:val="00DF0745"/>
    <w:rsid w:val="00DF15B6"/>
    <w:rsid w:val="00DF15EC"/>
    <w:rsid w:val="00DF1F85"/>
    <w:rsid w:val="00DF20CE"/>
    <w:rsid w:val="00DF3E3B"/>
    <w:rsid w:val="00DF45FF"/>
    <w:rsid w:val="00DF4CEB"/>
    <w:rsid w:val="00DF79A3"/>
    <w:rsid w:val="00E00282"/>
    <w:rsid w:val="00E0043E"/>
    <w:rsid w:val="00E00A75"/>
    <w:rsid w:val="00E0156F"/>
    <w:rsid w:val="00E01C97"/>
    <w:rsid w:val="00E027C2"/>
    <w:rsid w:val="00E05CBA"/>
    <w:rsid w:val="00E0621A"/>
    <w:rsid w:val="00E06561"/>
    <w:rsid w:val="00E06583"/>
    <w:rsid w:val="00E0766D"/>
    <w:rsid w:val="00E102DD"/>
    <w:rsid w:val="00E10935"/>
    <w:rsid w:val="00E10C1D"/>
    <w:rsid w:val="00E10D76"/>
    <w:rsid w:val="00E12585"/>
    <w:rsid w:val="00E126E5"/>
    <w:rsid w:val="00E14A2C"/>
    <w:rsid w:val="00E15680"/>
    <w:rsid w:val="00E1644C"/>
    <w:rsid w:val="00E16730"/>
    <w:rsid w:val="00E16852"/>
    <w:rsid w:val="00E16DB7"/>
    <w:rsid w:val="00E203ED"/>
    <w:rsid w:val="00E2106E"/>
    <w:rsid w:val="00E21495"/>
    <w:rsid w:val="00E21AD7"/>
    <w:rsid w:val="00E22D0F"/>
    <w:rsid w:val="00E23557"/>
    <w:rsid w:val="00E24B81"/>
    <w:rsid w:val="00E24C2A"/>
    <w:rsid w:val="00E25EB1"/>
    <w:rsid w:val="00E264C0"/>
    <w:rsid w:val="00E267AA"/>
    <w:rsid w:val="00E26870"/>
    <w:rsid w:val="00E273E5"/>
    <w:rsid w:val="00E27FB8"/>
    <w:rsid w:val="00E30064"/>
    <w:rsid w:val="00E301E4"/>
    <w:rsid w:val="00E319E0"/>
    <w:rsid w:val="00E32209"/>
    <w:rsid w:val="00E3275C"/>
    <w:rsid w:val="00E331E4"/>
    <w:rsid w:val="00E3328F"/>
    <w:rsid w:val="00E3413D"/>
    <w:rsid w:val="00E34633"/>
    <w:rsid w:val="00E34CED"/>
    <w:rsid w:val="00E35CBE"/>
    <w:rsid w:val="00E35DC5"/>
    <w:rsid w:val="00E374E2"/>
    <w:rsid w:val="00E37830"/>
    <w:rsid w:val="00E37F55"/>
    <w:rsid w:val="00E40453"/>
    <w:rsid w:val="00E4059C"/>
    <w:rsid w:val="00E405F0"/>
    <w:rsid w:val="00E40680"/>
    <w:rsid w:val="00E40C1A"/>
    <w:rsid w:val="00E41014"/>
    <w:rsid w:val="00E421F2"/>
    <w:rsid w:val="00E4423D"/>
    <w:rsid w:val="00E449C3"/>
    <w:rsid w:val="00E45020"/>
    <w:rsid w:val="00E4528A"/>
    <w:rsid w:val="00E45C08"/>
    <w:rsid w:val="00E471E6"/>
    <w:rsid w:val="00E47DDE"/>
    <w:rsid w:val="00E50124"/>
    <w:rsid w:val="00E51DD3"/>
    <w:rsid w:val="00E5209E"/>
    <w:rsid w:val="00E5271E"/>
    <w:rsid w:val="00E543EE"/>
    <w:rsid w:val="00E54D9C"/>
    <w:rsid w:val="00E55EA3"/>
    <w:rsid w:val="00E55FAC"/>
    <w:rsid w:val="00E56130"/>
    <w:rsid w:val="00E56574"/>
    <w:rsid w:val="00E56D19"/>
    <w:rsid w:val="00E5737A"/>
    <w:rsid w:val="00E57704"/>
    <w:rsid w:val="00E5776E"/>
    <w:rsid w:val="00E57954"/>
    <w:rsid w:val="00E57C07"/>
    <w:rsid w:val="00E57D82"/>
    <w:rsid w:val="00E60D04"/>
    <w:rsid w:val="00E612CC"/>
    <w:rsid w:val="00E62268"/>
    <w:rsid w:val="00E6294C"/>
    <w:rsid w:val="00E63504"/>
    <w:rsid w:val="00E638BA"/>
    <w:rsid w:val="00E64509"/>
    <w:rsid w:val="00E64AAF"/>
    <w:rsid w:val="00E65DDD"/>
    <w:rsid w:val="00E65EFB"/>
    <w:rsid w:val="00E6668F"/>
    <w:rsid w:val="00E666DD"/>
    <w:rsid w:val="00E671F0"/>
    <w:rsid w:val="00E707EA"/>
    <w:rsid w:val="00E712EA"/>
    <w:rsid w:val="00E722A5"/>
    <w:rsid w:val="00E7292C"/>
    <w:rsid w:val="00E740DA"/>
    <w:rsid w:val="00E7455D"/>
    <w:rsid w:val="00E74802"/>
    <w:rsid w:val="00E74B06"/>
    <w:rsid w:val="00E74D9F"/>
    <w:rsid w:val="00E75D1F"/>
    <w:rsid w:val="00E76625"/>
    <w:rsid w:val="00E76F7A"/>
    <w:rsid w:val="00E775FB"/>
    <w:rsid w:val="00E77687"/>
    <w:rsid w:val="00E77DAA"/>
    <w:rsid w:val="00E8086C"/>
    <w:rsid w:val="00E813F4"/>
    <w:rsid w:val="00E819A8"/>
    <w:rsid w:val="00E826D1"/>
    <w:rsid w:val="00E828CB"/>
    <w:rsid w:val="00E844C3"/>
    <w:rsid w:val="00E85157"/>
    <w:rsid w:val="00E86555"/>
    <w:rsid w:val="00E8695C"/>
    <w:rsid w:val="00E86FEA"/>
    <w:rsid w:val="00E87559"/>
    <w:rsid w:val="00E9006C"/>
    <w:rsid w:val="00E9023B"/>
    <w:rsid w:val="00E9047A"/>
    <w:rsid w:val="00E90609"/>
    <w:rsid w:val="00E913B3"/>
    <w:rsid w:val="00E918B7"/>
    <w:rsid w:val="00E9260C"/>
    <w:rsid w:val="00E9266C"/>
    <w:rsid w:val="00E93EB9"/>
    <w:rsid w:val="00E94DAA"/>
    <w:rsid w:val="00E9526E"/>
    <w:rsid w:val="00E96468"/>
    <w:rsid w:val="00E96F68"/>
    <w:rsid w:val="00E978CC"/>
    <w:rsid w:val="00E97B84"/>
    <w:rsid w:val="00EA0289"/>
    <w:rsid w:val="00EA0FCE"/>
    <w:rsid w:val="00EA18A8"/>
    <w:rsid w:val="00EA2142"/>
    <w:rsid w:val="00EA3749"/>
    <w:rsid w:val="00EA3CF5"/>
    <w:rsid w:val="00EA4BB6"/>
    <w:rsid w:val="00EA59B0"/>
    <w:rsid w:val="00EA6224"/>
    <w:rsid w:val="00EA6D93"/>
    <w:rsid w:val="00EA70F7"/>
    <w:rsid w:val="00EA7446"/>
    <w:rsid w:val="00EB004D"/>
    <w:rsid w:val="00EB0146"/>
    <w:rsid w:val="00EB02C1"/>
    <w:rsid w:val="00EB0322"/>
    <w:rsid w:val="00EB05F5"/>
    <w:rsid w:val="00EB0ACA"/>
    <w:rsid w:val="00EB153B"/>
    <w:rsid w:val="00EB159C"/>
    <w:rsid w:val="00EB1BE8"/>
    <w:rsid w:val="00EB2D5C"/>
    <w:rsid w:val="00EB3802"/>
    <w:rsid w:val="00EB46FA"/>
    <w:rsid w:val="00EB48F6"/>
    <w:rsid w:val="00EB6587"/>
    <w:rsid w:val="00EB66AC"/>
    <w:rsid w:val="00EB69B4"/>
    <w:rsid w:val="00EB7059"/>
    <w:rsid w:val="00EB7E38"/>
    <w:rsid w:val="00EC05BA"/>
    <w:rsid w:val="00EC1D75"/>
    <w:rsid w:val="00EC20DA"/>
    <w:rsid w:val="00EC238B"/>
    <w:rsid w:val="00EC3117"/>
    <w:rsid w:val="00EC3329"/>
    <w:rsid w:val="00EC3C44"/>
    <w:rsid w:val="00EC478C"/>
    <w:rsid w:val="00EC7DB0"/>
    <w:rsid w:val="00EC7EDB"/>
    <w:rsid w:val="00ED024A"/>
    <w:rsid w:val="00ED12B0"/>
    <w:rsid w:val="00ED1F83"/>
    <w:rsid w:val="00ED213F"/>
    <w:rsid w:val="00ED2540"/>
    <w:rsid w:val="00ED45E3"/>
    <w:rsid w:val="00ED4783"/>
    <w:rsid w:val="00ED49B3"/>
    <w:rsid w:val="00ED51DE"/>
    <w:rsid w:val="00ED53CB"/>
    <w:rsid w:val="00ED54B4"/>
    <w:rsid w:val="00ED5993"/>
    <w:rsid w:val="00ED5A24"/>
    <w:rsid w:val="00ED6222"/>
    <w:rsid w:val="00ED6F3C"/>
    <w:rsid w:val="00ED74B3"/>
    <w:rsid w:val="00ED7E44"/>
    <w:rsid w:val="00EE0A57"/>
    <w:rsid w:val="00EE1C17"/>
    <w:rsid w:val="00EE1D56"/>
    <w:rsid w:val="00EE235A"/>
    <w:rsid w:val="00EE294E"/>
    <w:rsid w:val="00EE35B8"/>
    <w:rsid w:val="00EE3EC0"/>
    <w:rsid w:val="00EE427C"/>
    <w:rsid w:val="00EE4392"/>
    <w:rsid w:val="00EE4B3F"/>
    <w:rsid w:val="00EE4DCC"/>
    <w:rsid w:val="00EE5425"/>
    <w:rsid w:val="00EE74FC"/>
    <w:rsid w:val="00EE7916"/>
    <w:rsid w:val="00EE793A"/>
    <w:rsid w:val="00EE7C99"/>
    <w:rsid w:val="00EF19D9"/>
    <w:rsid w:val="00EF2467"/>
    <w:rsid w:val="00EF4844"/>
    <w:rsid w:val="00EF4853"/>
    <w:rsid w:val="00EF4A5A"/>
    <w:rsid w:val="00EF5667"/>
    <w:rsid w:val="00EF5D5A"/>
    <w:rsid w:val="00EF6786"/>
    <w:rsid w:val="00EF760F"/>
    <w:rsid w:val="00F00002"/>
    <w:rsid w:val="00F003C1"/>
    <w:rsid w:val="00F00918"/>
    <w:rsid w:val="00F009C1"/>
    <w:rsid w:val="00F00EA8"/>
    <w:rsid w:val="00F01A4D"/>
    <w:rsid w:val="00F01EB1"/>
    <w:rsid w:val="00F021AC"/>
    <w:rsid w:val="00F0223F"/>
    <w:rsid w:val="00F029BC"/>
    <w:rsid w:val="00F036A3"/>
    <w:rsid w:val="00F0373C"/>
    <w:rsid w:val="00F03B42"/>
    <w:rsid w:val="00F05D9F"/>
    <w:rsid w:val="00F06854"/>
    <w:rsid w:val="00F07604"/>
    <w:rsid w:val="00F07613"/>
    <w:rsid w:val="00F0767F"/>
    <w:rsid w:val="00F0785A"/>
    <w:rsid w:val="00F078EC"/>
    <w:rsid w:val="00F07B9B"/>
    <w:rsid w:val="00F07C18"/>
    <w:rsid w:val="00F11356"/>
    <w:rsid w:val="00F11778"/>
    <w:rsid w:val="00F12629"/>
    <w:rsid w:val="00F1308B"/>
    <w:rsid w:val="00F143DE"/>
    <w:rsid w:val="00F1440B"/>
    <w:rsid w:val="00F147E6"/>
    <w:rsid w:val="00F14FD5"/>
    <w:rsid w:val="00F164DE"/>
    <w:rsid w:val="00F16634"/>
    <w:rsid w:val="00F178D2"/>
    <w:rsid w:val="00F17A79"/>
    <w:rsid w:val="00F17C66"/>
    <w:rsid w:val="00F202DD"/>
    <w:rsid w:val="00F20C34"/>
    <w:rsid w:val="00F21609"/>
    <w:rsid w:val="00F21B53"/>
    <w:rsid w:val="00F22343"/>
    <w:rsid w:val="00F226B6"/>
    <w:rsid w:val="00F238EF"/>
    <w:rsid w:val="00F24B8E"/>
    <w:rsid w:val="00F25763"/>
    <w:rsid w:val="00F2594A"/>
    <w:rsid w:val="00F25CA3"/>
    <w:rsid w:val="00F25FC7"/>
    <w:rsid w:val="00F263AD"/>
    <w:rsid w:val="00F264B8"/>
    <w:rsid w:val="00F26D06"/>
    <w:rsid w:val="00F309CA"/>
    <w:rsid w:val="00F30F5D"/>
    <w:rsid w:val="00F31206"/>
    <w:rsid w:val="00F3173A"/>
    <w:rsid w:val="00F31861"/>
    <w:rsid w:val="00F32913"/>
    <w:rsid w:val="00F32A66"/>
    <w:rsid w:val="00F350C6"/>
    <w:rsid w:val="00F378A6"/>
    <w:rsid w:val="00F3796D"/>
    <w:rsid w:val="00F40BE9"/>
    <w:rsid w:val="00F411C1"/>
    <w:rsid w:val="00F4123C"/>
    <w:rsid w:val="00F4131E"/>
    <w:rsid w:val="00F42AC0"/>
    <w:rsid w:val="00F445FF"/>
    <w:rsid w:val="00F451D4"/>
    <w:rsid w:val="00F4541A"/>
    <w:rsid w:val="00F45EDF"/>
    <w:rsid w:val="00F4625D"/>
    <w:rsid w:val="00F4638F"/>
    <w:rsid w:val="00F468E9"/>
    <w:rsid w:val="00F473D8"/>
    <w:rsid w:val="00F47849"/>
    <w:rsid w:val="00F51106"/>
    <w:rsid w:val="00F521AA"/>
    <w:rsid w:val="00F52838"/>
    <w:rsid w:val="00F53B78"/>
    <w:rsid w:val="00F54251"/>
    <w:rsid w:val="00F547A4"/>
    <w:rsid w:val="00F54D38"/>
    <w:rsid w:val="00F55082"/>
    <w:rsid w:val="00F553BF"/>
    <w:rsid w:val="00F55EAA"/>
    <w:rsid w:val="00F5629A"/>
    <w:rsid w:val="00F562A2"/>
    <w:rsid w:val="00F571DB"/>
    <w:rsid w:val="00F572FE"/>
    <w:rsid w:val="00F5774F"/>
    <w:rsid w:val="00F579D5"/>
    <w:rsid w:val="00F57E50"/>
    <w:rsid w:val="00F57F20"/>
    <w:rsid w:val="00F60639"/>
    <w:rsid w:val="00F62348"/>
    <w:rsid w:val="00F625E6"/>
    <w:rsid w:val="00F62FEE"/>
    <w:rsid w:val="00F6367D"/>
    <w:rsid w:val="00F6436A"/>
    <w:rsid w:val="00F6480B"/>
    <w:rsid w:val="00F64B26"/>
    <w:rsid w:val="00F64BC9"/>
    <w:rsid w:val="00F651FB"/>
    <w:rsid w:val="00F66042"/>
    <w:rsid w:val="00F663E4"/>
    <w:rsid w:val="00F66A6E"/>
    <w:rsid w:val="00F66D44"/>
    <w:rsid w:val="00F674DA"/>
    <w:rsid w:val="00F67D3F"/>
    <w:rsid w:val="00F700D8"/>
    <w:rsid w:val="00F708F1"/>
    <w:rsid w:val="00F70FDD"/>
    <w:rsid w:val="00F715E5"/>
    <w:rsid w:val="00F729F1"/>
    <w:rsid w:val="00F72B73"/>
    <w:rsid w:val="00F752A2"/>
    <w:rsid w:val="00F75AC3"/>
    <w:rsid w:val="00F75EF5"/>
    <w:rsid w:val="00F76363"/>
    <w:rsid w:val="00F7685D"/>
    <w:rsid w:val="00F76D4A"/>
    <w:rsid w:val="00F77119"/>
    <w:rsid w:val="00F77E63"/>
    <w:rsid w:val="00F8037E"/>
    <w:rsid w:val="00F803B7"/>
    <w:rsid w:val="00F806C9"/>
    <w:rsid w:val="00F807F7"/>
    <w:rsid w:val="00F816F6"/>
    <w:rsid w:val="00F83A8A"/>
    <w:rsid w:val="00F84A5A"/>
    <w:rsid w:val="00F85B83"/>
    <w:rsid w:val="00F86B73"/>
    <w:rsid w:val="00F870BF"/>
    <w:rsid w:val="00F91D8E"/>
    <w:rsid w:val="00F923B9"/>
    <w:rsid w:val="00F927E3"/>
    <w:rsid w:val="00F934BB"/>
    <w:rsid w:val="00F939B6"/>
    <w:rsid w:val="00F9440D"/>
    <w:rsid w:val="00F94BC8"/>
    <w:rsid w:val="00F9640C"/>
    <w:rsid w:val="00F97BCC"/>
    <w:rsid w:val="00FA057A"/>
    <w:rsid w:val="00FA1A50"/>
    <w:rsid w:val="00FA1D9A"/>
    <w:rsid w:val="00FA26F8"/>
    <w:rsid w:val="00FA276F"/>
    <w:rsid w:val="00FA3AE6"/>
    <w:rsid w:val="00FA3E60"/>
    <w:rsid w:val="00FA3EC1"/>
    <w:rsid w:val="00FA40E6"/>
    <w:rsid w:val="00FA49E0"/>
    <w:rsid w:val="00FA5C9E"/>
    <w:rsid w:val="00FB016A"/>
    <w:rsid w:val="00FB0D77"/>
    <w:rsid w:val="00FB0E86"/>
    <w:rsid w:val="00FB0F89"/>
    <w:rsid w:val="00FB39F2"/>
    <w:rsid w:val="00FB5B5B"/>
    <w:rsid w:val="00FB7A8F"/>
    <w:rsid w:val="00FC01EC"/>
    <w:rsid w:val="00FC1402"/>
    <w:rsid w:val="00FC1B18"/>
    <w:rsid w:val="00FC2295"/>
    <w:rsid w:val="00FC35FA"/>
    <w:rsid w:val="00FC3D4C"/>
    <w:rsid w:val="00FC4846"/>
    <w:rsid w:val="00FC7770"/>
    <w:rsid w:val="00FD0D3F"/>
    <w:rsid w:val="00FD1298"/>
    <w:rsid w:val="00FD277B"/>
    <w:rsid w:val="00FD362E"/>
    <w:rsid w:val="00FD3AEE"/>
    <w:rsid w:val="00FD4281"/>
    <w:rsid w:val="00FD675A"/>
    <w:rsid w:val="00FD6EA3"/>
    <w:rsid w:val="00FD7514"/>
    <w:rsid w:val="00FE0940"/>
    <w:rsid w:val="00FE0E36"/>
    <w:rsid w:val="00FE28C4"/>
    <w:rsid w:val="00FE34DC"/>
    <w:rsid w:val="00FE354B"/>
    <w:rsid w:val="00FE37E9"/>
    <w:rsid w:val="00FE3D93"/>
    <w:rsid w:val="00FE45BD"/>
    <w:rsid w:val="00FE4D06"/>
    <w:rsid w:val="00FE6632"/>
    <w:rsid w:val="00FE66ED"/>
    <w:rsid w:val="00FE6C64"/>
    <w:rsid w:val="00FE76FA"/>
    <w:rsid w:val="00FE77D3"/>
    <w:rsid w:val="00FF02F7"/>
    <w:rsid w:val="00FF1329"/>
    <w:rsid w:val="00FF1CE1"/>
    <w:rsid w:val="00FF1E0B"/>
    <w:rsid w:val="00FF24A7"/>
    <w:rsid w:val="00FF352D"/>
    <w:rsid w:val="00FF396F"/>
    <w:rsid w:val="00FF3AA1"/>
    <w:rsid w:val="00FF537D"/>
    <w:rsid w:val="00FF64E9"/>
    <w:rsid w:val="00FF7965"/>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E15"/>
    <w:rPr>
      <w:sz w:val="24"/>
      <w:szCs w:val="24"/>
      <w:lang w:val="bg-BG"/>
    </w:rPr>
  </w:style>
  <w:style w:type="paragraph" w:styleId="Heading1">
    <w:name w:val="heading 1"/>
    <w:basedOn w:val="Normal"/>
    <w:next w:val="Normal"/>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uiPriority w:val="99"/>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semiHidden/>
    <w:rsid w:val="00A252C3"/>
    <w:rPr>
      <w:sz w:val="16"/>
      <w:szCs w:val="16"/>
    </w:rPr>
  </w:style>
  <w:style w:type="paragraph" w:styleId="CommentText">
    <w:name w:val="annotation text"/>
    <w:basedOn w:val="Normal"/>
    <w:link w:val="CommentTextChar"/>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basedOn w:val="Normal"/>
    <w:uiPriority w:val="99"/>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E15"/>
    <w:rPr>
      <w:sz w:val="24"/>
      <w:szCs w:val="24"/>
      <w:lang w:val="bg-BG"/>
    </w:rPr>
  </w:style>
  <w:style w:type="paragraph" w:styleId="Heading1">
    <w:name w:val="heading 1"/>
    <w:basedOn w:val="Normal"/>
    <w:next w:val="Normal"/>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uiPriority w:val="99"/>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semiHidden/>
    <w:rsid w:val="00A252C3"/>
    <w:rPr>
      <w:sz w:val="16"/>
      <w:szCs w:val="16"/>
    </w:rPr>
  </w:style>
  <w:style w:type="paragraph" w:styleId="CommentText">
    <w:name w:val="annotation text"/>
    <w:basedOn w:val="Normal"/>
    <w:link w:val="CommentTextChar"/>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basedOn w:val="Normal"/>
    <w:uiPriority w:val="99"/>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391409685821E-2"/>
          <c:y val="3.8309849426716405E-2"/>
          <c:w val="0.90305106959238579"/>
          <c:h val="0.70521308191739196"/>
        </c:manualLayout>
      </c:layout>
      <c:barChart>
        <c:barDir val="col"/>
        <c:grouping val="clustered"/>
        <c:varyColors val="0"/>
        <c:ser>
          <c:idx val="0"/>
          <c:order val="0"/>
          <c:tx>
            <c:strRef>
              <c:f>Sheet1!$B$36</c:f>
              <c:strCache>
                <c:ptCount val="1"/>
                <c:pt idx="0">
                  <c:v>към март 2017 г.</c:v>
                </c:pt>
              </c:strCache>
            </c:strRef>
          </c:tx>
          <c:spPr>
            <a:pattFill prst="pct5">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683">
              <a:solidFill>
                <a:srgbClr val="000000"/>
              </a:solidFill>
              <a:prstDash val="solid"/>
            </a:ln>
          </c:spPr>
          <c:invertIfNegative val="0"/>
          <c:dLbls>
            <c:dLbl>
              <c:idx val="0"/>
              <c:layout>
                <c:manualLayout>
                  <c:x val="-1.1911120203121079E-3"/>
                  <c:y val="0.28234266642777711"/>
                </c:manualLayout>
              </c:layout>
              <c:dLblPos val="outEnd"/>
              <c:showLegendKey val="0"/>
              <c:showVal val="1"/>
              <c:showCatName val="0"/>
              <c:showSerName val="0"/>
              <c:showPercent val="0"/>
              <c:showBubbleSize val="0"/>
            </c:dLbl>
            <c:dLbl>
              <c:idx val="1"/>
              <c:layout>
                <c:manualLayout>
                  <c:x val="-8.5984781316822308E-3"/>
                  <c:y val="8.5907721123107857E-3"/>
                </c:manualLayout>
              </c:layout>
              <c:dLblPos val="outEnd"/>
              <c:showLegendKey val="0"/>
              <c:showVal val="1"/>
              <c:showCatName val="0"/>
              <c:showSerName val="0"/>
              <c:showPercent val="0"/>
              <c:showBubbleSize val="0"/>
            </c:dLbl>
            <c:dLbl>
              <c:idx val="2"/>
              <c:layout>
                <c:manualLayout>
                  <c:x val="-4.0234036459434776E-3"/>
                  <c:y val="3.7105729237608418E-3"/>
                </c:manualLayout>
              </c:layout>
              <c:dLblPos val="outEnd"/>
              <c:showLegendKey val="0"/>
              <c:showVal val="1"/>
              <c:showCatName val="0"/>
              <c:showSerName val="0"/>
              <c:showPercent val="0"/>
              <c:showBubbleSize val="0"/>
            </c:dLbl>
            <c:dLbl>
              <c:idx val="3"/>
              <c:layout>
                <c:manualLayout>
                  <c:x val="1.6412105113367671E-3"/>
                  <c:y val="-1.4967557207841688E-2"/>
                </c:manualLayout>
              </c:layout>
              <c:dLblPos val="outEnd"/>
              <c:showLegendKey val="0"/>
              <c:showVal val="1"/>
              <c:showCatName val="0"/>
              <c:showSerName val="0"/>
              <c:showPercent val="0"/>
              <c:showBubbleSize val="0"/>
            </c:dLbl>
            <c:dLbl>
              <c:idx val="4"/>
              <c:layout>
                <c:manualLayout>
                  <c:x val="-1.6232910645205495E-4"/>
                  <c:y val="0.16554406139115307"/>
                </c:manualLayout>
              </c:layout>
              <c:dLblPos val="outEnd"/>
              <c:showLegendKey val="0"/>
              <c:showVal val="1"/>
              <c:showCatName val="0"/>
              <c:showSerName val="0"/>
              <c:showPercent val="0"/>
              <c:showBubbleSize val="0"/>
            </c:dLbl>
            <c:dLbl>
              <c:idx val="5"/>
              <c:layout>
                <c:manualLayout>
                  <c:x val="2.2153355328575895E-4"/>
                  <c:y val="4.5165908513635205E-3"/>
                </c:manualLayout>
              </c:layout>
              <c:dLblPos val="outEnd"/>
              <c:showLegendKey val="0"/>
              <c:showVal val="1"/>
              <c:showCatName val="0"/>
              <c:showSerName val="0"/>
              <c:showPercent val="0"/>
              <c:showBubbleSize val="0"/>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Sheet1!$A$38:$A$43</c:f>
              <c:strCache>
                <c:ptCount val="6"/>
                <c:pt idx="0">
                  <c:v>Текущи нелихвени разходи</c:v>
                </c:pt>
                <c:pt idx="1">
                  <c:v>Предоставени тек. и капит. трансфери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Sheet1!$B$38:$B$43</c:f>
              <c:numCache>
                <c:formatCode>#,##0.0</c:formatCode>
                <c:ptCount val="6"/>
                <c:pt idx="0">
                  <c:v>1751</c:v>
                </c:pt>
                <c:pt idx="1">
                  <c:v>1</c:v>
                </c:pt>
                <c:pt idx="2">
                  <c:v>50.2</c:v>
                </c:pt>
                <c:pt idx="3">
                  <c:v>381.4</c:v>
                </c:pt>
                <c:pt idx="4">
                  <c:v>2601.6</c:v>
                </c:pt>
                <c:pt idx="5">
                  <c:v>213.7</c:v>
                </c:pt>
              </c:numCache>
            </c:numRef>
          </c:val>
        </c:ser>
        <c:ser>
          <c:idx val="1"/>
          <c:order val="1"/>
          <c:tx>
            <c:strRef>
              <c:f>Sheet1!$C$36</c:f>
              <c:strCache>
                <c:ptCount val="1"/>
                <c:pt idx="0">
                  <c:v>към март 2018 г.</c:v>
                </c:pt>
              </c:strCache>
            </c:strRef>
          </c:tx>
          <c:spPr>
            <a:pattFill prst="smConfetti">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83">
              <a:solidFill>
                <a:srgbClr val="000000"/>
              </a:solidFill>
              <a:prstDash val="solid"/>
            </a:ln>
          </c:spPr>
          <c:invertIfNegative val="0"/>
          <c:dLbls>
            <c:dLbl>
              <c:idx val="0"/>
              <c:layout>
                <c:manualLayout>
                  <c:x val="-1.5957659542556258E-3"/>
                  <c:y val="0.29509151360843117"/>
                </c:manualLayout>
              </c:layout>
              <c:dLblPos val="outEnd"/>
              <c:showLegendKey val="0"/>
              <c:showVal val="1"/>
              <c:showCatName val="0"/>
              <c:showSerName val="0"/>
              <c:showPercent val="0"/>
              <c:showBubbleSize val="0"/>
            </c:dLbl>
            <c:dLbl>
              <c:idx val="1"/>
              <c:layout>
                <c:manualLayout>
                  <c:x val="-1.3778516227466984E-3"/>
                  <c:y val="1.006945895278097E-2"/>
                </c:manualLayout>
              </c:layout>
              <c:dLblPos val="outEnd"/>
              <c:showLegendKey val="0"/>
              <c:showVal val="1"/>
              <c:showCatName val="0"/>
              <c:showSerName val="0"/>
              <c:showPercent val="0"/>
              <c:showBubbleSize val="0"/>
            </c:dLbl>
            <c:dLbl>
              <c:idx val="2"/>
              <c:layout>
                <c:manualLayout>
                  <c:x val="-2.2494060247787552E-3"/>
                  <c:y val="3.9806077783033E-3"/>
                </c:manualLayout>
              </c:layout>
              <c:dLblPos val="outEnd"/>
              <c:showLegendKey val="0"/>
              <c:showVal val="1"/>
              <c:showCatName val="0"/>
              <c:showSerName val="0"/>
              <c:showPercent val="0"/>
              <c:showBubbleSize val="0"/>
            </c:dLbl>
            <c:dLbl>
              <c:idx val="3"/>
              <c:layout>
                <c:manualLayout>
                  <c:x val="4.7143956403039979E-3"/>
                  <c:y val="-1.6552366438066211E-2"/>
                </c:manualLayout>
              </c:layout>
              <c:dLblPos val="outEnd"/>
              <c:showLegendKey val="0"/>
              <c:showVal val="1"/>
              <c:showCatName val="0"/>
              <c:showSerName val="0"/>
              <c:showPercent val="0"/>
              <c:showBubbleSize val="0"/>
            </c:dLbl>
            <c:dLbl>
              <c:idx val="4"/>
              <c:layout>
                <c:manualLayout>
                  <c:x val="2.5962116181260475E-3"/>
                  <c:y val="0.14622231971736671"/>
                </c:manualLayout>
              </c:layout>
              <c:dLblPos val="outEnd"/>
              <c:showLegendKey val="0"/>
              <c:showVal val="1"/>
              <c:showCatName val="0"/>
              <c:showSerName val="0"/>
              <c:showPercent val="0"/>
              <c:showBubbleSize val="0"/>
            </c:dLbl>
            <c:dLbl>
              <c:idx val="5"/>
              <c:layout>
                <c:manualLayout>
                  <c:x val="1.9210701072004553E-3"/>
                  <c:y val="-6.9634624117733083E-3"/>
                </c:manualLayout>
              </c:layout>
              <c:dLblPos val="outEnd"/>
              <c:showLegendKey val="0"/>
              <c:showVal val="1"/>
              <c:showCatName val="0"/>
              <c:showSerName val="0"/>
              <c:showPercent val="0"/>
              <c:showBubbleSize val="0"/>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Sheet1!$A$38:$A$43</c:f>
              <c:strCache>
                <c:ptCount val="6"/>
                <c:pt idx="0">
                  <c:v>Текущи нелихвени разходи</c:v>
                </c:pt>
                <c:pt idx="1">
                  <c:v>Предоставени тек. и капит. трансфери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Sheet1!$C$38:$C$43</c:f>
              <c:numCache>
                <c:formatCode>#,##0.0</c:formatCode>
                <c:ptCount val="6"/>
                <c:pt idx="0">
                  <c:v>1918.0440000000001</c:v>
                </c:pt>
                <c:pt idx="1">
                  <c:v>1.9</c:v>
                </c:pt>
                <c:pt idx="2">
                  <c:v>132.9</c:v>
                </c:pt>
                <c:pt idx="3">
                  <c:v>371</c:v>
                </c:pt>
                <c:pt idx="4">
                  <c:v>2690.2</c:v>
                </c:pt>
                <c:pt idx="5">
                  <c:v>308.24399999999997</c:v>
                </c:pt>
              </c:numCache>
            </c:numRef>
          </c:val>
        </c:ser>
        <c:dLbls>
          <c:showLegendKey val="0"/>
          <c:showVal val="0"/>
          <c:showCatName val="0"/>
          <c:showSerName val="0"/>
          <c:showPercent val="0"/>
          <c:showBubbleSize val="0"/>
        </c:dLbls>
        <c:gapWidth val="150"/>
        <c:axId val="70252416"/>
        <c:axId val="70398720"/>
      </c:barChart>
      <c:catAx>
        <c:axId val="70252416"/>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70398720"/>
        <c:crosses val="autoZero"/>
        <c:auto val="1"/>
        <c:lblAlgn val="ctr"/>
        <c:lblOffset val="100"/>
        <c:tickLblSkip val="1"/>
        <c:tickMarkSkip val="1"/>
        <c:noMultiLvlLbl val="0"/>
      </c:catAx>
      <c:valAx>
        <c:axId val="70398720"/>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0722E-4"/>
              <c:y val="0.93341453652604278"/>
            </c:manualLayout>
          </c:layout>
          <c:overlay val="0"/>
          <c:spPr>
            <a:noFill/>
            <a:ln w="25367">
              <a:noFill/>
            </a:ln>
          </c:spPr>
        </c:title>
        <c:numFmt formatCode="#,##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70252416"/>
        <c:crosses val="autoZero"/>
        <c:crossBetween val="between"/>
      </c:valAx>
      <c:spPr>
        <a:solidFill>
          <a:srgbClr val="FFFFFF"/>
        </a:solidFill>
        <a:ln w="25367">
          <a:solidFill>
            <a:srgbClr val="C0C0C0"/>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9.1417287698475444E-2"/>
          <c:y val="0.91477519855472611"/>
          <c:w val="0.37783862444330135"/>
          <c:h val="8.4652486620990564E-2"/>
        </c:manualLayout>
      </c:layout>
      <c:overlay val="0"/>
      <c:spPr>
        <a:solidFill>
          <a:srgbClr val="FFFFFF"/>
        </a:solidFill>
        <a:ln w="3171">
          <a:solidFill>
            <a:srgbClr val="000000"/>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DDD7-6ABE-4085-B634-1D9AB6F6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28</Pages>
  <Words>15033</Words>
  <Characters>80447</Characters>
  <Application>Microsoft Office Word</Application>
  <DocSecurity>0</DocSecurity>
  <Lines>670</Lines>
  <Paragraphs>190</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95290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Вера Данева</cp:lastModifiedBy>
  <cp:revision>210</cp:revision>
  <cp:lastPrinted>2018-05-11T12:59:00Z</cp:lastPrinted>
  <dcterms:created xsi:type="dcterms:W3CDTF">2018-04-19T15:20:00Z</dcterms:created>
  <dcterms:modified xsi:type="dcterms:W3CDTF">2018-05-11T13:01:00Z</dcterms:modified>
</cp:coreProperties>
</file>