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15" w:rsidRPr="0029768D" w:rsidRDefault="00063E15" w:rsidP="008314D1">
      <w:pPr>
        <w:pStyle w:val="Title"/>
        <w:pBdr>
          <w:bottom w:val="double" w:sz="6" w:space="0" w:color="auto"/>
        </w:pBdr>
      </w:pPr>
      <w:bookmarkStart w:id="0" w:name="_GoBack"/>
      <w:bookmarkEnd w:id="0"/>
      <w:r w:rsidRPr="0029768D">
        <w:t>М И Н И С Т Е Р С Т В О   Н А   Ф И Н А Н С И Т Е</w:t>
      </w:r>
    </w:p>
    <w:p w:rsidR="005F7245" w:rsidRPr="0029768D" w:rsidRDefault="005F7245" w:rsidP="00063E15">
      <w:pPr>
        <w:rPr>
          <w:sz w:val="16"/>
          <w:szCs w:val="16"/>
        </w:rPr>
      </w:pPr>
    </w:p>
    <w:p w:rsidR="00430A35" w:rsidRPr="0029768D" w:rsidRDefault="00430A35" w:rsidP="00120CC7">
      <w:pPr>
        <w:pStyle w:val="Heading1"/>
        <w:jc w:val="left"/>
        <w:rPr>
          <w:sz w:val="24"/>
        </w:rPr>
      </w:pPr>
    </w:p>
    <w:p w:rsidR="0019151C" w:rsidRPr="0029768D" w:rsidRDefault="0019151C" w:rsidP="0019151C"/>
    <w:p w:rsidR="0019151C" w:rsidRPr="0029768D" w:rsidRDefault="0019151C" w:rsidP="0019151C"/>
    <w:p w:rsidR="00E9260C" w:rsidRPr="0029768D" w:rsidRDefault="00E9260C" w:rsidP="009B536C">
      <w:pPr>
        <w:pStyle w:val="Heading1"/>
        <w:rPr>
          <w:sz w:val="24"/>
        </w:rPr>
      </w:pPr>
      <w:r w:rsidRPr="0029768D">
        <w:rPr>
          <w:sz w:val="24"/>
        </w:rPr>
        <w:t>ИНФОРМАЦИЯ</w:t>
      </w:r>
    </w:p>
    <w:p w:rsidR="00E9260C" w:rsidRPr="0029768D" w:rsidRDefault="00E9260C" w:rsidP="009B536C">
      <w:pPr>
        <w:jc w:val="center"/>
        <w:rPr>
          <w:b/>
          <w:bCs/>
        </w:rPr>
      </w:pPr>
      <w:r w:rsidRPr="0029768D">
        <w:rPr>
          <w:b/>
          <w:bCs/>
        </w:rPr>
        <w:t xml:space="preserve">ЗА </w:t>
      </w:r>
      <w:r w:rsidR="004E7BF8" w:rsidRPr="0029768D">
        <w:rPr>
          <w:b/>
          <w:bCs/>
        </w:rPr>
        <w:t xml:space="preserve">КАСОВОТО </w:t>
      </w:r>
      <w:r w:rsidRPr="0029768D">
        <w:rPr>
          <w:b/>
          <w:bCs/>
        </w:rPr>
        <w:t xml:space="preserve">ИЗПЪЛНЕНИЕ НА </w:t>
      </w:r>
      <w:r w:rsidR="004E7BF8" w:rsidRPr="0029768D">
        <w:rPr>
          <w:b/>
          <w:bCs/>
        </w:rPr>
        <w:t>ДЪРЖАВНИЯ</w:t>
      </w:r>
      <w:r w:rsidRPr="0029768D">
        <w:rPr>
          <w:b/>
          <w:bCs/>
        </w:rPr>
        <w:t xml:space="preserve"> БЮДЖЕТ</w:t>
      </w:r>
      <w:r w:rsidR="004E7BF8" w:rsidRPr="0029768D">
        <w:rPr>
          <w:b/>
          <w:bCs/>
        </w:rPr>
        <w:t xml:space="preserve"> И НА ОСНОВНИТЕ ПОКАЗАТЕЛИ НА КОНСОЛИДИРАНАТА ФИСКАЛНА ПРОГРАМА </w:t>
      </w:r>
    </w:p>
    <w:p w:rsidR="003F47AB" w:rsidRPr="0029768D" w:rsidRDefault="003F47AB" w:rsidP="003F47AB">
      <w:pPr>
        <w:jc w:val="center"/>
        <w:rPr>
          <w:b/>
          <w:bCs/>
        </w:rPr>
      </w:pPr>
      <w:r w:rsidRPr="0029768D">
        <w:rPr>
          <w:b/>
          <w:bCs/>
        </w:rPr>
        <w:t xml:space="preserve">ЗА ПЪРВОТО </w:t>
      </w:r>
      <w:r w:rsidR="006A20F2" w:rsidRPr="0029768D">
        <w:rPr>
          <w:b/>
          <w:bCs/>
        </w:rPr>
        <w:t>ПОЛУГОДИЕ</w:t>
      </w:r>
      <w:r w:rsidRPr="0029768D">
        <w:rPr>
          <w:b/>
          <w:bCs/>
        </w:rPr>
        <w:t xml:space="preserve"> НА 2017 ГОДИНА</w:t>
      </w:r>
    </w:p>
    <w:p w:rsidR="00430A35" w:rsidRPr="0092537A" w:rsidRDefault="00430A35" w:rsidP="003A06C5">
      <w:pPr>
        <w:rPr>
          <w:b/>
          <w:bCs/>
          <w:color w:val="0070C0"/>
        </w:rPr>
      </w:pPr>
    </w:p>
    <w:p w:rsidR="0019151C" w:rsidRPr="0092537A" w:rsidRDefault="0019151C" w:rsidP="003A06C5">
      <w:pPr>
        <w:rPr>
          <w:b/>
          <w:bCs/>
          <w:color w:val="0070C0"/>
        </w:rPr>
      </w:pPr>
    </w:p>
    <w:p w:rsidR="0019151C" w:rsidRPr="0092537A" w:rsidRDefault="0019151C" w:rsidP="003A06C5">
      <w:pPr>
        <w:rPr>
          <w:b/>
          <w:bCs/>
          <w:color w:val="0070C0"/>
        </w:rPr>
      </w:pPr>
    </w:p>
    <w:p w:rsidR="0019151C" w:rsidRPr="007863F6" w:rsidRDefault="0019151C" w:rsidP="00D1174E">
      <w:pPr>
        <w:ind w:firstLine="709"/>
        <w:jc w:val="both"/>
        <w:rPr>
          <w:b/>
          <w:bCs/>
          <w:u w:val="single"/>
        </w:rPr>
      </w:pPr>
      <w:r w:rsidRPr="007863F6">
        <w:rPr>
          <w:b/>
          <w:bCs/>
          <w:u w:val="single"/>
        </w:rPr>
        <w:t>Развитие на икономическата среда</w:t>
      </w:r>
    </w:p>
    <w:p w:rsidR="0019151C" w:rsidRPr="0092537A" w:rsidRDefault="0019151C" w:rsidP="0019151C">
      <w:pPr>
        <w:spacing w:line="276" w:lineRule="auto"/>
        <w:ind w:firstLine="567"/>
        <w:jc w:val="both"/>
        <w:rPr>
          <w:color w:val="0070C0"/>
          <w:sz w:val="8"/>
          <w:szCs w:val="8"/>
        </w:rPr>
      </w:pPr>
    </w:p>
    <w:p w:rsidR="007863F6" w:rsidRPr="009516DD" w:rsidRDefault="007863F6" w:rsidP="007863F6">
      <w:pPr>
        <w:spacing w:before="120" w:after="120"/>
        <w:ind w:firstLine="709"/>
        <w:jc w:val="both"/>
        <w:rPr>
          <w:color w:val="000000" w:themeColor="text1"/>
        </w:rPr>
      </w:pPr>
      <w:r w:rsidRPr="009516DD">
        <w:rPr>
          <w:color w:val="000000" w:themeColor="text1"/>
        </w:rPr>
        <w:t>Растежът на БВП достигна 3</w:t>
      </w:r>
      <w:r w:rsidR="008752EA">
        <w:rPr>
          <w:color w:val="000000" w:themeColor="text1"/>
        </w:rPr>
        <w:t>,</w:t>
      </w:r>
      <w:r w:rsidRPr="009516DD">
        <w:rPr>
          <w:color w:val="000000" w:themeColor="text1"/>
        </w:rPr>
        <w:t>9</w:t>
      </w:r>
      <w:r w:rsidR="0098640A">
        <w:rPr>
          <w:color w:val="000000" w:themeColor="text1"/>
        </w:rPr>
        <w:t xml:space="preserve"> </w:t>
      </w:r>
      <w:r w:rsidRPr="009516DD">
        <w:rPr>
          <w:color w:val="000000" w:themeColor="text1"/>
        </w:rPr>
        <w:t>% на годишна база (според сезонно изгладените данни) през първото тримесечие на 2017 г., движен от вътрешното търсене. Частното потребление се повиши с 6</w:t>
      </w:r>
      <w:r w:rsidR="008752EA">
        <w:rPr>
          <w:color w:val="000000" w:themeColor="text1"/>
        </w:rPr>
        <w:t>,</w:t>
      </w:r>
      <w:r w:rsidRPr="009516DD">
        <w:rPr>
          <w:color w:val="000000" w:themeColor="text1"/>
        </w:rPr>
        <w:t>5</w:t>
      </w:r>
      <w:r w:rsidR="0098640A">
        <w:rPr>
          <w:color w:val="000000" w:themeColor="text1"/>
        </w:rPr>
        <w:t xml:space="preserve"> </w:t>
      </w:r>
      <w:r w:rsidRPr="009516DD">
        <w:rPr>
          <w:color w:val="000000" w:themeColor="text1"/>
        </w:rPr>
        <w:t>%, подкрепено от нарастването на реалния разполагаем доход на домакинствата, а по-високите правителствени разходи за заплати и издръжка се отразиха в ръст на публичното потребление от 8</w:t>
      </w:r>
      <w:r w:rsidR="0098640A">
        <w:rPr>
          <w:color w:val="000000" w:themeColor="text1"/>
        </w:rPr>
        <w:t xml:space="preserve"> </w:t>
      </w:r>
      <w:r w:rsidRPr="009516DD">
        <w:rPr>
          <w:color w:val="000000" w:themeColor="text1"/>
        </w:rPr>
        <w:t>%. Инвестициите в основен капитал също нараснаха с 1</w:t>
      </w:r>
      <w:r w:rsidR="008752EA">
        <w:rPr>
          <w:color w:val="000000" w:themeColor="text1"/>
        </w:rPr>
        <w:t>,</w:t>
      </w:r>
      <w:r w:rsidRPr="009516DD">
        <w:rPr>
          <w:color w:val="000000" w:themeColor="text1"/>
        </w:rPr>
        <w:t>3</w:t>
      </w:r>
      <w:r w:rsidR="0098640A">
        <w:rPr>
          <w:color w:val="000000" w:themeColor="text1"/>
        </w:rPr>
        <w:t xml:space="preserve"> </w:t>
      </w:r>
      <w:r w:rsidRPr="009516DD">
        <w:rPr>
          <w:color w:val="000000" w:themeColor="text1"/>
        </w:rPr>
        <w:t>% в съответствие с подобрението на бизнес климата в страната. Ръстът на износа достигна 5</w:t>
      </w:r>
      <w:r w:rsidR="008752EA">
        <w:rPr>
          <w:color w:val="000000" w:themeColor="text1"/>
        </w:rPr>
        <w:t>,</w:t>
      </w:r>
      <w:r w:rsidRPr="009516DD">
        <w:rPr>
          <w:color w:val="000000" w:themeColor="text1"/>
        </w:rPr>
        <w:t>8</w:t>
      </w:r>
      <w:r w:rsidR="0098640A">
        <w:rPr>
          <w:color w:val="000000" w:themeColor="text1"/>
        </w:rPr>
        <w:t xml:space="preserve"> </w:t>
      </w:r>
      <w:r w:rsidRPr="009516DD">
        <w:rPr>
          <w:color w:val="000000" w:themeColor="text1"/>
        </w:rPr>
        <w:t>%, докато по-високото вътрешно търсене доведе до нарастване на вноса с 10</w:t>
      </w:r>
      <w:r w:rsidR="0098640A">
        <w:rPr>
          <w:color w:val="000000" w:themeColor="text1"/>
        </w:rPr>
        <w:t>,</w:t>
      </w:r>
      <w:r w:rsidRPr="009516DD">
        <w:rPr>
          <w:color w:val="000000" w:themeColor="text1"/>
        </w:rPr>
        <w:t>1</w:t>
      </w:r>
      <w:r w:rsidR="0098640A">
        <w:rPr>
          <w:color w:val="000000" w:themeColor="text1"/>
        </w:rPr>
        <w:t xml:space="preserve"> </w:t>
      </w:r>
      <w:r w:rsidRPr="009516DD">
        <w:rPr>
          <w:color w:val="000000" w:themeColor="text1"/>
        </w:rPr>
        <w:t>%. В резултат, нетният износ имаше отрицателен  принос за растежа на БВП от 2</w:t>
      </w:r>
      <w:r w:rsidR="008752EA">
        <w:rPr>
          <w:color w:val="000000" w:themeColor="text1"/>
        </w:rPr>
        <w:t>,</w:t>
      </w:r>
      <w:r w:rsidRPr="009516DD">
        <w:rPr>
          <w:color w:val="000000" w:themeColor="text1"/>
        </w:rPr>
        <w:t>7 пр.</w:t>
      </w:r>
      <w:r w:rsidR="006C2DA6">
        <w:rPr>
          <w:color w:val="000000" w:themeColor="text1"/>
        </w:rPr>
        <w:t xml:space="preserve"> </w:t>
      </w:r>
      <w:r w:rsidRPr="009516DD">
        <w:rPr>
          <w:color w:val="000000" w:themeColor="text1"/>
        </w:rPr>
        <w:t>п. От страна на предлагането, брутната добавена стойност нарасна с 4</w:t>
      </w:r>
      <w:r w:rsidR="008752EA">
        <w:rPr>
          <w:color w:val="000000" w:themeColor="text1"/>
        </w:rPr>
        <w:t>,</w:t>
      </w:r>
      <w:r w:rsidRPr="009516DD">
        <w:rPr>
          <w:color w:val="000000" w:themeColor="text1"/>
        </w:rPr>
        <w:t>8</w:t>
      </w:r>
      <w:r w:rsidR="0098640A">
        <w:rPr>
          <w:color w:val="000000" w:themeColor="text1"/>
        </w:rPr>
        <w:t xml:space="preserve"> </w:t>
      </w:r>
      <w:r w:rsidRPr="009516DD">
        <w:rPr>
          <w:color w:val="000000" w:themeColor="text1"/>
        </w:rPr>
        <w:t>% на годишна база, като най-голям принос имаха услугите.</w:t>
      </w:r>
    </w:p>
    <w:p w:rsidR="007863F6" w:rsidRPr="009516DD" w:rsidRDefault="007863F6" w:rsidP="007863F6">
      <w:pPr>
        <w:spacing w:before="120" w:after="120"/>
        <w:ind w:firstLine="709"/>
        <w:jc w:val="both"/>
        <w:rPr>
          <w:color w:val="000000" w:themeColor="text1"/>
        </w:rPr>
      </w:pPr>
      <w:r w:rsidRPr="009516DD">
        <w:rPr>
          <w:color w:val="000000" w:themeColor="text1"/>
        </w:rPr>
        <w:t>През първото тримесечие на 2017 г. броят на заетите (ЕСС 2010) се увеличи с 1</w:t>
      </w:r>
      <w:r w:rsidR="00402C2E">
        <w:rPr>
          <w:color w:val="000000" w:themeColor="text1"/>
        </w:rPr>
        <w:t>,</w:t>
      </w:r>
      <w:r w:rsidRPr="009516DD">
        <w:rPr>
          <w:color w:val="000000" w:themeColor="text1"/>
        </w:rPr>
        <w:t>2</w:t>
      </w:r>
      <w:r w:rsidR="00402C2E">
        <w:rPr>
          <w:color w:val="000000" w:themeColor="text1"/>
        </w:rPr>
        <w:t xml:space="preserve"> </w:t>
      </w:r>
      <w:r w:rsidRPr="009516DD">
        <w:rPr>
          <w:color w:val="000000" w:themeColor="text1"/>
        </w:rPr>
        <w:t xml:space="preserve">% на годишна база, подкрепен от нарасналата стопанска активност в страната. За повишението допринесе както разкриването на работни места от работодателите, така и увеличението на </w:t>
      </w:r>
      <w:proofErr w:type="spellStart"/>
      <w:r w:rsidRPr="009516DD">
        <w:rPr>
          <w:color w:val="000000" w:themeColor="text1"/>
        </w:rPr>
        <w:t>самонаетите</w:t>
      </w:r>
      <w:proofErr w:type="spellEnd"/>
      <w:r w:rsidRPr="009516DD">
        <w:rPr>
          <w:color w:val="000000" w:themeColor="text1"/>
        </w:rPr>
        <w:t xml:space="preserve"> лица. </w:t>
      </w:r>
      <w:r>
        <w:rPr>
          <w:color w:val="000000" w:themeColor="text1"/>
        </w:rPr>
        <w:t>К</w:t>
      </w:r>
      <w:r w:rsidRPr="009516DD">
        <w:rPr>
          <w:color w:val="000000" w:themeColor="text1"/>
        </w:rPr>
        <w:t>оефициентът на безработица продължи да намалява до 6.9</w:t>
      </w:r>
      <w:r w:rsidR="00BA436B">
        <w:rPr>
          <w:color w:val="000000" w:themeColor="text1"/>
        </w:rPr>
        <w:t xml:space="preserve"> </w:t>
      </w:r>
      <w:r w:rsidRPr="009516DD">
        <w:rPr>
          <w:color w:val="000000" w:themeColor="text1"/>
        </w:rPr>
        <w:t>%, отчитайки спад от 1</w:t>
      </w:r>
      <w:r w:rsidR="00402C2E">
        <w:rPr>
          <w:color w:val="000000" w:themeColor="text1"/>
        </w:rPr>
        <w:t>,</w:t>
      </w:r>
      <w:r w:rsidRPr="009516DD">
        <w:rPr>
          <w:color w:val="000000" w:themeColor="text1"/>
        </w:rPr>
        <w:t xml:space="preserve">7 </w:t>
      </w:r>
      <w:proofErr w:type="spellStart"/>
      <w:r w:rsidRPr="009516DD">
        <w:rPr>
          <w:color w:val="000000" w:themeColor="text1"/>
        </w:rPr>
        <w:t>пр</w:t>
      </w:r>
      <w:proofErr w:type="spellEnd"/>
      <w:r w:rsidR="00402C2E">
        <w:rPr>
          <w:color w:val="000000" w:themeColor="text1"/>
        </w:rPr>
        <w:t xml:space="preserve"> </w:t>
      </w:r>
      <w:r w:rsidRPr="009516DD">
        <w:rPr>
          <w:color w:val="000000" w:themeColor="text1"/>
        </w:rPr>
        <w:t xml:space="preserve">.п. на годишна база. </w:t>
      </w:r>
    </w:p>
    <w:p w:rsidR="007863F6" w:rsidRPr="009516DD" w:rsidRDefault="007863F6" w:rsidP="007863F6">
      <w:pPr>
        <w:spacing w:before="120" w:after="120"/>
        <w:ind w:firstLine="709"/>
        <w:jc w:val="both"/>
        <w:rPr>
          <w:color w:val="000000" w:themeColor="text1"/>
        </w:rPr>
      </w:pPr>
      <w:r w:rsidRPr="009516DD">
        <w:rPr>
          <w:color w:val="000000" w:themeColor="text1"/>
        </w:rPr>
        <w:t xml:space="preserve">Годишният темп на инфлация премина на положителна територия през януари 2017 г. за първи път от средата на 2013 г. и следваше възходяща тенденция, воден от наблюдаваното възстановяване на международните цени на храните и суровия петрол. Въпреки това, през май този </w:t>
      </w:r>
      <w:proofErr w:type="spellStart"/>
      <w:r w:rsidRPr="009516DD">
        <w:rPr>
          <w:color w:val="000000" w:themeColor="text1"/>
        </w:rPr>
        <w:t>тренд</w:t>
      </w:r>
      <w:proofErr w:type="spellEnd"/>
      <w:r w:rsidRPr="009516DD">
        <w:rPr>
          <w:color w:val="000000" w:themeColor="text1"/>
        </w:rPr>
        <w:t xml:space="preserve"> се пречупи и през юни общата инфлация в страната се забави до 1</w:t>
      </w:r>
      <w:r w:rsidR="00E5364D">
        <w:rPr>
          <w:color w:val="000000" w:themeColor="text1"/>
        </w:rPr>
        <w:t>,</w:t>
      </w:r>
      <w:proofErr w:type="spellStart"/>
      <w:r w:rsidRPr="009516DD">
        <w:rPr>
          <w:color w:val="000000" w:themeColor="text1"/>
        </w:rPr>
        <w:t>1</w:t>
      </w:r>
      <w:proofErr w:type="spellEnd"/>
      <w:r w:rsidR="00E5364D">
        <w:rPr>
          <w:color w:val="000000" w:themeColor="text1"/>
        </w:rPr>
        <w:t xml:space="preserve"> </w:t>
      </w:r>
      <w:r w:rsidRPr="009516DD">
        <w:rPr>
          <w:color w:val="000000" w:themeColor="text1"/>
        </w:rPr>
        <w:t>% на годишна база. Това бе свързано най-вече с вътрешната ценова динамика при горивата, които най-общо следваха конюнктурата на международния пазар. От друга страна, базисната инфлация (от общия индекс е изключено изменението в цените на енергийните стоки и непреработените храни) също премина на положителна територия и отчете нарастване от 0</w:t>
      </w:r>
      <w:r w:rsidR="00E5364D">
        <w:rPr>
          <w:color w:val="000000" w:themeColor="text1"/>
        </w:rPr>
        <w:t>,</w:t>
      </w:r>
      <w:r w:rsidRPr="009516DD">
        <w:rPr>
          <w:color w:val="000000" w:themeColor="text1"/>
        </w:rPr>
        <w:t>2</w:t>
      </w:r>
      <w:r w:rsidR="00E5364D" w:rsidRPr="009516DD">
        <w:rPr>
          <w:color w:val="000000" w:themeColor="text1"/>
        </w:rPr>
        <w:t> </w:t>
      </w:r>
      <w:r w:rsidRPr="009516DD">
        <w:rPr>
          <w:color w:val="000000" w:themeColor="text1"/>
        </w:rPr>
        <w:t xml:space="preserve">% на годишна база през юни. </w:t>
      </w:r>
    </w:p>
    <w:p w:rsidR="007863F6" w:rsidRPr="009516DD" w:rsidRDefault="007863F6" w:rsidP="007863F6">
      <w:pPr>
        <w:spacing w:before="120" w:after="120"/>
        <w:ind w:firstLine="709"/>
        <w:jc w:val="both"/>
        <w:rPr>
          <w:color w:val="000000" w:themeColor="text1"/>
        </w:rPr>
      </w:pPr>
      <w:r w:rsidRPr="009516DD">
        <w:rPr>
          <w:color w:val="000000" w:themeColor="text1"/>
        </w:rPr>
        <w:t>За първите пет месеца на годината в страната бяха отчетени входящи потоци в размер на 14</w:t>
      </w:r>
      <w:r w:rsidR="00E83E75">
        <w:rPr>
          <w:color w:val="000000" w:themeColor="text1"/>
        </w:rPr>
        <w:t>,</w:t>
      </w:r>
      <w:r w:rsidRPr="009516DD">
        <w:rPr>
          <w:color w:val="000000" w:themeColor="text1"/>
        </w:rPr>
        <w:t xml:space="preserve">5 млрд. евро, като движение в тази посока бе наблюдавано и по трите сметки на платежния баланс – текуща, капиталова и финансова. </w:t>
      </w:r>
    </w:p>
    <w:p w:rsidR="007863F6" w:rsidRPr="009516DD" w:rsidRDefault="007863F6" w:rsidP="007863F6">
      <w:pPr>
        <w:spacing w:before="120" w:after="120"/>
        <w:ind w:firstLine="709"/>
        <w:jc w:val="both"/>
        <w:rPr>
          <w:color w:val="000000" w:themeColor="text1"/>
        </w:rPr>
      </w:pPr>
      <w:r w:rsidRPr="009516DD">
        <w:rPr>
          <w:color w:val="000000" w:themeColor="text1"/>
        </w:rPr>
        <w:t>Балансът по текущата сметка бе положителен в размер на 79</w:t>
      </w:r>
      <w:r w:rsidR="00E83E75">
        <w:rPr>
          <w:color w:val="000000" w:themeColor="text1"/>
        </w:rPr>
        <w:t>,</w:t>
      </w:r>
      <w:r w:rsidRPr="009516DD">
        <w:rPr>
          <w:color w:val="000000" w:themeColor="text1"/>
        </w:rPr>
        <w:t>1 млн. евро (0</w:t>
      </w:r>
      <w:r w:rsidR="00E83E75">
        <w:rPr>
          <w:color w:val="000000" w:themeColor="text1"/>
        </w:rPr>
        <w:t>,</w:t>
      </w:r>
      <w:r w:rsidRPr="009516DD">
        <w:rPr>
          <w:color w:val="000000" w:themeColor="text1"/>
        </w:rPr>
        <w:t>2</w:t>
      </w:r>
      <w:r w:rsidR="00E83E75">
        <w:rPr>
          <w:color w:val="000000" w:themeColor="text1"/>
        </w:rPr>
        <w:t xml:space="preserve"> </w:t>
      </w:r>
      <w:r w:rsidRPr="009516DD">
        <w:rPr>
          <w:color w:val="000000" w:themeColor="text1"/>
        </w:rPr>
        <w:t>% от прогнозния БВП), при излишък за същия период на 2016 г. от 131</w:t>
      </w:r>
      <w:r w:rsidR="00E83E75">
        <w:rPr>
          <w:color w:val="000000" w:themeColor="text1"/>
        </w:rPr>
        <w:t>,</w:t>
      </w:r>
      <w:r w:rsidRPr="009516DD">
        <w:rPr>
          <w:color w:val="000000" w:themeColor="text1"/>
        </w:rPr>
        <w:t>2 млн. евро или 0</w:t>
      </w:r>
      <w:r w:rsidR="00E83E75">
        <w:rPr>
          <w:color w:val="000000" w:themeColor="text1"/>
        </w:rPr>
        <w:t>,</w:t>
      </w:r>
      <w:r w:rsidRPr="009516DD">
        <w:rPr>
          <w:color w:val="000000" w:themeColor="text1"/>
        </w:rPr>
        <w:t>3</w:t>
      </w:r>
      <w:r w:rsidR="00E83E75">
        <w:rPr>
          <w:color w:val="000000" w:themeColor="text1"/>
        </w:rPr>
        <w:t xml:space="preserve"> </w:t>
      </w:r>
      <w:r w:rsidRPr="009516DD">
        <w:rPr>
          <w:color w:val="000000" w:themeColor="text1"/>
        </w:rPr>
        <w:t>% от БВП. От началото на годината бе наблюдавано увеличение на международните цени, което оказа съществено въздействие върху външната търговия. Търговският дефицит нарасна до 2</w:t>
      </w:r>
      <w:r w:rsidR="00E83E75">
        <w:rPr>
          <w:color w:val="000000" w:themeColor="text1"/>
        </w:rPr>
        <w:t>,</w:t>
      </w:r>
      <w:r w:rsidRPr="009516DD">
        <w:rPr>
          <w:color w:val="000000" w:themeColor="text1"/>
        </w:rPr>
        <w:t>3</w:t>
      </w:r>
      <w:r w:rsidR="00E83E75" w:rsidRPr="009516DD">
        <w:rPr>
          <w:color w:val="000000" w:themeColor="text1"/>
        </w:rPr>
        <w:t> </w:t>
      </w:r>
      <w:r w:rsidRPr="009516DD">
        <w:rPr>
          <w:color w:val="000000" w:themeColor="text1"/>
        </w:rPr>
        <w:t>% от прогнозния БВП при 1</w:t>
      </w:r>
      <w:r w:rsidR="00E83E75">
        <w:rPr>
          <w:color w:val="000000" w:themeColor="text1"/>
        </w:rPr>
        <w:t>,</w:t>
      </w:r>
      <w:r w:rsidRPr="009516DD">
        <w:rPr>
          <w:color w:val="000000" w:themeColor="text1"/>
        </w:rPr>
        <w:t>5</w:t>
      </w:r>
      <w:r w:rsidR="00E83E75">
        <w:rPr>
          <w:color w:val="000000" w:themeColor="text1"/>
        </w:rPr>
        <w:t xml:space="preserve"> </w:t>
      </w:r>
      <w:r w:rsidRPr="009516DD">
        <w:rPr>
          <w:color w:val="000000" w:themeColor="text1"/>
        </w:rPr>
        <w:t>% от БВП за миналата година. Увеличението се дължеше на ръста на вноса, който достигна 21</w:t>
      </w:r>
      <w:r w:rsidR="00E83E75">
        <w:rPr>
          <w:color w:val="000000" w:themeColor="text1"/>
        </w:rPr>
        <w:t xml:space="preserve"> </w:t>
      </w:r>
      <w:r w:rsidRPr="009516DD">
        <w:rPr>
          <w:color w:val="000000" w:themeColor="text1"/>
        </w:rPr>
        <w:t>% и надхвърли този на износа с 3</w:t>
      </w:r>
      <w:r w:rsidR="00E83E75">
        <w:rPr>
          <w:color w:val="000000" w:themeColor="text1"/>
        </w:rPr>
        <w:t>,</w:t>
      </w:r>
      <w:proofErr w:type="spellStart"/>
      <w:r w:rsidRPr="009516DD">
        <w:rPr>
          <w:color w:val="000000" w:themeColor="text1"/>
        </w:rPr>
        <w:t>3</w:t>
      </w:r>
      <w:proofErr w:type="spellEnd"/>
      <w:r w:rsidRPr="009516DD">
        <w:rPr>
          <w:color w:val="000000" w:themeColor="text1"/>
        </w:rPr>
        <w:t xml:space="preserve"> пр.</w:t>
      </w:r>
      <w:r w:rsidR="00E83E75">
        <w:rPr>
          <w:color w:val="000000" w:themeColor="text1"/>
        </w:rPr>
        <w:t xml:space="preserve"> </w:t>
      </w:r>
      <w:r w:rsidRPr="009516DD">
        <w:rPr>
          <w:color w:val="000000" w:themeColor="text1"/>
        </w:rPr>
        <w:t>п. Излишъкът по баланса на услугите намаля до 1</w:t>
      </w:r>
      <w:r w:rsidR="00E83E75">
        <w:rPr>
          <w:color w:val="000000" w:themeColor="text1"/>
        </w:rPr>
        <w:t>,</w:t>
      </w:r>
      <w:proofErr w:type="spellStart"/>
      <w:r w:rsidRPr="009516DD">
        <w:rPr>
          <w:color w:val="000000" w:themeColor="text1"/>
        </w:rPr>
        <w:t>1</w:t>
      </w:r>
      <w:proofErr w:type="spellEnd"/>
      <w:r w:rsidR="00E83E75">
        <w:rPr>
          <w:color w:val="000000" w:themeColor="text1"/>
        </w:rPr>
        <w:t xml:space="preserve"> </w:t>
      </w:r>
      <w:r w:rsidRPr="009516DD">
        <w:rPr>
          <w:color w:val="000000" w:themeColor="text1"/>
        </w:rPr>
        <w:t>% от прогнозния БВП за първите пет месеца 2017 г., като за същия период на 2016 г. бе 1</w:t>
      </w:r>
      <w:r w:rsidR="00E83E75">
        <w:rPr>
          <w:color w:val="000000" w:themeColor="text1"/>
        </w:rPr>
        <w:t>,</w:t>
      </w:r>
      <w:r w:rsidRPr="009516DD">
        <w:rPr>
          <w:color w:val="000000" w:themeColor="text1"/>
        </w:rPr>
        <w:t>4</w:t>
      </w:r>
      <w:r w:rsidR="00E83E75">
        <w:rPr>
          <w:color w:val="000000" w:themeColor="text1"/>
        </w:rPr>
        <w:t xml:space="preserve"> </w:t>
      </w:r>
      <w:r w:rsidRPr="009516DD">
        <w:rPr>
          <w:color w:val="000000" w:themeColor="text1"/>
        </w:rPr>
        <w:t>% от БВП. Балансът по първичния доход се подобри с 0</w:t>
      </w:r>
      <w:r w:rsidR="00E83E75">
        <w:rPr>
          <w:color w:val="000000" w:themeColor="text1"/>
        </w:rPr>
        <w:t>,</w:t>
      </w:r>
      <w:r w:rsidRPr="009516DD">
        <w:rPr>
          <w:color w:val="000000" w:themeColor="text1"/>
        </w:rPr>
        <w:t>9</w:t>
      </w:r>
      <w:r w:rsidR="004F3F2A" w:rsidRPr="00175B85">
        <w:t> </w:t>
      </w:r>
      <w:r w:rsidRPr="009516DD">
        <w:rPr>
          <w:color w:val="000000" w:themeColor="text1"/>
        </w:rPr>
        <w:t>пр.</w:t>
      </w:r>
      <w:r w:rsidR="00E83E75" w:rsidRPr="00E83E75">
        <w:rPr>
          <w:color w:val="000000" w:themeColor="text1"/>
        </w:rPr>
        <w:t xml:space="preserve"> </w:t>
      </w:r>
      <w:r w:rsidR="00E83E75" w:rsidRPr="009516DD">
        <w:rPr>
          <w:color w:val="000000" w:themeColor="text1"/>
        </w:rPr>
        <w:t> </w:t>
      </w:r>
      <w:r w:rsidRPr="009516DD">
        <w:rPr>
          <w:color w:val="000000" w:themeColor="text1"/>
        </w:rPr>
        <w:t xml:space="preserve">п. </w:t>
      </w:r>
      <w:r w:rsidR="00BA436B">
        <w:rPr>
          <w:color w:val="000000" w:themeColor="text1"/>
        </w:rPr>
        <w:t xml:space="preserve">на </w:t>
      </w:r>
      <w:r w:rsidRPr="009516DD">
        <w:rPr>
          <w:color w:val="000000" w:themeColor="text1"/>
        </w:rPr>
        <w:t xml:space="preserve">годишна база, следвайки по-високите доходи на българи временно работещи в чужбина (за срок по-малък от 1 г.) и по-ниските плащания на инвестиционен доход към </w:t>
      </w:r>
      <w:proofErr w:type="spellStart"/>
      <w:r w:rsidRPr="009516DD">
        <w:rPr>
          <w:color w:val="000000" w:themeColor="text1"/>
        </w:rPr>
        <w:t>нерезиденти</w:t>
      </w:r>
      <w:proofErr w:type="spellEnd"/>
      <w:r w:rsidRPr="009516DD">
        <w:rPr>
          <w:color w:val="000000" w:themeColor="text1"/>
        </w:rPr>
        <w:t xml:space="preserve">. Вторичният доход се запази почти непроменен спрямо същия период на миналата година. </w:t>
      </w:r>
    </w:p>
    <w:p w:rsidR="007863F6" w:rsidRPr="009516DD" w:rsidRDefault="007863F6" w:rsidP="007863F6">
      <w:pPr>
        <w:spacing w:before="120" w:after="120"/>
        <w:ind w:firstLine="709"/>
        <w:jc w:val="both"/>
        <w:rPr>
          <w:color w:val="000000" w:themeColor="text1"/>
        </w:rPr>
      </w:pPr>
      <w:r w:rsidRPr="009516DD">
        <w:rPr>
          <w:color w:val="000000" w:themeColor="text1"/>
        </w:rPr>
        <w:lastRenderedPageBreak/>
        <w:t>Излишъкът по капиталовата сметка за периода достигна 0</w:t>
      </w:r>
      <w:r w:rsidR="00911FCF">
        <w:rPr>
          <w:color w:val="000000" w:themeColor="text1"/>
        </w:rPr>
        <w:t>,</w:t>
      </w:r>
      <w:r w:rsidRPr="009516DD">
        <w:rPr>
          <w:color w:val="000000" w:themeColor="text1"/>
        </w:rPr>
        <w:t>3</w:t>
      </w:r>
      <w:r w:rsidR="00911FCF">
        <w:rPr>
          <w:color w:val="000000" w:themeColor="text1"/>
        </w:rPr>
        <w:t xml:space="preserve"> </w:t>
      </w:r>
      <w:r w:rsidRPr="009516DD">
        <w:rPr>
          <w:color w:val="000000" w:themeColor="text1"/>
        </w:rPr>
        <w:t>% от прогнозния БВП, а дефицитът по финансовата сметка премина в излишък от 1</w:t>
      </w:r>
      <w:r w:rsidR="00911FCF">
        <w:rPr>
          <w:color w:val="000000" w:themeColor="text1"/>
        </w:rPr>
        <w:t>,</w:t>
      </w:r>
      <w:r w:rsidRPr="009516DD">
        <w:rPr>
          <w:color w:val="000000" w:themeColor="text1"/>
        </w:rPr>
        <w:t>4</w:t>
      </w:r>
      <w:r w:rsidR="00911FCF">
        <w:rPr>
          <w:color w:val="000000" w:themeColor="text1"/>
        </w:rPr>
        <w:t xml:space="preserve"> </w:t>
      </w:r>
      <w:r w:rsidRPr="009516DD">
        <w:rPr>
          <w:color w:val="000000" w:themeColor="text1"/>
        </w:rPr>
        <w:t xml:space="preserve">% от БВП, отразяващ </w:t>
      </w:r>
      <w:proofErr w:type="spellStart"/>
      <w:r w:rsidRPr="009516DD">
        <w:rPr>
          <w:color w:val="000000" w:themeColor="text1"/>
        </w:rPr>
        <w:t>превишение</w:t>
      </w:r>
      <w:proofErr w:type="spellEnd"/>
      <w:r w:rsidRPr="009516DD">
        <w:rPr>
          <w:color w:val="000000" w:themeColor="text1"/>
        </w:rPr>
        <w:t xml:space="preserve"> на изплатените към </w:t>
      </w:r>
      <w:proofErr w:type="spellStart"/>
      <w:r w:rsidRPr="009516DD">
        <w:rPr>
          <w:color w:val="000000" w:themeColor="text1"/>
        </w:rPr>
        <w:t>нерезиденти</w:t>
      </w:r>
      <w:proofErr w:type="spellEnd"/>
      <w:r w:rsidRPr="009516DD">
        <w:rPr>
          <w:color w:val="000000" w:themeColor="text1"/>
        </w:rPr>
        <w:t xml:space="preserve"> средства над привлечените.</w:t>
      </w:r>
    </w:p>
    <w:p w:rsidR="007863F6" w:rsidRPr="009516DD" w:rsidRDefault="007863F6" w:rsidP="007863F6">
      <w:pPr>
        <w:spacing w:after="120"/>
        <w:jc w:val="both"/>
        <w:rPr>
          <w:color w:val="4F81BD" w:themeColor="accent1"/>
          <w:sz w:val="12"/>
          <w:szCs w:val="12"/>
          <w:lang w:val="en-US"/>
        </w:rPr>
      </w:pPr>
    </w:p>
    <w:p w:rsidR="007863F6" w:rsidRPr="00344353" w:rsidRDefault="007863F6" w:rsidP="007863F6">
      <w:pPr>
        <w:jc w:val="both"/>
        <w:rPr>
          <w:b/>
          <w:color w:val="000000"/>
          <w:u w:val="single"/>
        </w:rPr>
      </w:pPr>
      <w:r w:rsidRPr="00344353">
        <w:rPr>
          <w:b/>
          <w:color w:val="000000"/>
          <w:u w:val="single"/>
        </w:rPr>
        <w:t>Основни бюджетни параметри към края на полугодието на 201</w:t>
      </w:r>
      <w:r>
        <w:rPr>
          <w:b/>
          <w:color w:val="000000"/>
          <w:u w:val="single"/>
        </w:rPr>
        <w:t>7</w:t>
      </w:r>
      <w:r w:rsidRPr="00344353">
        <w:rPr>
          <w:b/>
          <w:color w:val="000000"/>
          <w:u w:val="single"/>
        </w:rPr>
        <w:t xml:space="preserve"> г.</w:t>
      </w:r>
    </w:p>
    <w:p w:rsidR="007863F6" w:rsidRPr="00344353" w:rsidRDefault="007863F6" w:rsidP="007863F6">
      <w:pPr>
        <w:jc w:val="both"/>
        <w:rPr>
          <w:b/>
          <w:color w:val="0000FF"/>
        </w:rPr>
      </w:pPr>
    </w:p>
    <w:p w:rsidR="007863F6" w:rsidRPr="00417C70" w:rsidRDefault="007863F6" w:rsidP="007863F6">
      <w:pPr>
        <w:spacing w:before="120" w:after="120"/>
        <w:ind w:firstLine="709"/>
        <w:jc w:val="both"/>
        <w:rPr>
          <w:bCs/>
          <w:color w:val="000000"/>
        </w:rPr>
      </w:pPr>
      <w:r>
        <w:rPr>
          <w:color w:val="000000"/>
        </w:rPr>
        <w:t xml:space="preserve">Параметрите по изпълнението на данъчните и осигурителни приходи за първото полугодие за поредна година отчитат подобрение спрямо същия период на предходната година. </w:t>
      </w:r>
      <w:r w:rsidRPr="00470D72">
        <w:rPr>
          <w:color w:val="000000"/>
        </w:rPr>
        <w:t>Благоприятните развития при някои от важните макроикономически индикатори, като вътрешното потребление, пазара на труда и други</w:t>
      </w:r>
      <w:r>
        <w:rPr>
          <w:color w:val="000000"/>
        </w:rPr>
        <w:t>, както</w:t>
      </w:r>
      <w:r w:rsidRPr="00470D72">
        <w:rPr>
          <w:color w:val="000000"/>
        </w:rPr>
        <w:t xml:space="preserve"> и м</w:t>
      </w:r>
      <w:r w:rsidRPr="00470D72">
        <w:rPr>
          <w:bCs/>
          <w:color w:val="000000"/>
        </w:rPr>
        <w:t>ерките за повишаване на събираемостта на приходите, са сред основните фактори за отчетените добри параметри</w:t>
      </w:r>
      <w:r>
        <w:rPr>
          <w:bCs/>
          <w:color w:val="000000"/>
          <w:lang w:val="en-US"/>
        </w:rPr>
        <w:t>.</w:t>
      </w:r>
      <w:r w:rsidRPr="00470D72">
        <w:rPr>
          <w:bCs/>
          <w:color w:val="000000"/>
        </w:rPr>
        <w:t xml:space="preserve"> </w:t>
      </w:r>
      <w:r>
        <w:rPr>
          <w:bCs/>
          <w:color w:val="000000"/>
        </w:rPr>
        <w:t>Приходите от осигурителни вноски, както и постъпленията от преки и косвени данъци нарастват значително спрямо полугодието на 2016 г., с което</w:t>
      </w:r>
      <w:r w:rsidRPr="00470D72">
        <w:rPr>
          <w:bCs/>
          <w:color w:val="000000"/>
        </w:rPr>
        <w:t xml:space="preserve"> </w:t>
      </w:r>
      <w:r>
        <w:rPr>
          <w:bCs/>
          <w:color w:val="000000"/>
        </w:rPr>
        <w:t>д</w:t>
      </w:r>
      <w:r w:rsidRPr="00470D72">
        <w:rPr>
          <w:bCs/>
          <w:color w:val="000000"/>
        </w:rPr>
        <w:t>анъчните постъпления като цяло нарастват в номинално изражение с 1</w:t>
      </w:r>
      <w:r>
        <w:rPr>
          <w:bCs/>
          <w:color w:val="000000"/>
        </w:rPr>
        <w:t> 049,1 млн. лв. (7,8</w:t>
      </w:r>
      <w:r w:rsidRPr="00470D72">
        <w:rPr>
          <w:bCs/>
          <w:color w:val="000000"/>
        </w:rPr>
        <w:t> %) спрямо полугодието на 201</w:t>
      </w:r>
      <w:r>
        <w:rPr>
          <w:bCs/>
          <w:color w:val="000000"/>
        </w:rPr>
        <w:t>6</w:t>
      </w:r>
      <w:r w:rsidR="006A2A5E" w:rsidRPr="00175B85">
        <w:t> </w:t>
      </w:r>
      <w:r w:rsidRPr="00470D72">
        <w:rPr>
          <w:bCs/>
          <w:color w:val="000000"/>
        </w:rPr>
        <w:t xml:space="preserve">г. </w:t>
      </w:r>
      <w:r>
        <w:rPr>
          <w:bCs/>
          <w:color w:val="000000"/>
        </w:rPr>
        <w:t xml:space="preserve">Изпълнението на годишните разчети в групата на данъчните приходи е добро, като към полугодието са постъпили 51,9 на сто от данъчните приходи планирани за цялата 2017 г. </w:t>
      </w:r>
      <w:r w:rsidRPr="00470D72">
        <w:rPr>
          <w:bCs/>
          <w:color w:val="000000"/>
        </w:rPr>
        <w:t xml:space="preserve">Неданъчните приходи </w:t>
      </w:r>
      <w:r>
        <w:rPr>
          <w:bCs/>
          <w:color w:val="000000"/>
        </w:rPr>
        <w:t>остават близки до отчетените за първите шест месеца на 2016 г., докато при постъпленията от помощи се отчита намаление основно поради базов ефект в 2016 г., свързан с възстановени в началото на 2016 г. разходи от ЕК към България, които са извършени в края на 2015 г., когато бе пикът на плащанията по проектите по предходния програмен период 2007-2013 г.</w:t>
      </w:r>
      <w:r w:rsidRPr="0030100F">
        <w:t xml:space="preserve"> </w:t>
      </w:r>
      <w:r>
        <w:t>Поради тази причина общите приходи и помощи по КФП са номинално по-ниски от отчетените към полугодието на 2016 г., но а</w:t>
      </w:r>
      <w:r w:rsidRPr="002E0CE7">
        <w:t>ко се елиминира влиянието на европейските средства на съпоставима база приходите по националния бюджет отчитат номинален ръст от 6,8 на ст</w:t>
      </w:r>
      <w:r>
        <w:t>о.</w:t>
      </w:r>
    </w:p>
    <w:p w:rsidR="007863F6" w:rsidRPr="00417C70" w:rsidRDefault="007863F6" w:rsidP="007863F6">
      <w:pPr>
        <w:spacing w:before="120" w:after="120"/>
        <w:ind w:firstLine="709"/>
        <w:jc w:val="both"/>
      </w:pPr>
      <w:r w:rsidRPr="00470D72">
        <w:t>На база на тези параметри и изготвените прогнози в годишен план не се очертава напрежение при изпълнението на планираните данъчни приходи по националния бюджет. Прогнозите очертават изпълнение на разчетите за 201</w:t>
      </w:r>
      <w:r>
        <w:t>7</w:t>
      </w:r>
      <w:r w:rsidRPr="00470D72">
        <w:t xml:space="preserve"> г. при данъчните приходи, като се очаква преизпълнение при постъпленията от социално и здравноосигурителни вноски</w:t>
      </w:r>
      <w:r>
        <w:t>,</w:t>
      </w:r>
      <w:r w:rsidRPr="00470D72">
        <w:t xml:space="preserve"> </w:t>
      </w:r>
      <w:r>
        <w:t>ДДС, к</w:t>
      </w:r>
      <w:r w:rsidRPr="00470D72">
        <w:t>орпоративен данък,</w:t>
      </w:r>
      <w:r>
        <w:t xml:space="preserve"> ДДФЛ</w:t>
      </w:r>
      <w:r w:rsidRPr="00470D72">
        <w:t xml:space="preserve"> и </w:t>
      </w:r>
      <w:r w:rsidRPr="004B1CC6">
        <w:t>др. Тук е важно да се отбележат и усилията на приходните администрации за повишаване събираемостта на приходите. Активните мерки за изтласкване на светло на оборотите от сивия сектор на икономиката чрез засилен фискален контрол, включително и контрол в реално време на фискалните устройства на търговците в страната, мерките за засилване на контрола при търговията с акцизни стоки, борбата с контрабандния внос, както и противодействието на опитите за данъчни нарушения и измами са част от тези усилия и очакваните ефекти в приходите вече дават резултат. Системното прилагане на тези мерки вече</w:t>
      </w:r>
      <w:r w:rsidRPr="00470D72">
        <w:t xml:space="preserve"> оказва дисциплиниращ ефект и натиск върху сивата икономика</w:t>
      </w:r>
      <w:r>
        <w:t>, което се потвърждава от отчетените за поредна година добри параметри по изпълнението на данъчните и осигурителни приходи</w:t>
      </w:r>
      <w:r w:rsidRPr="00470D72">
        <w:t>.</w:t>
      </w:r>
    </w:p>
    <w:p w:rsidR="007863F6" w:rsidRPr="00417C70" w:rsidRDefault="007863F6" w:rsidP="007863F6">
      <w:pPr>
        <w:spacing w:before="120" w:after="120"/>
        <w:ind w:firstLine="708"/>
        <w:jc w:val="both"/>
      </w:pPr>
      <w:r w:rsidRPr="00470D72">
        <w:t xml:space="preserve">Параметрите по разходите </w:t>
      </w:r>
      <w:r>
        <w:t xml:space="preserve">се развиват съобразно разчетите към ЗДБРБ за 2017 г. Традиционно, усвояването на разходите през първото полугодие е ниско - разходите по КФП, включително вноската в общия бюджет на ЕС, за първите шест месеца на 2017 г. представляват 42,8 на сто от планираните с разчетите към ЗДБРБ за 2017 г. Това се дължи основно на изместване на голяма част от инвестиционните и капиталови разходи за последното тримесечие на годината. Неравномерното усвояване на капиталовите разходи е обективно обусловено от календара на строителния сезон, като изпълнението на повечето инфраструктурни проекти се извършва през летните месеци и разплащането за извършената работа се концентрира в последното тримесечие. Голяма част от инфраструктурните проекти се изпълняват и отчитат по сметките за средства от ЕС, което обуславя и по-ниското усвояване на разходите при европейските средства. Същевременно необходимият допълнителен ресурс за обезпечаване на приоритети от управленската програма на новоизбраното правителство, свързани с увеличение на възнагражденията в системата на образованието от септември и увеличение на минималната пенсия на две стъпки от юли и </w:t>
      </w:r>
      <w:r>
        <w:lastRenderedPageBreak/>
        <w:t>октомври на база на изготвените разчети ще бъде за сметка на преструктуриране на разходите по държавния бюджет, както и за сметка на преизпълнение на приходите по бюджета на ДОО, с което в годишен план няма да се влоши салдото по КФП.</w:t>
      </w:r>
    </w:p>
    <w:p w:rsidR="007863F6" w:rsidRPr="00D661C5" w:rsidRDefault="007863F6" w:rsidP="007863F6">
      <w:pPr>
        <w:autoSpaceDE w:val="0"/>
        <w:autoSpaceDN w:val="0"/>
        <w:adjustRightInd w:val="0"/>
        <w:spacing w:before="120" w:after="120"/>
        <w:ind w:firstLine="709"/>
        <w:jc w:val="both"/>
        <w:rPr>
          <w:rFonts w:eastAsia="Calibri"/>
          <w:color w:val="000000"/>
        </w:rPr>
      </w:pPr>
      <w:r w:rsidRPr="00470D72">
        <w:rPr>
          <w:bCs/>
          <w:lang w:eastAsia="bg-BG"/>
        </w:rPr>
        <w:t xml:space="preserve">В следствие на отчетените добри параметри по изпълнението на приходите по националния бюджет и </w:t>
      </w:r>
      <w:r>
        <w:rPr>
          <w:bCs/>
          <w:lang w:eastAsia="bg-BG"/>
        </w:rPr>
        <w:t xml:space="preserve">традиционно </w:t>
      </w:r>
      <w:r w:rsidRPr="00470D72">
        <w:rPr>
          <w:bCs/>
          <w:lang w:eastAsia="bg-BG"/>
        </w:rPr>
        <w:t xml:space="preserve">по-ниското </w:t>
      </w:r>
      <w:r>
        <w:rPr>
          <w:bCs/>
          <w:lang w:eastAsia="bg-BG"/>
        </w:rPr>
        <w:t>усвояване</w:t>
      </w:r>
      <w:r w:rsidRPr="00470D72">
        <w:rPr>
          <w:bCs/>
          <w:lang w:eastAsia="bg-BG"/>
        </w:rPr>
        <w:t xml:space="preserve"> на разходите през първото полугодие на годината, бюджетното салдо по консолидираната фискална програма към 30.06.201</w:t>
      </w:r>
      <w:r>
        <w:rPr>
          <w:bCs/>
          <w:lang w:eastAsia="bg-BG"/>
        </w:rPr>
        <w:t>7</w:t>
      </w:r>
      <w:r w:rsidRPr="00470D72">
        <w:rPr>
          <w:bCs/>
          <w:lang w:eastAsia="bg-BG"/>
        </w:rPr>
        <w:t xml:space="preserve"> г. е излишък в размер </w:t>
      </w:r>
      <w:r w:rsidRPr="0077741B">
        <w:rPr>
          <w:bCs/>
          <w:lang w:eastAsia="bg-BG"/>
        </w:rPr>
        <w:t>на</w:t>
      </w:r>
      <w:r w:rsidRPr="0077741B">
        <w:rPr>
          <w:bCs/>
          <w:lang w:val="en-US" w:eastAsia="bg-BG"/>
        </w:rPr>
        <w:t xml:space="preserve"> </w:t>
      </w:r>
      <w:r w:rsidRPr="0077741B">
        <w:rPr>
          <w:rFonts w:eastAsia="Calibri"/>
        </w:rPr>
        <w:t xml:space="preserve">1 746,7 млн.  лв. </w:t>
      </w:r>
      <w:r>
        <w:rPr>
          <w:rFonts w:eastAsia="Calibri"/>
        </w:rPr>
        <w:t>(1,8</w:t>
      </w:r>
      <w:r w:rsidR="000234A5">
        <w:rPr>
          <w:rFonts w:eastAsia="Calibri"/>
        </w:rPr>
        <w:t xml:space="preserve"> </w:t>
      </w:r>
      <w:r>
        <w:rPr>
          <w:rFonts w:eastAsia="Calibri"/>
        </w:rPr>
        <w:t>% от прогнозния БВП)</w:t>
      </w:r>
      <w:r>
        <w:t xml:space="preserve"> и се формира от излишък по националния бюджет в размер на 1 777,7 млн. лв. и дефицит по европейските средства в размер на 31,0 млн. лева.</w:t>
      </w:r>
      <w:r w:rsidRPr="00470D72">
        <w:rPr>
          <w:rFonts w:eastAsia="Calibri"/>
          <w:color w:val="000000"/>
        </w:rPr>
        <w:t xml:space="preserve"> </w:t>
      </w:r>
      <w:r>
        <w:rPr>
          <w:rFonts w:eastAsia="Calibri"/>
          <w:color w:val="000000"/>
        </w:rPr>
        <w:t xml:space="preserve">Бюджетният излишък по КФП е по-нисък от отчетения към полугодието на 2016 г., основно поради посоченият базов ефект при приходите от помощи, като ако елиминираме влиянието на сметките за средства от ЕС </w:t>
      </w:r>
      <w:proofErr w:type="spellStart"/>
      <w:r>
        <w:rPr>
          <w:rFonts w:eastAsia="Calibri"/>
          <w:color w:val="000000"/>
        </w:rPr>
        <w:t>превишението</w:t>
      </w:r>
      <w:proofErr w:type="spellEnd"/>
      <w:r>
        <w:rPr>
          <w:rFonts w:eastAsia="Calibri"/>
          <w:color w:val="000000"/>
        </w:rPr>
        <w:t xml:space="preserve"> на приходите </w:t>
      </w:r>
      <w:r w:rsidRPr="00D661C5">
        <w:rPr>
          <w:rFonts w:eastAsia="Calibri"/>
          <w:color w:val="000000"/>
        </w:rPr>
        <w:t>над разходите по националния бюджет през настоящата година отчита подобрение. Факторите за формирането на отчетения излишък по КФП са от една страна доброто изпълнение на приходите, и от друга - традиционно по-ниското усвояване на разходите през първото полугодие на година. Предвид</w:t>
      </w:r>
      <w:r w:rsidRPr="00B2174E">
        <w:rPr>
          <w:noProof/>
        </w:rPr>
        <w:t xml:space="preserve"> спецификата на данъчния календар, както и поради изместването на значителна част от инвестиционните разходи за втората половина на годината, бюджетната позиция към полугодието би следвало да се приема като индикация, че предвидения бюджетен баланс по държавния бюджет за годината ще бъде спазен, а при наличие на фискална възможност може да се очаква и подобряване на бюджетното салдо спрямо планираното за годината. </w:t>
      </w:r>
    </w:p>
    <w:p w:rsidR="007863F6" w:rsidRPr="0020498E" w:rsidRDefault="007863F6" w:rsidP="007863F6">
      <w:pPr>
        <w:autoSpaceDE w:val="0"/>
        <w:autoSpaceDN w:val="0"/>
        <w:adjustRightInd w:val="0"/>
        <w:spacing w:before="120" w:after="120"/>
        <w:ind w:firstLine="567"/>
        <w:jc w:val="both"/>
        <w:rPr>
          <w:noProof/>
        </w:rPr>
      </w:pPr>
      <w:r w:rsidRPr="0020498E">
        <w:rPr>
          <w:noProof/>
        </w:rPr>
        <w:t xml:space="preserve">Основните предизвикателства при изпълнението на бюджета до края на годината </w:t>
      </w:r>
      <w:r w:rsidR="0020498E" w:rsidRPr="0020498E">
        <w:rPr>
          <w:bCs/>
        </w:rPr>
        <w:t xml:space="preserve">се свързват основно с ускоряване усвояването на средствата по проектите, </w:t>
      </w:r>
      <w:proofErr w:type="spellStart"/>
      <w:r w:rsidR="0020498E" w:rsidRPr="0020498E">
        <w:rPr>
          <w:bCs/>
        </w:rPr>
        <w:t>съфинансирани</w:t>
      </w:r>
      <w:proofErr w:type="spellEnd"/>
      <w:r w:rsidR="0020498E" w:rsidRPr="0020498E">
        <w:rPr>
          <w:bCs/>
        </w:rPr>
        <w:t xml:space="preserve"> по програмите и фондовете на ЕС, както и с усилията на приходните администрации за подобряване на събираемостта на приходите. Финансирането на разходните политики към </w:t>
      </w:r>
      <w:r w:rsidR="0020498E" w:rsidRPr="00A9537B">
        <w:rPr>
          <w:bCs/>
        </w:rPr>
        <w:t>момента не създава напрежение, но евентуалното изместване и концентриране на значителни по размер разходи по европейските програми и фондове в последното тримесечие на годината може да доведе до натиск върху бюджетната позиция на касова основа от гледна точка на периода, в който извършените сертифицирани разходи ще бъдат ефективно възстановени от ЕК на България.</w:t>
      </w:r>
      <w:r w:rsidR="0020498E">
        <w:rPr>
          <w:bCs/>
          <w:lang w:val="en-US"/>
        </w:rPr>
        <w:t xml:space="preserve"> </w:t>
      </w:r>
    </w:p>
    <w:p w:rsidR="007863F6" w:rsidRPr="00611226" w:rsidRDefault="007863F6" w:rsidP="007863F6">
      <w:pPr>
        <w:spacing w:after="120"/>
        <w:ind w:firstLine="567"/>
        <w:jc w:val="both"/>
      </w:pPr>
      <w:r w:rsidRPr="0020498E">
        <w:t>Благодарение на натрупаният ресурс във фискалния резерв, включително</w:t>
      </w:r>
      <w:r w:rsidRPr="00175B85">
        <w:t xml:space="preserve"> и поради добрите фискални резултати за 2016 г. и </w:t>
      </w:r>
      <w:r>
        <w:t xml:space="preserve">за </w:t>
      </w:r>
      <w:r w:rsidRPr="00175B85">
        <w:t>първото полугодие на настоящата година</w:t>
      </w:r>
      <w:r>
        <w:t>,</w:t>
      </w:r>
      <w:r w:rsidRPr="00175B85">
        <w:t xml:space="preserve"> през месец юли 2017 г. бе извършено плащане по </w:t>
      </w:r>
      <w:proofErr w:type="spellStart"/>
      <w:r w:rsidRPr="00175B85">
        <w:t>падежиращи</w:t>
      </w:r>
      <w:proofErr w:type="spellEnd"/>
      <w:r w:rsidRPr="00175B85">
        <w:t xml:space="preserve"> </w:t>
      </w:r>
      <w:proofErr w:type="spellStart"/>
      <w:r w:rsidRPr="00175B85">
        <w:t>еврооблигации</w:t>
      </w:r>
      <w:proofErr w:type="spellEnd"/>
      <w:r w:rsidRPr="00175B85">
        <w:t xml:space="preserve"> на Република България в общ размер на 1 937 млн. лв. без да се налага страната да емитира нов външен дълг през 2017 г. С извършеното погашение</w:t>
      </w:r>
      <w:r w:rsidRPr="00611226">
        <w:t xml:space="preserve"> държавният дълг на България се редуцира с 950</w:t>
      </w:r>
      <w:r w:rsidR="000234A5" w:rsidRPr="00175B85">
        <w:t> </w:t>
      </w:r>
      <w:r w:rsidRPr="00611226">
        <w:t>млн. евро  - от 1</w:t>
      </w:r>
      <w:r>
        <w:t>2,884 на 11,934 млрд. евро, което</w:t>
      </w:r>
      <w:r w:rsidRPr="00611226">
        <w:t xml:space="preserve"> представлява спад в съотношението дълг към брутен вътрешен продукт с близо два процентни пункта съответно от 25,</w:t>
      </w:r>
      <w:r>
        <w:t>9 % на 24,0</w:t>
      </w:r>
      <w:r w:rsidR="00DB69EA" w:rsidRPr="00175B85">
        <w:t> </w:t>
      </w:r>
      <w:r>
        <w:t xml:space="preserve">%. По този начин </w:t>
      </w:r>
      <w:r w:rsidRPr="00611226">
        <w:t>разходи</w:t>
      </w:r>
      <w:r>
        <w:t>те</w:t>
      </w:r>
      <w:r w:rsidRPr="00611226">
        <w:t xml:space="preserve"> за обслужване на дълга </w:t>
      </w:r>
      <w:r>
        <w:t>ще бъдат редуцирани с</w:t>
      </w:r>
      <w:r w:rsidRPr="00611226">
        <w:t xml:space="preserve"> 40,375 млн. евро годишно</w:t>
      </w:r>
      <w:r>
        <w:t xml:space="preserve">, какъвто е размерът на лихвените плащания по изплатените </w:t>
      </w:r>
      <w:proofErr w:type="spellStart"/>
      <w:r>
        <w:t>еврооблигации</w:t>
      </w:r>
      <w:proofErr w:type="spellEnd"/>
      <w:r w:rsidRPr="00611226">
        <w:t>.</w:t>
      </w:r>
    </w:p>
    <w:p w:rsidR="00430A35" w:rsidRPr="0092537A" w:rsidRDefault="00430A35" w:rsidP="00120CC7">
      <w:pPr>
        <w:spacing w:before="120" w:after="120"/>
        <w:jc w:val="both"/>
        <w:rPr>
          <w:color w:val="0070C0"/>
          <w:sz w:val="12"/>
          <w:szCs w:val="12"/>
        </w:rPr>
      </w:pPr>
    </w:p>
    <w:p w:rsidR="0019151C" w:rsidRPr="0092537A" w:rsidRDefault="0019151C" w:rsidP="00120CC7">
      <w:pPr>
        <w:spacing w:before="120" w:after="120"/>
        <w:jc w:val="both"/>
        <w:rPr>
          <w:color w:val="0070C0"/>
          <w:sz w:val="12"/>
          <w:szCs w:val="12"/>
        </w:rPr>
      </w:pPr>
    </w:p>
    <w:p w:rsidR="0019151C" w:rsidRPr="0092537A" w:rsidRDefault="0019151C" w:rsidP="00120CC7">
      <w:pPr>
        <w:spacing w:before="120" w:after="120"/>
        <w:jc w:val="both"/>
        <w:rPr>
          <w:color w:val="0070C0"/>
          <w:sz w:val="12"/>
          <w:szCs w:val="12"/>
        </w:rPr>
      </w:pPr>
    </w:p>
    <w:p w:rsidR="0019151C" w:rsidRPr="0092537A" w:rsidRDefault="0019151C" w:rsidP="00120CC7">
      <w:pPr>
        <w:spacing w:before="120" w:after="120"/>
        <w:jc w:val="both"/>
        <w:rPr>
          <w:color w:val="0070C0"/>
          <w:sz w:val="12"/>
          <w:szCs w:val="12"/>
        </w:rPr>
      </w:pPr>
    </w:p>
    <w:p w:rsidR="0019151C" w:rsidRPr="0092537A" w:rsidRDefault="0019151C" w:rsidP="00120CC7">
      <w:pPr>
        <w:spacing w:before="120" w:after="120"/>
        <w:jc w:val="both"/>
        <w:rPr>
          <w:color w:val="0070C0"/>
          <w:sz w:val="12"/>
          <w:szCs w:val="12"/>
        </w:rPr>
      </w:pPr>
    </w:p>
    <w:p w:rsidR="0019151C" w:rsidRPr="0092537A" w:rsidRDefault="0019151C" w:rsidP="00120CC7">
      <w:pPr>
        <w:spacing w:before="120" w:after="120"/>
        <w:jc w:val="both"/>
        <w:rPr>
          <w:color w:val="0070C0"/>
          <w:sz w:val="12"/>
          <w:szCs w:val="12"/>
        </w:rPr>
      </w:pPr>
    </w:p>
    <w:p w:rsidR="0019151C" w:rsidRPr="0092537A" w:rsidRDefault="0019151C" w:rsidP="00120CC7">
      <w:pPr>
        <w:spacing w:before="120" w:after="120"/>
        <w:jc w:val="both"/>
        <w:rPr>
          <w:color w:val="0070C0"/>
          <w:sz w:val="12"/>
          <w:szCs w:val="12"/>
        </w:rPr>
      </w:pPr>
    </w:p>
    <w:p w:rsidR="0019151C" w:rsidRPr="0092537A" w:rsidRDefault="0019151C" w:rsidP="00120CC7">
      <w:pPr>
        <w:spacing w:before="120" w:after="120"/>
        <w:jc w:val="both"/>
        <w:rPr>
          <w:color w:val="0070C0"/>
          <w:sz w:val="12"/>
          <w:szCs w:val="12"/>
        </w:rPr>
      </w:pPr>
    </w:p>
    <w:p w:rsidR="0019151C" w:rsidRPr="0092537A" w:rsidRDefault="0019151C" w:rsidP="00120CC7">
      <w:pPr>
        <w:spacing w:before="120" w:after="120"/>
        <w:jc w:val="both"/>
        <w:rPr>
          <w:color w:val="0070C0"/>
          <w:sz w:val="12"/>
          <w:szCs w:val="12"/>
        </w:rPr>
      </w:pPr>
    </w:p>
    <w:p w:rsidR="00E74802" w:rsidRPr="0092537A" w:rsidRDefault="00E74802" w:rsidP="00120CC7">
      <w:pPr>
        <w:spacing w:before="120" w:after="120"/>
        <w:jc w:val="both"/>
        <w:rPr>
          <w:color w:val="0070C0"/>
          <w:sz w:val="12"/>
          <w:szCs w:val="12"/>
        </w:rPr>
      </w:pPr>
    </w:p>
    <w:p w:rsidR="0019151C" w:rsidRPr="0092537A" w:rsidRDefault="0019151C" w:rsidP="00120CC7">
      <w:pPr>
        <w:spacing w:before="120" w:after="120"/>
        <w:jc w:val="both"/>
        <w:rPr>
          <w:color w:val="0070C0"/>
          <w:sz w:val="12"/>
          <w:szCs w:val="12"/>
        </w:rPr>
      </w:pPr>
    </w:p>
    <w:p w:rsidR="0019151C" w:rsidRPr="0092537A" w:rsidRDefault="0019151C" w:rsidP="00120CC7">
      <w:pPr>
        <w:spacing w:before="120" w:after="120"/>
        <w:jc w:val="both"/>
        <w:rPr>
          <w:color w:val="0070C0"/>
          <w:sz w:val="12"/>
          <w:szCs w:val="12"/>
        </w:rPr>
      </w:pPr>
    </w:p>
    <w:p w:rsidR="00E74802" w:rsidRPr="004C60B8" w:rsidRDefault="00E74802" w:rsidP="00E74802">
      <w:pPr>
        <w:pStyle w:val="Heading1"/>
        <w:numPr>
          <w:ilvl w:val="0"/>
          <w:numId w:val="10"/>
        </w:numPr>
        <w:ind w:right="-108"/>
        <w:jc w:val="both"/>
        <w:rPr>
          <w:sz w:val="24"/>
        </w:rPr>
      </w:pPr>
      <w:r w:rsidRPr="004C60B8">
        <w:rPr>
          <w:sz w:val="24"/>
        </w:rPr>
        <w:lastRenderedPageBreak/>
        <w:t>Основни показатели по консолидираната фискална програма</w:t>
      </w:r>
      <w:r w:rsidRPr="004C60B8">
        <w:rPr>
          <w:rStyle w:val="FootnoteReference"/>
          <w:sz w:val="24"/>
        </w:rPr>
        <w:footnoteReference w:id="2"/>
      </w:r>
      <w:r w:rsidRPr="004C60B8">
        <w:rPr>
          <w:sz w:val="24"/>
        </w:rPr>
        <w:t xml:space="preserve"> за първото </w:t>
      </w:r>
      <w:r w:rsidR="004C60B8" w:rsidRPr="004C60B8">
        <w:rPr>
          <w:sz w:val="24"/>
        </w:rPr>
        <w:t>полугодие</w:t>
      </w:r>
      <w:r w:rsidRPr="004C60B8">
        <w:rPr>
          <w:sz w:val="24"/>
        </w:rPr>
        <w:t xml:space="preserve"> на 2017 г.</w:t>
      </w:r>
    </w:p>
    <w:p w:rsidR="00430A35" w:rsidRPr="0092537A" w:rsidRDefault="00430A35" w:rsidP="00430A35">
      <w:pPr>
        <w:rPr>
          <w:color w:val="0070C0"/>
          <w:sz w:val="12"/>
          <w:szCs w:val="12"/>
        </w:rPr>
      </w:pPr>
    </w:p>
    <w:p w:rsidR="00987CE4" w:rsidRPr="002E7506" w:rsidRDefault="00987CE4" w:rsidP="006705D9">
      <w:pPr>
        <w:ind w:firstLine="567"/>
        <w:jc w:val="both"/>
      </w:pPr>
      <w:r w:rsidRPr="002E7506">
        <w:t xml:space="preserve">Изпълнението на основните показатели по консолидираната фискална програма за </w:t>
      </w:r>
      <w:r w:rsidR="00EF4853" w:rsidRPr="002E7506">
        <w:t xml:space="preserve">първото </w:t>
      </w:r>
      <w:r w:rsidR="00521477">
        <w:t>полугодие</w:t>
      </w:r>
      <w:r w:rsidR="00E00282" w:rsidRPr="002E7506">
        <w:t xml:space="preserve"> </w:t>
      </w:r>
      <w:r w:rsidRPr="002E7506">
        <w:t>на 201</w:t>
      </w:r>
      <w:r w:rsidR="00EF4853" w:rsidRPr="002E7506">
        <w:t>7</w:t>
      </w:r>
      <w:r w:rsidRPr="002E7506">
        <w:t xml:space="preserve"> г. е представено на следната таблица:</w:t>
      </w:r>
    </w:p>
    <w:p w:rsidR="00E74802" w:rsidRPr="0092537A" w:rsidRDefault="00E74802" w:rsidP="00AF205D">
      <w:pPr>
        <w:ind w:firstLine="360"/>
        <w:jc w:val="both"/>
        <w:rPr>
          <w:color w:val="0070C0"/>
        </w:rPr>
      </w:pPr>
    </w:p>
    <w:p w:rsidR="004923E3" w:rsidRPr="0092537A" w:rsidRDefault="004923E3" w:rsidP="00AF205D">
      <w:pPr>
        <w:ind w:firstLine="360"/>
        <w:jc w:val="both"/>
        <w:rPr>
          <w:color w:val="0070C0"/>
          <w:sz w:val="4"/>
          <w:szCs w:val="4"/>
        </w:rPr>
      </w:pPr>
    </w:p>
    <w:p w:rsidR="00987CE4" w:rsidRPr="0092537A" w:rsidRDefault="00987CE4" w:rsidP="00987CE4">
      <w:pPr>
        <w:jc w:val="both"/>
        <w:rPr>
          <w:color w:val="0070C0"/>
          <w:sz w:val="4"/>
          <w:szCs w:val="4"/>
        </w:rPr>
      </w:pPr>
    </w:p>
    <w:p w:rsidR="00987CE4" w:rsidRPr="0092537A" w:rsidRDefault="00987CE4" w:rsidP="00987CE4">
      <w:pPr>
        <w:jc w:val="both"/>
        <w:rPr>
          <w:color w:val="0070C0"/>
          <w:sz w:val="4"/>
          <w:szCs w:val="4"/>
        </w:rPr>
      </w:pPr>
    </w:p>
    <w:p w:rsidR="00987CE4" w:rsidRPr="0075199F" w:rsidRDefault="00987CE4" w:rsidP="00987CE4">
      <w:pPr>
        <w:rPr>
          <w:b/>
          <w:i/>
          <w:sz w:val="18"/>
          <w:szCs w:val="18"/>
        </w:rPr>
      </w:pPr>
      <w:r w:rsidRPr="0075199F">
        <w:rPr>
          <w:b/>
          <w:i/>
          <w:sz w:val="22"/>
          <w:szCs w:val="22"/>
        </w:rPr>
        <w:t>Таблица</w:t>
      </w:r>
      <w:r w:rsidR="00E74802" w:rsidRPr="0075199F">
        <w:rPr>
          <w:b/>
          <w:i/>
          <w:sz w:val="22"/>
          <w:szCs w:val="22"/>
          <w:vertAlign w:val="superscript"/>
        </w:rPr>
        <w:footnoteReference w:id="3"/>
      </w:r>
      <w:r w:rsidRPr="0075199F">
        <w:rPr>
          <w:b/>
          <w:i/>
          <w:sz w:val="22"/>
          <w:szCs w:val="22"/>
        </w:rPr>
        <w:t xml:space="preserve"> №1</w:t>
      </w:r>
      <w:r w:rsidRPr="0075199F">
        <w:rPr>
          <w:b/>
          <w:i/>
          <w:sz w:val="22"/>
          <w:szCs w:val="22"/>
        </w:rPr>
        <w:tab/>
      </w:r>
      <w:r w:rsidRPr="0075199F">
        <w:rPr>
          <w:b/>
          <w:i/>
          <w:sz w:val="22"/>
          <w:szCs w:val="22"/>
        </w:rPr>
        <w:tab/>
      </w:r>
      <w:r w:rsidRPr="0075199F">
        <w:rPr>
          <w:b/>
          <w:i/>
          <w:sz w:val="22"/>
          <w:szCs w:val="22"/>
        </w:rPr>
        <w:tab/>
      </w:r>
      <w:r w:rsidRPr="0075199F">
        <w:rPr>
          <w:b/>
          <w:i/>
          <w:sz w:val="22"/>
          <w:szCs w:val="22"/>
        </w:rPr>
        <w:tab/>
      </w:r>
      <w:r w:rsidRPr="0075199F">
        <w:rPr>
          <w:b/>
          <w:i/>
          <w:sz w:val="22"/>
          <w:szCs w:val="22"/>
        </w:rPr>
        <w:tab/>
      </w:r>
      <w:r w:rsidRPr="0075199F">
        <w:rPr>
          <w:b/>
          <w:i/>
          <w:sz w:val="22"/>
          <w:szCs w:val="22"/>
        </w:rPr>
        <w:tab/>
      </w:r>
      <w:r w:rsidRPr="0075199F">
        <w:rPr>
          <w:b/>
          <w:i/>
          <w:sz w:val="22"/>
          <w:szCs w:val="22"/>
        </w:rPr>
        <w:tab/>
      </w:r>
      <w:r w:rsidRPr="0075199F">
        <w:rPr>
          <w:b/>
          <w:i/>
          <w:sz w:val="22"/>
          <w:szCs w:val="22"/>
        </w:rPr>
        <w:tab/>
      </w:r>
      <w:r w:rsidRPr="0075199F">
        <w:rPr>
          <w:b/>
          <w:i/>
          <w:sz w:val="22"/>
          <w:szCs w:val="22"/>
        </w:rPr>
        <w:tab/>
      </w:r>
      <w:r w:rsidRPr="0075199F">
        <w:rPr>
          <w:b/>
          <w:i/>
          <w:sz w:val="22"/>
          <w:szCs w:val="22"/>
        </w:rPr>
        <w:tab/>
      </w:r>
      <w:r w:rsidRPr="0075199F">
        <w:rPr>
          <w:b/>
          <w:i/>
          <w:sz w:val="22"/>
          <w:szCs w:val="22"/>
        </w:rPr>
        <w:tab/>
      </w:r>
      <w:r w:rsidRPr="0075199F">
        <w:rPr>
          <w:b/>
          <w:i/>
          <w:sz w:val="18"/>
          <w:szCs w:val="18"/>
        </w:rPr>
        <w:t>(млн. лв.)</w:t>
      </w:r>
    </w:p>
    <w:tbl>
      <w:tblPr>
        <w:tblW w:w="9941" w:type="dxa"/>
        <w:tblInd w:w="98" w:type="dxa"/>
        <w:tblLook w:val="04A0" w:firstRow="1" w:lastRow="0" w:firstColumn="1" w:lastColumn="0" w:noHBand="0" w:noVBand="1"/>
      </w:tblPr>
      <w:tblGrid>
        <w:gridCol w:w="3998"/>
        <w:gridCol w:w="1105"/>
        <w:gridCol w:w="1087"/>
        <w:gridCol w:w="1252"/>
        <w:gridCol w:w="1199"/>
        <w:gridCol w:w="1300"/>
      </w:tblGrid>
      <w:tr w:rsidR="0092537A" w:rsidRPr="0092537A" w:rsidTr="00C1444C">
        <w:trPr>
          <w:trHeight w:val="270"/>
        </w:trPr>
        <w:tc>
          <w:tcPr>
            <w:tcW w:w="3998"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500DD6" w:rsidRPr="0075199F" w:rsidRDefault="00500DD6">
            <w:pPr>
              <w:jc w:val="center"/>
              <w:rPr>
                <w:b/>
                <w:bCs/>
                <w:sz w:val="18"/>
                <w:szCs w:val="18"/>
              </w:rPr>
            </w:pPr>
            <w:r w:rsidRPr="0075199F">
              <w:rPr>
                <w:b/>
                <w:bCs/>
                <w:sz w:val="18"/>
                <w:szCs w:val="18"/>
              </w:rPr>
              <w:t>ПОКАЗАТЕЛ</w:t>
            </w:r>
          </w:p>
        </w:tc>
        <w:tc>
          <w:tcPr>
            <w:tcW w:w="1105" w:type="dxa"/>
            <w:tcBorders>
              <w:top w:val="single" w:sz="8" w:space="0" w:color="auto"/>
              <w:left w:val="single" w:sz="4" w:space="0" w:color="auto"/>
              <w:bottom w:val="nil"/>
              <w:right w:val="single" w:sz="4" w:space="0" w:color="auto"/>
            </w:tcBorders>
            <w:shd w:val="clear" w:color="000000" w:fill="D9D9D9"/>
            <w:noWrap/>
            <w:vAlign w:val="bottom"/>
            <w:hideMark/>
          </w:tcPr>
          <w:p w:rsidR="00500DD6" w:rsidRPr="0075199F" w:rsidRDefault="00500DD6" w:rsidP="00EF4853">
            <w:pPr>
              <w:jc w:val="center"/>
              <w:rPr>
                <w:b/>
                <w:bCs/>
                <w:sz w:val="18"/>
                <w:szCs w:val="18"/>
              </w:rPr>
            </w:pPr>
            <w:r w:rsidRPr="0075199F">
              <w:rPr>
                <w:b/>
                <w:bCs/>
                <w:sz w:val="18"/>
                <w:szCs w:val="18"/>
              </w:rPr>
              <w:t>Разчет 201</w:t>
            </w:r>
            <w:r w:rsidR="00EF4853" w:rsidRPr="0075199F">
              <w:rPr>
                <w:b/>
                <w:bCs/>
                <w:sz w:val="18"/>
                <w:szCs w:val="18"/>
              </w:rPr>
              <w:t>7</w:t>
            </w:r>
            <w:r w:rsidRPr="0075199F">
              <w:rPr>
                <w:b/>
                <w:bCs/>
                <w:sz w:val="18"/>
                <w:szCs w:val="18"/>
              </w:rPr>
              <w:t xml:space="preserve"> г.</w:t>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500DD6" w:rsidRPr="0075199F" w:rsidRDefault="00500DD6" w:rsidP="0075199F">
            <w:pPr>
              <w:jc w:val="center"/>
              <w:rPr>
                <w:b/>
                <w:bCs/>
                <w:sz w:val="18"/>
                <w:szCs w:val="18"/>
              </w:rPr>
            </w:pPr>
            <w:r w:rsidRPr="0075199F">
              <w:rPr>
                <w:b/>
                <w:bCs/>
                <w:sz w:val="18"/>
                <w:szCs w:val="18"/>
              </w:rPr>
              <w:t xml:space="preserve">Отчет към </w:t>
            </w:r>
            <w:r w:rsidR="0075199F" w:rsidRPr="0075199F">
              <w:rPr>
                <w:b/>
                <w:bCs/>
                <w:sz w:val="18"/>
                <w:szCs w:val="18"/>
              </w:rPr>
              <w:t>30</w:t>
            </w:r>
            <w:r w:rsidRPr="0075199F">
              <w:rPr>
                <w:b/>
                <w:bCs/>
                <w:sz w:val="18"/>
                <w:szCs w:val="18"/>
              </w:rPr>
              <w:t>.</w:t>
            </w:r>
            <w:r w:rsidR="0075199F" w:rsidRPr="0075199F">
              <w:rPr>
                <w:b/>
                <w:bCs/>
                <w:sz w:val="18"/>
                <w:szCs w:val="18"/>
              </w:rPr>
              <w:t>06</w:t>
            </w:r>
            <w:r w:rsidRPr="0075199F">
              <w:rPr>
                <w:b/>
                <w:bCs/>
                <w:sz w:val="18"/>
                <w:szCs w:val="18"/>
              </w:rPr>
              <w:t>.201</w:t>
            </w:r>
            <w:r w:rsidR="00EF4853" w:rsidRPr="0075199F">
              <w:rPr>
                <w:b/>
                <w:bCs/>
                <w:sz w:val="18"/>
                <w:szCs w:val="18"/>
              </w:rPr>
              <w:t>7</w:t>
            </w:r>
            <w:r w:rsidRPr="0075199F">
              <w:rPr>
                <w:b/>
                <w:bCs/>
                <w:sz w:val="18"/>
                <w:szCs w:val="18"/>
              </w:rPr>
              <w:t xml:space="preserve"> г.</w:t>
            </w:r>
          </w:p>
        </w:tc>
        <w:tc>
          <w:tcPr>
            <w:tcW w:w="1300" w:type="dxa"/>
            <w:tcBorders>
              <w:top w:val="single" w:sz="8" w:space="0" w:color="auto"/>
              <w:left w:val="nil"/>
              <w:bottom w:val="nil"/>
              <w:right w:val="single" w:sz="8" w:space="0" w:color="auto"/>
            </w:tcBorders>
            <w:shd w:val="clear" w:color="000000" w:fill="D9D9D9"/>
            <w:noWrap/>
            <w:vAlign w:val="bottom"/>
            <w:hideMark/>
          </w:tcPr>
          <w:p w:rsidR="00500DD6" w:rsidRPr="0075199F" w:rsidRDefault="00500DD6">
            <w:pPr>
              <w:jc w:val="center"/>
              <w:rPr>
                <w:b/>
                <w:bCs/>
                <w:sz w:val="18"/>
                <w:szCs w:val="18"/>
              </w:rPr>
            </w:pPr>
            <w:r w:rsidRPr="0075199F">
              <w:rPr>
                <w:b/>
                <w:bCs/>
                <w:sz w:val="18"/>
                <w:szCs w:val="18"/>
              </w:rPr>
              <w:t>Изпълнение</w:t>
            </w:r>
          </w:p>
        </w:tc>
      </w:tr>
      <w:tr w:rsidR="0092537A" w:rsidRPr="0092537A" w:rsidTr="00C1444C">
        <w:trPr>
          <w:trHeight w:val="255"/>
        </w:trPr>
        <w:tc>
          <w:tcPr>
            <w:tcW w:w="3998" w:type="dxa"/>
            <w:vMerge/>
            <w:tcBorders>
              <w:top w:val="single" w:sz="8" w:space="0" w:color="auto"/>
              <w:left w:val="single" w:sz="8" w:space="0" w:color="auto"/>
              <w:bottom w:val="single" w:sz="4" w:space="0" w:color="000000"/>
              <w:right w:val="nil"/>
            </w:tcBorders>
            <w:vAlign w:val="center"/>
            <w:hideMark/>
          </w:tcPr>
          <w:p w:rsidR="00500DD6" w:rsidRPr="0075199F" w:rsidRDefault="00500DD6">
            <w:pPr>
              <w:rPr>
                <w:b/>
                <w:bCs/>
                <w:sz w:val="18"/>
                <w:szCs w:val="18"/>
              </w:rPr>
            </w:pPr>
          </w:p>
        </w:tc>
        <w:tc>
          <w:tcPr>
            <w:tcW w:w="1105" w:type="dxa"/>
            <w:tcBorders>
              <w:top w:val="nil"/>
              <w:left w:val="single" w:sz="4" w:space="0" w:color="auto"/>
              <w:bottom w:val="single" w:sz="4" w:space="0" w:color="auto"/>
              <w:right w:val="single" w:sz="4" w:space="0" w:color="auto"/>
            </w:tcBorders>
            <w:shd w:val="clear" w:color="000000" w:fill="D9D9D9"/>
            <w:noWrap/>
            <w:vAlign w:val="bottom"/>
            <w:hideMark/>
          </w:tcPr>
          <w:p w:rsidR="00500DD6" w:rsidRPr="0075199F" w:rsidRDefault="00500DD6">
            <w:pPr>
              <w:jc w:val="center"/>
              <w:rPr>
                <w:b/>
                <w:bCs/>
                <w:sz w:val="18"/>
                <w:szCs w:val="18"/>
              </w:rPr>
            </w:pPr>
            <w:r w:rsidRPr="0075199F">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rsidR="00500DD6" w:rsidRPr="0075199F" w:rsidRDefault="00500DD6">
            <w:pPr>
              <w:jc w:val="center"/>
              <w:rPr>
                <w:b/>
                <w:bCs/>
                <w:sz w:val="18"/>
                <w:szCs w:val="18"/>
              </w:rPr>
            </w:pPr>
            <w:r w:rsidRPr="0075199F">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rsidR="00500DD6" w:rsidRPr="0075199F" w:rsidRDefault="00500DD6">
            <w:pPr>
              <w:jc w:val="center"/>
              <w:rPr>
                <w:b/>
                <w:bCs/>
                <w:sz w:val="18"/>
                <w:szCs w:val="18"/>
              </w:rPr>
            </w:pPr>
            <w:r w:rsidRPr="0075199F">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500DD6" w:rsidRPr="0075199F" w:rsidRDefault="00500DD6">
            <w:pPr>
              <w:jc w:val="center"/>
              <w:rPr>
                <w:b/>
                <w:bCs/>
                <w:sz w:val="18"/>
                <w:szCs w:val="18"/>
              </w:rPr>
            </w:pPr>
            <w:r w:rsidRPr="0075199F">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rsidR="00500DD6" w:rsidRPr="0075199F" w:rsidRDefault="00500DD6">
            <w:pPr>
              <w:jc w:val="center"/>
              <w:rPr>
                <w:b/>
                <w:bCs/>
                <w:sz w:val="18"/>
                <w:szCs w:val="18"/>
              </w:rPr>
            </w:pPr>
            <w:r w:rsidRPr="0075199F">
              <w:rPr>
                <w:b/>
                <w:bCs/>
                <w:sz w:val="18"/>
                <w:szCs w:val="18"/>
              </w:rPr>
              <w:t>спрямо разчет</w:t>
            </w:r>
          </w:p>
        </w:tc>
      </w:tr>
      <w:tr w:rsidR="0092537A" w:rsidRPr="0092537A" w:rsidTr="00C1444C">
        <w:trPr>
          <w:trHeight w:val="270"/>
        </w:trPr>
        <w:tc>
          <w:tcPr>
            <w:tcW w:w="3998" w:type="dxa"/>
            <w:tcBorders>
              <w:top w:val="nil"/>
              <w:left w:val="single" w:sz="8" w:space="0" w:color="auto"/>
              <w:bottom w:val="single" w:sz="8" w:space="0" w:color="auto"/>
              <w:right w:val="nil"/>
            </w:tcBorders>
            <w:shd w:val="clear" w:color="000000" w:fill="D9D9D9"/>
            <w:noWrap/>
            <w:vAlign w:val="bottom"/>
            <w:hideMark/>
          </w:tcPr>
          <w:p w:rsidR="00500DD6" w:rsidRPr="0075199F" w:rsidRDefault="00500DD6">
            <w:pPr>
              <w:jc w:val="center"/>
              <w:rPr>
                <w:sz w:val="18"/>
                <w:szCs w:val="18"/>
              </w:rPr>
            </w:pPr>
            <w:r w:rsidRPr="0075199F">
              <w:rPr>
                <w:sz w:val="18"/>
                <w:szCs w:val="18"/>
              </w:rPr>
              <w:t>к.1</w:t>
            </w:r>
          </w:p>
        </w:tc>
        <w:tc>
          <w:tcPr>
            <w:tcW w:w="1105" w:type="dxa"/>
            <w:tcBorders>
              <w:top w:val="nil"/>
              <w:left w:val="single" w:sz="4" w:space="0" w:color="auto"/>
              <w:bottom w:val="single" w:sz="8" w:space="0" w:color="auto"/>
              <w:right w:val="single" w:sz="4" w:space="0" w:color="auto"/>
            </w:tcBorders>
            <w:shd w:val="clear" w:color="000000" w:fill="D9D9D9"/>
            <w:noWrap/>
            <w:vAlign w:val="bottom"/>
            <w:hideMark/>
          </w:tcPr>
          <w:p w:rsidR="00500DD6" w:rsidRPr="0075199F" w:rsidRDefault="00500DD6">
            <w:pPr>
              <w:jc w:val="center"/>
              <w:rPr>
                <w:sz w:val="18"/>
                <w:szCs w:val="18"/>
              </w:rPr>
            </w:pPr>
            <w:r w:rsidRPr="0075199F">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rsidR="00500DD6" w:rsidRPr="0075199F" w:rsidRDefault="00500DD6">
            <w:pPr>
              <w:jc w:val="center"/>
              <w:rPr>
                <w:sz w:val="18"/>
                <w:szCs w:val="18"/>
              </w:rPr>
            </w:pPr>
            <w:r w:rsidRPr="0075199F">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rsidR="00500DD6" w:rsidRPr="0075199F" w:rsidRDefault="00500DD6">
            <w:pPr>
              <w:jc w:val="center"/>
              <w:rPr>
                <w:sz w:val="18"/>
                <w:szCs w:val="18"/>
              </w:rPr>
            </w:pPr>
            <w:r w:rsidRPr="0075199F">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500DD6" w:rsidRPr="0075199F" w:rsidRDefault="00500DD6">
            <w:pPr>
              <w:jc w:val="center"/>
              <w:rPr>
                <w:sz w:val="18"/>
                <w:szCs w:val="18"/>
              </w:rPr>
            </w:pPr>
            <w:r w:rsidRPr="0075199F">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rsidR="00500DD6" w:rsidRPr="0075199F" w:rsidRDefault="00500DD6">
            <w:pPr>
              <w:jc w:val="center"/>
              <w:rPr>
                <w:sz w:val="18"/>
                <w:szCs w:val="18"/>
              </w:rPr>
            </w:pPr>
            <w:r w:rsidRPr="0075199F">
              <w:rPr>
                <w:sz w:val="18"/>
                <w:szCs w:val="18"/>
              </w:rPr>
              <w:t>к.6=к.3:к.2</w:t>
            </w:r>
          </w:p>
        </w:tc>
      </w:tr>
      <w:tr w:rsidR="00C1444C" w:rsidRPr="0092537A" w:rsidTr="00C1444C">
        <w:trPr>
          <w:trHeight w:val="255"/>
        </w:trPr>
        <w:tc>
          <w:tcPr>
            <w:tcW w:w="3998" w:type="dxa"/>
            <w:tcBorders>
              <w:top w:val="nil"/>
              <w:left w:val="single" w:sz="8" w:space="0" w:color="auto"/>
              <w:bottom w:val="nil"/>
              <w:right w:val="nil"/>
            </w:tcBorders>
            <w:shd w:val="clear" w:color="auto" w:fill="auto"/>
            <w:noWrap/>
            <w:vAlign w:val="bottom"/>
            <w:hideMark/>
          </w:tcPr>
          <w:p w:rsidR="00C1444C" w:rsidRPr="0075199F" w:rsidRDefault="00C1444C">
            <w:pPr>
              <w:rPr>
                <w:b/>
                <w:bCs/>
                <w:sz w:val="18"/>
                <w:szCs w:val="18"/>
              </w:rPr>
            </w:pPr>
            <w:r w:rsidRPr="0075199F">
              <w:rPr>
                <w:b/>
                <w:bCs/>
                <w:sz w:val="18"/>
                <w:szCs w:val="18"/>
              </w:rPr>
              <w:t>ПРИХОДИ И ПОМОЩИ</w:t>
            </w:r>
          </w:p>
        </w:tc>
        <w:tc>
          <w:tcPr>
            <w:tcW w:w="1105" w:type="dxa"/>
            <w:tcBorders>
              <w:top w:val="nil"/>
              <w:left w:val="nil"/>
              <w:bottom w:val="nil"/>
              <w:right w:val="nil"/>
            </w:tcBorders>
            <w:shd w:val="clear" w:color="auto" w:fill="auto"/>
            <w:noWrap/>
            <w:vAlign w:val="bottom"/>
            <w:hideMark/>
          </w:tcPr>
          <w:p w:rsidR="00C1444C" w:rsidRPr="0075199F" w:rsidRDefault="00C1444C">
            <w:pPr>
              <w:jc w:val="right"/>
              <w:rPr>
                <w:b/>
                <w:bCs/>
                <w:sz w:val="18"/>
                <w:szCs w:val="18"/>
              </w:rPr>
            </w:pPr>
            <w:r w:rsidRPr="0075199F">
              <w:rPr>
                <w:b/>
                <w:bCs/>
                <w:sz w:val="18"/>
                <w:szCs w:val="18"/>
              </w:rPr>
              <w:t>35 439,6</w:t>
            </w:r>
          </w:p>
        </w:tc>
        <w:tc>
          <w:tcPr>
            <w:tcW w:w="1087" w:type="dxa"/>
            <w:tcBorders>
              <w:top w:val="nil"/>
              <w:left w:val="nil"/>
              <w:bottom w:val="nil"/>
              <w:right w:val="nil"/>
            </w:tcBorders>
            <w:shd w:val="clear" w:color="auto" w:fill="auto"/>
            <w:noWrap/>
            <w:vAlign w:val="bottom"/>
            <w:hideMark/>
          </w:tcPr>
          <w:p w:rsidR="00C1444C" w:rsidRPr="00C1444C" w:rsidRDefault="00C1444C">
            <w:pPr>
              <w:jc w:val="right"/>
              <w:rPr>
                <w:b/>
                <w:bCs/>
                <w:sz w:val="18"/>
              </w:rPr>
            </w:pPr>
            <w:r w:rsidRPr="00C1444C">
              <w:rPr>
                <w:b/>
                <w:bCs/>
                <w:sz w:val="18"/>
              </w:rPr>
              <w:t>17 481,8</w:t>
            </w:r>
          </w:p>
        </w:tc>
        <w:tc>
          <w:tcPr>
            <w:tcW w:w="1252" w:type="dxa"/>
            <w:tcBorders>
              <w:top w:val="nil"/>
              <w:left w:val="nil"/>
              <w:bottom w:val="nil"/>
              <w:right w:val="nil"/>
            </w:tcBorders>
            <w:shd w:val="clear" w:color="auto" w:fill="auto"/>
            <w:noWrap/>
            <w:vAlign w:val="bottom"/>
            <w:hideMark/>
          </w:tcPr>
          <w:p w:rsidR="00C1444C" w:rsidRPr="00C1444C" w:rsidRDefault="00C1444C">
            <w:pPr>
              <w:jc w:val="right"/>
              <w:rPr>
                <w:b/>
                <w:bCs/>
                <w:color w:val="000000"/>
                <w:sz w:val="18"/>
              </w:rPr>
            </w:pPr>
            <w:r w:rsidRPr="00C1444C">
              <w:rPr>
                <w:b/>
                <w:bCs/>
                <w:color w:val="000000"/>
                <w:sz w:val="18"/>
              </w:rPr>
              <w:t>16 851,6</w:t>
            </w:r>
          </w:p>
        </w:tc>
        <w:tc>
          <w:tcPr>
            <w:tcW w:w="1199" w:type="dxa"/>
            <w:tcBorders>
              <w:top w:val="nil"/>
              <w:left w:val="nil"/>
              <w:bottom w:val="nil"/>
              <w:right w:val="nil"/>
            </w:tcBorders>
            <w:shd w:val="clear" w:color="auto" w:fill="auto"/>
            <w:noWrap/>
            <w:vAlign w:val="bottom"/>
            <w:hideMark/>
          </w:tcPr>
          <w:p w:rsidR="00C1444C" w:rsidRPr="00C1444C" w:rsidRDefault="00C1444C">
            <w:pPr>
              <w:jc w:val="right"/>
              <w:rPr>
                <w:b/>
                <w:bCs/>
                <w:color w:val="000000"/>
                <w:sz w:val="18"/>
              </w:rPr>
            </w:pPr>
            <w:r w:rsidRPr="00C1444C">
              <w:rPr>
                <w:b/>
                <w:bCs/>
                <w:color w:val="000000"/>
                <w:sz w:val="18"/>
              </w:rPr>
              <w:t>630,2</w:t>
            </w:r>
          </w:p>
        </w:tc>
        <w:tc>
          <w:tcPr>
            <w:tcW w:w="1300" w:type="dxa"/>
            <w:tcBorders>
              <w:top w:val="nil"/>
              <w:left w:val="nil"/>
              <w:bottom w:val="nil"/>
              <w:right w:val="single" w:sz="8" w:space="0" w:color="auto"/>
            </w:tcBorders>
            <w:shd w:val="clear" w:color="auto" w:fill="auto"/>
            <w:noWrap/>
            <w:vAlign w:val="bottom"/>
            <w:hideMark/>
          </w:tcPr>
          <w:p w:rsidR="00C1444C" w:rsidRPr="00C1444C" w:rsidRDefault="00C1444C">
            <w:pPr>
              <w:jc w:val="right"/>
              <w:rPr>
                <w:b/>
                <w:bCs/>
                <w:sz w:val="18"/>
              </w:rPr>
            </w:pPr>
            <w:r w:rsidRPr="00C1444C">
              <w:rPr>
                <w:b/>
                <w:bCs/>
                <w:sz w:val="18"/>
              </w:rPr>
              <w:t>49,3%</w:t>
            </w:r>
          </w:p>
        </w:tc>
      </w:tr>
      <w:tr w:rsidR="00C1444C" w:rsidRPr="0092537A" w:rsidTr="00C1444C">
        <w:trPr>
          <w:trHeight w:val="255"/>
        </w:trPr>
        <w:tc>
          <w:tcPr>
            <w:tcW w:w="3998" w:type="dxa"/>
            <w:tcBorders>
              <w:top w:val="nil"/>
              <w:left w:val="single" w:sz="8" w:space="0" w:color="auto"/>
              <w:bottom w:val="nil"/>
              <w:right w:val="nil"/>
            </w:tcBorders>
            <w:shd w:val="clear" w:color="auto" w:fill="auto"/>
            <w:noWrap/>
            <w:vAlign w:val="bottom"/>
            <w:hideMark/>
          </w:tcPr>
          <w:p w:rsidR="00C1444C" w:rsidRPr="0075199F" w:rsidRDefault="00C1444C">
            <w:pPr>
              <w:rPr>
                <w:sz w:val="18"/>
                <w:szCs w:val="18"/>
              </w:rPr>
            </w:pPr>
            <w:r w:rsidRPr="0075199F">
              <w:rPr>
                <w:sz w:val="18"/>
                <w:szCs w:val="18"/>
              </w:rPr>
              <w:t xml:space="preserve">  Данъчни приходи</w:t>
            </w:r>
          </w:p>
        </w:tc>
        <w:tc>
          <w:tcPr>
            <w:tcW w:w="1105" w:type="dxa"/>
            <w:tcBorders>
              <w:top w:val="nil"/>
              <w:left w:val="nil"/>
              <w:bottom w:val="nil"/>
              <w:right w:val="nil"/>
            </w:tcBorders>
            <w:shd w:val="clear" w:color="auto" w:fill="auto"/>
            <w:noWrap/>
            <w:vAlign w:val="bottom"/>
            <w:hideMark/>
          </w:tcPr>
          <w:p w:rsidR="00C1444C" w:rsidRPr="0075199F" w:rsidRDefault="00C1444C">
            <w:pPr>
              <w:jc w:val="right"/>
              <w:rPr>
                <w:sz w:val="18"/>
                <w:szCs w:val="18"/>
              </w:rPr>
            </w:pPr>
            <w:r w:rsidRPr="0075199F">
              <w:rPr>
                <w:sz w:val="18"/>
                <w:szCs w:val="18"/>
              </w:rPr>
              <w:t>28 037,1</w:t>
            </w:r>
          </w:p>
        </w:tc>
        <w:tc>
          <w:tcPr>
            <w:tcW w:w="1087" w:type="dxa"/>
            <w:tcBorders>
              <w:top w:val="nil"/>
              <w:left w:val="nil"/>
              <w:bottom w:val="nil"/>
              <w:right w:val="nil"/>
            </w:tcBorders>
            <w:shd w:val="clear" w:color="auto" w:fill="auto"/>
            <w:noWrap/>
            <w:vAlign w:val="bottom"/>
            <w:hideMark/>
          </w:tcPr>
          <w:p w:rsidR="00C1444C" w:rsidRPr="00C1444C" w:rsidRDefault="00C1444C">
            <w:pPr>
              <w:jc w:val="right"/>
              <w:rPr>
                <w:sz w:val="18"/>
              </w:rPr>
            </w:pPr>
            <w:r w:rsidRPr="00C1444C">
              <w:rPr>
                <w:sz w:val="18"/>
              </w:rPr>
              <w:t>14 537,8</w:t>
            </w:r>
          </w:p>
        </w:tc>
        <w:tc>
          <w:tcPr>
            <w:tcW w:w="1252"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14 537,8</w:t>
            </w:r>
          </w:p>
        </w:tc>
        <w:tc>
          <w:tcPr>
            <w:tcW w:w="1199"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0,</w:t>
            </w:r>
            <w:proofErr w:type="spellStart"/>
            <w:r w:rsidRPr="00C1444C">
              <w:rPr>
                <w:color w:val="000000"/>
                <w:sz w:val="18"/>
              </w:rPr>
              <w:t>0</w:t>
            </w:r>
            <w:proofErr w:type="spellEnd"/>
          </w:p>
        </w:tc>
        <w:tc>
          <w:tcPr>
            <w:tcW w:w="1300" w:type="dxa"/>
            <w:tcBorders>
              <w:top w:val="nil"/>
              <w:left w:val="nil"/>
              <w:bottom w:val="nil"/>
              <w:right w:val="single" w:sz="8" w:space="0" w:color="auto"/>
            </w:tcBorders>
            <w:shd w:val="clear" w:color="auto" w:fill="auto"/>
            <w:noWrap/>
            <w:vAlign w:val="bottom"/>
            <w:hideMark/>
          </w:tcPr>
          <w:p w:rsidR="00C1444C" w:rsidRPr="00C1444C" w:rsidRDefault="00C1444C">
            <w:pPr>
              <w:jc w:val="right"/>
              <w:rPr>
                <w:sz w:val="18"/>
              </w:rPr>
            </w:pPr>
            <w:r w:rsidRPr="00C1444C">
              <w:rPr>
                <w:sz w:val="18"/>
              </w:rPr>
              <w:t>51,9%</w:t>
            </w:r>
          </w:p>
        </w:tc>
      </w:tr>
      <w:tr w:rsidR="00C1444C" w:rsidRPr="0092537A" w:rsidTr="00C1444C">
        <w:trPr>
          <w:trHeight w:val="255"/>
        </w:trPr>
        <w:tc>
          <w:tcPr>
            <w:tcW w:w="3998" w:type="dxa"/>
            <w:tcBorders>
              <w:top w:val="nil"/>
              <w:left w:val="single" w:sz="8" w:space="0" w:color="auto"/>
              <w:bottom w:val="nil"/>
              <w:right w:val="nil"/>
            </w:tcBorders>
            <w:shd w:val="clear" w:color="auto" w:fill="auto"/>
            <w:noWrap/>
            <w:vAlign w:val="bottom"/>
            <w:hideMark/>
          </w:tcPr>
          <w:p w:rsidR="00C1444C" w:rsidRPr="0075199F" w:rsidRDefault="00C1444C">
            <w:pPr>
              <w:rPr>
                <w:sz w:val="18"/>
                <w:szCs w:val="18"/>
              </w:rPr>
            </w:pPr>
            <w:r w:rsidRPr="0075199F">
              <w:rPr>
                <w:sz w:val="18"/>
                <w:szCs w:val="18"/>
              </w:rPr>
              <w:t xml:space="preserve">  Неданъчни приходи</w:t>
            </w:r>
          </w:p>
        </w:tc>
        <w:tc>
          <w:tcPr>
            <w:tcW w:w="1105" w:type="dxa"/>
            <w:tcBorders>
              <w:top w:val="nil"/>
              <w:left w:val="nil"/>
              <w:bottom w:val="nil"/>
              <w:right w:val="nil"/>
            </w:tcBorders>
            <w:shd w:val="clear" w:color="auto" w:fill="auto"/>
            <w:noWrap/>
            <w:vAlign w:val="bottom"/>
            <w:hideMark/>
          </w:tcPr>
          <w:p w:rsidR="00C1444C" w:rsidRPr="0075199F" w:rsidRDefault="00C1444C">
            <w:pPr>
              <w:jc w:val="right"/>
              <w:rPr>
                <w:sz w:val="18"/>
                <w:szCs w:val="18"/>
              </w:rPr>
            </w:pPr>
            <w:r w:rsidRPr="0075199F">
              <w:rPr>
                <w:sz w:val="18"/>
                <w:szCs w:val="18"/>
              </w:rPr>
              <w:t>4 758,0</w:t>
            </w:r>
          </w:p>
        </w:tc>
        <w:tc>
          <w:tcPr>
            <w:tcW w:w="1087" w:type="dxa"/>
            <w:tcBorders>
              <w:top w:val="nil"/>
              <w:left w:val="nil"/>
              <w:bottom w:val="nil"/>
              <w:right w:val="nil"/>
            </w:tcBorders>
            <w:shd w:val="clear" w:color="auto" w:fill="auto"/>
            <w:noWrap/>
            <w:vAlign w:val="bottom"/>
            <w:hideMark/>
          </w:tcPr>
          <w:p w:rsidR="00C1444C" w:rsidRPr="00C1444C" w:rsidRDefault="00C1444C">
            <w:pPr>
              <w:jc w:val="right"/>
              <w:rPr>
                <w:sz w:val="18"/>
              </w:rPr>
            </w:pPr>
            <w:r w:rsidRPr="00C1444C">
              <w:rPr>
                <w:sz w:val="18"/>
              </w:rPr>
              <w:t>2 274,2</w:t>
            </w:r>
          </w:p>
        </w:tc>
        <w:tc>
          <w:tcPr>
            <w:tcW w:w="1252"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2 271,1</w:t>
            </w:r>
          </w:p>
        </w:tc>
        <w:tc>
          <w:tcPr>
            <w:tcW w:w="1199"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3,1</w:t>
            </w:r>
          </w:p>
        </w:tc>
        <w:tc>
          <w:tcPr>
            <w:tcW w:w="1300" w:type="dxa"/>
            <w:tcBorders>
              <w:top w:val="nil"/>
              <w:left w:val="nil"/>
              <w:bottom w:val="nil"/>
              <w:right w:val="single" w:sz="8" w:space="0" w:color="auto"/>
            </w:tcBorders>
            <w:shd w:val="clear" w:color="auto" w:fill="auto"/>
            <w:noWrap/>
            <w:vAlign w:val="bottom"/>
            <w:hideMark/>
          </w:tcPr>
          <w:p w:rsidR="00C1444C" w:rsidRPr="00C1444C" w:rsidRDefault="00C1444C">
            <w:pPr>
              <w:jc w:val="right"/>
              <w:rPr>
                <w:sz w:val="18"/>
              </w:rPr>
            </w:pPr>
            <w:r w:rsidRPr="00C1444C">
              <w:rPr>
                <w:sz w:val="18"/>
              </w:rPr>
              <w:t>47,8%</w:t>
            </w:r>
          </w:p>
        </w:tc>
      </w:tr>
      <w:tr w:rsidR="00C1444C" w:rsidRPr="0092537A" w:rsidTr="00C1444C">
        <w:trPr>
          <w:trHeight w:val="255"/>
        </w:trPr>
        <w:tc>
          <w:tcPr>
            <w:tcW w:w="3998" w:type="dxa"/>
            <w:tcBorders>
              <w:top w:val="nil"/>
              <w:left w:val="single" w:sz="8" w:space="0" w:color="auto"/>
              <w:bottom w:val="nil"/>
              <w:right w:val="nil"/>
            </w:tcBorders>
            <w:shd w:val="clear" w:color="auto" w:fill="auto"/>
            <w:noWrap/>
            <w:vAlign w:val="bottom"/>
            <w:hideMark/>
          </w:tcPr>
          <w:p w:rsidR="00C1444C" w:rsidRPr="0075199F" w:rsidRDefault="00C1444C">
            <w:pPr>
              <w:rPr>
                <w:sz w:val="18"/>
                <w:szCs w:val="18"/>
              </w:rPr>
            </w:pPr>
            <w:r w:rsidRPr="0075199F">
              <w:rPr>
                <w:sz w:val="18"/>
                <w:szCs w:val="18"/>
              </w:rPr>
              <w:t xml:space="preserve">  Помощи</w:t>
            </w:r>
          </w:p>
        </w:tc>
        <w:tc>
          <w:tcPr>
            <w:tcW w:w="1105" w:type="dxa"/>
            <w:tcBorders>
              <w:top w:val="nil"/>
              <w:left w:val="nil"/>
              <w:bottom w:val="nil"/>
              <w:right w:val="nil"/>
            </w:tcBorders>
            <w:shd w:val="clear" w:color="auto" w:fill="auto"/>
            <w:noWrap/>
            <w:vAlign w:val="bottom"/>
            <w:hideMark/>
          </w:tcPr>
          <w:p w:rsidR="00C1444C" w:rsidRPr="0075199F" w:rsidRDefault="00C1444C">
            <w:pPr>
              <w:jc w:val="right"/>
              <w:rPr>
                <w:sz w:val="18"/>
                <w:szCs w:val="18"/>
              </w:rPr>
            </w:pPr>
            <w:r w:rsidRPr="0075199F">
              <w:rPr>
                <w:sz w:val="18"/>
                <w:szCs w:val="18"/>
              </w:rPr>
              <w:t>2 644,4</w:t>
            </w:r>
          </w:p>
        </w:tc>
        <w:tc>
          <w:tcPr>
            <w:tcW w:w="1087" w:type="dxa"/>
            <w:tcBorders>
              <w:top w:val="nil"/>
              <w:left w:val="nil"/>
              <w:bottom w:val="nil"/>
              <w:right w:val="nil"/>
            </w:tcBorders>
            <w:shd w:val="clear" w:color="auto" w:fill="auto"/>
            <w:noWrap/>
            <w:vAlign w:val="bottom"/>
            <w:hideMark/>
          </w:tcPr>
          <w:p w:rsidR="00C1444C" w:rsidRPr="00C1444C" w:rsidRDefault="00C1444C">
            <w:pPr>
              <w:jc w:val="right"/>
              <w:rPr>
                <w:sz w:val="18"/>
              </w:rPr>
            </w:pPr>
            <w:r w:rsidRPr="00C1444C">
              <w:rPr>
                <w:sz w:val="18"/>
              </w:rPr>
              <w:t>669,8</w:t>
            </w:r>
          </w:p>
        </w:tc>
        <w:tc>
          <w:tcPr>
            <w:tcW w:w="1252"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42,6</w:t>
            </w:r>
          </w:p>
        </w:tc>
        <w:tc>
          <w:tcPr>
            <w:tcW w:w="1199" w:type="dxa"/>
            <w:tcBorders>
              <w:top w:val="nil"/>
              <w:left w:val="nil"/>
              <w:bottom w:val="single" w:sz="4" w:space="0" w:color="auto"/>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627,2</w:t>
            </w:r>
          </w:p>
        </w:tc>
        <w:tc>
          <w:tcPr>
            <w:tcW w:w="1300" w:type="dxa"/>
            <w:tcBorders>
              <w:top w:val="nil"/>
              <w:left w:val="nil"/>
              <w:bottom w:val="nil"/>
              <w:right w:val="single" w:sz="8" w:space="0" w:color="auto"/>
            </w:tcBorders>
            <w:shd w:val="clear" w:color="auto" w:fill="auto"/>
            <w:noWrap/>
            <w:vAlign w:val="bottom"/>
            <w:hideMark/>
          </w:tcPr>
          <w:p w:rsidR="00C1444C" w:rsidRPr="00C1444C" w:rsidRDefault="00C1444C">
            <w:pPr>
              <w:jc w:val="right"/>
              <w:rPr>
                <w:sz w:val="18"/>
              </w:rPr>
            </w:pPr>
            <w:r w:rsidRPr="00C1444C">
              <w:rPr>
                <w:sz w:val="18"/>
              </w:rPr>
              <w:t>25,3%</w:t>
            </w:r>
          </w:p>
        </w:tc>
      </w:tr>
      <w:tr w:rsidR="00C1444C" w:rsidRPr="0092537A" w:rsidTr="00C1444C">
        <w:trPr>
          <w:trHeight w:val="480"/>
        </w:trPr>
        <w:tc>
          <w:tcPr>
            <w:tcW w:w="3998" w:type="dxa"/>
            <w:tcBorders>
              <w:top w:val="single" w:sz="4" w:space="0" w:color="auto"/>
              <w:left w:val="single" w:sz="8" w:space="0" w:color="auto"/>
              <w:bottom w:val="nil"/>
              <w:right w:val="nil"/>
            </w:tcBorders>
            <w:shd w:val="clear" w:color="auto" w:fill="auto"/>
            <w:vAlign w:val="bottom"/>
            <w:hideMark/>
          </w:tcPr>
          <w:p w:rsidR="00C1444C" w:rsidRPr="0075199F" w:rsidRDefault="00C1444C">
            <w:pPr>
              <w:rPr>
                <w:b/>
                <w:bCs/>
                <w:sz w:val="18"/>
                <w:szCs w:val="18"/>
              </w:rPr>
            </w:pPr>
            <w:r w:rsidRPr="0075199F">
              <w:rPr>
                <w:b/>
                <w:bCs/>
                <w:sz w:val="18"/>
                <w:szCs w:val="18"/>
              </w:rPr>
              <w:t>РАЗХОДИ И ВНОСКА ЗА ОБЩИЯ БЮДЖЕТ НА ЕС</w:t>
            </w:r>
          </w:p>
        </w:tc>
        <w:tc>
          <w:tcPr>
            <w:tcW w:w="1105" w:type="dxa"/>
            <w:tcBorders>
              <w:top w:val="single" w:sz="4" w:space="0" w:color="auto"/>
              <w:left w:val="nil"/>
              <w:bottom w:val="nil"/>
              <w:right w:val="nil"/>
            </w:tcBorders>
            <w:shd w:val="clear" w:color="auto" w:fill="auto"/>
            <w:noWrap/>
            <w:vAlign w:val="bottom"/>
            <w:hideMark/>
          </w:tcPr>
          <w:p w:rsidR="00C1444C" w:rsidRPr="0075199F" w:rsidRDefault="00C1444C">
            <w:pPr>
              <w:jc w:val="right"/>
              <w:rPr>
                <w:b/>
                <w:bCs/>
                <w:sz w:val="18"/>
                <w:szCs w:val="18"/>
              </w:rPr>
            </w:pPr>
            <w:r w:rsidRPr="0075199F">
              <w:rPr>
                <w:b/>
                <w:bCs/>
                <w:sz w:val="18"/>
                <w:szCs w:val="18"/>
              </w:rPr>
              <w:t>36 769,6</w:t>
            </w:r>
          </w:p>
        </w:tc>
        <w:tc>
          <w:tcPr>
            <w:tcW w:w="1087" w:type="dxa"/>
            <w:tcBorders>
              <w:top w:val="single" w:sz="4" w:space="0" w:color="auto"/>
              <w:left w:val="nil"/>
              <w:bottom w:val="nil"/>
              <w:right w:val="nil"/>
            </w:tcBorders>
            <w:shd w:val="clear" w:color="auto" w:fill="auto"/>
            <w:noWrap/>
            <w:vAlign w:val="bottom"/>
            <w:hideMark/>
          </w:tcPr>
          <w:p w:rsidR="00C1444C" w:rsidRPr="00C1444C" w:rsidRDefault="00C1444C">
            <w:pPr>
              <w:jc w:val="right"/>
              <w:rPr>
                <w:b/>
                <w:bCs/>
                <w:sz w:val="18"/>
              </w:rPr>
            </w:pPr>
            <w:r w:rsidRPr="00C1444C">
              <w:rPr>
                <w:b/>
                <w:bCs/>
                <w:sz w:val="18"/>
              </w:rPr>
              <w:t>15 735,1</w:t>
            </w:r>
          </w:p>
        </w:tc>
        <w:tc>
          <w:tcPr>
            <w:tcW w:w="1252" w:type="dxa"/>
            <w:tcBorders>
              <w:top w:val="single" w:sz="4" w:space="0" w:color="auto"/>
              <w:left w:val="nil"/>
              <w:bottom w:val="nil"/>
              <w:right w:val="nil"/>
            </w:tcBorders>
            <w:shd w:val="clear" w:color="auto" w:fill="auto"/>
            <w:noWrap/>
            <w:vAlign w:val="bottom"/>
            <w:hideMark/>
          </w:tcPr>
          <w:p w:rsidR="00C1444C" w:rsidRPr="00C1444C" w:rsidRDefault="00C1444C">
            <w:pPr>
              <w:jc w:val="right"/>
              <w:rPr>
                <w:b/>
                <w:bCs/>
                <w:color w:val="000000"/>
                <w:sz w:val="18"/>
              </w:rPr>
            </w:pPr>
            <w:r w:rsidRPr="00C1444C">
              <w:rPr>
                <w:b/>
                <w:bCs/>
                <w:color w:val="000000"/>
                <w:sz w:val="18"/>
              </w:rPr>
              <w:t>14 892,2</w:t>
            </w:r>
          </w:p>
        </w:tc>
        <w:tc>
          <w:tcPr>
            <w:tcW w:w="1199" w:type="dxa"/>
            <w:tcBorders>
              <w:top w:val="nil"/>
              <w:left w:val="nil"/>
              <w:bottom w:val="nil"/>
              <w:right w:val="nil"/>
            </w:tcBorders>
            <w:shd w:val="clear" w:color="auto" w:fill="auto"/>
            <w:noWrap/>
            <w:vAlign w:val="bottom"/>
            <w:hideMark/>
          </w:tcPr>
          <w:p w:rsidR="00C1444C" w:rsidRPr="00C1444C" w:rsidRDefault="00C1444C">
            <w:pPr>
              <w:jc w:val="right"/>
              <w:rPr>
                <w:b/>
                <w:bCs/>
                <w:color w:val="000000"/>
                <w:sz w:val="18"/>
              </w:rPr>
            </w:pPr>
            <w:r w:rsidRPr="00C1444C">
              <w:rPr>
                <w:b/>
                <w:bCs/>
                <w:color w:val="000000"/>
                <w:sz w:val="18"/>
              </w:rPr>
              <w:t>842,9</w:t>
            </w:r>
          </w:p>
        </w:tc>
        <w:tc>
          <w:tcPr>
            <w:tcW w:w="1300" w:type="dxa"/>
            <w:tcBorders>
              <w:top w:val="single" w:sz="4" w:space="0" w:color="auto"/>
              <w:left w:val="nil"/>
              <w:bottom w:val="nil"/>
              <w:right w:val="single" w:sz="8" w:space="0" w:color="auto"/>
            </w:tcBorders>
            <w:shd w:val="clear" w:color="auto" w:fill="auto"/>
            <w:noWrap/>
            <w:vAlign w:val="bottom"/>
            <w:hideMark/>
          </w:tcPr>
          <w:p w:rsidR="00C1444C" w:rsidRPr="00C1444C" w:rsidRDefault="00C1444C">
            <w:pPr>
              <w:jc w:val="right"/>
              <w:rPr>
                <w:b/>
                <w:bCs/>
                <w:sz w:val="18"/>
              </w:rPr>
            </w:pPr>
            <w:r w:rsidRPr="00C1444C">
              <w:rPr>
                <w:b/>
                <w:bCs/>
                <w:sz w:val="18"/>
              </w:rPr>
              <w:t>42,8%</w:t>
            </w:r>
          </w:p>
        </w:tc>
      </w:tr>
      <w:tr w:rsidR="00C1444C" w:rsidRPr="0092537A" w:rsidTr="00C1444C">
        <w:trPr>
          <w:trHeight w:val="255"/>
        </w:trPr>
        <w:tc>
          <w:tcPr>
            <w:tcW w:w="3998" w:type="dxa"/>
            <w:tcBorders>
              <w:top w:val="nil"/>
              <w:left w:val="single" w:sz="8" w:space="0" w:color="auto"/>
              <w:bottom w:val="nil"/>
              <w:right w:val="nil"/>
            </w:tcBorders>
            <w:shd w:val="clear" w:color="auto" w:fill="auto"/>
            <w:noWrap/>
            <w:vAlign w:val="bottom"/>
            <w:hideMark/>
          </w:tcPr>
          <w:p w:rsidR="00C1444C" w:rsidRPr="0075199F" w:rsidRDefault="00C1444C">
            <w:pPr>
              <w:rPr>
                <w:sz w:val="18"/>
                <w:szCs w:val="18"/>
              </w:rPr>
            </w:pPr>
            <w:r w:rsidRPr="0075199F">
              <w:rPr>
                <w:sz w:val="18"/>
                <w:szCs w:val="18"/>
              </w:rPr>
              <w:t xml:space="preserve">  Нелихвени</w:t>
            </w:r>
          </w:p>
        </w:tc>
        <w:tc>
          <w:tcPr>
            <w:tcW w:w="1105" w:type="dxa"/>
            <w:tcBorders>
              <w:top w:val="nil"/>
              <w:left w:val="nil"/>
              <w:bottom w:val="nil"/>
              <w:right w:val="nil"/>
            </w:tcBorders>
            <w:shd w:val="clear" w:color="auto" w:fill="auto"/>
            <w:noWrap/>
            <w:vAlign w:val="bottom"/>
            <w:hideMark/>
          </w:tcPr>
          <w:p w:rsidR="00C1444C" w:rsidRPr="0075199F" w:rsidRDefault="00C1444C">
            <w:pPr>
              <w:jc w:val="right"/>
              <w:rPr>
                <w:sz w:val="18"/>
                <w:szCs w:val="18"/>
              </w:rPr>
            </w:pPr>
            <w:r w:rsidRPr="0075199F">
              <w:rPr>
                <w:sz w:val="18"/>
                <w:szCs w:val="18"/>
              </w:rPr>
              <w:t>34 537,8</w:t>
            </w:r>
          </w:p>
        </w:tc>
        <w:tc>
          <w:tcPr>
            <w:tcW w:w="1087" w:type="dxa"/>
            <w:tcBorders>
              <w:top w:val="nil"/>
              <w:left w:val="nil"/>
              <w:bottom w:val="nil"/>
              <w:right w:val="nil"/>
            </w:tcBorders>
            <w:shd w:val="clear" w:color="auto" w:fill="auto"/>
            <w:noWrap/>
            <w:vAlign w:val="bottom"/>
            <w:hideMark/>
          </w:tcPr>
          <w:p w:rsidR="00C1444C" w:rsidRPr="00C1444C" w:rsidRDefault="00C1444C">
            <w:pPr>
              <w:jc w:val="right"/>
              <w:rPr>
                <w:sz w:val="18"/>
              </w:rPr>
            </w:pPr>
            <w:r w:rsidRPr="00C1444C">
              <w:rPr>
                <w:sz w:val="18"/>
              </w:rPr>
              <w:t>14 812,4</w:t>
            </w:r>
          </w:p>
        </w:tc>
        <w:tc>
          <w:tcPr>
            <w:tcW w:w="1252" w:type="dxa"/>
            <w:tcBorders>
              <w:top w:val="nil"/>
              <w:left w:val="nil"/>
              <w:bottom w:val="nil"/>
              <w:right w:val="nil"/>
            </w:tcBorders>
            <w:shd w:val="clear" w:color="auto" w:fill="auto"/>
            <w:noWrap/>
            <w:vAlign w:val="bottom"/>
            <w:hideMark/>
          </w:tcPr>
          <w:p w:rsidR="00C1444C" w:rsidRPr="00C1444C" w:rsidRDefault="00C1444C">
            <w:pPr>
              <w:jc w:val="right"/>
              <w:rPr>
                <w:sz w:val="18"/>
              </w:rPr>
            </w:pPr>
            <w:r w:rsidRPr="00C1444C">
              <w:rPr>
                <w:sz w:val="18"/>
              </w:rPr>
              <w:t>13 969,6</w:t>
            </w:r>
          </w:p>
        </w:tc>
        <w:tc>
          <w:tcPr>
            <w:tcW w:w="1199" w:type="dxa"/>
            <w:tcBorders>
              <w:top w:val="nil"/>
              <w:left w:val="nil"/>
              <w:bottom w:val="nil"/>
              <w:right w:val="nil"/>
            </w:tcBorders>
            <w:shd w:val="clear" w:color="auto" w:fill="auto"/>
            <w:noWrap/>
            <w:vAlign w:val="bottom"/>
            <w:hideMark/>
          </w:tcPr>
          <w:p w:rsidR="00C1444C" w:rsidRPr="00C1444C" w:rsidRDefault="00C1444C">
            <w:pPr>
              <w:jc w:val="right"/>
              <w:rPr>
                <w:sz w:val="18"/>
              </w:rPr>
            </w:pPr>
            <w:r w:rsidRPr="00C1444C">
              <w:rPr>
                <w:sz w:val="18"/>
              </w:rPr>
              <w:t>842,9</w:t>
            </w:r>
          </w:p>
        </w:tc>
        <w:tc>
          <w:tcPr>
            <w:tcW w:w="1300" w:type="dxa"/>
            <w:tcBorders>
              <w:top w:val="nil"/>
              <w:left w:val="nil"/>
              <w:bottom w:val="nil"/>
              <w:right w:val="single" w:sz="8" w:space="0" w:color="auto"/>
            </w:tcBorders>
            <w:shd w:val="clear" w:color="auto" w:fill="auto"/>
            <w:noWrap/>
            <w:vAlign w:val="bottom"/>
            <w:hideMark/>
          </w:tcPr>
          <w:p w:rsidR="00C1444C" w:rsidRPr="00C1444C" w:rsidRDefault="00C1444C">
            <w:pPr>
              <w:jc w:val="right"/>
              <w:rPr>
                <w:sz w:val="18"/>
              </w:rPr>
            </w:pPr>
            <w:r w:rsidRPr="00C1444C">
              <w:rPr>
                <w:sz w:val="18"/>
              </w:rPr>
              <w:t>42,9%</w:t>
            </w:r>
          </w:p>
        </w:tc>
      </w:tr>
      <w:tr w:rsidR="00C1444C" w:rsidRPr="0092537A" w:rsidTr="00C1444C">
        <w:trPr>
          <w:trHeight w:val="255"/>
        </w:trPr>
        <w:tc>
          <w:tcPr>
            <w:tcW w:w="3998" w:type="dxa"/>
            <w:tcBorders>
              <w:top w:val="nil"/>
              <w:left w:val="single" w:sz="8" w:space="0" w:color="auto"/>
              <w:bottom w:val="nil"/>
              <w:right w:val="nil"/>
            </w:tcBorders>
            <w:shd w:val="clear" w:color="auto" w:fill="auto"/>
            <w:noWrap/>
            <w:vAlign w:val="bottom"/>
            <w:hideMark/>
          </w:tcPr>
          <w:p w:rsidR="00C1444C" w:rsidRPr="0075199F" w:rsidRDefault="00C1444C">
            <w:pPr>
              <w:rPr>
                <w:sz w:val="18"/>
                <w:szCs w:val="18"/>
              </w:rPr>
            </w:pPr>
            <w:r w:rsidRPr="0075199F">
              <w:rPr>
                <w:sz w:val="18"/>
                <w:szCs w:val="18"/>
              </w:rPr>
              <w:t xml:space="preserve">    Текущи</w:t>
            </w:r>
          </w:p>
        </w:tc>
        <w:tc>
          <w:tcPr>
            <w:tcW w:w="1105" w:type="dxa"/>
            <w:tcBorders>
              <w:top w:val="nil"/>
              <w:left w:val="nil"/>
              <w:bottom w:val="nil"/>
              <w:right w:val="nil"/>
            </w:tcBorders>
            <w:shd w:val="clear" w:color="auto" w:fill="auto"/>
            <w:noWrap/>
            <w:vAlign w:val="bottom"/>
            <w:hideMark/>
          </w:tcPr>
          <w:p w:rsidR="00C1444C" w:rsidRPr="0075199F" w:rsidRDefault="00C1444C">
            <w:pPr>
              <w:jc w:val="right"/>
              <w:rPr>
                <w:sz w:val="18"/>
                <w:szCs w:val="18"/>
              </w:rPr>
            </w:pPr>
            <w:r w:rsidRPr="0075199F">
              <w:rPr>
                <w:sz w:val="18"/>
                <w:szCs w:val="18"/>
              </w:rPr>
              <w:t>28 334,5</w:t>
            </w:r>
          </w:p>
        </w:tc>
        <w:tc>
          <w:tcPr>
            <w:tcW w:w="1087" w:type="dxa"/>
            <w:tcBorders>
              <w:top w:val="nil"/>
              <w:left w:val="nil"/>
              <w:bottom w:val="nil"/>
              <w:right w:val="nil"/>
            </w:tcBorders>
            <w:shd w:val="clear" w:color="auto" w:fill="auto"/>
            <w:noWrap/>
            <w:vAlign w:val="bottom"/>
            <w:hideMark/>
          </w:tcPr>
          <w:p w:rsidR="00C1444C" w:rsidRPr="00C1444C" w:rsidRDefault="00C1444C">
            <w:pPr>
              <w:jc w:val="right"/>
              <w:rPr>
                <w:sz w:val="18"/>
              </w:rPr>
            </w:pPr>
            <w:r w:rsidRPr="00C1444C">
              <w:rPr>
                <w:sz w:val="18"/>
              </w:rPr>
              <w:t>13 958,8</w:t>
            </w:r>
          </w:p>
        </w:tc>
        <w:tc>
          <w:tcPr>
            <w:tcW w:w="1252"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13 527,1</w:t>
            </w:r>
          </w:p>
        </w:tc>
        <w:tc>
          <w:tcPr>
            <w:tcW w:w="1199"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431,7</w:t>
            </w:r>
          </w:p>
        </w:tc>
        <w:tc>
          <w:tcPr>
            <w:tcW w:w="1300" w:type="dxa"/>
            <w:tcBorders>
              <w:top w:val="nil"/>
              <w:left w:val="nil"/>
              <w:bottom w:val="nil"/>
              <w:right w:val="single" w:sz="8" w:space="0" w:color="auto"/>
            </w:tcBorders>
            <w:shd w:val="clear" w:color="auto" w:fill="auto"/>
            <w:noWrap/>
            <w:vAlign w:val="bottom"/>
            <w:hideMark/>
          </w:tcPr>
          <w:p w:rsidR="00C1444C" w:rsidRPr="00C1444C" w:rsidRDefault="00C1444C">
            <w:pPr>
              <w:jc w:val="right"/>
              <w:rPr>
                <w:sz w:val="18"/>
              </w:rPr>
            </w:pPr>
            <w:r w:rsidRPr="00C1444C">
              <w:rPr>
                <w:sz w:val="18"/>
              </w:rPr>
              <w:t>49,3%</w:t>
            </w:r>
          </w:p>
        </w:tc>
      </w:tr>
      <w:tr w:rsidR="00C1444C" w:rsidRPr="0092537A" w:rsidTr="00C1444C">
        <w:trPr>
          <w:trHeight w:val="255"/>
        </w:trPr>
        <w:tc>
          <w:tcPr>
            <w:tcW w:w="3998" w:type="dxa"/>
            <w:tcBorders>
              <w:top w:val="nil"/>
              <w:left w:val="single" w:sz="8" w:space="0" w:color="auto"/>
              <w:bottom w:val="nil"/>
              <w:right w:val="nil"/>
            </w:tcBorders>
            <w:shd w:val="clear" w:color="auto" w:fill="auto"/>
            <w:noWrap/>
            <w:vAlign w:val="bottom"/>
            <w:hideMark/>
          </w:tcPr>
          <w:p w:rsidR="00C1444C" w:rsidRPr="0075199F" w:rsidRDefault="00C1444C">
            <w:pPr>
              <w:rPr>
                <w:sz w:val="18"/>
                <w:szCs w:val="18"/>
              </w:rPr>
            </w:pPr>
            <w:r w:rsidRPr="0075199F">
              <w:rPr>
                <w:sz w:val="18"/>
                <w:szCs w:val="18"/>
              </w:rPr>
              <w:t xml:space="preserve">    Капиталови</w:t>
            </w:r>
          </w:p>
        </w:tc>
        <w:tc>
          <w:tcPr>
            <w:tcW w:w="1105" w:type="dxa"/>
            <w:tcBorders>
              <w:top w:val="nil"/>
              <w:left w:val="nil"/>
              <w:bottom w:val="nil"/>
              <w:right w:val="nil"/>
            </w:tcBorders>
            <w:shd w:val="clear" w:color="auto" w:fill="auto"/>
            <w:noWrap/>
            <w:vAlign w:val="bottom"/>
            <w:hideMark/>
          </w:tcPr>
          <w:p w:rsidR="00C1444C" w:rsidRPr="0075199F" w:rsidRDefault="00C1444C">
            <w:pPr>
              <w:jc w:val="right"/>
              <w:rPr>
                <w:sz w:val="18"/>
                <w:szCs w:val="18"/>
              </w:rPr>
            </w:pPr>
            <w:r w:rsidRPr="0075199F">
              <w:rPr>
                <w:sz w:val="18"/>
                <w:szCs w:val="18"/>
              </w:rPr>
              <w:t>6 203,3</w:t>
            </w:r>
          </w:p>
        </w:tc>
        <w:tc>
          <w:tcPr>
            <w:tcW w:w="1087" w:type="dxa"/>
            <w:tcBorders>
              <w:top w:val="nil"/>
              <w:left w:val="nil"/>
              <w:bottom w:val="nil"/>
              <w:right w:val="nil"/>
            </w:tcBorders>
            <w:shd w:val="clear" w:color="auto" w:fill="auto"/>
            <w:noWrap/>
            <w:vAlign w:val="bottom"/>
            <w:hideMark/>
          </w:tcPr>
          <w:p w:rsidR="00C1444C" w:rsidRPr="00C1444C" w:rsidRDefault="00C1444C">
            <w:pPr>
              <w:jc w:val="right"/>
              <w:rPr>
                <w:sz w:val="18"/>
              </w:rPr>
            </w:pPr>
            <w:r w:rsidRPr="00C1444C">
              <w:rPr>
                <w:sz w:val="18"/>
              </w:rPr>
              <w:t>853,6</w:t>
            </w:r>
          </w:p>
        </w:tc>
        <w:tc>
          <w:tcPr>
            <w:tcW w:w="1252"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442,5</w:t>
            </w:r>
          </w:p>
        </w:tc>
        <w:tc>
          <w:tcPr>
            <w:tcW w:w="1199"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411,2</w:t>
            </w:r>
          </w:p>
        </w:tc>
        <w:tc>
          <w:tcPr>
            <w:tcW w:w="1300" w:type="dxa"/>
            <w:tcBorders>
              <w:top w:val="nil"/>
              <w:left w:val="nil"/>
              <w:bottom w:val="nil"/>
              <w:right w:val="single" w:sz="8" w:space="0" w:color="auto"/>
            </w:tcBorders>
            <w:shd w:val="clear" w:color="auto" w:fill="auto"/>
            <w:noWrap/>
            <w:vAlign w:val="bottom"/>
            <w:hideMark/>
          </w:tcPr>
          <w:p w:rsidR="00C1444C" w:rsidRPr="00C1444C" w:rsidRDefault="00C1444C">
            <w:pPr>
              <w:jc w:val="right"/>
              <w:rPr>
                <w:sz w:val="18"/>
              </w:rPr>
            </w:pPr>
            <w:r w:rsidRPr="00C1444C">
              <w:rPr>
                <w:sz w:val="18"/>
              </w:rPr>
              <w:t>13,8%</w:t>
            </w:r>
          </w:p>
        </w:tc>
      </w:tr>
      <w:tr w:rsidR="00C1444C" w:rsidRPr="0092537A" w:rsidTr="00C1444C">
        <w:trPr>
          <w:trHeight w:val="255"/>
        </w:trPr>
        <w:tc>
          <w:tcPr>
            <w:tcW w:w="3998" w:type="dxa"/>
            <w:tcBorders>
              <w:top w:val="nil"/>
              <w:left w:val="single" w:sz="8" w:space="0" w:color="auto"/>
              <w:bottom w:val="nil"/>
              <w:right w:val="nil"/>
            </w:tcBorders>
            <w:shd w:val="clear" w:color="auto" w:fill="auto"/>
            <w:noWrap/>
            <w:vAlign w:val="bottom"/>
            <w:hideMark/>
          </w:tcPr>
          <w:p w:rsidR="00C1444C" w:rsidRPr="0075199F" w:rsidRDefault="00C1444C">
            <w:pPr>
              <w:rPr>
                <w:sz w:val="18"/>
                <w:szCs w:val="18"/>
              </w:rPr>
            </w:pPr>
            <w:r w:rsidRPr="0075199F">
              <w:rPr>
                <w:sz w:val="18"/>
                <w:szCs w:val="18"/>
              </w:rPr>
              <w:t xml:space="preserve">           в т.ч. нетен прираст на държавния резерв</w:t>
            </w:r>
          </w:p>
        </w:tc>
        <w:tc>
          <w:tcPr>
            <w:tcW w:w="1105" w:type="dxa"/>
            <w:tcBorders>
              <w:top w:val="nil"/>
              <w:left w:val="nil"/>
              <w:bottom w:val="nil"/>
              <w:right w:val="nil"/>
            </w:tcBorders>
            <w:shd w:val="clear" w:color="auto" w:fill="auto"/>
            <w:noWrap/>
            <w:vAlign w:val="bottom"/>
            <w:hideMark/>
          </w:tcPr>
          <w:p w:rsidR="00C1444C" w:rsidRPr="0075199F" w:rsidRDefault="00C1444C">
            <w:pPr>
              <w:jc w:val="right"/>
              <w:rPr>
                <w:sz w:val="18"/>
                <w:szCs w:val="18"/>
              </w:rPr>
            </w:pPr>
            <w:r w:rsidRPr="0075199F">
              <w:rPr>
                <w:sz w:val="18"/>
                <w:szCs w:val="18"/>
              </w:rPr>
              <w:t>19,2</w:t>
            </w:r>
          </w:p>
        </w:tc>
        <w:tc>
          <w:tcPr>
            <w:tcW w:w="1087" w:type="dxa"/>
            <w:tcBorders>
              <w:top w:val="nil"/>
              <w:left w:val="nil"/>
              <w:bottom w:val="nil"/>
              <w:right w:val="nil"/>
            </w:tcBorders>
            <w:shd w:val="clear" w:color="auto" w:fill="auto"/>
            <w:noWrap/>
            <w:vAlign w:val="bottom"/>
            <w:hideMark/>
          </w:tcPr>
          <w:p w:rsidR="00C1444C" w:rsidRPr="00C1444C" w:rsidRDefault="00C1444C">
            <w:pPr>
              <w:jc w:val="right"/>
              <w:rPr>
                <w:sz w:val="18"/>
              </w:rPr>
            </w:pPr>
            <w:r w:rsidRPr="00C1444C">
              <w:rPr>
                <w:sz w:val="18"/>
              </w:rPr>
              <w:t>-2,7</w:t>
            </w:r>
          </w:p>
        </w:tc>
        <w:tc>
          <w:tcPr>
            <w:tcW w:w="1252"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-2,7</w:t>
            </w:r>
          </w:p>
        </w:tc>
        <w:tc>
          <w:tcPr>
            <w:tcW w:w="1199"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p>
        </w:tc>
        <w:tc>
          <w:tcPr>
            <w:tcW w:w="1300" w:type="dxa"/>
            <w:tcBorders>
              <w:top w:val="nil"/>
              <w:left w:val="nil"/>
              <w:bottom w:val="nil"/>
              <w:right w:val="single" w:sz="8" w:space="0" w:color="auto"/>
            </w:tcBorders>
            <w:shd w:val="clear" w:color="auto" w:fill="auto"/>
            <w:noWrap/>
            <w:vAlign w:val="bottom"/>
            <w:hideMark/>
          </w:tcPr>
          <w:p w:rsidR="00C1444C" w:rsidRPr="00C1444C" w:rsidRDefault="00C1444C">
            <w:pPr>
              <w:jc w:val="right"/>
              <w:rPr>
                <w:sz w:val="18"/>
              </w:rPr>
            </w:pPr>
            <w:r w:rsidRPr="00C1444C">
              <w:rPr>
                <w:sz w:val="18"/>
              </w:rPr>
              <w:t>-14,1%</w:t>
            </w:r>
          </w:p>
        </w:tc>
      </w:tr>
      <w:tr w:rsidR="00C1444C" w:rsidRPr="0092537A" w:rsidTr="00C1444C">
        <w:trPr>
          <w:trHeight w:val="255"/>
        </w:trPr>
        <w:tc>
          <w:tcPr>
            <w:tcW w:w="3998" w:type="dxa"/>
            <w:tcBorders>
              <w:top w:val="nil"/>
              <w:left w:val="single" w:sz="8" w:space="0" w:color="auto"/>
              <w:bottom w:val="nil"/>
              <w:right w:val="nil"/>
            </w:tcBorders>
            <w:shd w:val="clear" w:color="auto" w:fill="auto"/>
            <w:noWrap/>
            <w:vAlign w:val="bottom"/>
            <w:hideMark/>
          </w:tcPr>
          <w:p w:rsidR="00C1444C" w:rsidRPr="0075199F" w:rsidRDefault="00C1444C">
            <w:pPr>
              <w:rPr>
                <w:sz w:val="18"/>
                <w:szCs w:val="18"/>
              </w:rPr>
            </w:pPr>
            <w:r w:rsidRPr="0075199F">
              <w:rPr>
                <w:sz w:val="18"/>
                <w:szCs w:val="18"/>
              </w:rPr>
              <w:t xml:space="preserve">  Лихвени</w:t>
            </w:r>
          </w:p>
        </w:tc>
        <w:tc>
          <w:tcPr>
            <w:tcW w:w="1105" w:type="dxa"/>
            <w:tcBorders>
              <w:top w:val="nil"/>
              <w:left w:val="nil"/>
              <w:bottom w:val="nil"/>
              <w:right w:val="nil"/>
            </w:tcBorders>
            <w:shd w:val="clear" w:color="auto" w:fill="auto"/>
            <w:noWrap/>
            <w:vAlign w:val="bottom"/>
            <w:hideMark/>
          </w:tcPr>
          <w:p w:rsidR="00C1444C" w:rsidRPr="0075199F" w:rsidRDefault="00C1444C">
            <w:pPr>
              <w:jc w:val="right"/>
              <w:rPr>
                <w:sz w:val="18"/>
                <w:szCs w:val="18"/>
              </w:rPr>
            </w:pPr>
            <w:r w:rsidRPr="0075199F">
              <w:rPr>
                <w:sz w:val="18"/>
                <w:szCs w:val="18"/>
              </w:rPr>
              <w:t>826,8</w:t>
            </w:r>
          </w:p>
        </w:tc>
        <w:tc>
          <w:tcPr>
            <w:tcW w:w="1087" w:type="dxa"/>
            <w:tcBorders>
              <w:top w:val="nil"/>
              <w:left w:val="nil"/>
              <w:bottom w:val="nil"/>
              <w:right w:val="nil"/>
            </w:tcBorders>
            <w:shd w:val="clear" w:color="auto" w:fill="auto"/>
            <w:noWrap/>
            <w:vAlign w:val="bottom"/>
            <w:hideMark/>
          </w:tcPr>
          <w:p w:rsidR="00C1444C" w:rsidRPr="00C1444C" w:rsidRDefault="00C1444C">
            <w:pPr>
              <w:jc w:val="right"/>
              <w:rPr>
                <w:sz w:val="18"/>
              </w:rPr>
            </w:pPr>
            <w:r w:rsidRPr="00C1444C">
              <w:rPr>
                <w:sz w:val="18"/>
              </w:rPr>
              <w:t>434,4</w:t>
            </w:r>
          </w:p>
        </w:tc>
        <w:tc>
          <w:tcPr>
            <w:tcW w:w="1252"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434,4</w:t>
            </w:r>
          </w:p>
        </w:tc>
        <w:tc>
          <w:tcPr>
            <w:tcW w:w="1199" w:type="dxa"/>
            <w:tcBorders>
              <w:top w:val="nil"/>
              <w:left w:val="nil"/>
              <w:bottom w:val="nil"/>
              <w:right w:val="nil"/>
            </w:tcBorders>
            <w:shd w:val="clear" w:color="auto" w:fill="auto"/>
            <w:noWrap/>
            <w:vAlign w:val="bottom"/>
            <w:hideMark/>
          </w:tcPr>
          <w:p w:rsidR="00C1444C" w:rsidRPr="00C1444C" w:rsidRDefault="00C1444C">
            <w:pPr>
              <w:jc w:val="right"/>
              <w:rPr>
                <w:color w:val="000000"/>
                <w:sz w:val="18"/>
              </w:rPr>
            </w:pPr>
          </w:p>
        </w:tc>
        <w:tc>
          <w:tcPr>
            <w:tcW w:w="1300" w:type="dxa"/>
            <w:tcBorders>
              <w:top w:val="nil"/>
              <w:left w:val="nil"/>
              <w:bottom w:val="nil"/>
              <w:right w:val="single" w:sz="8" w:space="0" w:color="auto"/>
            </w:tcBorders>
            <w:shd w:val="clear" w:color="auto" w:fill="auto"/>
            <w:noWrap/>
            <w:vAlign w:val="bottom"/>
            <w:hideMark/>
          </w:tcPr>
          <w:p w:rsidR="00C1444C" w:rsidRPr="00C1444C" w:rsidRDefault="00C1444C">
            <w:pPr>
              <w:jc w:val="right"/>
              <w:rPr>
                <w:sz w:val="18"/>
              </w:rPr>
            </w:pPr>
            <w:r w:rsidRPr="00C1444C">
              <w:rPr>
                <w:sz w:val="18"/>
              </w:rPr>
              <w:t>52,5%</w:t>
            </w:r>
          </w:p>
        </w:tc>
      </w:tr>
      <w:tr w:rsidR="00C1444C" w:rsidRPr="0092537A" w:rsidTr="00C1444C">
        <w:trPr>
          <w:trHeight w:val="255"/>
        </w:trPr>
        <w:tc>
          <w:tcPr>
            <w:tcW w:w="3998" w:type="dxa"/>
            <w:tcBorders>
              <w:top w:val="nil"/>
              <w:left w:val="single" w:sz="8" w:space="0" w:color="auto"/>
              <w:bottom w:val="nil"/>
              <w:right w:val="nil"/>
            </w:tcBorders>
            <w:shd w:val="clear" w:color="auto" w:fill="auto"/>
            <w:noWrap/>
            <w:vAlign w:val="bottom"/>
            <w:hideMark/>
          </w:tcPr>
          <w:p w:rsidR="00C1444C" w:rsidRPr="0075199F" w:rsidRDefault="00C1444C">
            <w:pPr>
              <w:rPr>
                <w:sz w:val="18"/>
                <w:szCs w:val="18"/>
              </w:rPr>
            </w:pPr>
            <w:r w:rsidRPr="0075199F">
              <w:rPr>
                <w:sz w:val="18"/>
                <w:szCs w:val="18"/>
              </w:rPr>
              <w:t xml:space="preserve">  Резерв за неотложни и непредвидени разходи</w:t>
            </w:r>
          </w:p>
        </w:tc>
        <w:tc>
          <w:tcPr>
            <w:tcW w:w="1105" w:type="dxa"/>
            <w:tcBorders>
              <w:top w:val="nil"/>
              <w:left w:val="nil"/>
              <w:bottom w:val="nil"/>
              <w:right w:val="nil"/>
            </w:tcBorders>
            <w:shd w:val="clear" w:color="auto" w:fill="auto"/>
            <w:noWrap/>
            <w:vAlign w:val="bottom"/>
            <w:hideMark/>
          </w:tcPr>
          <w:p w:rsidR="00C1444C" w:rsidRPr="0075199F" w:rsidRDefault="00C1444C">
            <w:pPr>
              <w:jc w:val="right"/>
              <w:rPr>
                <w:sz w:val="18"/>
                <w:szCs w:val="18"/>
              </w:rPr>
            </w:pPr>
            <w:r w:rsidRPr="0075199F">
              <w:rPr>
                <w:sz w:val="18"/>
                <w:szCs w:val="18"/>
              </w:rPr>
              <w:t>412,5</w:t>
            </w:r>
          </w:p>
        </w:tc>
        <w:tc>
          <w:tcPr>
            <w:tcW w:w="1087" w:type="dxa"/>
            <w:tcBorders>
              <w:top w:val="nil"/>
              <w:left w:val="nil"/>
              <w:bottom w:val="nil"/>
              <w:right w:val="nil"/>
            </w:tcBorders>
            <w:shd w:val="clear" w:color="auto" w:fill="auto"/>
            <w:noWrap/>
            <w:vAlign w:val="bottom"/>
            <w:hideMark/>
          </w:tcPr>
          <w:p w:rsidR="00C1444C" w:rsidRPr="00C1444C" w:rsidRDefault="00C1444C">
            <w:pPr>
              <w:rPr>
                <w:sz w:val="18"/>
              </w:rPr>
            </w:pPr>
            <w:r w:rsidRPr="00C1444C">
              <w:rPr>
                <w:sz w:val="18"/>
              </w:rPr>
              <w:t> </w:t>
            </w:r>
          </w:p>
        </w:tc>
        <w:tc>
          <w:tcPr>
            <w:tcW w:w="1252" w:type="dxa"/>
            <w:tcBorders>
              <w:top w:val="nil"/>
              <w:left w:val="nil"/>
              <w:bottom w:val="nil"/>
              <w:right w:val="nil"/>
            </w:tcBorders>
            <w:shd w:val="clear" w:color="auto" w:fill="auto"/>
            <w:noWrap/>
            <w:vAlign w:val="bottom"/>
            <w:hideMark/>
          </w:tcPr>
          <w:p w:rsidR="00C1444C" w:rsidRPr="00C1444C" w:rsidRDefault="00C1444C">
            <w:pPr>
              <w:rPr>
                <w:color w:val="000000"/>
                <w:sz w:val="18"/>
              </w:rPr>
            </w:pPr>
          </w:p>
        </w:tc>
        <w:tc>
          <w:tcPr>
            <w:tcW w:w="1199" w:type="dxa"/>
            <w:tcBorders>
              <w:top w:val="nil"/>
              <w:left w:val="nil"/>
              <w:bottom w:val="nil"/>
              <w:right w:val="nil"/>
            </w:tcBorders>
            <w:shd w:val="clear" w:color="auto" w:fill="auto"/>
            <w:noWrap/>
            <w:vAlign w:val="bottom"/>
            <w:hideMark/>
          </w:tcPr>
          <w:p w:rsidR="00C1444C" w:rsidRPr="00C1444C" w:rsidRDefault="00C1444C">
            <w:pPr>
              <w:rPr>
                <w:color w:val="000000"/>
                <w:sz w:val="18"/>
              </w:rPr>
            </w:pPr>
          </w:p>
        </w:tc>
        <w:tc>
          <w:tcPr>
            <w:tcW w:w="1300" w:type="dxa"/>
            <w:tcBorders>
              <w:top w:val="nil"/>
              <w:left w:val="nil"/>
              <w:bottom w:val="nil"/>
              <w:right w:val="single" w:sz="8" w:space="0" w:color="auto"/>
            </w:tcBorders>
            <w:shd w:val="clear" w:color="auto" w:fill="auto"/>
            <w:noWrap/>
            <w:vAlign w:val="bottom"/>
            <w:hideMark/>
          </w:tcPr>
          <w:p w:rsidR="00C1444C" w:rsidRPr="00C1444C" w:rsidRDefault="00C1444C">
            <w:pPr>
              <w:rPr>
                <w:sz w:val="18"/>
              </w:rPr>
            </w:pPr>
            <w:r w:rsidRPr="00C1444C">
              <w:rPr>
                <w:sz w:val="18"/>
              </w:rPr>
              <w:t> </w:t>
            </w:r>
          </w:p>
        </w:tc>
      </w:tr>
      <w:tr w:rsidR="00C1444C" w:rsidRPr="0092537A" w:rsidTr="00C1444C">
        <w:trPr>
          <w:trHeight w:val="255"/>
        </w:trPr>
        <w:tc>
          <w:tcPr>
            <w:tcW w:w="3998" w:type="dxa"/>
            <w:tcBorders>
              <w:top w:val="nil"/>
              <w:left w:val="single" w:sz="8" w:space="0" w:color="auto"/>
              <w:bottom w:val="single" w:sz="4" w:space="0" w:color="auto"/>
              <w:right w:val="nil"/>
            </w:tcBorders>
            <w:shd w:val="clear" w:color="auto" w:fill="auto"/>
            <w:noWrap/>
            <w:vAlign w:val="bottom"/>
            <w:hideMark/>
          </w:tcPr>
          <w:p w:rsidR="00C1444C" w:rsidRPr="0075199F" w:rsidRDefault="00C1444C">
            <w:pPr>
              <w:rPr>
                <w:sz w:val="18"/>
                <w:szCs w:val="18"/>
              </w:rPr>
            </w:pPr>
            <w:r w:rsidRPr="0075199F">
              <w:rPr>
                <w:sz w:val="18"/>
                <w:szCs w:val="18"/>
              </w:rPr>
              <w:t xml:space="preserve">  Вноска за общия бюджет на ЕС</w:t>
            </w:r>
          </w:p>
        </w:tc>
        <w:tc>
          <w:tcPr>
            <w:tcW w:w="1105" w:type="dxa"/>
            <w:tcBorders>
              <w:top w:val="nil"/>
              <w:left w:val="nil"/>
              <w:bottom w:val="single" w:sz="4" w:space="0" w:color="auto"/>
              <w:right w:val="nil"/>
            </w:tcBorders>
            <w:shd w:val="clear" w:color="auto" w:fill="auto"/>
            <w:noWrap/>
            <w:vAlign w:val="bottom"/>
            <w:hideMark/>
          </w:tcPr>
          <w:p w:rsidR="00C1444C" w:rsidRPr="0075199F" w:rsidRDefault="00C1444C">
            <w:pPr>
              <w:jc w:val="right"/>
              <w:rPr>
                <w:sz w:val="18"/>
                <w:szCs w:val="18"/>
              </w:rPr>
            </w:pPr>
            <w:r w:rsidRPr="0075199F">
              <w:rPr>
                <w:sz w:val="18"/>
                <w:szCs w:val="18"/>
              </w:rPr>
              <w:t>992,6</w:t>
            </w:r>
          </w:p>
        </w:tc>
        <w:tc>
          <w:tcPr>
            <w:tcW w:w="1087" w:type="dxa"/>
            <w:tcBorders>
              <w:top w:val="nil"/>
              <w:left w:val="nil"/>
              <w:bottom w:val="single" w:sz="4" w:space="0" w:color="auto"/>
              <w:right w:val="nil"/>
            </w:tcBorders>
            <w:shd w:val="clear" w:color="auto" w:fill="auto"/>
            <w:noWrap/>
            <w:vAlign w:val="bottom"/>
            <w:hideMark/>
          </w:tcPr>
          <w:p w:rsidR="00C1444C" w:rsidRPr="00C1444C" w:rsidRDefault="00C1444C">
            <w:pPr>
              <w:jc w:val="right"/>
              <w:rPr>
                <w:sz w:val="18"/>
              </w:rPr>
            </w:pPr>
            <w:r w:rsidRPr="00C1444C">
              <w:rPr>
                <w:sz w:val="18"/>
              </w:rPr>
              <w:t>488,3</w:t>
            </w:r>
          </w:p>
        </w:tc>
        <w:tc>
          <w:tcPr>
            <w:tcW w:w="1252" w:type="dxa"/>
            <w:tcBorders>
              <w:top w:val="nil"/>
              <w:left w:val="nil"/>
              <w:bottom w:val="single" w:sz="4" w:space="0" w:color="auto"/>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488,3</w:t>
            </w:r>
          </w:p>
        </w:tc>
        <w:tc>
          <w:tcPr>
            <w:tcW w:w="1199" w:type="dxa"/>
            <w:tcBorders>
              <w:top w:val="nil"/>
              <w:left w:val="nil"/>
              <w:bottom w:val="single" w:sz="4" w:space="0" w:color="auto"/>
              <w:right w:val="nil"/>
            </w:tcBorders>
            <w:shd w:val="clear" w:color="auto" w:fill="auto"/>
            <w:noWrap/>
            <w:vAlign w:val="bottom"/>
            <w:hideMark/>
          </w:tcPr>
          <w:p w:rsidR="00C1444C" w:rsidRPr="00C1444C" w:rsidRDefault="00C1444C">
            <w:pPr>
              <w:jc w:val="right"/>
              <w:rPr>
                <w:color w:val="000000"/>
                <w:sz w:val="18"/>
              </w:rPr>
            </w:pPr>
          </w:p>
        </w:tc>
        <w:tc>
          <w:tcPr>
            <w:tcW w:w="1300" w:type="dxa"/>
            <w:tcBorders>
              <w:top w:val="nil"/>
              <w:left w:val="nil"/>
              <w:bottom w:val="single" w:sz="4" w:space="0" w:color="auto"/>
              <w:right w:val="single" w:sz="8" w:space="0" w:color="auto"/>
            </w:tcBorders>
            <w:shd w:val="clear" w:color="auto" w:fill="auto"/>
            <w:noWrap/>
            <w:vAlign w:val="bottom"/>
            <w:hideMark/>
          </w:tcPr>
          <w:p w:rsidR="00C1444C" w:rsidRPr="00C1444C" w:rsidRDefault="00C1444C">
            <w:pPr>
              <w:jc w:val="right"/>
              <w:rPr>
                <w:sz w:val="18"/>
              </w:rPr>
            </w:pPr>
            <w:r w:rsidRPr="00C1444C">
              <w:rPr>
                <w:sz w:val="18"/>
              </w:rPr>
              <w:t>49,2%</w:t>
            </w:r>
          </w:p>
        </w:tc>
      </w:tr>
      <w:tr w:rsidR="00C1444C" w:rsidRPr="0092537A" w:rsidTr="00C1444C">
        <w:trPr>
          <w:trHeight w:val="255"/>
        </w:trPr>
        <w:tc>
          <w:tcPr>
            <w:tcW w:w="3998" w:type="dxa"/>
            <w:tcBorders>
              <w:top w:val="nil"/>
              <w:left w:val="single" w:sz="8" w:space="0" w:color="auto"/>
              <w:bottom w:val="single" w:sz="4" w:space="0" w:color="auto"/>
              <w:right w:val="nil"/>
            </w:tcBorders>
            <w:shd w:val="clear" w:color="auto" w:fill="auto"/>
            <w:noWrap/>
            <w:vAlign w:val="bottom"/>
            <w:hideMark/>
          </w:tcPr>
          <w:p w:rsidR="00C1444C" w:rsidRPr="0075199F" w:rsidRDefault="00C1444C">
            <w:pPr>
              <w:rPr>
                <w:sz w:val="18"/>
                <w:szCs w:val="18"/>
              </w:rPr>
            </w:pPr>
            <w:r w:rsidRPr="0075199F">
              <w:rPr>
                <w:sz w:val="18"/>
                <w:szCs w:val="18"/>
              </w:rPr>
              <w:t>Трансфер от централния бюджет</w:t>
            </w:r>
          </w:p>
        </w:tc>
        <w:tc>
          <w:tcPr>
            <w:tcW w:w="1105" w:type="dxa"/>
            <w:tcBorders>
              <w:top w:val="nil"/>
              <w:left w:val="nil"/>
              <w:bottom w:val="single" w:sz="4" w:space="0" w:color="auto"/>
              <w:right w:val="nil"/>
            </w:tcBorders>
            <w:shd w:val="clear" w:color="auto" w:fill="auto"/>
            <w:noWrap/>
            <w:vAlign w:val="bottom"/>
            <w:hideMark/>
          </w:tcPr>
          <w:p w:rsidR="00C1444C" w:rsidRPr="0075199F" w:rsidRDefault="00C1444C">
            <w:pPr>
              <w:rPr>
                <w:sz w:val="18"/>
                <w:szCs w:val="18"/>
              </w:rPr>
            </w:pPr>
            <w:r w:rsidRPr="0075199F">
              <w:rPr>
                <w:sz w:val="18"/>
                <w:szCs w:val="18"/>
              </w:rPr>
              <w:t> </w:t>
            </w:r>
          </w:p>
        </w:tc>
        <w:tc>
          <w:tcPr>
            <w:tcW w:w="1087" w:type="dxa"/>
            <w:tcBorders>
              <w:top w:val="nil"/>
              <w:left w:val="nil"/>
              <w:bottom w:val="single" w:sz="4" w:space="0" w:color="auto"/>
              <w:right w:val="nil"/>
            </w:tcBorders>
            <w:shd w:val="clear" w:color="auto" w:fill="auto"/>
            <w:noWrap/>
            <w:vAlign w:val="bottom"/>
            <w:hideMark/>
          </w:tcPr>
          <w:p w:rsidR="00C1444C" w:rsidRPr="00C1444C" w:rsidRDefault="00C1444C">
            <w:pPr>
              <w:jc w:val="right"/>
              <w:rPr>
                <w:b/>
                <w:bCs/>
                <w:sz w:val="18"/>
              </w:rPr>
            </w:pPr>
            <w:r w:rsidRPr="00C1444C">
              <w:rPr>
                <w:b/>
                <w:bCs/>
                <w:sz w:val="18"/>
              </w:rPr>
              <w:t>0,</w:t>
            </w:r>
            <w:proofErr w:type="spellStart"/>
            <w:r w:rsidRPr="00C1444C">
              <w:rPr>
                <w:b/>
                <w:bCs/>
                <w:sz w:val="18"/>
              </w:rPr>
              <w:t>0</w:t>
            </w:r>
            <w:proofErr w:type="spellEnd"/>
          </w:p>
        </w:tc>
        <w:tc>
          <w:tcPr>
            <w:tcW w:w="1252" w:type="dxa"/>
            <w:tcBorders>
              <w:top w:val="nil"/>
              <w:left w:val="nil"/>
              <w:bottom w:val="single" w:sz="4" w:space="0" w:color="auto"/>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-181,7</w:t>
            </w:r>
          </w:p>
        </w:tc>
        <w:tc>
          <w:tcPr>
            <w:tcW w:w="1199" w:type="dxa"/>
            <w:tcBorders>
              <w:top w:val="nil"/>
              <w:left w:val="nil"/>
              <w:bottom w:val="single" w:sz="4" w:space="0" w:color="auto"/>
              <w:right w:val="nil"/>
            </w:tcBorders>
            <w:shd w:val="clear" w:color="auto" w:fill="auto"/>
            <w:noWrap/>
            <w:vAlign w:val="bottom"/>
            <w:hideMark/>
          </w:tcPr>
          <w:p w:rsidR="00C1444C" w:rsidRPr="00C1444C" w:rsidRDefault="00C1444C">
            <w:pPr>
              <w:jc w:val="right"/>
              <w:rPr>
                <w:color w:val="000000"/>
                <w:sz w:val="18"/>
              </w:rPr>
            </w:pPr>
            <w:r w:rsidRPr="00C1444C">
              <w:rPr>
                <w:color w:val="000000"/>
                <w:sz w:val="18"/>
              </w:rPr>
              <w:t>181,7</w:t>
            </w:r>
          </w:p>
        </w:tc>
        <w:tc>
          <w:tcPr>
            <w:tcW w:w="1300" w:type="dxa"/>
            <w:tcBorders>
              <w:top w:val="nil"/>
              <w:left w:val="nil"/>
              <w:bottom w:val="single" w:sz="4" w:space="0" w:color="auto"/>
              <w:right w:val="single" w:sz="8" w:space="0" w:color="auto"/>
            </w:tcBorders>
            <w:shd w:val="clear" w:color="auto" w:fill="auto"/>
            <w:noWrap/>
            <w:vAlign w:val="bottom"/>
            <w:hideMark/>
          </w:tcPr>
          <w:p w:rsidR="00C1444C" w:rsidRPr="00C1444C" w:rsidRDefault="00C1444C">
            <w:pPr>
              <w:rPr>
                <w:b/>
                <w:bCs/>
                <w:sz w:val="18"/>
              </w:rPr>
            </w:pPr>
            <w:r w:rsidRPr="00C1444C">
              <w:rPr>
                <w:b/>
                <w:bCs/>
                <w:sz w:val="18"/>
              </w:rPr>
              <w:t> </w:t>
            </w:r>
          </w:p>
        </w:tc>
      </w:tr>
      <w:tr w:rsidR="00C1444C" w:rsidRPr="0092537A" w:rsidTr="00C1444C">
        <w:trPr>
          <w:trHeight w:val="270"/>
        </w:trPr>
        <w:tc>
          <w:tcPr>
            <w:tcW w:w="3998" w:type="dxa"/>
            <w:tcBorders>
              <w:top w:val="nil"/>
              <w:left w:val="single" w:sz="8" w:space="0" w:color="auto"/>
              <w:bottom w:val="single" w:sz="8" w:space="0" w:color="auto"/>
              <w:right w:val="nil"/>
            </w:tcBorders>
            <w:shd w:val="clear" w:color="000000" w:fill="D9D9D9"/>
            <w:noWrap/>
            <w:vAlign w:val="bottom"/>
            <w:hideMark/>
          </w:tcPr>
          <w:p w:rsidR="00C1444C" w:rsidRPr="0075199F" w:rsidRDefault="00C1444C">
            <w:pPr>
              <w:rPr>
                <w:b/>
                <w:bCs/>
                <w:sz w:val="18"/>
                <w:szCs w:val="18"/>
              </w:rPr>
            </w:pPr>
            <w:r w:rsidRPr="0075199F">
              <w:rPr>
                <w:b/>
                <w:bCs/>
                <w:sz w:val="18"/>
                <w:szCs w:val="18"/>
              </w:rPr>
              <w:t>БЮДЖЕТНО САЛДО</w:t>
            </w:r>
          </w:p>
        </w:tc>
        <w:tc>
          <w:tcPr>
            <w:tcW w:w="1105" w:type="dxa"/>
            <w:tcBorders>
              <w:top w:val="nil"/>
              <w:left w:val="nil"/>
              <w:bottom w:val="single" w:sz="8" w:space="0" w:color="auto"/>
              <w:right w:val="nil"/>
            </w:tcBorders>
            <w:shd w:val="clear" w:color="000000" w:fill="D9D9D9"/>
            <w:noWrap/>
            <w:vAlign w:val="bottom"/>
            <w:hideMark/>
          </w:tcPr>
          <w:p w:rsidR="00C1444C" w:rsidRPr="0075199F" w:rsidRDefault="00C1444C">
            <w:pPr>
              <w:jc w:val="right"/>
              <w:rPr>
                <w:b/>
                <w:bCs/>
                <w:sz w:val="18"/>
                <w:szCs w:val="18"/>
              </w:rPr>
            </w:pPr>
            <w:r w:rsidRPr="0075199F">
              <w:rPr>
                <w:b/>
                <w:bCs/>
                <w:sz w:val="18"/>
                <w:szCs w:val="18"/>
              </w:rPr>
              <w:t>-1 330,0</w:t>
            </w:r>
          </w:p>
        </w:tc>
        <w:tc>
          <w:tcPr>
            <w:tcW w:w="1087" w:type="dxa"/>
            <w:tcBorders>
              <w:top w:val="nil"/>
              <w:left w:val="nil"/>
              <w:bottom w:val="single" w:sz="8" w:space="0" w:color="auto"/>
              <w:right w:val="nil"/>
            </w:tcBorders>
            <w:shd w:val="clear" w:color="000000" w:fill="D9D9D9"/>
            <w:noWrap/>
            <w:vAlign w:val="bottom"/>
            <w:hideMark/>
          </w:tcPr>
          <w:p w:rsidR="00C1444C" w:rsidRPr="00C1444C" w:rsidRDefault="00C1444C">
            <w:pPr>
              <w:jc w:val="right"/>
              <w:rPr>
                <w:b/>
                <w:bCs/>
                <w:sz w:val="18"/>
              </w:rPr>
            </w:pPr>
            <w:r w:rsidRPr="00C1444C">
              <w:rPr>
                <w:b/>
                <w:bCs/>
                <w:sz w:val="18"/>
              </w:rPr>
              <w:t>1 746,7</w:t>
            </w:r>
          </w:p>
        </w:tc>
        <w:tc>
          <w:tcPr>
            <w:tcW w:w="1252" w:type="dxa"/>
            <w:tcBorders>
              <w:top w:val="nil"/>
              <w:left w:val="nil"/>
              <w:bottom w:val="single" w:sz="8" w:space="0" w:color="auto"/>
              <w:right w:val="nil"/>
            </w:tcBorders>
            <w:shd w:val="clear" w:color="000000" w:fill="D9D9D9"/>
            <w:noWrap/>
            <w:vAlign w:val="bottom"/>
            <w:hideMark/>
          </w:tcPr>
          <w:p w:rsidR="00C1444C" w:rsidRPr="00C1444C" w:rsidRDefault="00C1444C">
            <w:pPr>
              <w:jc w:val="right"/>
              <w:rPr>
                <w:b/>
                <w:bCs/>
                <w:color w:val="000000"/>
                <w:sz w:val="18"/>
              </w:rPr>
            </w:pPr>
            <w:r w:rsidRPr="00C1444C">
              <w:rPr>
                <w:b/>
                <w:bCs/>
                <w:color w:val="000000"/>
                <w:sz w:val="18"/>
              </w:rPr>
              <w:t>1 777,7</w:t>
            </w:r>
          </w:p>
        </w:tc>
        <w:tc>
          <w:tcPr>
            <w:tcW w:w="1199" w:type="dxa"/>
            <w:tcBorders>
              <w:top w:val="nil"/>
              <w:left w:val="nil"/>
              <w:bottom w:val="single" w:sz="8" w:space="0" w:color="auto"/>
              <w:right w:val="nil"/>
            </w:tcBorders>
            <w:shd w:val="clear" w:color="000000" w:fill="D9D9D9"/>
            <w:noWrap/>
            <w:vAlign w:val="bottom"/>
            <w:hideMark/>
          </w:tcPr>
          <w:p w:rsidR="00C1444C" w:rsidRPr="00C1444C" w:rsidRDefault="00C1444C">
            <w:pPr>
              <w:jc w:val="right"/>
              <w:rPr>
                <w:b/>
                <w:bCs/>
                <w:color w:val="000000"/>
                <w:sz w:val="18"/>
              </w:rPr>
            </w:pPr>
            <w:r w:rsidRPr="00C1444C">
              <w:rPr>
                <w:b/>
                <w:bCs/>
                <w:color w:val="000000"/>
                <w:sz w:val="18"/>
              </w:rPr>
              <w:t>-31,0</w:t>
            </w:r>
          </w:p>
        </w:tc>
        <w:tc>
          <w:tcPr>
            <w:tcW w:w="1300" w:type="dxa"/>
            <w:tcBorders>
              <w:top w:val="nil"/>
              <w:left w:val="nil"/>
              <w:bottom w:val="single" w:sz="8" w:space="0" w:color="auto"/>
              <w:right w:val="single" w:sz="8" w:space="0" w:color="auto"/>
            </w:tcBorders>
            <w:shd w:val="clear" w:color="000000" w:fill="D9D9D9"/>
            <w:noWrap/>
            <w:vAlign w:val="bottom"/>
            <w:hideMark/>
          </w:tcPr>
          <w:p w:rsidR="00C1444C" w:rsidRPr="00C1444C" w:rsidRDefault="00C1444C">
            <w:pPr>
              <w:rPr>
                <w:b/>
                <w:bCs/>
                <w:sz w:val="18"/>
              </w:rPr>
            </w:pPr>
            <w:r w:rsidRPr="00C1444C">
              <w:rPr>
                <w:b/>
                <w:bCs/>
                <w:sz w:val="18"/>
              </w:rPr>
              <w:t> </w:t>
            </w:r>
          </w:p>
        </w:tc>
      </w:tr>
    </w:tbl>
    <w:p w:rsidR="004923E3" w:rsidRPr="0092537A" w:rsidRDefault="004923E3" w:rsidP="00987CE4">
      <w:pPr>
        <w:rPr>
          <w:b/>
          <w:i/>
          <w:color w:val="0070C0"/>
          <w:sz w:val="18"/>
          <w:szCs w:val="18"/>
        </w:rPr>
      </w:pPr>
    </w:p>
    <w:p w:rsidR="00E74802" w:rsidRPr="0092537A" w:rsidRDefault="00E74802" w:rsidP="00E74802">
      <w:pPr>
        <w:ind w:left="360"/>
        <w:jc w:val="both"/>
        <w:rPr>
          <w:color w:val="0070C0"/>
        </w:rPr>
      </w:pPr>
    </w:p>
    <w:p w:rsidR="00987CE4" w:rsidRPr="000A7943" w:rsidRDefault="00987CE4" w:rsidP="00337CA7">
      <w:pPr>
        <w:numPr>
          <w:ilvl w:val="1"/>
          <w:numId w:val="11"/>
        </w:numPr>
        <w:tabs>
          <w:tab w:val="clear" w:pos="2160"/>
          <w:tab w:val="num" w:pos="720"/>
        </w:tabs>
        <w:ind w:left="0" w:firstLine="360"/>
        <w:jc w:val="both"/>
      </w:pPr>
      <w:r w:rsidRPr="001B1217">
        <w:rPr>
          <w:b/>
        </w:rPr>
        <w:t>Приходите</w:t>
      </w:r>
      <w:r w:rsidR="00867198" w:rsidRPr="001B1217">
        <w:rPr>
          <w:b/>
        </w:rPr>
        <w:t xml:space="preserve"> и помощите</w:t>
      </w:r>
      <w:r w:rsidRPr="001B1217">
        <w:rPr>
          <w:b/>
        </w:rPr>
        <w:t xml:space="preserve"> по консолидираната фискална програма</w:t>
      </w:r>
      <w:r w:rsidRPr="001B1217">
        <w:t xml:space="preserve"> (КФП) </w:t>
      </w:r>
      <w:r w:rsidR="00D03F6C" w:rsidRPr="001B1217">
        <w:t>към края на</w:t>
      </w:r>
      <w:r w:rsidR="00D03F6C" w:rsidRPr="001B1217">
        <w:rPr>
          <w:b/>
        </w:rPr>
        <w:t xml:space="preserve"> </w:t>
      </w:r>
      <w:r w:rsidR="00D03F6C" w:rsidRPr="001B1217">
        <w:t xml:space="preserve">месец </w:t>
      </w:r>
      <w:r w:rsidR="001B1217" w:rsidRPr="001B1217">
        <w:t>юни</w:t>
      </w:r>
      <w:r w:rsidR="00D03F6C" w:rsidRPr="001B1217">
        <w:rPr>
          <w:b/>
        </w:rPr>
        <w:t xml:space="preserve"> </w:t>
      </w:r>
      <w:r w:rsidRPr="001B1217">
        <w:t>201</w:t>
      </w:r>
      <w:r w:rsidR="006E0F71" w:rsidRPr="001B1217">
        <w:t>7</w:t>
      </w:r>
      <w:r w:rsidRPr="001B1217">
        <w:t xml:space="preserve"> г. са в размер на </w:t>
      </w:r>
      <w:r w:rsidR="001B1217" w:rsidRPr="001B1217">
        <w:rPr>
          <w:b/>
          <w:bCs/>
        </w:rPr>
        <w:t>17 481,8 </w:t>
      </w:r>
      <w:r w:rsidRPr="001B1217">
        <w:rPr>
          <w:b/>
        </w:rPr>
        <w:t>млн. лв.</w:t>
      </w:r>
      <w:r w:rsidR="00D86BF0">
        <w:rPr>
          <w:b/>
        </w:rPr>
        <w:t xml:space="preserve"> </w:t>
      </w:r>
      <w:r w:rsidR="00D86BF0">
        <w:rPr>
          <w:bCs/>
          <w:color w:val="000000"/>
        </w:rPr>
        <w:t xml:space="preserve">Изпълнението на годишните разчети в групата на данъчните приходи е добро, като към полугодието са постъпили 51,9 на сто от данъчните приходи планирани за цялата 2017 г. </w:t>
      </w:r>
      <w:r w:rsidR="00D86BF0" w:rsidRPr="00470D72">
        <w:rPr>
          <w:bCs/>
          <w:color w:val="000000"/>
        </w:rPr>
        <w:t xml:space="preserve">Неданъчните приходи </w:t>
      </w:r>
      <w:r w:rsidR="00D86BF0">
        <w:rPr>
          <w:bCs/>
          <w:color w:val="000000"/>
        </w:rPr>
        <w:t>остават близки до отчетените за първите шест месеца на 2016 г., докато при постъпленията от помощи се отчита намаление основно поради базов ефект в 2016 г., свързан с възстановени в началото на 2016 г. разходи от ЕК към България, които са извършени в края на 2015 г., когато бе пикът на плащанията по проектите по предходния програмен период 2007-2013 г.</w:t>
      </w:r>
      <w:r w:rsidR="00D86BF0" w:rsidRPr="0030100F">
        <w:t xml:space="preserve"> </w:t>
      </w:r>
      <w:r w:rsidR="00D86BF0">
        <w:t>Поради тази причина общите приходи и помощи по КФП са номинално по-ниски от отчетените към полугодието на 2016 г., но а</w:t>
      </w:r>
      <w:r w:rsidR="00D86BF0" w:rsidRPr="002E0CE7">
        <w:t>ко се елиминира влиянието на европейските средства на съпоставима база приходите по националния бюджет отчитат номинален ръст от 6,8 на ст</w:t>
      </w:r>
      <w:r w:rsidR="00D86BF0">
        <w:t>о</w:t>
      </w:r>
      <w:r w:rsidR="00996BA8" w:rsidRPr="000A7943">
        <w:rPr>
          <w:bCs/>
        </w:rPr>
        <w:t>.</w:t>
      </w:r>
    </w:p>
    <w:p w:rsidR="00D9270B" w:rsidRPr="00216586" w:rsidRDefault="00A04FFB" w:rsidP="00073DF5">
      <w:pPr>
        <w:spacing w:before="120"/>
        <w:ind w:firstLine="540"/>
        <w:jc w:val="both"/>
      </w:pPr>
      <w:r w:rsidRPr="00216586">
        <w:t>Общата сума</w:t>
      </w:r>
      <w:r w:rsidRPr="00216586">
        <w:rPr>
          <w:b/>
        </w:rPr>
        <w:t xml:space="preserve"> </w:t>
      </w:r>
      <w:r w:rsidRPr="00216586">
        <w:t>на</w:t>
      </w:r>
      <w:r w:rsidRPr="00216586">
        <w:rPr>
          <w:b/>
        </w:rPr>
        <w:t xml:space="preserve"> </w:t>
      </w:r>
      <w:r w:rsidRPr="00216586">
        <w:rPr>
          <w:b/>
          <w:i/>
        </w:rPr>
        <w:t>данъчните постъпления</w:t>
      </w:r>
      <w:r w:rsidRPr="00216586">
        <w:t xml:space="preserve"> (вкл. приходите от осигурителни вноски) </w:t>
      </w:r>
      <w:r w:rsidR="006E0F71" w:rsidRPr="00216586">
        <w:t xml:space="preserve">са в размер на </w:t>
      </w:r>
      <w:r w:rsidR="00216586" w:rsidRPr="00216586">
        <w:rPr>
          <w:b/>
          <w:i/>
        </w:rPr>
        <w:t xml:space="preserve">14 537,8 </w:t>
      </w:r>
      <w:r w:rsidR="006E0F71" w:rsidRPr="00216586">
        <w:rPr>
          <w:b/>
          <w:i/>
        </w:rPr>
        <w:t>млн. лв</w:t>
      </w:r>
      <w:r w:rsidR="006E0F71" w:rsidRPr="00216586">
        <w:rPr>
          <w:i/>
        </w:rPr>
        <w:t>.</w:t>
      </w:r>
      <w:r w:rsidR="006E0F71" w:rsidRPr="00216586">
        <w:t xml:space="preserve">, което представлява </w:t>
      </w:r>
      <w:r w:rsidR="00216586" w:rsidRPr="00216586">
        <w:t>83,2</w:t>
      </w:r>
      <w:r w:rsidR="006E0F71" w:rsidRPr="00216586">
        <w:t xml:space="preserve"> % от общите постъпления по КФП за периода. Постъпленията в групата нарастват номинално с </w:t>
      </w:r>
      <w:r w:rsidR="00216586" w:rsidRPr="00216586">
        <w:t>1 049,1 млн. лв. (7,8 %) спрямо отчетените към юни 2016 г</w:t>
      </w:r>
      <w:r w:rsidR="006E0F71" w:rsidRPr="00216586">
        <w:t>.</w:t>
      </w:r>
      <w:r w:rsidRPr="00216586">
        <w:t xml:space="preserve"> Приходите в частта на </w:t>
      </w:r>
      <w:r w:rsidRPr="00216586">
        <w:rPr>
          <w:i/>
        </w:rPr>
        <w:t>преките</w:t>
      </w:r>
      <w:r w:rsidR="00821B89" w:rsidRPr="00216586">
        <w:rPr>
          <w:i/>
        </w:rPr>
        <w:t xml:space="preserve"> данъци</w:t>
      </w:r>
      <w:r w:rsidRPr="00216586">
        <w:rPr>
          <w:i/>
        </w:rPr>
        <w:t xml:space="preserve"> </w:t>
      </w:r>
      <w:r w:rsidR="006E0F71" w:rsidRPr="00216586">
        <w:t xml:space="preserve">възлизат на </w:t>
      </w:r>
      <w:r w:rsidR="00216586" w:rsidRPr="00216586">
        <w:t>2 771,0 млн. лв., което представлява 54,4 % от разчета за 2017</w:t>
      </w:r>
      <w:r w:rsidR="00216586" w:rsidRPr="001B1217">
        <w:rPr>
          <w:rFonts w:eastAsia="Calibri"/>
        </w:rPr>
        <w:t> </w:t>
      </w:r>
      <w:r w:rsidR="00216586" w:rsidRPr="00216586">
        <w:t>г.</w:t>
      </w:r>
      <w:r w:rsidR="001E44C8" w:rsidRPr="00216586">
        <w:t xml:space="preserve"> Съпоставени със същия период на 201</w:t>
      </w:r>
      <w:r w:rsidR="006E0F71" w:rsidRPr="00216586">
        <w:t>6</w:t>
      </w:r>
      <w:r w:rsidR="001E44C8" w:rsidRPr="00216586">
        <w:t xml:space="preserve"> г.</w:t>
      </w:r>
      <w:r w:rsidR="003579F2" w:rsidRPr="00216586">
        <w:t>,</w:t>
      </w:r>
      <w:r w:rsidR="001E44C8" w:rsidRPr="00216586">
        <w:t xml:space="preserve"> преките данъци нарастват с </w:t>
      </w:r>
      <w:r w:rsidR="00216586" w:rsidRPr="00216586">
        <w:t>9,1</w:t>
      </w:r>
      <w:r w:rsidR="003579F2" w:rsidRPr="00216586">
        <w:t xml:space="preserve"> </w:t>
      </w:r>
      <w:r w:rsidR="001E44C8" w:rsidRPr="00216586">
        <w:t>% (</w:t>
      </w:r>
      <w:r w:rsidR="00216586" w:rsidRPr="00216586">
        <w:t>232,0</w:t>
      </w:r>
      <w:r w:rsidR="001E44C8" w:rsidRPr="00216586">
        <w:t xml:space="preserve"> млн. лв.).</w:t>
      </w:r>
      <w:r w:rsidRPr="00216586">
        <w:rPr>
          <w:rFonts w:ascii="Arial" w:hAnsi="Arial" w:cs="Arial"/>
        </w:rPr>
        <w:t xml:space="preserve"> </w:t>
      </w:r>
      <w:r w:rsidRPr="00216586">
        <w:t xml:space="preserve">Приходите от </w:t>
      </w:r>
      <w:r w:rsidRPr="00216586">
        <w:rPr>
          <w:i/>
        </w:rPr>
        <w:t>косвени данъци</w:t>
      </w:r>
      <w:r w:rsidRPr="00216586">
        <w:t xml:space="preserve"> са в размер на </w:t>
      </w:r>
      <w:r w:rsidR="00216586" w:rsidRPr="00216586">
        <w:t xml:space="preserve">7 110,3 </w:t>
      </w:r>
      <w:r w:rsidRPr="00216586">
        <w:t xml:space="preserve">млн. лв., което представлява </w:t>
      </w:r>
      <w:r w:rsidR="00216586" w:rsidRPr="00216586">
        <w:t>50,7</w:t>
      </w:r>
      <w:r w:rsidRPr="00216586">
        <w:t xml:space="preserve"> % от </w:t>
      </w:r>
      <w:r w:rsidR="009947C7" w:rsidRPr="00216586">
        <w:t>г</w:t>
      </w:r>
      <w:r w:rsidRPr="00216586">
        <w:t xml:space="preserve">одишния разчет. </w:t>
      </w:r>
      <w:r w:rsidR="001E44C8" w:rsidRPr="00216586">
        <w:t xml:space="preserve">Съпоставени с </w:t>
      </w:r>
      <w:r w:rsidR="006E0F71" w:rsidRPr="00216586">
        <w:t xml:space="preserve">първото </w:t>
      </w:r>
      <w:r w:rsidR="00216586" w:rsidRPr="00216586">
        <w:t>шестмесечие</w:t>
      </w:r>
      <w:r w:rsidR="006E0F71" w:rsidRPr="00216586">
        <w:t xml:space="preserve"> </w:t>
      </w:r>
      <w:r w:rsidR="001E44C8" w:rsidRPr="00216586">
        <w:t>на 201</w:t>
      </w:r>
      <w:r w:rsidR="006E0F71" w:rsidRPr="00216586">
        <w:t>6</w:t>
      </w:r>
      <w:r w:rsidR="001E44C8" w:rsidRPr="00216586">
        <w:t xml:space="preserve"> г. косвените данъци бележат ръст от </w:t>
      </w:r>
      <w:r w:rsidR="00216586" w:rsidRPr="00216586">
        <w:t>4,0</w:t>
      </w:r>
      <w:r w:rsidR="001E44C8" w:rsidRPr="00216586">
        <w:t xml:space="preserve"> % (</w:t>
      </w:r>
      <w:r w:rsidR="00216586" w:rsidRPr="00216586">
        <w:t>275,6</w:t>
      </w:r>
      <w:r w:rsidR="001E44C8" w:rsidRPr="00216586">
        <w:t xml:space="preserve"> млн. лв.). </w:t>
      </w:r>
      <w:r w:rsidRPr="00216586">
        <w:t xml:space="preserve">Постъпленията от </w:t>
      </w:r>
      <w:r w:rsidRPr="00216586">
        <w:rPr>
          <w:i/>
        </w:rPr>
        <w:t>други данъци</w:t>
      </w:r>
      <w:r w:rsidRPr="00216586">
        <w:t xml:space="preserve"> (включват други данъци по ЗКПО, имуществени данъци и др.) са в размер на </w:t>
      </w:r>
      <w:r w:rsidR="00216586" w:rsidRPr="00216586">
        <w:t>627,9</w:t>
      </w:r>
      <w:r w:rsidRPr="00216586">
        <w:t xml:space="preserve"> млн. лв., което представлява </w:t>
      </w:r>
      <w:r w:rsidR="00216586" w:rsidRPr="00216586">
        <w:t>63,4</w:t>
      </w:r>
      <w:r w:rsidRPr="00216586">
        <w:t xml:space="preserve"> % от разчетите към ЗДБРБ за </w:t>
      </w:r>
      <w:r w:rsidRPr="00216586">
        <w:lastRenderedPageBreak/>
        <w:t>201</w:t>
      </w:r>
      <w:r w:rsidR="006E0F71" w:rsidRPr="00216586">
        <w:t>7</w:t>
      </w:r>
      <w:r w:rsidRPr="00216586">
        <w:t xml:space="preserve"> г. </w:t>
      </w:r>
      <w:r w:rsidR="001E44C8" w:rsidRPr="00216586">
        <w:t xml:space="preserve">и нарастват с </w:t>
      </w:r>
      <w:r w:rsidR="00216586" w:rsidRPr="00216586">
        <w:t>6,3</w:t>
      </w:r>
      <w:r w:rsidR="001E44C8" w:rsidRPr="00216586">
        <w:t xml:space="preserve"> % (</w:t>
      </w:r>
      <w:r w:rsidR="00216586" w:rsidRPr="00216586">
        <w:t>37,1</w:t>
      </w:r>
      <w:r w:rsidR="001E44C8" w:rsidRPr="00216586">
        <w:t xml:space="preserve"> млн. лв.) спрямо </w:t>
      </w:r>
      <w:r w:rsidR="00216586" w:rsidRPr="00216586">
        <w:t>юни</w:t>
      </w:r>
      <w:r w:rsidR="001E44C8" w:rsidRPr="00216586">
        <w:t xml:space="preserve"> 201</w:t>
      </w:r>
      <w:r w:rsidR="006E0F71" w:rsidRPr="00216586">
        <w:t>6</w:t>
      </w:r>
      <w:r w:rsidR="001E44C8" w:rsidRPr="00216586">
        <w:t xml:space="preserve"> г. </w:t>
      </w:r>
      <w:r w:rsidRPr="00216586">
        <w:t xml:space="preserve">Приходите от </w:t>
      </w:r>
      <w:proofErr w:type="spellStart"/>
      <w:r w:rsidRPr="00216586">
        <w:rPr>
          <w:b/>
          <w:i/>
        </w:rPr>
        <w:t>социалноосигурителни</w:t>
      </w:r>
      <w:proofErr w:type="spellEnd"/>
      <w:r w:rsidRPr="00216586">
        <w:rPr>
          <w:b/>
          <w:i/>
        </w:rPr>
        <w:t xml:space="preserve"> и здравни вноски</w:t>
      </w:r>
      <w:r w:rsidRPr="00216586">
        <w:rPr>
          <w:b/>
        </w:rPr>
        <w:t xml:space="preserve"> </w:t>
      </w:r>
      <w:r w:rsidRPr="00216586">
        <w:t xml:space="preserve">към </w:t>
      </w:r>
      <w:r w:rsidR="00216586" w:rsidRPr="00216586">
        <w:t>30</w:t>
      </w:r>
      <w:r w:rsidRPr="00216586">
        <w:t>.</w:t>
      </w:r>
      <w:r w:rsidR="00216586" w:rsidRPr="00216586">
        <w:t>06</w:t>
      </w:r>
      <w:r w:rsidRPr="00216586">
        <w:t>.201</w:t>
      </w:r>
      <w:r w:rsidR="006E0F71" w:rsidRPr="00216586">
        <w:t>7</w:t>
      </w:r>
      <w:r w:rsidRPr="00216586">
        <w:t xml:space="preserve"> г. са в размер на </w:t>
      </w:r>
      <w:r w:rsidR="00216586" w:rsidRPr="00216586">
        <w:t>4 028,6</w:t>
      </w:r>
      <w:r w:rsidRPr="00216586">
        <w:t xml:space="preserve"> млн. лв. или </w:t>
      </w:r>
      <w:r w:rsidR="00216586" w:rsidRPr="00216586">
        <w:t>50,8</w:t>
      </w:r>
      <w:r w:rsidRPr="00216586">
        <w:t xml:space="preserve"> % от планираните за годината, като спрямо същия период на предходната година нарастват </w:t>
      </w:r>
      <w:r w:rsidR="00073DF5" w:rsidRPr="00216586">
        <w:t>с</w:t>
      </w:r>
      <w:r w:rsidRPr="00216586">
        <w:t xml:space="preserve"> </w:t>
      </w:r>
      <w:r w:rsidR="00216586" w:rsidRPr="00216586">
        <w:t>504,4</w:t>
      </w:r>
      <w:r w:rsidRPr="00216586">
        <w:t xml:space="preserve"> млн. лева. </w:t>
      </w:r>
      <w:r w:rsidR="001E44C8" w:rsidRPr="00216586">
        <w:t>(</w:t>
      </w:r>
      <w:r w:rsidR="007A34B2" w:rsidRPr="00216586">
        <w:t>14,</w:t>
      </w:r>
      <w:r w:rsidR="00216586" w:rsidRPr="00216586">
        <w:t>3</w:t>
      </w:r>
      <w:r w:rsidR="001E44C8" w:rsidRPr="00216586">
        <w:t xml:space="preserve"> %).</w:t>
      </w:r>
      <w:r w:rsidR="00073DF5" w:rsidRPr="00216586">
        <w:t xml:space="preserve"> </w:t>
      </w:r>
    </w:p>
    <w:p w:rsidR="00BF3B6B" w:rsidRPr="00F34875" w:rsidRDefault="00741E2F" w:rsidP="00F34875">
      <w:pPr>
        <w:spacing w:before="120" w:after="120"/>
        <w:ind w:firstLine="540"/>
        <w:jc w:val="both"/>
      </w:pPr>
      <w:r w:rsidRPr="00F34875">
        <w:rPr>
          <w:b/>
          <w:bCs/>
          <w:i/>
          <w:iCs/>
        </w:rPr>
        <w:t xml:space="preserve">Неданъчните приходи </w:t>
      </w:r>
      <w:r w:rsidR="00BF3B6B" w:rsidRPr="00F34875">
        <w:t xml:space="preserve">са в размер на </w:t>
      </w:r>
      <w:r w:rsidR="00F34875" w:rsidRPr="00F34875">
        <w:rPr>
          <w:b/>
        </w:rPr>
        <w:t>2 274,2 млн. лв</w:t>
      </w:r>
      <w:r w:rsidR="00F34875" w:rsidRPr="00F34875">
        <w:t>., което представлява 47,8 % изпълнение на годишните разчети.</w:t>
      </w:r>
      <w:r w:rsidR="00BF3B6B" w:rsidRPr="00F34875">
        <w:t xml:space="preserve"> </w:t>
      </w:r>
    </w:p>
    <w:p w:rsidR="00BF3B6B" w:rsidRPr="00596CBF" w:rsidRDefault="00BF3B6B" w:rsidP="00F34875">
      <w:pPr>
        <w:spacing w:after="120"/>
        <w:ind w:firstLine="539"/>
        <w:jc w:val="both"/>
      </w:pPr>
      <w:r w:rsidRPr="00596CBF">
        <w:t xml:space="preserve">Постъпленията от </w:t>
      </w:r>
      <w:r w:rsidRPr="00596CBF">
        <w:rPr>
          <w:b/>
          <w:i/>
        </w:rPr>
        <w:t>помощи</w:t>
      </w:r>
      <w:r w:rsidRPr="00596CBF">
        <w:t xml:space="preserve"> от страната и чужбина (</w:t>
      </w:r>
      <w:r w:rsidR="005B4689" w:rsidRPr="00596CBF">
        <w:t>основно</w:t>
      </w:r>
      <w:r w:rsidRPr="00596CBF">
        <w:t xml:space="preserve"> помощи от фондовете на ЕС) са в размер на </w:t>
      </w:r>
      <w:r w:rsidR="00596CBF" w:rsidRPr="00596CBF">
        <w:rPr>
          <w:b/>
        </w:rPr>
        <w:t>669,8</w:t>
      </w:r>
      <w:r w:rsidRPr="00596CBF">
        <w:rPr>
          <w:b/>
        </w:rPr>
        <w:t xml:space="preserve"> млн. лв.</w:t>
      </w:r>
      <w:r w:rsidRPr="00596CBF">
        <w:t xml:space="preserve">, което представлява </w:t>
      </w:r>
      <w:r w:rsidR="00596CBF" w:rsidRPr="00596CBF">
        <w:t>25,3</w:t>
      </w:r>
      <w:r w:rsidR="00F07B9B" w:rsidRPr="00596CBF">
        <w:t xml:space="preserve"> % от годишния разчет</w:t>
      </w:r>
      <w:r w:rsidR="002F37A8" w:rsidRPr="00596CBF">
        <w:t>.</w:t>
      </w:r>
      <w:r w:rsidR="006916AA" w:rsidRPr="00596CBF">
        <w:t xml:space="preserve"> </w:t>
      </w:r>
    </w:p>
    <w:p w:rsidR="00D8005C" w:rsidRPr="00EF1078" w:rsidRDefault="00987CE4" w:rsidP="003D6474">
      <w:pPr>
        <w:spacing w:before="120" w:after="120"/>
        <w:ind w:firstLine="539"/>
        <w:jc w:val="both"/>
      </w:pPr>
      <w:r w:rsidRPr="002F511C">
        <w:rPr>
          <w:b/>
        </w:rPr>
        <w:t>Разходите по консолидиран</w:t>
      </w:r>
      <w:r w:rsidR="006F2870" w:rsidRPr="002F511C">
        <w:rPr>
          <w:b/>
        </w:rPr>
        <w:t>ата</w:t>
      </w:r>
      <w:r w:rsidRPr="002F511C">
        <w:rPr>
          <w:b/>
        </w:rPr>
        <w:t xml:space="preserve"> </w:t>
      </w:r>
      <w:r w:rsidR="006F2870" w:rsidRPr="002F511C">
        <w:rPr>
          <w:b/>
        </w:rPr>
        <w:t>фискална програма</w:t>
      </w:r>
      <w:r w:rsidRPr="002F511C">
        <w:rPr>
          <w:b/>
        </w:rPr>
        <w:t xml:space="preserve"> </w:t>
      </w:r>
      <w:r w:rsidRPr="002F511C">
        <w:t xml:space="preserve">(вкл. вноската на Република България в общия бюджет на ЕС) </w:t>
      </w:r>
      <w:r w:rsidR="0084568A" w:rsidRPr="002F511C">
        <w:t xml:space="preserve">към </w:t>
      </w:r>
      <w:r w:rsidR="002F511C" w:rsidRPr="002F511C">
        <w:t>30</w:t>
      </w:r>
      <w:r w:rsidR="0084568A" w:rsidRPr="002F511C">
        <w:t>.</w:t>
      </w:r>
      <w:r w:rsidR="002F511C" w:rsidRPr="002F511C">
        <w:t>06</w:t>
      </w:r>
      <w:r w:rsidR="0084568A" w:rsidRPr="002F511C">
        <w:t>.201</w:t>
      </w:r>
      <w:r w:rsidR="00D03BB9" w:rsidRPr="002F511C">
        <w:t>7</w:t>
      </w:r>
      <w:r w:rsidR="0084568A" w:rsidRPr="002F511C">
        <w:t xml:space="preserve"> г.</w:t>
      </w:r>
      <w:r w:rsidR="0084568A" w:rsidRPr="002F511C">
        <w:rPr>
          <w:b/>
        </w:rPr>
        <w:t xml:space="preserve"> са в размер на </w:t>
      </w:r>
      <w:r w:rsidR="002F511C" w:rsidRPr="002F511C">
        <w:rPr>
          <w:b/>
        </w:rPr>
        <w:t xml:space="preserve">15 735,1 </w:t>
      </w:r>
      <w:r w:rsidR="0084568A" w:rsidRPr="002F511C">
        <w:rPr>
          <w:b/>
        </w:rPr>
        <w:t>млн. лв.</w:t>
      </w:r>
      <w:r w:rsidRPr="002F511C">
        <w:rPr>
          <w:b/>
        </w:rPr>
        <w:t xml:space="preserve">, </w:t>
      </w:r>
      <w:r w:rsidRPr="002F511C">
        <w:t xml:space="preserve">което представлява </w:t>
      </w:r>
      <w:r w:rsidR="002F511C" w:rsidRPr="002F511C">
        <w:t>42,8</w:t>
      </w:r>
      <w:r w:rsidRPr="002F511C">
        <w:t xml:space="preserve"> % от годишния </w:t>
      </w:r>
      <w:r w:rsidRPr="008E0EFE">
        <w:t xml:space="preserve">разчет. </w:t>
      </w:r>
      <w:r w:rsidR="009B1713" w:rsidRPr="008E0EFE">
        <w:t xml:space="preserve">Разходите за същия период на миналата година са в размер на </w:t>
      </w:r>
      <w:r w:rsidR="008E0EFE" w:rsidRPr="008E0EFE">
        <w:t xml:space="preserve">14 638,7 </w:t>
      </w:r>
      <w:r w:rsidR="009B1713" w:rsidRPr="008E0EFE">
        <w:t>млн. лева</w:t>
      </w:r>
      <w:r w:rsidR="00C3726E" w:rsidRPr="008E0EFE">
        <w:t>.</w:t>
      </w:r>
      <w:r w:rsidR="009A2D3C" w:rsidRPr="008E0EFE">
        <w:t xml:space="preserve"> </w:t>
      </w:r>
      <w:r w:rsidR="00522B16" w:rsidRPr="00522B16">
        <w:t>Нарастването на разходите спрямо същия период на 2016 г. е основно поради по-високия размер на социалните и здравноосигурителни плащания, базов ефект при разходите за пенсии от увеличението им от юли 2016 г., разходите за субсидии и по-високите разходи за персонал, включително и поради ръста на разходите за осигурителните вноски, свързан с увеличения размер на осигурителната вноска за фонд „Пенсии за лицата по чл. 69“ с 20 пр. п. спрямо 2016 г. Независимо от номиналното увеличение на разходите спрямо същия период на предходната година, съпоставено с разчетите за годината, изпълнението на разходите към полугодието се развива в рамките на планираните със ЗДБРБ за 2017 г. средства и не се очертава натиск от страна на разходите върху бюджетното салдо.</w:t>
      </w:r>
      <w:r w:rsidR="00522B16">
        <w:t xml:space="preserve"> </w:t>
      </w:r>
      <w:r w:rsidR="00D8005C" w:rsidRPr="00EF1078">
        <w:rPr>
          <w:b/>
          <w:i/>
        </w:rPr>
        <w:t>Нелихвените разходи</w:t>
      </w:r>
      <w:r w:rsidR="00D8005C" w:rsidRPr="00EF1078">
        <w:t xml:space="preserve"> са в размер на </w:t>
      </w:r>
      <w:r w:rsidR="00EF1078" w:rsidRPr="00EF1078">
        <w:t xml:space="preserve">14 812,4 </w:t>
      </w:r>
      <w:r w:rsidR="00D8005C" w:rsidRPr="00EF1078">
        <w:t>млн. лв</w:t>
      </w:r>
      <w:r w:rsidR="004F5B6B" w:rsidRPr="00EF1078">
        <w:t xml:space="preserve">., което представлява </w:t>
      </w:r>
      <w:r w:rsidR="00EF1078" w:rsidRPr="00EF1078">
        <w:t>42,9</w:t>
      </w:r>
      <w:r w:rsidR="004F5B6B" w:rsidRPr="00EF1078">
        <w:t xml:space="preserve"> % от годишния разчет.</w:t>
      </w:r>
      <w:r w:rsidR="00590F0B" w:rsidRPr="00EF1078">
        <w:t xml:space="preserve"> </w:t>
      </w:r>
      <w:r w:rsidR="00D8005C" w:rsidRPr="00EF1078">
        <w:rPr>
          <w:i/>
        </w:rPr>
        <w:t>Текущите нелихвени разходи</w:t>
      </w:r>
      <w:r w:rsidR="00D8005C" w:rsidRPr="00EF1078">
        <w:t xml:space="preserve"> към </w:t>
      </w:r>
      <w:r w:rsidR="00EF1078" w:rsidRPr="00EF1078">
        <w:t xml:space="preserve">юни </w:t>
      </w:r>
      <w:r w:rsidR="00D8005C" w:rsidRPr="00EF1078">
        <w:t>201</w:t>
      </w:r>
      <w:r w:rsidR="002E1ADD" w:rsidRPr="00EF1078">
        <w:t>7</w:t>
      </w:r>
      <w:r w:rsidR="00D8005C" w:rsidRPr="00EF1078">
        <w:t xml:space="preserve"> г. са в размер на </w:t>
      </w:r>
      <w:r w:rsidR="00EF1078" w:rsidRPr="00EF1078">
        <w:t>13 958,8 млн. лв. (49,3 % от разчета за годината)</w:t>
      </w:r>
      <w:r w:rsidR="005F1247" w:rsidRPr="00EF1078">
        <w:t>.</w:t>
      </w:r>
      <w:r w:rsidR="00C77324" w:rsidRPr="00EF1078">
        <w:t xml:space="preserve"> </w:t>
      </w:r>
      <w:r w:rsidR="005F1247" w:rsidRPr="00EF1078">
        <w:rPr>
          <w:i/>
        </w:rPr>
        <w:t>К</w:t>
      </w:r>
      <w:r w:rsidR="00D8005C" w:rsidRPr="00EF1078">
        <w:rPr>
          <w:i/>
        </w:rPr>
        <w:t>апиталовите разходи</w:t>
      </w:r>
      <w:r w:rsidR="00D8005C" w:rsidRPr="00EF1078">
        <w:t xml:space="preserve"> (вкл. нетния прираст на държавния резерв) възлизат на </w:t>
      </w:r>
      <w:r w:rsidR="00EF1078" w:rsidRPr="00EF1078">
        <w:t>853,6 млн. лв. (13,8 % от разчетите към ЗДБРБ за 2017 г.)</w:t>
      </w:r>
      <w:r w:rsidR="00D8005C" w:rsidRPr="00EF1078">
        <w:t xml:space="preserve">. </w:t>
      </w:r>
      <w:r w:rsidR="00D8005C" w:rsidRPr="00EF1078">
        <w:rPr>
          <w:b/>
          <w:i/>
        </w:rPr>
        <w:t xml:space="preserve">Лихвените </w:t>
      </w:r>
      <w:r w:rsidR="00977973">
        <w:rPr>
          <w:b/>
          <w:i/>
        </w:rPr>
        <w:t>п</w:t>
      </w:r>
      <w:r w:rsidR="00D8005C" w:rsidRPr="00EF1078">
        <w:rPr>
          <w:b/>
          <w:i/>
        </w:rPr>
        <w:t>лащания</w:t>
      </w:r>
      <w:r w:rsidR="00D8005C" w:rsidRPr="00EF1078">
        <w:t xml:space="preserve"> са в размер на </w:t>
      </w:r>
      <w:r w:rsidR="00EF1078" w:rsidRPr="00EF1078">
        <w:t>434,4 млн. лв. (52,5 % от планираните за 2017 година)</w:t>
      </w:r>
      <w:r w:rsidR="00D8005C" w:rsidRPr="00EF1078">
        <w:t>.</w:t>
      </w:r>
    </w:p>
    <w:p w:rsidR="00072385" w:rsidRPr="00362BC5" w:rsidRDefault="00072385" w:rsidP="006705D9">
      <w:pPr>
        <w:spacing w:after="120"/>
        <w:ind w:firstLine="567"/>
        <w:jc w:val="both"/>
      </w:pPr>
      <w:r w:rsidRPr="00362BC5">
        <w:rPr>
          <w:b/>
        </w:rPr>
        <w:t>Частта от вноската на Република България в общия бюджет на ЕС</w:t>
      </w:r>
      <w:r w:rsidRPr="00362BC5">
        <w:t xml:space="preserve">, изплатена към 30.06.2017 г. от централния бюджет, възлиза на </w:t>
      </w:r>
      <w:r w:rsidRPr="00362BC5">
        <w:rPr>
          <w:b/>
        </w:rPr>
        <w:t>488,3 млн. лв.</w:t>
      </w:r>
      <w:r w:rsidRPr="00362BC5">
        <w:t xml:space="preserve">, което е в изпълнение на действащото към момента законодателство в областта на собствените ресурси на ЕС - Решение на Съвета 2014/335/ЕС, </w:t>
      </w:r>
      <w:proofErr w:type="spellStart"/>
      <w:r w:rsidRPr="00362BC5">
        <w:t>Евратом</w:t>
      </w:r>
      <w:proofErr w:type="spellEnd"/>
      <w:r w:rsidRPr="00362BC5">
        <w:t xml:space="preserve"> относно системата на собствените ресурси на Европейския съюз, Регламент (ЕС, </w:t>
      </w:r>
      <w:proofErr w:type="spellStart"/>
      <w:r w:rsidRPr="00362BC5">
        <w:t>Евратом</w:t>
      </w:r>
      <w:proofErr w:type="spellEnd"/>
      <w:r w:rsidRPr="00362BC5">
        <w:t xml:space="preserve">) № 608/2014 на Съвета от 26 май 2014 г. за определяне на мерки за прилагане на системата на собствените ресурси на ЕС и Регламент (EС, </w:t>
      </w:r>
      <w:proofErr w:type="spellStart"/>
      <w:r w:rsidRPr="00362BC5">
        <w:t>Евратом</w:t>
      </w:r>
      <w:proofErr w:type="spellEnd"/>
      <w:r w:rsidRPr="00362BC5">
        <w:t xml:space="preserve">)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w:t>
      </w:r>
      <w:proofErr w:type="spellStart"/>
      <w:r w:rsidRPr="00362BC5">
        <w:t>Евратом</w:t>
      </w:r>
      <w:proofErr w:type="spellEnd"/>
      <w:r w:rsidRPr="00362BC5">
        <w:t>) 2016/804 на Съвета от 17 май 2016 г., в т.ч.:</w:t>
      </w:r>
    </w:p>
    <w:p w:rsidR="00072385" w:rsidRPr="00944646" w:rsidRDefault="00072385" w:rsidP="00072385">
      <w:pPr>
        <w:numPr>
          <w:ilvl w:val="0"/>
          <w:numId w:val="13"/>
        </w:numPr>
        <w:tabs>
          <w:tab w:val="clear" w:pos="1500"/>
          <w:tab w:val="num" w:pos="720"/>
        </w:tabs>
        <w:ind w:left="709" w:hanging="283"/>
        <w:jc w:val="both"/>
      </w:pPr>
      <w:r w:rsidRPr="00944646">
        <w:t>ресурс на база брутен национален доход – 315,8 млн. лв.;</w:t>
      </w:r>
    </w:p>
    <w:p w:rsidR="00072385" w:rsidRPr="00944646" w:rsidRDefault="00072385" w:rsidP="00072385">
      <w:pPr>
        <w:numPr>
          <w:ilvl w:val="0"/>
          <w:numId w:val="13"/>
        </w:numPr>
        <w:tabs>
          <w:tab w:val="clear" w:pos="1500"/>
          <w:tab w:val="num" w:pos="720"/>
        </w:tabs>
        <w:ind w:left="709" w:hanging="283"/>
        <w:jc w:val="both"/>
      </w:pPr>
      <w:r w:rsidRPr="00944646">
        <w:t>ресурс на база данък върху добавената стойност – 69,3 млн. лв.;</w:t>
      </w:r>
    </w:p>
    <w:p w:rsidR="00072385" w:rsidRPr="00944646" w:rsidRDefault="00072385" w:rsidP="00072385">
      <w:pPr>
        <w:numPr>
          <w:ilvl w:val="0"/>
          <w:numId w:val="13"/>
        </w:numPr>
        <w:tabs>
          <w:tab w:val="clear" w:pos="1500"/>
          <w:tab w:val="num" w:pos="720"/>
        </w:tabs>
        <w:ind w:left="709" w:hanging="283"/>
        <w:jc w:val="both"/>
      </w:pPr>
      <w:r w:rsidRPr="00944646">
        <w:t>корекция за Обединеното кралство – 26,2 млн. лв.;</w:t>
      </w:r>
    </w:p>
    <w:p w:rsidR="00072385" w:rsidRPr="00944646" w:rsidRDefault="00072385" w:rsidP="00072385">
      <w:pPr>
        <w:numPr>
          <w:ilvl w:val="0"/>
          <w:numId w:val="13"/>
        </w:numPr>
        <w:tabs>
          <w:tab w:val="clear" w:pos="1500"/>
          <w:tab w:val="num" w:pos="720"/>
        </w:tabs>
        <w:ind w:left="709" w:hanging="283"/>
        <w:jc w:val="both"/>
      </w:pPr>
      <w:r w:rsidRPr="00944646">
        <w:t>традиционни собствени ресурси (мита и налози върху захарта) – 73,9 млн. лв.;</w:t>
      </w:r>
    </w:p>
    <w:p w:rsidR="00072385" w:rsidRPr="00944646" w:rsidRDefault="00072385" w:rsidP="00072385">
      <w:pPr>
        <w:numPr>
          <w:ilvl w:val="0"/>
          <w:numId w:val="13"/>
        </w:numPr>
        <w:tabs>
          <w:tab w:val="clear" w:pos="1500"/>
        </w:tabs>
        <w:ind w:left="709" w:hanging="283"/>
        <w:jc w:val="both"/>
      </w:pPr>
      <w:r w:rsidRPr="00944646">
        <w:t>участие във финансиране на брутното намаление за Нидерландия, Швеция, Дания и Австрия – 3,2 млн. лв.</w:t>
      </w:r>
    </w:p>
    <w:p w:rsidR="0055394B" w:rsidRPr="0092537A" w:rsidRDefault="00D46284" w:rsidP="00E74802">
      <w:pPr>
        <w:spacing w:before="120"/>
        <w:ind w:firstLine="539"/>
        <w:jc w:val="both"/>
        <w:rPr>
          <w:bCs/>
          <w:color w:val="0070C0"/>
        </w:rPr>
      </w:pPr>
      <w:r w:rsidRPr="001F5677">
        <w:rPr>
          <w:b/>
        </w:rPr>
        <w:t>Бюджетното салдо</w:t>
      </w:r>
      <w:r w:rsidRPr="001F5677">
        <w:rPr>
          <w:bCs/>
        </w:rPr>
        <w:t xml:space="preserve"> по консолидираната фискална програма към юни 201</w:t>
      </w:r>
      <w:r w:rsidRPr="001F5677">
        <w:rPr>
          <w:bCs/>
          <w:lang w:val="en-US"/>
        </w:rPr>
        <w:t>7</w:t>
      </w:r>
      <w:r w:rsidRPr="001F5677">
        <w:rPr>
          <w:bCs/>
        </w:rPr>
        <w:t xml:space="preserve"> г. е </w:t>
      </w:r>
      <w:r w:rsidRPr="001F5677">
        <w:rPr>
          <w:b/>
          <w:bCs/>
        </w:rPr>
        <w:t>положително</w:t>
      </w:r>
      <w:r w:rsidRPr="001F5677">
        <w:rPr>
          <w:bCs/>
        </w:rPr>
        <w:t xml:space="preserve"> в размер на </w:t>
      </w:r>
      <w:r w:rsidRPr="001F5677">
        <w:rPr>
          <w:b/>
          <w:bCs/>
        </w:rPr>
        <w:t>1 746,7</w:t>
      </w:r>
      <w:r w:rsidRPr="001F5677">
        <w:rPr>
          <w:b/>
        </w:rPr>
        <w:t xml:space="preserve"> млн. лв.</w:t>
      </w:r>
      <w:r w:rsidRPr="001F5677">
        <w:t xml:space="preserve"> (1,8 % от прогнозния БВП) и </w:t>
      </w:r>
      <w:r w:rsidRPr="001F5677">
        <w:rPr>
          <w:bCs/>
        </w:rPr>
        <w:t xml:space="preserve">се формира от </w:t>
      </w:r>
      <w:r w:rsidRPr="001F5677">
        <w:t>излишък по националния бюджет в размер на 1 777,7 млн. лв. и дефицит по европейските средства в размер на 31,0 млн. лева</w:t>
      </w:r>
      <w:r w:rsidR="00284488" w:rsidRPr="0092537A">
        <w:rPr>
          <w:color w:val="0070C0"/>
        </w:rPr>
        <w:t>.</w:t>
      </w:r>
    </w:p>
    <w:p w:rsidR="00987CE4" w:rsidRPr="0092537A" w:rsidRDefault="00987CE4" w:rsidP="00337CA7">
      <w:pPr>
        <w:numPr>
          <w:ilvl w:val="0"/>
          <w:numId w:val="9"/>
        </w:numPr>
        <w:tabs>
          <w:tab w:val="num" w:pos="0"/>
          <w:tab w:val="left" w:pos="540"/>
          <w:tab w:val="left" w:pos="720"/>
        </w:tabs>
        <w:spacing w:before="120" w:after="60"/>
        <w:ind w:left="0" w:firstLine="425"/>
        <w:jc w:val="both"/>
        <w:rPr>
          <w:color w:val="0070C0"/>
        </w:rPr>
      </w:pPr>
      <w:r w:rsidRPr="00774201">
        <w:rPr>
          <w:b/>
          <w:bCs/>
        </w:rPr>
        <w:t xml:space="preserve">Общият размер на касовите постъпления от </w:t>
      </w:r>
      <w:r w:rsidR="0055394B" w:rsidRPr="00774201">
        <w:rPr>
          <w:b/>
          <w:bCs/>
        </w:rPr>
        <w:t>ЕС</w:t>
      </w:r>
      <w:r w:rsidR="0055394B" w:rsidRPr="00774201">
        <w:rPr>
          <w:bCs/>
        </w:rPr>
        <w:t xml:space="preserve"> (от Структурните и </w:t>
      </w:r>
      <w:proofErr w:type="spellStart"/>
      <w:r w:rsidR="0055394B" w:rsidRPr="00774201">
        <w:rPr>
          <w:bCs/>
        </w:rPr>
        <w:t>Кохезионния</w:t>
      </w:r>
      <w:proofErr w:type="spellEnd"/>
      <w:r w:rsidR="0055394B" w:rsidRPr="00774201">
        <w:rPr>
          <w:bCs/>
        </w:rPr>
        <w:t xml:space="preserve"> фондове, </w:t>
      </w:r>
      <w:r w:rsidR="0055394B" w:rsidRPr="00E91C7B">
        <w:rPr>
          <w:bCs/>
        </w:rPr>
        <w:t>от</w:t>
      </w:r>
      <w:r w:rsidR="0055394B" w:rsidRPr="00E91C7B">
        <w:t xml:space="preserve"> ЕЗФРСР и ЕФР</w:t>
      </w:r>
      <w:r w:rsidR="0055394B" w:rsidRPr="00E91C7B">
        <w:rPr>
          <w:bCs/>
        </w:rPr>
        <w:t xml:space="preserve">, от средства за директни плащания към земеделските производители и плащания по пазарни мерки и др.) за </w:t>
      </w:r>
      <w:r w:rsidR="00FD6EA3" w:rsidRPr="00E91C7B">
        <w:rPr>
          <w:bCs/>
        </w:rPr>
        <w:t xml:space="preserve">първото </w:t>
      </w:r>
      <w:r w:rsidR="00774201" w:rsidRPr="00E91C7B">
        <w:rPr>
          <w:bCs/>
        </w:rPr>
        <w:t xml:space="preserve">полугодие </w:t>
      </w:r>
      <w:r w:rsidR="0055394B" w:rsidRPr="00E91C7B">
        <w:rPr>
          <w:bCs/>
        </w:rPr>
        <w:t>на 201</w:t>
      </w:r>
      <w:r w:rsidR="00FD6EA3" w:rsidRPr="00E91C7B">
        <w:rPr>
          <w:bCs/>
        </w:rPr>
        <w:t>7</w:t>
      </w:r>
      <w:r w:rsidR="0055394B" w:rsidRPr="00E91C7B">
        <w:rPr>
          <w:bCs/>
        </w:rPr>
        <w:t xml:space="preserve"> г. е </w:t>
      </w:r>
      <w:r w:rsidR="00774201" w:rsidRPr="00E91C7B">
        <w:rPr>
          <w:b/>
          <w:bCs/>
        </w:rPr>
        <w:t>1</w:t>
      </w:r>
      <w:r w:rsidR="003C7CDF">
        <w:rPr>
          <w:b/>
          <w:bCs/>
        </w:rPr>
        <w:t> 622,2</w:t>
      </w:r>
      <w:r w:rsidR="0055394B" w:rsidRPr="00E91C7B">
        <w:rPr>
          <w:b/>
          <w:bCs/>
        </w:rPr>
        <w:t xml:space="preserve"> млн. лв.</w:t>
      </w:r>
      <w:r w:rsidR="0055394B" w:rsidRPr="00E91C7B">
        <w:rPr>
          <w:b/>
        </w:rPr>
        <w:t xml:space="preserve"> </w:t>
      </w:r>
      <w:r w:rsidR="0055394B" w:rsidRPr="00E91C7B">
        <w:rPr>
          <w:b/>
          <w:bCs/>
        </w:rPr>
        <w:t xml:space="preserve">Нетните постъпления от ЕС към </w:t>
      </w:r>
      <w:r w:rsidR="00E91C7B" w:rsidRPr="00E91C7B">
        <w:rPr>
          <w:b/>
          <w:bCs/>
        </w:rPr>
        <w:t>30</w:t>
      </w:r>
      <w:r w:rsidR="0055394B" w:rsidRPr="00E91C7B">
        <w:rPr>
          <w:b/>
          <w:bCs/>
        </w:rPr>
        <w:t>.</w:t>
      </w:r>
      <w:r w:rsidR="00E91C7B" w:rsidRPr="00E91C7B">
        <w:rPr>
          <w:b/>
          <w:bCs/>
        </w:rPr>
        <w:t>06</w:t>
      </w:r>
      <w:r w:rsidR="0055394B" w:rsidRPr="00E91C7B">
        <w:rPr>
          <w:b/>
          <w:bCs/>
        </w:rPr>
        <w:t>.201</w:t>
      </w:r>
      <w:r w:rsidR="004C009E" w:rsidRPr="00E91C7B">
        <w:rPr>
          <w:b/>
          <w:bCs/>
        </w:rPr>
        <w:t>7</w:t>
      </w:r>
      <w:r w:rsidR="0055394B" w:rsidRPr="00E91C7B">
        <w:rPr>
          <w:b/>
          <w:bCs/>
        </w:rPr>
        <w:t xml:space="preserve"> г. </w:t>
      </w:r>
      <w:r w:rsidR="0055394B" w:rsidRPr="00E91C7B">
        <w:rPr>
          <w:bCs/>
        </w:rPr>
        <w:t xml:space="preserve">(касови постъпления от ЕС, намалени </w:t>
      </w:r>
      <w:r w:rsidR="005C0F0A" w:rsidRPr="00E91C7B">
        <w:rPr>
          <w:bCs/>
        </w:rPr>
        <w:t xml:space="preserve">с </w:t>
      </w:r>
      <w:r w:rsidR="0055394B" w:rsidRPr="00E91C7B">
        <w:rPr>
          <w:bCs/>
        </w:rPr>
        <w:t xml:space="preserve">вноската в общия бюджет на ЕС) са положителни в размер на </w:t>
      </w:r>
      <w:r w:rsidR="00E91C7B" w:rsidRPr="00E91C7B">
        <w:rPr>
          <w:b/>
          <w:bCs/>
        </w:rPr>
        <w:t>1</w:t>
      </w:r>
      <w:r w:rsidR="00FD49E8">
        <w:rPr>
          <w:b/>
          <w:bCs/>
        </w:rPr>
        <w:t> 134,0</w:t>
      </w:r>
      <w:r w:rsidR="0055394B" w:rsidRPr="00E91C7B">
        <w:rPr>
          <w:b/>
          <w:bCs/>
        </w:rPr>
        <w:t xml:space="preserve"> млн. лева</w:t>
      </w:r>
      <w:r w:rsidR="0055394B" w:rsidRPr="00E91C7B">
        <w:t>.</w:t>
      </w:r>
    </w:p>
    <w:p w:rsidR="00987CE4" w:rsidRPr="0092537A" w:rsidRDefault="00987CE4" w:rsidP="00337CA7">
      <w:pPr>
        <w:numPr>
          <w:ilvl w:val="2"/>
          <w:numId w:val="17"/>
        </w:numPr>
        <w:tabs>
          <w:tab w:val="clear" w:pos="2880"/>
        </w:tabs>
        <w:spacing w:before="120" w:after="120"/>
        <w:ind w:left="0" w:firstLine="357"/>
        <w:jc w:val="both"/>
        <w:rPr>
          <w:color w:val="0070C0"/>
          <w:sz w:val="8"/>
          <w:szCs w:val="8"/>
        </w:rPr>
      </w:pPr>
      <w:r w:rsidRPr="00BE70F4">
        <w:rPr>
          <w:b/>
        </w:rPr>
        <w:lastRenderedPageBreak/>
        <w:t>Фискалният резерв</w:t>
      </w:r>
      <w:r w:rsidR="00E74802" w:rsidRPr="00BE70F4">
        <w:rPr>
          <w:b/>
          <w:bCs/>
          <w:vertAlign w:val="superscript"/>
          <w:lang w:eastAsia="bg-BG"/>
        </w:rPr>
        <w:footnoteReference w:id="4"/>
      </w:r>
      <w:r w:rsidR="007E28C4" w:rsidRPr="00BE70F4">
        <w:rPr>
          <w:bCs/>
          <w:lang w:eastAsia="bg-BG"/>
        </w:rPr>
        <w:t xml:space="preserve"> </w:t>
      </w:r>
      <w:r w:rsidR="00BE70F4" w:rsidRPr="00BE70F4">
        <w:rPr>
          <w:bCs/>
        </w:rPr>
        <w:t xml:space="preserve">към 30.06.2017 г. е </w:t>
      </w:r>
      <w:r w:rsidR="00BE70F4" w:rsidRPr="00BE70F4">
        <w:rPr>
          <w:b/>
          <w:bCs/>
        </w:rPr>
        <w:t>13,2 млрд. лв</w:t>
      </w:r>
      <w:r w:rsidR="00BE70F4" w:rsidRPr="00BE70F4">
        <w:rPr>
          <w:bCs/>
        </w:rPr>
        <w:t xml:space="preserve">., в т.ч. 12,2 млрд. лв. депозити </w:t>
      </w:r>
      <w:r w:rsidR="00BE70F4" w:rsidRPr="00BB37B4">
        <w:rPr>
          <w:bCs/>
        </w:rPr>
        <w:t>на фискалния резерв в БНБ и банки и 1,0 млрд. лв. вземания от фондовете на Европейския съюз за сертифицирани разходи, аванси и други</w:t>
      </w:r>
      <w:r w:rsidR="007E28C4" w:rsidRPr="0092537A">
        <w:rPr>
          <w:bCs/>
          <w:color w:val="0070C0"/>
          <w:lang w:eastAsia="bg-BG"/>
        </w:rPr>
        <w:t>.</w:t>
      </w:r>
      <w:r w:rsidRPr="0092537A">
        <w:rPr>
          <w:bCs/>
          <w:color w:val="0070C0"/>
        </w:rPr>
        <w:t xml:space="preserve"> </w:t>
      </w:r>
    </w:p>
    <w:p w:rsidR="00EE235A" w:rsidRPr="00FE769B" w:rsidRDefault="00EE235A" w:rsidP="00337CA7">
      <w:pPr>
        <w:pStyle w:val="Heading1"/>
        <w:numPr>
          <w:ilvl w:val="0"/>
          <w:numId w:val="10"/>
        </w:numPr>
        <w:ind w:right="-108"/>
        <w:jc w:val="both"/>
        <w:rPr>
          <w:sz w:val="24"/>
        </w:rPr>
      </w:pPr>
      <w:r w:rsidRPr="00FE769B">
        <w:rPr>
          <w:sz w:val="24"/>
        </w:rPr>
        <w:t>Изпълнение на държавния бюджет</w:t>
      </w:r>
      <w:r w:rsidR="001E7EA4" w:rsidRPr="00FE769B">
        <w:rPr>
          <w:rStyle w:val="FootnoteReference"/>
          <w:bCs w:val="0"/>
          <w:sz w:val="20"/>
          <w:szCs w:val="20"/>
        </w:rPr>
        <w:footnoteReference w:id="5"/>
      </w:r>
      <w:r w:rsidRPr="00FE769B">
        <w:rPr>
          <w:sz w:val="24"/>
        </w:rPr>
        <w:t xml:space="preserve"> към </w:t>
      </w:r>
      <w:r w:rsidR="00FE769B" w:rsidRPr="00FE769B">
        <w:rPr>
          <w:sz w:val="24"/>
        </w:rPr>
        <w:t>юни</w:t>
      </w:r>
      <w:r w:rsidR="00616AAF" w:rsidRPr="00FE769B">
        <w:rPr>
          <w:sz w:val="24"/>
        </w:rPr>
        <w:t xml:space="preserve"> </w:t>
      </w:r>
      <w:r w:rsidRPr="00FE769B">
        <w:rPr>
          <w:sz w:val="24"/>
        </w:rPr>
        <w:t>201</w:t>
      </w:r>
      <w:r w:rsidR="004B5DC2" w:rsidRPr="00FE769B">
        <w:rPr>
          <w:sz w:val="24"/>
        </w:rPr>
        <w:t>7</w:t>
      </w:r>
      <w:r w:rsidRPr="00FE769B">
        <w:rPr>
          <w:sz w:val="24"/>
        </w:rPr>
        <w:t xml:space="preserve"> г.</w:t>
      </w:r>
    </w:p>
    <w:p w:rsidR="00F226B6" w:rsidRPr="00FE769B" w:rsidRDefault="00F226B6" w:rsidP="00F226B6">
      <w:pPr>
        <w:tabs>
          <w:tab w:val="left" w:pos="1080"/>
        </w:tabs>
        <w:spacing w:before="120"/>
        <w:jc w:val="both"/>
      </w:pPr>
      <w:r w:rsidRPr="00FE769B">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F226B6" w:rsidRPr="00FE769B" w:rsidRDefault="00F226B6" w:rsidP="00F226B6">
      <w:pPr>
        <w:tabs>
          <w:tab w:val="left" w:pos="1080"/>
        </w:tabs>
        <w:spacing w:before="120"/>
        <w:jc w:val="both"/>
        <w:rPr>
          <w:sz w:val="2"/>
          <w:szCs w:val="2"/>
        </w:rPr>
      </w:pPr>
    </w:p>
    <w:p w:rsidR="00F226B6" w:rsidRPr="00FE769B" w:rsidRDefault="00F226B6" w:rsidP="00F226B6">
      <w:pPr>
        <w:ind w:right="-242"/>
        <w:rPr>
          <w:b/>
          <w:bCs/>
          <w:sz w:val="20"/>
          <w:szCs w:val="20"/>
          <w:lang w:eastAsia="bg-BG"/>
        </w:rPr>
      </w:pPr>
      <w:r w:rsidRPr="00FE769B">
        <w:rPr>
          <w:b/>
          <w:bCs/>
          <w:sz w:val="20"/>
          <w:szCs w:val="20"/>
          <w:lang w:eastAsia="bg-BG"/>
        </w:rPr>
        <w:t xml:space="preserve">            Таблица</w:t>
      </w:r>
      <w:r w:rsidRPr="00FE769B">
        <w:rPr>
          <w:b/>
          <w:bCs/>
          <w:sz w:val="20"/>
          <w:szCs w:val="20"/>
          <w:vertAlign w:val="superscript"/>
          <w:lang w:eastAsia="bg-BG"/>
        </w:rPr>
        <w:footnoteReference w:id="6"/>
      </w:r>
      <w:r w:rsidRPr="00FE769B">
        <w:rPr>
          <w:b/>
          <w:bCs/>
          <w:sz w:val="20"/>
          <w:szCs w:val="20"/>
          <w:lang w:eastAsia="bg-BG"/>
        </w:rPr>
        <w:t xml:space="preserve">  №</w:t>
      </w:r>
      <w:r w:rsidR="00182A94" w:rsidRPr="00FE769B">
        <w:rPr>
          <w:b/>
          <w:bCs/>
          <w:sz w:val="20"/>
          <w:szCs w:val="20"/>
          <w:lang w:eastAsia="bg-BG"/>
        </w:rPr>
        <w:t>2</w:t>
      </w:r>
      <w:r w:rsidRPr="00FE769B">
        <w:rPr>
          <w:b/>
          <w:bCs/>
          <w:sz w:val="20"/>
          <w:szCs w:val="20"/>
          <w:lang w:eastAsia="bg-BG"/>
        </w:rPr>
        <w:t xml:space="preserve">      </w:t>
      </w:r>
      <w:r w:rsidRPr="00FE769B">
        <w:rPr>
          <w:b/>
          <w:bCs/>
          <w:sz w:val="20"/>
          <w:szCs w:val="20"/>
          <w:lang w:eastAsia="bg-BG"/>
        </w:rPr>
        <w:tab/>
      </w:r>
      <w:r w:rsidRPr="00FE769B">
        <w:rPr>
          <w:b/>
          <w:bCs/>
          <w:sz w:val="20"/>
          <w:szCs w:val="20"/>
          <w:lang w:eastAsia="bg-BG"/>
        </w:rPr>
        <w:tab/>
        <w:t xml:space="preserve">                                          </w:t>
      </w:r>
      <w:r w:rsidRPr="00FE769B">
        <w:rPr>
          <w:b/>
          <w:bCs/>
          <w:sz w:val="20"/>
          <w:szCs w:val="20"/>
          <w:lang w:eastAsia="bg-BG"/>
        </w:rPr>
        <w:tab/>
      </w:r>
      <w:r w:rsidRPr="00FE769B">
        <w:rPr>
          <w:b/>
          <w:bCs/>
          <w:sz w:val="20"/>
          <w:szCs w:val="20"/>
          <w:lang w:eastAsia="bg-BG"/>
        </w:rPr>
        <w:tab/>
      </w:r>
      <w:r w:rsidRPr="00FE769B">
        <w:rPr>
          <w:b/>
          <w:bCs/>
          <w:sz w:val="20"/>
          <w:szCs w:val="20"/>
          <w:lang w:eastAsia="bg-BG"/>
        </w:rPr>
        <w:tab/>
      </w:r>
      <w:r w:rsidRPr="00FE769B">
        <w:rPr>
          <w:b/>
          <w:bCs/>
          <w:sz w:val="20"/>
          <w:szCs w:val="20"/>
          <w:lang w:eastAsia="bg-BG"/>
        </w:rPr>
        <w:tab/>
        <w:t xml:space="preserve">  (млн. лв.)</w:t>
      </w:r>
    </w:p>
    <w:p w:rsidR="00F226B6" w:rsidRPr="0092537A" w:rsidRDefault="00F226B6" w:rsidP="00F226B6">
      <w:pPr>
        <w:ind w:right="-242"/>
        <w:rPr>
          <w:b/>
          <w:bCs/>
          <w:color w:val="0070C0"/>
          <w:sz w:val="6"/>
          <w:szCs w:val="6"/>
          <w:lang w:eastAsia="bg-BG"/>
        </w:rPr>
      </w:pPr>
    </w:p>
    <w:tbl>
      <w:tblPr>
        <w:tblW w:w="8680" w:type="dxa"/>
        <w:jc w:val="center"/>
        <w:tblInd w:w="-1068" w:type="dxa"/>
        <w:tblCellMar>
          <w:left w:w="70" w:type="dxa"/>
          <w:right w:w="70" w:type="dxa"/>
        </w:tblCellMar>
        <w:tblLook w:val="0000" w:firstRow="0" w:lastRow="0" w:firstColumn="0" w:lastColumn="0" w:noHBand="0" w:noVBand="0"/>
      </w:tblPr>
      <w:tblGrid>
        <w:gridCol w:w="4853"/>
        <w:gridCol w:w="1276"/>
        <w:gridCol w:w="1209"/>
        <w:gridCol w:w="1342"/>
      </w:tblGrid>
      <w:tr w:rsidR="00FE769B" w:rsidRPr="0092537A" w:rsidTr="00EC478C">
        <w:trPr>
          <w:trHeight w:val="520"/>
          <w:jc w:val="center"/>
        </w:trPr>
        <w:tc>
          <w:tcPr>
            <w:tcW w:w="4853" w:type="dxa"/>
            <w:tcBorders>
              <w:top w:val="single" w:sz="8" w:space="0" w:color="auto"/>
              <w:left w:val="single" w:sz="8" w:space="0" w:color="auto"/>
              <w:bottom w:val="nil"/>
              <w:right w:val="single" w:sz="8" w:space="0" w:color="auto"/>
            </w:tcBorders>
            <w:shd w:val="clear" w:color="auto" w:fill="auto"/>
            <w:noWrap/>
            <w:vAlign w:val="center"/>
          </w:tcPr>
          <w:p w:rsidR="00FE769B" w:rsidRPr="00DD50AA" w:rsidRDefault="00FE769B" w:rsidP="00FE769B">
            <w:pPr>
              <w:jc w:val="center"/>
              <w:rPr>
                <w:b/>
                <w:bCs/>
                <w:sz w:val="18"/>
                <w:szCs w:val="18"/>
              </w:rPr>
            </w:pPr>
            <w:r w:rsidRPr="00DD50AA">
              <w:rPr>
                <w:b/>
                <w:bCs/>
                <w:sz w:val="18"/>
                <w:szCs w:val="18"/>
              </w:rPr>
              <w:t>ПОКАЗАТЕЛИ</w:t>
            </w:r>
          </w:p>
        </w:tc>
        <w:tc>
          <w:tcPr>
            <w:tcW w:w="1276" w:type="dxa"/>
            <w:tcBorders>
              <w:top w:val="single" w:sz="8" w:space="0" w:color="auto"/>
              <w:left w:val="nil"/>
              <w:bottom w:val="nil"/>
              <w:right w:val="nil"/>
            </w:tcBorders>
            <w:shd w:val="clear" w:color="auto" w:fill="auto"/>
            <w:vAlign w:val="center"/>
          </w:tcPr>
          <w:p w:rsidR="00FE769B" w:rsidRPr="00DD50AA" w:rsidRDefault="00FE769B" w:rsidP="00FE769B">
            <w:pPr>
              <w:jc w:val="center"/>
              <w:rPr>
                <w:b/>
                <w:bCs/>
                <w:sz w:val="18"/>
                <w:szCs w:val="18"/>
              </w:rPr>
            </w:pPr>
            <w:r w:rsidRPr="00DD50AA">
              <w:rPr>
                <w:b/>
                <w:bCs/>
                <w:sz w:val="18"/>
                <w:szCs w:val="18"/>
              </w:rPr>
              <w:t>ЗДБРБ     2017 г.</w:t>
            </w:r>
            <w:r w:rsidRPr="00DD50AA">
              <w:rPr>
                <w:rStyle w:val="FootnoteReference"/>
                <w:b/>
                <w:bCs/>
                <w:sz w:val="20"/>
                <w:szCs w:val="20"/>
              </w:rPr>
              <w:t xml:space="preserve"> </w:t>
            </w:r>
          </w:p>
        </w:tc>
        <w:tc>
          <w:tcPr>
            <w:tcW w:w="1209" w:type="dxa"/>
            <w:tcBorders>
              <w:top w:val="single" w:sz="8" w:space="0" w:color="auto"/>
              <w:left w:val="nil"/>
              <w:bottom w:val="nil"/>
              <w:right w:val="nil"/>
            </w:tcBorders>
            <w:shd w:val="clear" w:color="auto" w:fill="auto"/>
            <w:vAlign w:val="center"/>
          </w:tcPr>
          <w:p w:rsidR="00FE769B" w:rsidRPr="00DD50AA" w:rsidRDefault="00FE769B" w:rsidP="00FE769B">
            <w:pPr>
              <w:jc w:val="center"/>
              <w:rPr>
                <w:b/>
                <w:bCs/>
                <w:sz w:val="18"/>
                <w:szCs w:val="18"/>
              </w:rPr>
            </w:pPr>
            <w:r w:rsidRPr="00DD50AA">
              <w:rPr>
                <w:b/>
                <w:bCs/>
                <w:sz w:val="18"/>
                <w:szCs w:val="18"/>
              </w:rPr>
              <w:t xml:space="preserve">Отчет </w:t>
            </w:r>
          </w:p>
          <w:p w:rsidR="00FE769B" w:rsidRPr="00DD50AA" w:rsidRDefault="00FE769B" w:rsidP="00FE769B">
            <w:pPr>
              <w:jc w:val="center"/>
              <w:rPr>
                <w:b/>
                <w:bCs/>
                <w:sz w:val="18"/>
                <w:szCs w:val="18"/>
              </w:rPr>
            </w:pPr>
            <w:r>
              <w:rPr>
                <w:b/>
                <w:bCs/>
                <w:sz w:val="18"/>
                <w:szCs w:val="18"/>
              </w:rPr>
              <w:t>юни</w:t>
            </w:r>
          </w:p>
          <w:p w:rsidR="00FE769B" w:rsidRPr="00DD50AA" w:rsidRDefault="00FE769B" w:rsidP="00FE769B">
            <w:pPr>
              <w:jc w:val="center"/>
              <w:rPr>
                <w:b/>
                <w:bCs/>
                <w:sz w:val="18"/>
                <w:szCs w:val="18"/>
              </w:rPr>
            </w:pPr>
            <w:r w:rsidRPr="00DD50AA">
              <w:rPr>
                <w:b/>
                <w:bCs/>
                <w:sz w:val="18"/>
                <w:szCs w:val="18"/>
              </w:rPr>
              <w:t xml:space="preserve"> 2017 г.</w:t>
            </w:r>
          </w:p>
        </w:tc>
        <w:tc>
          <w:tcPr>
            <w:tcW w:w="1342" w:type="dxa"/>
            <w:tcBorders>
              <w:top w:val="single" w:sz="8" w:space="0" w:color="auto"/>
              <w:left w:val="nil"/>
              <w:bottom w:val="nil"/>
              <w:right w:val="single" w:sz="8" w:space="0" w:color="auto"/>
            </w:tcBorders>
            <w:shd w:val="clear" w:color="auto" w:fill="auto"/>
            <w:vAlign w:val="center"/>
          </w:tcPr>
          <w:p w:rsidR="00FE769B" w:rsidRPr="00DD50AA" w:rsidRDefault="00FE769B" w:rsidP="00FE769B">
            <w:pPr>
              <w:jc w:val="center"/>
              <w:rPr>
                <w:b/>
                <w:bCs/>
                <w:sz w:val="18"/>
                <w:szCs w:val="18"/>
              </w:rPr>
            </w:pPr>
            <w:r w:rsidRPr="00DD50AA">
              <w:rPr>
                <w:b/>
                <w:bCs/>
                <w:sz w:val="18"/>
                <w:szCs w:val="18"/>
              </w:rPr>
              <w:t>Изпълнение спрямо    закон 2017 г.</w:t>
            </w:r>
          </w:p>
        </w:tc>
      </w:tr>
      <w:tr w:rsidR="00FE769B" w:rsidRPr="0092537A" w:rsidTr="00EC478C">
        <w:trPr>
          <w:trHeight w:val="300"/>
          <w:jc w:val="center"/>
        </w:trPr>
        <w:tc>
          <w:tcPr>
            <w:tcW w:w="4853" w:type="dxa"/>
            <w:tcBorders>
              <w:top w:val="single" w:sz="4" w:space="0" w:color="auto"/>
              <w:left w:val="single" w:sz="8" w:space="0" w:color="auto"/>
              <w:bottom w:val="single" w:sz="4" w:space="0" w:color="auto"/>
              <w:right w:val="single" w:sz="8" w:space="0" w:color="auto"/>
            </w:tcBorders>
            <w:shd w:val="clear" w:color="auto" w:fill="auto"/>
            <w:noWrap/>
            <w:vAlign w:val="bottom"/>
          </w:tcPr>
          <w:p w:rsidR="00FE769B" w:rsidRPr="00DD50AA" w:rsidRDefault="00FE769B" w:rsidP="00FE769B">
            <w:pPr>
              <w:rPr>
                <w:b/>
                <w:bCs/>
                <w:sz w:val="18"/>
                <w:szCs w:val="18"/>
              </w:rPr>
            </w:pPr>
            <w:r w:rsidRPr="00DD50AA">
              <w:rPr>
                <w:b/>
                <w:bCs/>
                <w:sz w:val="18"/>
                <w:szCs w:val="18"/>
              </w:rPr>
              <w:t>Общо приходи и помощи</w:t>
            </w:r>
          </w:p>
        </w:tc>
        <w:tc>
          <w:tcPr>
            <w:tcW w:w="1276" w:type="dxa"/>
            <w:tcBorders>
              <w:top w:val="single" w:sz="4" w:space="0" w:color="auto"/>
              <w:left w:val="nil"/>
              <w:bottom w:val="single" w:sz="8" w:space="0" w:color="auto"/>
              <w:right w:val="nil"/>
            </w:tcBorders>
            <w:shd w:val="clear" w:color="auto" w:fill="auto"/>
            <w:noWrap/>
            <w:vAlign w:val="bottom"/>
          </w:tcPr>
          <w:p w:rsidR="00FE769B" w:rsidRDefault="00FE769B" w:rsidP="00FE769B">
            <w:pPr>
              <w:jc w:val="right"/>
              <w:rPr>
                <w:b/>
                <w:bCs/>
                <w:sz w:val="18"/>
                <w:szCs w:val="18"/>
              </w:rPr>
            </w:pPr>
            <w:r>
              <w:rPr>
                <w:b/>
                <w:bCs/>
                <w:sz w:val="18"/>
                <w:szCs w:val="18"/>
              </w:rPr>
              <w:t>21 932,0</w:t>
            </w:r>
          </w:p>
        </w:tc>
        <w:tc>
          <w:tcPr>
            <w:tcW w:w="1209" w:type="dxa"/>
            <w:tcBorders>
              <w:top w:val="single" w:sz="4" w:space="0" w:color="auto"/>
              <w:left w:val="nil"/>
              <w:bottom w:val="single" w:sz="8" w:space="0" w:color="auto"/>
              <w:right w:val="nil"/>
            </w:tcBorders>
            <w:shd w:val="clear" w:color="auto" w:fill="auto"/>
            <w:noWrap/>
            <w:vAlign w:val="bottom"/>
          </w:tcPr>
          <w:p w:rsidR="00FE769B" w:rsidRDefault="00FE769B" w:rsidP="00FE769B">
            <w:pPr>
              <w:jc w:val="right"/>
              <w:rPr>
                <w:b/>
                <w:bCs/>
                <w:sz w:val="18"/>
                <w:szCs w:val="18"/>
              </w:rPr>
            </w:pPr>
            <w:r>
              <w:rPr>
                <w:b/>
                <w:bCs/>
                <w:sz w:val="18"/>
                <w:szCs w:val="18"/>
              </w:rPr>
              <w:t>11 079,9</w:t>
            </w:r>
          </w:p>
        </w:tc>
        <w:tc>
          <w:tcPr>
            <w:tcW w:w="1342" w:type="dxa"/>
            <w:tcBorders>
              <w:top w:val="single" w:sz="4" w:space="0" w:color="auto"/>
              <w:left w:val="nil"/>
              <w:bottom w:val="single" w:sz="8" w:space="0" w:color="auto"/>
              <w:right w:val="single" w:sz="8" w:space="0" w:color="auto"/>
            </w:tcBorders>
            <w:shd w:val="clear" w:color="auto" w:fill="auto"/>
            <w:noWrap/>
            <w:vAlign w:val="bottom"/>
          </w:tcPr>
          <w:p w:rsidR="00FE769B" w:rsidRPr="00DD50AA" w:rsidRDefault="00FE769B" w:rsidP="00FE769B">
            <w:pPr>
              <w:jc w:val="right"/>
              <w:rPr>
                <w:b/>
                <w:bCs/>
                <w:sz w:val="18"/>
                <w:szCs w:val="18"/>
              </w:rPr>
            </w:pPr>
            <w:r w:rsidRPr="00D924BD">
              <w:rPr>
                <w:b/>
                <w:bCs/>
                <w:sz w:val="18"/>
                <w:szCs w:val="18"/>
              </w:rPr>
              <w:t>50,5%</w:t>
            </w:r>
          </w:p>
        </w:tc>
      </w:tr>
      <w:tr w:rsidR="00FE769B" w:rsidRPr="0092537A" w:rsidTr="00EC478C">
        <w:trPr>
          <w:trHeight w:val="80"/>
          <w:jc w:val="center"/>
        </w:trPr>
        <w:tc>
          <w:tcPr>
            <w:tcW w:w="4853" w:type="dxa"/>
            <w:tcBorders>
              <w:top w:val="single" w:sz="4" w:space="0" w:color="auto"/>
              <w:left w:val="single" w:sz="8" w:space="0" w:color="auto"/>
              <w:bottom w:val="nil"/>
              <w:right w:val="single" w:sz="8"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-Данъчни приходи</w:t>
            </w:r>
          </w:p>
        </w:tc>
        <w:tc>
          <w:tcPr>
            <w:tcW w:w="1276" w:type="dxa"/>
            <w:tcBorders>
              <w:top w:val="single" w:sz="8" w:space="0" w:color="auto"/>
              <w:left w:val="nil"/>
              <w:right w:val="nil"/>
            </w:tcBorders>
            <w:shd w:val="clear" w:color="auto" w:fill="auto"/>
            <w:noWrap/>
            <w:vAlign w:val="bottom"/>
          </w:tcPr>
          <w:p w:rsidR="00FE769B" w:rsidRPr="00DD50AA" w:rsidRDefault="00FE769B" w:rsidP="00FE769B">
            <w:pPr>
              <w:jc w:val="right"/>
              <w:rPr>
                <w:sz w:val="18"/>
                <w:szCs w:val="18"/>
              </w:rPr>
            </w:pPr>
            <w:r w:rsidRPr="00DD50AA">
              <w:rPr>
                <w:sz w:val="18"/>
                <w:szCs w:val="18"/>
              </w:rPr>
              <w:t>19 221,6</w:t>
            </w:r>
          </w:p>
        </w:tc>
        <w:tc>
          <w:tcPr>
            <w:tcW w:w="1209" w:type="dxa"/>
            <w:tcBorders>
              <w:top w:val="single" w:sz="8" w:space="0" w:color="auto"/>
              <w:left w:val="nil"/>
              <w:right w:val="nil"/>
            </w:tcBorders>
            <w:shd w:val="clear" w:color="auto" w:fill="auto"/>
            <w:noWrap/>
            <w:vAlign w:val="bottom"/>
          </w:tcPr>
          <w:p w:rsidR="00FE769B" w:rsidRPr="00DD50AA" w:rsidRDefault="00FE769B" w:rsidP="00FE769B">
            <w:pPr>
              <w:jc w:val="right"/>
              <w:rPr>
                <w:sz w:val="18"/>
                <w:szCs w:val="18"/>
              </w:rPr>
            </w:pPr>
            <w:r>
              <w:rPr>
                <w:sz w:val="18"/>
                <w:szCs w:val="18"/>
              </w:rPr>
              <w:t>9 970,8</w:t>
            </w:r>
          </w:p>
        </w:tc>
        <w:tc>
          <w:tcPr>
            <w:tcW w:w="1342" w:type="dxa"/>
            <w:tcBorders>
              <w:top w:val="single" w:sz="8" w:space="0" w:color="auto"/>
              <w:left w:val="nil"/>
              <w:right w:val="single" w:sz="8" w:space="0" w:color="auto"/>
            </w:tcBorders>
            <w:shd w:val="clear" w:color="auto" w:fill="auto"/>
            <w:noWrap/>
            <w:vAlign w:val="bottom"/>
          </w:tcPr>
          <w:p w:rsidR="00FE769B" w:rsidRPr="00DD50AA" w:rsidRDefault="00FE769B" w:rsidP="00FE769B">
            <w:pPr>
              <w:jc w:val="right"/>
              <w:rPr>
                <w:sz w:val="18"/>
                <w:szCs w:val="18"/>
              </w:rPr>
            </w:pPr>
            <w:r w:rsidRPr="00D924BD">
              <w:rPr>
                <w:sz w:val="18"/>
                <w:szCs w:val="18"/>
              </w:rPr>
              <w:t>51,9%</w:t>
            </w:r>
          </w:p>
        </w:tc>
      </w:tr>
      <w:tr w:rsidR="00FE769B" w:rsidRPr="0092537A" w:rsidTr="00EC478C">
        <w:trPr>
          <w:trHeight w:val="165"/>
          <w:jc w:val="center"/>
        </w:trPr>
        <w:tc>
          <w:tcPr>
            <w:tcW w:w="4853" w:type="dxa"/>
            <w:tcBorders>
              <w:left w:val="single" w:sz="8" w:space="0" w:color="auto"/>
              <w:right w:val="single" w:sz="8"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Корпоративни данъци</w:t>
            </w:r>
          </w:p>
        </w:tc>
        <w:tc>
          <w:tcPr>
            <w:tcW w:w="1276" w:type="dxa"/>
            <w:tcBorders>
              <w:left w:val="nil"/>
              <w:bottom w:val="nil"/>
              <w:right w:val="nil"/>
            </w:tcBorders>
            <w:shd w:val="clear" w:color="auto" w:fill="auto"/>
            <w:noWrap/>
            <w:vAlign w:val="bottom"/>
          </w:tcPr>
          <w:p w:rsidR="00FE769B" w:rsidRPr="00DD50AA" w:rsidRDefault="00FE769B" w:rsidP="00FE769B">
            <w:pPr>
              <w:jc w:val="right"/>
              <w:rPr>
                <w:sz w:val="18"/>
                <w:szCs w:val="18"/>
              </w:rPr>
            </w:pPr>
            <w:r w:rsidRPr="00DD50AA">
              <w:rPr>
                <w:sz w:val="18"/>
                <w:szCs w:val="18"/>
              </w:rPr>
              <w:t>2 035,9</w:t>
            </w:r>
          </w:p>
        </w:tc>
        <w:tc>
          <w:tcPr>
            <w:tcW w:w="1209" w:type="dxa"/>
            <w:tcBorders>
              <w:left w:val="nil"/>
              <w:bottom w:val="nil"/>
              <w:right w:val="nil"/>
            </w:tcBorders>
            <w:shd w:val="clear" w:color="auto" w:fill="auto"/>
            <w:noWrap/>
            <w:vAlign w:val="bottom"/>
          </w:tcPr>
          <w:p w:rsidR="00FE769B" w:rsidRPr="00DD50AA" w:rsidRDefault="00FE769B" w:rsidP="00FE769B">
            <w:pPr>
              <w:jc w:val="right"/>
              <w:rPr>
                <w:sz w:val="18"/>
                <w:szCs w:val="18"/>
              </w:rPr>
            </w:pPr>
            <w:r w:rsidRPr="00787859">
              <w:rPr>
                <w:sz w:val="18"/>
                <w:szCs w:val="18"/>
              </w:rPr>
              <w:t>1 187,9</w:t>
            </w:r>
          </w:p>
        </w:tc>
        <w:tc>
          <w:tcPr>
            <w:tcW w:w="1342" w:type="dxa"/>
            <w:tcBorders>
              <w:left w:val="nil"/>
              <w:bottom w:val="nil"/>
              <w:right w:val="single" w:sz="8" w:space="0" w:color="auto"/>
            </w:tcBorders>
            <w:shd w:val="clear" w:color="auto" w:fill="auto"/>
            <w:noWrap/>
            <w:vAlign w:val="bottom"/>
          </w:tcPr>
          <w:p w:rsidR="00FE769B" w:rsidRPr="00DD50AA" w:rsidRDefault="00FE769B" w:rsidP="00FE769B">
            <w:pPr>
              <w:jc w:val="right"/>
              <w:rPr>
                <w:sz w:val="18"/>
                <w:szCs w:val="18"/>
              </w:rPr>
            </w:pPr>
            <w:r w:rsidRPr="00787859">
              <w:rPr>
                <w:sz w:val="18"/>
                <w:szCs w:val="18"/>
              </w:rPr>
              <w:t>58,3%</w:t>
            </w:r>
          </w:p>
        </w:tc>
      </w:tr>
      <w:tr w:rsidR="00FE769B" w:rsidRPr="0092537A" w:rsidTr="00EC478C">
        <w:trPr>
          <w:trHeight w:val="165"/>
          <w:jc w:val="center"/>
        </w:trPr>
        <w:tc>
          <w:tcPr>
            <w:tcW w:w="4853" w:type="dxa"/>
            <w:tcBorders>
              <w:left w:val="single" w:sz="8" w:space="0" w:color="auto"/>
              <w:right w:val="single" w:sz="8"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ДДФЛ</w:t>
            </w:r>
          </w:p>
        </w:tc>
        <w:tc>
          <w:tcPr>
            <w:tcW w:w="1276" w:type="dxa"/>
            <w:tcBorders>
              <w:left w:val="nil"/>
              <w:bottom w:val="nil"/>
              <w:right w:val="nil"/>
            </w:tcBorders>
            <w:shd w:val="clear" w:color="auto" w:fill="auto"/>
            <w:noWrap/>
            <w:vAlign w:val="bottom"/>
          </w:tcPr>
          <w:p w:rsidR="00FE769B" w:rsidRPr="00D924BD" w:rsidRDefault="00FE769B" w:rsidP="00FE769B">
            <w:pPr>
              <w:jc w:val="right"/>
              <w:rPr>
                <w:color w:val="00B0F0"/>
                <w:sz w:val="18"/>
                <w:szCs w:val="18"/>
              </w:rPr>
            </w:pPr>
            <w:r w:rsidRPr="00787859">
              <w:rPr>
                <w:sz w:val="18"/>
                <w:szCs w:val="18"/>
              </w:rPr>
              <w:t>3 037,0</w:t>
            </w:r>
          </w:p>
        </w:tc>
        <w:tc>
          <w:tcPr>
            <w:tcW w:w="1209" w:type="dxa"/>
            <w:tcBorders>
              <w:left w:val="nil"/>
              <w:bottom w:val="nil"/>
              <w:right w:val="nil"/>
            </w:tcBorders>
            <w:shd w:val="clear" w:color="auto" w:fill="auto"/>
            <w:noWrap/>
            <w:vAlign w:val="bottom"/>
          </w:tcPr>
          <w:p w:rsidR="00FE769B" w:rsidRPr="00D924BD" w:rsidRDefault="00FE769B" w:rsidP="00FE769B">
            <w:pPr>
              <w:jc w:val="right"/>
              <w:rPr>
                <w:color w:val="00B0F0"/>
                <w:sz w:val="18"/>
                <w:szCs w:val="18"/>
              </w:rPr>
            </w:pPr>
            <w:r w:rsidRPr="00787859">
              <w:rPr>
                <w:sz w:val="18"/>
                <w:szCs w:val="18"/>
              </w:rPr>
              <w:t>1 571,9</w:t>
            </w:r>
          </w:p>
        </w:tc>
        <w:tc>
          <w:tcPr>
            <w:tcW w:w="1342" w:type="dxa"/>
            <w:tcBorders>
              <w:left w:val="nil"/>
              <w:bottom w:val="nil"/>
              <w:right w:val="single" w:sz="8" w:space="0" w:color="auto"/>
            </w:tcBorders>
            <w:shd w:val="clear" w:color="auto" w:fill="auto"/>
            <w:noWrap/>
            <w:vAlign w:val="bottom"/>
          </w:tcPr>
          <w:p w:rsidR="00FE769B" w:rsidRPr="00D924BD" w:rsidRDefault="00FE769B" w:rsidP="00FE769B">
            <w:pPr>
              <w:jc w:val="right"/>
              <w:rPr>
                <w:color w:val="00B0F0"/>
                <w:sz w:val="18"/>
                <w:szCs w:val="18"/>
              </w:rPr>
            </w:pPr>
            <w:r w:rsidRPr="00C219AD">
              <w:rPr>
                <w:sz w:val="18"/>
                <w:szCs w:val="18"/>
              </w:rPr>
              <w:t>51,8%</w:t>
            </w:r>
          </w:p>
        </w:tc>
      </w:tr>
      <w:tr w:rsidR="00FE769B" w:rsidRPr="0092537A" w:rsidTr="00EC478C">
        <w:trPr>
          <w:trHeight w:val="165"/>
          <w:jc w:val="center"/>
        </w:trPr>
        <w:tc>
          <w:tcPr>
            <w:tcW w:w="4853" w:type="dxa"/>
            <w:tcBorders>
              <w:left w:val="single" w:sz="8" w:space="0" w:color="auto"/>
              <w:right w:val="single" w:sz="8"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ДДС</w:t>
            </w:r>
          </w:p>
        </w:tc>
        <w:tc>
          <w:tcPr>
            <w:tcW w:w="1276" w:type="dxa"/>
            <w:tcBorders>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8 783,5</w:t>
            </w:r>
          </w:p>
        </w:tc>
        <w:tc>
          <w:tcPr>
            <w:tcW w:w="1209" w:type="dxa"/>
            <w:tcBorders>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4 730,9</w:t>
            </w:r>
          </w:p>
        </w:tc>
        <w:tc>
          <w:tcPr>
            <w:tcW w:w="1342" w:type="dxa"/>
            <w:tcBorders>
              <w:left w:val="nil"/>
              <w:bottom w:val="nil"/>
              <w:right w:val="single" w:sz="8" w:space="0" w:color="auto"/>
            </w:tcBorders>
            <w:shd w:val="clear" w:color="auto" w:fill="auto"/>
            <w:noWrap/>
            <w:vAlign w:val="bottom"/>
          </w:tcPr>
          <w:p w:rsidR="00FE769B" w:rsidRPr="00787859" w:rsidRDefault="00FE769B" w:rsidP="00FE769B">
            <w:pPr>
              <w:jc w:val="right"/>
              <w:rPr>
                <w:sz w:val="18"/>
                <w:szCs w:val="18"/>
              </w:rPr>
            </w:pPr>
            <w:r>
              <w:rPr>
                <w:sz w:val="18"/>
                <w:szCs w:val="18"/>
              </w:rPr>
              <w:t>53</w:t>
            </w:r>
            <w:r w:rsidRPr="00787859">
              <w:rPr>
                <w:sz w:val="18"/>
                <w:szCs w:val="18"/>
              </w:rPr>
              <w:t>,9%</w:t>
            </w:r>
          </w:p>
        </w:tc>
      </w:tr>
      <w:tr w:rsidR="00FE769B" w:rsidRPr="0092537A" w:rsidTr="00EC478C">
        <w:trPr>
          <w:trHeight w:val="165"/>
          <w:jc w:val="center"/>
        </w:trPr>
        <w:tc>
          <w:tcPr>
            <w:tcW w:w="4853" w:type="dxa"/>
            <w:tcBorders>
              <w:left w:val="single" w:sz="8" w:space="0" w:color="auto"/>
              <w:right w:val="single" w:sz="8"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Акцизи </w:t>
            </w:r>
          </w:p>
        </w:tc>
        <w:tc>
          <w:tcPr>
            <w:tcW w:w="1276" w:type="dxa"/>
            <w:tcBorders>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5 038,0</w:t>
            </w:r>
          </w:p>
        </w:tc>
        <w:tc>
          <w:tcPr>
            <w:tcW w:w="1209" w:type="dxa"/>
            <w:tcBorders>
              <w:left w:val="nil"/>
              <w:bottom w:val="nil"/>
              <w:right w:val="nil"/>
            </w:tcBorders>
            <w:shd w:val="clear" w:color="auto" w:fill="auto"/>
            <w:noWrap/>
            <w:vAlign w:val="bottom"/>
          </w:tcPr>
          <w:p w:rsidR="00FE769B" w:rsidRPr="00223620" w:rsidRDefault="00FE769B" w:rsidP="00FE769B">
            <w:pPr>
              <w:jc w:val="right"/>
              <w:rPr>
                <w:sz w:val="18"/>
                <w:szCs w:val="18"/>
              </w:rPr>
            </w:pPr>
            <w:r w:rsidRPr="00223620">
              <w:rPr>
                <w:sz w:val="18"/>
                <w:szCs w:val="18"/>
              </w:rPr>
              <w:t>2 269,8</w:t>
            </w:r>
          </w:p>
        </w:tc>
        <w:tc>
          <w:tcPr>
            <w:tcW w:w="1342" w:type="dxa"/>
            <w:tcBorders>
              <w:left w:val="nil"/>
              <w:bottom w:val="nil"/>
              <w:right w:val="single" w:sz="8" w:space="0" w:color="auto"/>
            </w:tcBorders>
            <w:shd w:val="clear" w:color="auto" w:fill="auto"/>
            <w:noWrap/>
            <w:vAlign w:val="bottom"/>
          </w:tcPr>
          <w:p w:rsidR="00FE769B" w:rsidRPr="00223620" w:rsidRDefault="00FE769B" w:rsidP="00FE769B">
            <w:pPr>
              <w:jc w:val="right"/>
              <w:rPr>
                <w:sz w:val="18"/>
                <w:szCs w:val="18"/>
              </w:rPr>
            </w:pPr>
            <w:r w:rsidRPr="00223620">
              <w:rPr>
                <w:sz w:val="18"/>
                <w:szCs w:val="18"/>
              </w:rPr>
              <w:t>45,1%</w:t>
            </w:r>
          </w:p>
        </w:tc>
      </w:tr>
      <w:tr w:rsidR="00FE769B" w:rsidRPr="0092537A" w:rsidTr="00EC478C">
        <w:trPr>
          <w:trHeight w:val="165"/>
          <w:jc w:val="center"/>
        </w:trPr>
        <w:tc>
          <w:tcPr>
            <w:tcW w:w="4853" w:type="dxa"/>
            <w:tcBorders>
              <w:left w:val="single" w:sz="8" w:space="0" w:color="auto"/>
              <w:right w:val="single" w:sz="8"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30,9</w:t>
            </w:r>
          </w:p>
        </w:tc>
        <w:tc>
          <w:tcPr>
            <w:tcW w:w="1209" w:type="dxa"/>
            <w:tcBorders>
              <w:left w:val="nil"/>
              <w:bottom w:val="nil"/>
              <w:right w:val="nil"/>
            </w:tcBorders>
            <w:shd w:val="clear" w:color="auto" w:fill="auto"/>
            <w:noWrap/>
            <w:vAlign w:val="bottom"/>
          </w:tcPr>
          <w:p w:rsidR="00FE769B" w:rsidRPr="00223620" w:rsidRDefault="00FE769B" w:rsidP="00FE769B">
            <w:pPr>
              <w:jc w:val="right"/>
              <w:rPr>
                <w:sz w:val="18"/>
                <w:szCs w:val="18"/>
              </w:rPr>
            </w:pPr>
            <w:r w:rsidRPr="00223620">
              <w:rPr>
                <w:sz w:val="18"/>
                <w:szCs w:val="18"/>
              </w:rPr>
              <w:t>16,4</w:t>
            </w:r>
          </w:p>
        </w:tc>
        <w:tc>
          <w:tcPr>
            <w:tcW w:w="1342" w:type="dxa"/>
            <w:tcBorders>
              <w:left w:val="nil"/>
              <w:bottom w:val="nil"/>
              <w:right w:val="single" w:sz="8" w:space="0" w:color="auto"/>
            </w:tcBorders>
            <w:shd w:val="clear" w:color="auto" w:fill="auto"/>
            <w:noWrap/>
            <w:vAlign w:val="bottom"/>
          </w:tcPr>
          <w:p w:rsidR="00FE769B" w:rsidRPr="00223620" w:rsidRDefault="00FE769B" w:rsidP="00FE769B">
            <w:pPr>
              <w:jc w:val="right"/>
              <w:rPr>
                <w:sz w:val="18"/>
                <w:szCs w:val="18"/>
              </w:rPr>
            </w:pPr>
            <w:r w:rsidRPr="00223620">
              <w:rPr>
                <w:sz w:val="18"/>
                <w:szCs w:val="18"/>
              </w:rPr>
              <w:t>52,9%</w:t>
            </w:r>
          </w:p>
        </w:tc>
      </w:tr>
      <w:tr w:rsidR="00FE769B" w:rsidRPr="0092537A" w:rsidTr="00EC478C">
        <w:trPr>
          <w:trHeight w:val="165"/>
          <w:jc w:val="center"/>
        </w:trPr>
        <w:tc>
          <w:tcPr>
            <w:tcW w:w="4853" w:type="dxa"/>
            <w:tcBorders>
              <w:left w:val="single" w:sz="8" w:space="0" w:color="auto"/>
              <w:right w:val="single" w:sz="8"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Мита и митнически такси</w:t>
            </w:r>
          </w:p>
        </w:tc>
        <w:tc>
          <w:tcPr>
            <w:tcW w:w="1276" w:type="dxa"/>
            <w:tcBorders>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166,0</w:t>
            </w:r>
          </w:p>
        </w:tc>
        <w:tc>
          <w:tcPr>
            <w:tcW w:w="1209" w:type="dxa"/>
            <w:tcBorders>
              <w:left w:val="nil"/>
              <w:bottom w:val="nil"/>
              <w:right w:val="nil"/>
            </w:tcBorders>
            <w:shd w:val="clear" w:color="auto" w:fill="auto"/>
            <w:noWrap/>
            <w:vAlign w:val="bottom"/>
          </w:tcPr>
          <w:p w:rsidR="00FE769B" w:rsidRPr="00844113" w:rsidRDefault="00FE769B" w:rsidP="00FE769B">
            <w:pPr>
              <w:jc w:val="right"/>
              <w:rPr>
                <w:sz w:val="18"/>
                <w:szCs w:val="18"/>
              </w:rPr>
            </w:pPr>
            <w:r w:rsidRPr="00844113">
              <w:rPr>
                <w:sz w:val="18"/>
                <w:szCs w:val="18"/>
              </w:rPr>
              <w:t>93,2</w:t>
            </w:r>
          </w:p>
        </w:tc>
        <w:tc>
          <w:tcPr>
            <w:tcW w:w="1342" w:type="dxa"/>
            <w:tcBorders>
              <w:left w:val="nil"/>
              <w:bottom w:val="nil"/>
              <w:right w:val="single" w:sz="8" w:space="0" w:color="auto"/>
            </w:tcBorders>
            <w:shd w:val="clear" w:color="auto" w:fill="auto"/>
            <w:noWrap/>
            <w:vAlign w:val="bottom"/>
          </w:tcPr>
          <w:p w:rsidR="00FE769B" w:rsidRPr="00844113" w:rsidRDefault="00FE769B" w:rsidP="00FE769B">
            <w:pPr>
              <w:jc w:val="right"/>
              <w:rPr>
                <w:sz w:val="18"/>
                <w:szCs w:val="18"/>
              </w:rPr>
            </w:pPr>
            <w:r w:rsidRPr="00844113">
              <w:rPr>
                <w:sz w:val="18"/>
                <w:szCs w:val="18"/>
              </w:rPr>
              <w:t>56,1%</w:t>
            </w:r>
          </w:p>
        </w:tc>
      </w:tr>
      <w:tr w:rsidR="00FE769B" w:rsidRPr="0092537A" w:rsidTr="00EC478C">
        <w:trPr>
          <w:trHeight w:val="165"/>
          <w:jc w:val="center"/>
        </w:trPr>
        <w:tc>
          <w:tcPr>
            <w:tcW w:w="4853" w:type="dxa"/>
            <w:tcBorders>
              <w:left w:val="single" w:sz="8" w:space="0" w:color="auto"/>
              <w:right w:val="single" w:sz="8"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Други данъци</w:t>
            </w:r>
          </w:p>
        </w:tc>
        <w:tc>
          <w:tcPr>
            <w:tcW w:w="1276" w:type="dxa"/>
            <w:tcBorders>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130,3</w:t>
            </w:r>
          </w:p>
        </w:tc>
        <w:tc>
          <w:tcPr>
            <w:tcW w:w="1209" w:type="dxa"/>
            <w:tcBorders>
              <w:left w:val="nil"/>
              <w:bottom w:val="nil"/>
              <w:right w:val="nil"/>
            </w:tcBorders>
            <w:shd w:val="clear" w:color="auto" w:fill="auto"/>
            <w:noWrap/>
            <w:vAlign w:val="bottom"/>
          </w:tcPr>
          <w:p w:rsidR="00FE769B" w:rsidRDefault="00FE769B" w:rsidP="00FE769B">
            <w:pPr>
              <w:jc w:val="right"/>
              <w:rPr>
                <w:sz w:val="18"/>
                <w:szCs w:val="18"/>
              </w:rPr>
            </w:pPr>
            <w:r>
              <w:rPr>
                <w:sz w:val="18"/>
                <w:szCs w:val="18"/>
              </w:rPr>
              <w:t>100,8</w:t>
            </w:r>
          </w:p>
        </w:tc>
        <w:tc>
          <w:tcPr>
            <w:tcW w:w="1342" w:type="dxa"/>
            <w:tcBorders>
              <w:left w:val="nil"/>
              <w:bottom w:val="nil"/>
              <w:right w:val="single" w:sz="8" w:space="0" w:color="auto"/>
            </w:tcBorders>
            <w:shd w:val="clear" w:color="auto" w:fill="auto"/>
            <w:noWrap/>
            <w:vAlign w:val="bottom"/>
          </w:tcPr>
          <w:p w:rsidR="00FE769B" w:rsidRDefault="00FE769B" w:rsidP="00FE769B">
            <w:pPr>
              <w:jc w:val="right"/>
              <w:rPr>
                <w:sz w:val="18"/>
                <w:szCs w:val="18"/>
              </w:rPr>
            </w:pPr>
            <w:r>
              <w:rPr>
                <w:sz w:val="18"/>
                <w:szCs w:val="18"/>
              </w:rPr>
              <w:t>77,3%</w:t>
            </w:r>
          </w:p>
        </w:tc>
      </w:tr>
      <w:tr w:rsidR="00FE769B" w:rsidRPr="0092537A" w:rsidTr="00EC478C">
        <w:trPr>
          <w:trHeight w:val="165"/>
          <w:jc w:val="center"/>
        </w:trPr>
        <w:tc>
          <w:tcPr>
            <w:tcW w:w="4853" w:type="dxa"/>
            <w:tcBorders>
              <w:left w:val="single" w:sz="8" w:space="0" w:color="auto"/>
              <w:right w:val="single" w:sz="8"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-Неданъчни приходи</w:t>
            </w:r>
          </w:p>
        </w:tc>
        <w:tc>
          <w:tcPr>
            <w:tcW w:w="1276" w:type="dxa"/>
            <w:tcBorders>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2 710,4</w:t>
            </w:r>
          </w:p>
        </w:tc>
        <w:tc>
          <w:tcPr>
            <w:tcW w:w="1209" w:type="dxa"/>
            <w:tcBorders>
              <w:left w:val="nil"/>
              <w:bottom w:val="nil"/>
              <w:right w:val="nil"/>
            </w:tcBorders>
            <w:shd w:val="clear" w:color="auto" w:fill="auto"/>
            <w:noWrap/>
            <w:vAlign w:val="bottom"/>
          </w:tcPr>
          <w:p w:rsidR="00FE769B" w:rsidRDefault="00FE769B" w:rsidP="00FE769B">
            <w:pPr>
              <w:jc w:val="right"/>
              <w:rPr>
                <w:sz w:val="18"/>
                <w:szCs w:val="18"/>
              </w:rPr>
            </w:pPr>
            <w:r>
              <w:rPr>
                <w:sz w:val="18"/>
                <w:szCs w:val="18"/>
              </w:rPr>
              <w:t>1 105,7</w:t>
            </w:r>
          </w:p>
        </w:tc>
        <w:tc>
          <w:tcPr>
            <w:tcW w:w="1342" w:type="dxa"/>
            <w:tcBorders>
              <w:left w:val="nil"/>
              <w:bottom w:val="nil"/>
              <w:right w:val="single" w:sz="8" w:space="0" w:color="auto"/>
            </w:tcBorders>
            <w:shd w:val="clear" w:color="auto" w:fill="auto"/>
            <w:noWrap/>
            <w:vAlign w:val="bottom"/>
          </w:tcPr>
          <w:p w:rsidR="00FE769B" w:rsidRDefault="00FE769B" w:rsidP="00FE769B">
            <w:pPr>
              <w:jc w:val="right"/>
              <w:rPr>
                <w:sz w:val="18"/>
                <w:szCs w:val="18"/>
              </w:rPr>
            </w:pPr>
            <w:r>
              <w:rPr>
                <w:sz w:val="18"/>
                <w:szCs w:val="18"/>
              </w:rPr>
              <w:t>40,8%</w:t>
            </w:r>
          </w:p>
        </w:tc>
      </w:tr>
      <w:tr w:rsidR="00FE769B" w:rsidRPr="0092537A" w:rsidTr="00EC478C">
        <w:trPr>
          <w:trHeight w:val="165"/>
          <w:jc w:val="center"/>
        </w:trPr>
        <w:tc>
          <w:tcPr>
            <w:tcW w:w="4853" w:type="dxa"/>
            <w:tcBorders>
              <w:left w:val="single" w:sz="8" w:space="0" w:color="auto"/>
              <w:right w:val="single" w:sz="8"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-Помощи</w:t>
            </w:r>
          </w:p>
        </w:tc>
        <w:tc>
          <w:tcPr>
            <w:tcW w:w="1276" w:type="dxa"/>
            <w:tcBorders>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0,</w:t>
            </w:r>
            <w:proofErr w:type="spellStart"/>
            <w:r w:rsidRPr="00787859">
              <w:rPr>
                <w:sz w:val="18"/>
                <w:szCs w:val="18"/>
              </w:rPr>
              <w:t>0</w:t>
            </w:r>
            <w:proofErr w:type="spellEnd"/>
          </w:p>
        </w:tc>
        <w:tc>
          <w:tcPr>
            <w:tcW w:w="1209" w:type="dxa"/>
            <w:tcBorders>
              <w:left w:val="nil"/>
              <w:bottom w:val="nil"/>
              <w:right w:val="nil"/>
            </w:tcBorders>
            <w:shd w:val="clear" w:color="auto" w:fill="auto"/>
            <w:noWrap/>
            <w:vAlign w:val="bottom"/>
          </w:tcPr>
          <w:p w:rsidR="00FE769B" w:rsidRDefault="00FE769B" w:rsidP="00FE769B">
            <w:pPr>
              <w:jc w:val="right"/>
              <w:rPr>
                <w:sz w:val="18"/>
                <w:szCs w:val="18"/>
              </w:rPr>
            </w:pPr>
            <w:r>
              <w:rPr>
                <w:sz w:val="18"/>
                <w:szCs w:val="18"/>
              </w:rPr>
              <w:t>3,4</w:t>
            </w:r>
          </w:p>
        </w:tc>
        <w:tc>
          <w:tcPr>
            <w:tcW w:w="1342" w:type="dxa"/>
            <w:tcBorders>
              <w:left w:val="nil"/>
              <w:bottom w:val="nil"/>
              <w:right w:val="single" w:sz="8" w:space="0" w:color="auto"/>
            </w:tcBorders>
            <w:shd w:val="clear" w:color="auto" w:fill="auto"/>
            <w:noWrap/>
            <w:vAlign w:val="bottom"/>
          </w:tcPr>
          <w:p w:rsidR="00FE769B" w:rsidRDefault="00FE769B" w:rsidP="00FE769B">
            <w:pPr>
              <w:jc w:val="center"/>
              <w:rPr>
                <w:sz w:val="18"/>
                <w:szCs w:val="18"/>
              </w:rPr>
            </w:pPr>
          </w:p>
        </w:tc>
      </w:tr>
      <w:tr w:rsidR="00FE769B" w:rsidRPr="0092537A" w:rsidTr="00EC478C">
        <w:trPr>
          <w:trHeight w:val="199"/>
          <w:jc w:val="center"/>
        </w:trPr>
        <w:tc>
          <w:tcPr>
            <w:tcW w:w="4853" w:type="dxa"/>
            <w:tcBorders>
              <w:top w:val="single" w:sz="4" w:space="0" w:color="auto"/>
              <w:left w:val="single" w:sz="4" w:space="0" w:color="auto"/>
              <w:bottom w:val="nil"/>
              <w:right w:val="single" w:sz="4" w:space="0" w:color="auto"/>
            </w:tcBorders>
            <w:shd w:val="clear" w:color="auto" w:fill="auto"/>
            <w:noWrap/>
            <w:vAlign w:val="bottom"/>
          </w:tcPr>
          <w:p w:rsidR="00FE769B" w:rsidRPr="00DD50AA" w:rsidRDefault="00FE769B" w:rsidP="00FE769B">
            <w:pPr>
              <w:rPr>
                <w:b/>
                <w:bCs/>
                <w:sz w:val="18"/>
                <w:szCs w:val="18"/>
              </w:rPr>
            </w:pPr>
            <w:r w:rsidRPr="00DD50AA">
              <w:rPr>
                <w:b/>
                <w:bCs/>
                <w:sz w:val="18"/>
                <w:szCs w:val="18"/>
              </w:rPr>
              <w:t xml:space="preserve"> Разходи,трансфери и вноска в бюджета на ЕС</w:t>
            </w:r>
          </w:p>
        </w:tc>
        <w:tc>
          <w:tcPr>
            <w:tcW w:w="1276" w:type="dxa"/>
            <w:tcBorders>
              <w:top w:val="single" w:sz="4" w:space="0" w:color="auto"/>
              <w:left w:val="nil"/>
              <w:bottom w:val="nil"/>
              <w:right w:val="nil"/>
            </w:tcBorders>
            <w:shd w:val="clear" w:color="auto" w:fill="auto"/>
            <w:noWrap/>
            <w:vAlign w:val="bottom"/>
          </w:tcPr>
          <w:p w:rsidR="00FE769B" w:rsidRPr="00787859" w:rsidRDefault="00FE769B" w:rsidP="00FE769B">
            <w:pPr>
              <w:jc w:val="right"/>
              <w:rPr>
                <w:b/>
                <w:bCs/>
                <w:sz w:val="18"/>
                <w:szCs w:val="18"/>
              </w:rPr>
            </w:pPr>
            <w:r w:rsidRPr="00787859">
              <w:rPr>
                <w:b/>
                <w:bCs/>
                <w:sz w:val="18"/>
                <w:szCs w:val="18"/>
              </w:rPr>
              <w:t>22 796,2</w:t>
            </w:r>
          </w:p>
        </w:tc>
        <w:tc>
          <w:tcPr>
            <w:tcW w:w="1209" w:type="dxa"/>
            <w:tcBorders>
              <w:top w:val="single" w:sz="4" w:space="0" w:color="auto"/>
              <w:left w:val="nil"/>
              <w:bottom w:val="nil"/>
              <w:right w:val="nil"/>
            </w:tcBorders>
            <w:shd w:val="clear" w:color="auto" w:fill="auto"/>
            <w:noWrap/>
            <w:vAlign w:val="bottom"/>
          </w:tcPr>
          <w:p w:rsidR="00FE769B" w:rsidRDefault="00FE769B" w:rsidP="00FE769B">
            <w:pPr>
              <w:jc w:val="right"/>
              <w:rPr>
                <w:b/>
                <w:bCs/>
                <w:sz w:val="18"/>
                <w:szCs w:val="18"/>
              </w:rPr>
            </w:pPr>
            <w:r>
              <w:rPr>
                <w:b/>
                <w:bCs/>
                <w:sz w:val="18"/>
                <w:szCs w:val="18"/>
              </w:rPr>
              <w:t>9 814,6</w:t>
            </w:r>
          </w:p>
        </w:tc>
        <w:tc>
          <w:tcPr>
            <w:tcW w:w="1342" w:type="dxa"/>
            <w:tcBorders>
              <w:top w:val="single" w:sz="4" w:space="0" w:color="auto"/>
              <w:left w:val="nil"/>
              <w:bottom w:val="nil"/>
              <w:right w:val="single" w:sz="8" w:space="0" w:color="auto"/>
            </w:tcBorders>
            <w:shd w:val="clear" w:color="auto" w:fill="auto"/>
            <w:noWrap/>
            <w:vAlign w:val="bottom"/>
          </w:tcPr>
          <w:p w:rsidR="00FE769B" w:rsidRDefault="00FE769B" w:rsidP="00FE769B">
            <w:pPr>
              <w:jc w:val="right"/>
              <w:rPr>
                <w:b/>
                <w:bCs/>
                <w:sz w:val="18"/>
                <w:szCs w:val="18"/>
              </w:rPr>
            </w:pPr>
            <w:r>
              <w:rPr>
                <w:b/>
                <w:bCs/>
                <w:sz w:val="18"/>
                <w:szCs w:val="18"/>
              </w:rPr>
              <w:t>43,1%</w:t>
            </w:r>
          </w:p>
        </w:tc>
      </w:tr>
      <w:tr w:rsidR="00FE769B" w:rsidRPr="0092537A" w:rsidTr="00EC478C">
        <w:trPr>
          <w:trHeight w:val="101"/>
          <w:jc w:val="center"/>
        </w:trPr>
        <w:tc>
          <w:tcPr>
            <w:tcW w:w="4853" w:type="dxa"/>
            <w:tcBorders>
              <w:top w:val="nil"/>
              <w:left w:val="single" w:sz="4" w:space="0" w:color="auto"/>
              <w:bottom w:val="nil"/>
              <w:right w:val="single" w:sz="4" w:space="0" w:color="auto"/>
            </w:tcBorders>
            <w:shd w:val="clear" w:color="auto" w:fill="auto"/>
            <w:noWrap/>
            <w:vAlign w:val="bottom"/>
          </w:tcPr>
          <w:p w:rsidR="00FE769B" w:rsidRPr="00DD50AA" w:rsidRDefault="00FE769B" w:rsidP="00FE769B">
            <w:pPr>
              <w:rPr>
                <w:b/>
                <w:i/>
                <w:sz w:val="18"/>
                <w:szCs w:val="18"/>
              </w:rPr>
            </w:pPr>
            <w:r w:rsidRPr="00DD50AA">
              <w:rPr>
                <w:b/>
                <w:i/>
                <w:sz w:val="18"/>
                <w:szCs w:val="18"/>
              </w:rPr>
              <w:t xml:space="preserve">   -Нелихвени разходи</w:t>
            </w:r>
          </w:p>
        </w:tc>
        <w:tc>
          <w:tcPr>
            <w:tcW w:w="1276" w:type="dxa"/>
            <w:tcBorders>
              <w:top w:val="nil"/>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10 228,1</w:t>
            </w:r>
          </w:p>
        </w:tc>
        <w:tc>
          <w:tcPr>
            <w:tcW w:w="1209" w:type="dxa"/>
            <w:tcBorders>
              <w:top w:val="nil"/>
              <w:left w:val="nil"/>
              <w:bottom w:val="nil"/>
              <w:right w:val="nil"/>
            </w:tcBorders>
            <w:shd w:val="clear" w:color="auto" w:fill="auto"/>
            <w:noWrap/>
            <w:vAlign w:val="bottom"/>
          </w:tcPr>
          <w:p w:rsidR="00FE769B" w:rsidRDefault="00FE769B" w:rsidP="00FE769B">
            <w:pPr>
              <w:jc w:val="right"/>
              <w:rPr>
                <w:sz w:val="18"/>
                <w:szCs w:val="18"/>
              </w:rPr>
            </w:pPr>
            <w:r>
              <w:rPr>
                <w:sz w:val="18"/>
                <w:szCs w:val="18"/>
              </w:rPr>
              <w:t>3 814,5</w:t>
            </w:r>
          </w:p>
        </w:tc>
        <w:tc>
          <w:tcPr>
            <w:tcW w:w="1342" w:type="dxa"/>
            <w:tcBorders>
              <w:top w:val="nil"/>
              <w:left w:val="nil"/>
              <w:bottom w:val="nil"/>
              <w:right w:val="single" w:sz="8" w:space="0" w:color="auto"/>
            </w:tcBorders>
            <w:shd w:val="clear" w:color="auto" w:fill="auto"/>
            <w:noWrap/>
            <w:vAlign w:val="bottom"/>
          </w:tcPr>
          <w:p w:rsidR="00FE769B" w:rsidRDefault="00FE769B" w:rsidP="00FE769B">
            <w:pPr>
              <w:jc w:val="right"/>
              <w:rPr>
                <w:sz w:val="18"/>
                <w:szCs w:val="18"/>
              </w:rPr>
            </w:pPr>
            <w:r>
              <w:rPr>
                <w:sz w:val="18"/>
                <w:szCs w:val="18"/>
              </w:rPr>
              <w:t>37,3%</w:t>
            </w:r>
          </w:p>
        </w:tc>
      </w:tr>
      <w:tr w:rsidR="00FE769B" w:rsidRPr="0092537A" w:rsidTr="00EC478C">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Текущи </w:t>
            </w:r>
          </w:p>
        </w:tc>
        <w:tc>
          <w:tcPr>
            <w:tcW w:w="1276" w:type="dxa"/>
            <w:tcBorders>
              <w:top w:val="nil"/>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8 130,9</w:t>
            </w:r>
          </w:p>
        </w:tc>
        <w:tc>
          <w:tcPr>
            <w:tcW w:w="1209" w:type="dxa"/>
            <w:tcBorders>
              <w:top w:val="nil"/>
              <w:left w:val="nil"/>
              <w:bottom w:val="nil"/>
              <w:right w:val="nil"/>
            </w:tcBorders>
            <w:shd w:val="clear" w:color="auto" w:fill="auto"/>
            <w:noWrap/>
            <w:vAlign w:val="bottom"/>
          </w:tcPr>
          <w:p w:rsidR="00FE769B" w:rsidRDefault="00FE769B" w:rsidP="00FE769B">
            <w:pPr>
              <w:jc w:val="right"/>
              <w:rPr>
                <w:sz w:val="18"/>
                <w:szCs w:val="18"/>
              </w:rPr>
            </w:pPr>
            <w:r>
              <w:rPr>
                <w:sz w:val="18"/>
                <w:szCs w:val="18"/>
              </w:rPr>
              <w:t>3 637,1</w:t>
            </w:r>
          </w:p>
        </w:tc>
        <w:tc>
          <w:tcPr>
            <w:tcW w:w="1342" w:type="dxa"/>
            <w:tcBorders>
              <w:top w:val="nil"/>
              <w:left w:val="nil"/>
              <w:bottom w:val="nil"/>
              <w:right w:val="single" w:sz="8" w:space="0" w:color="auto"/>
            </w:tcBorders>
            <w:shd w:val="clear" w:color="auto" w:fill="auto"/>
            <w:noWrap/>
            <w:vAlign w:val="bottom"/>
          </w:tcPr>
          <w:p w:rsidR="00FE769B" w:rsidRDefault="00FE769B" w:rsidP="00FE769B">
            <w:pPr>
              <w:jc w:val="right"/>
              <w:rPr>
                <w:sz w:val="18"/>
                <w:szCs w:val="18"/>
              </w:rPr>
            </w:pPr>
            <w:r>
              <w:rPr>
                <w:sz w:val="18"/>
                <w:szCs w:val="18"/>
              </w:rPr>
              <w:t>44,7%</w:t>
            </w:r>
          </w:p>
        </w:tc>
      </w:tr>
      <w:tr w:rsidR="00FE769B" w:rsidRPr="0092537A" w:rsidTr="00EC478C">
        <w:trPr>
          <w:trHeight w:val="179"/>
          <w:jc w:val="center"/>
        </w:trPr>
        <w:tc>
          <w:tcPr>
            <w:tcW w:w="4853" w:type="dxa"/>
            <w:tcBorders>
              <w:top w:val="nil"/>
              <w:left w:val="single" w:sz="4" w:space="0" w:color="auto"/>
              <w:bottom w:val="nil"/>
              <w:right w:val="single" w:sz="4"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Капиталови</w:t>
            </w:r>
          </w:p>
        </w:tc>
        <w:tc>
          <w:tcPr>
            <w:tcW w:w="1276" w:type="dxa"/>
            <w:tcBorders>
              <w:top w:val="nil"/>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2 097,2</w:t>
            </w:r>
          </w:p>
        </w:tc>
        <w:tc>
          <w:tcPr>
            <w:tcW w:w="1209" w:type="dxa"/>
            <w:tcBorders>
              <w:top w:val="nil"/>
              <w:left w:val="nil"/>
              <w:bottom w:val="nil"/>
              <w:right w:val="nil"/>
            </w:tcBorders>
            <w:shd w:val="clear" w:color="auto" w:fill="auto"/>
            <w:noWrap/>
            <w:vAlign w:val="bottom"/>
          </w:tcPr>
          <w:p w:rsidR="00FE769B" w:rsidRPr="003547B7" w:rsidRDefault="00FE769B" w:rsidP="00FE769B">
            <w:pPr>
              <w:jc w:val="right"/>
              <w:rPr>
                <w:sz w:val="18"/>
                <w:szCs w:val="18"/>
              </w:rPr>
            </w:pPr>
            <w:r w:rsidRPr="003547B7">
              <w:rPr>
                <w:sz w:val="18"/>
                <w:szCs w:val="18"/>
              </w:rPr>
              <w:t>177,3</w:t>
            </w:r>
          </w:p>
        </w:tc>
        <w:tc>
          <w:tcPr>
            <w:tcW w:w="1342" w:type="dxa"/>
            <w:tcBorders>
              <w:top w:val="nil"/>
              <w:left w:val="nil"/>
              <w:bottom w:val="nil"/>
              <w:right w:val="single" w:sz="8" w:space="0" w:color="auto"/>
            </w:tcBorders>
            <w:shd w:val="clear" w:color="auto" w:fill="auto"/>
            <w:noWrap/>
            <w:vAlign w:val="bottom"/>
          </w:tcPr>
          <w:p w:rsidR="00FE769B" w:rsidRDefault="00FE769B" w:rsidP="00FE769B">
            <w:pPr>
              <w:jc w:val="right"/>
              <w:rPr>
                <w:sz w:val="18"/>
                <w:szCs w:val="18"/>
              </w:rPr>
            </w:pPr>
            <w:r>
              <w:rPr>
                <w:sz w:val="18"/>
                <w:szCs w:val="18"/>
              </w:rPr>
              <w:t>8,5%</w:t>
            </w:r>
          </w:p>
        </w:tc>
      </w:tr>
      <w:tr w:rsidR="00FE769B" w:rsidRPr="0092537A" w:rsidTr="00EC478C">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FE769B" w:rsidRPr="00DD50AA" w:rsidRDefault="00FE769B" w:rsidP="00FE769B">
            <w:pPr>
              <w:rPr>
                <w:b/>
                <w:i/>
                <w:sz w:val="18"/>
                <w:szCs w:val="18"/>
              </w:rPr>
            </w:pPr>
            <w:r w:rsidRPr="00DD50AA">
              <w:rPr>
                <w:b/>
                <w:i/>
                <w:sz w:val="18"/>
                <w:szCs w:val="18"/>
              </w:rPr>
              <w:t xml:space="preserve">   -Лихви</w:t>
            </w:r>
          </w:p>
        </w:tc>
        <w:tc>
          <w:tcPr>
            <w:tcW w:w="1276" w:type="dxa"/>
            <w:tcBorders>
              <w:top w:val="nil"/>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792,9</w:t>
            </w:r>
          </w:p>
        </w:tc>
        <w:tc>
          <w:tcPr>
            <w:tcW w:w="1209" w:type="dxa"/>
            <w:tcBorders>
              <w:top w:val="nil"/>
              <w:left w:val="nil"/>
              <w:bottom w:val="nil"/>
              <w:right w:val="nil"/>
            </w:tcBorders>
            <w:shd w:val="clear" w:color="auto" w:fill="auto"/>
            <w:noWrap/>
            <w:vAlign w:val="bottom"/>
          </w:tcPr>
          <w:p w:rsidR="00FE769B" w:rsidRDefault="00FE769B" w:rsidP="00FE769B">
            <w:pPr>
              <w:jc w:val="right"/>
              <w:rPr>
                <w:sz w:val="18"/>
                <w:szCs w:val="18"/>
              </w:rPr>
            </w:pPr>
            <w:r>
              <w:rPr>
                <w:sz w:val="18"/>
                <w:szCs w:val="18"/>
              </w:rPr>
              <w:t>415,3</w:t>
            </w:r>
          </w:p>
        </w:tc>
        <w:tc>
          <w:tcPr>
            <w:tcW w:w="1342" w:type="dxa"/>
            <w:tcBorders>
              <w:top w:val="nil"/>
              <w:left w:val="nil"/>
              <w:bottom w:val="nil"/>
              <w:right w:val="single" w:sz="8" w:space="0" w:color="auto"/>
            </w:tcBorders>
            <w:shd w:val="clear" w:color="auto" w:fill="auto"/>
            <w:noWrap/>
            <w:vAlign w:val="bottom"/>
          </w:tcPr>
          <w:p w:rsidR="00FE769B" w:rsidRDefault="00FE769B" w:rsidP="00FE769B">
            <w:pPr>
              <w:jc w:val="right"/>
              <w:rPr>
                <w:sz w:val="18"/>
                <w:szCs w:val="18"/>
              </w:rPr>
            </w:pPr>
            <w:r>
              <w:rPr>
                <w:sz w:val="18"/>
                <w:szCs w:val="18"/>
              </w:rPr>
              <w:t>52,4%</w:t>
            </w:r>
          </w:p>
        </w:tc>
      </w:tr>
      <w:tr w:rsidR="00FE769B" w:rsidRPr="0092537A" w:rsidTr="00EC478C">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542,2</w:t>
            </w:r>
          </w:p>
        </w:tc>
        <w:tc>
          <w:tcPr>
            <w:tcW w:w="1209" w:type="dxa"/>
            <w:tcBorders>
              <w:top w:val="nil"/>
              <w:left w:val="nil"/>
              <w:bottom w:val="nil"/>
              <w:right w:val="nil"/>
            </w:tcBorders>
            <w:shd w:val="clear" w:color="auto" w:fill="auto"/>
            <w:noWrap/>
            <w:vAlign w:val="bottom"/>
          </w:tcPr>
          <w:p w:rsidR="00FE769B" w:rsidRDefault="00FE769B" w:rsidP="00FE769B">
            <w:pPr>
              <w:jc w:val="right"/>
              <w:rPr>
                <w:sz w:val="18"/>
                <w:szCs w:val="18"/>
              </w:rPr>
            </w:pPr>
            <w:r>
              <w:rPr>
                <w:sz w:val="18"/>
                <w:szCs w:val="18"/>
              </w:rPr>
              <w:t>286,1</w:t>
            </w:r>
          </w:p>
        </w:tc>
        <w:tc>
          <w:tcPr>
            <w:tcW w:w="1342" w:type="dxa"/>
            <w:tcBorders>
              <w:top w:val="nil"/>
              <w:left w:val="nil"/>
              <w:bottom w:val="nil"/>
              <w:right w:val="single" w:sz="8" w:space="0" w:color="auto"/>
            </w:tcBorders>
            <w:shd w:val="clear" w:color="auto" w:fill="auto"/>
            <w:noWrap/>
            <w:vAlign w:val="bottom"/>
          </w:tcPr>
          <w:p w:rsidR="00FE769B" w:rsidRDefault="00FE769B" w:rsidP="00FE769B">
            <w:pPr>
              <w:jc w:val="right"/>
              <w:rPr>
                <w:sz w:val="18"/>
                <w:szCs w:val="18"/>
              </w:rPr>
            </w:pPr>
            <w:r>
              <w:rPr>
                <w:sz w:val="18"/>
                <w:szCs w:val="18"/>
              </w:rPr>
              <w:t>52,8%</w:t>
            </w:r>
          </w:p>
        </w:tc>
      </w:tr>
      <w:tr w:rsidR="00FE769B" w:rsidRPr="0092537A" w:rsidTr="00EC478C">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FE769B" w:rsidRPr="00DD50AA" w:rsidRDefault="00FE769B" w:rsidP="00FE769B">
            <w:pPr>
              <w:rPr>
                <w:sz w:val="18"/>
                <w:szCs w:val="18"/>
              </w:rPr>
            </w:pPr>
            <w:r w:rsidRPr="00DD50AA">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250,7</w:t>
            </w:r>
          </w:p>
        </w:tc>
        <w:tc>
          <w:tcPr>
            <w:tcW w:w="1209" w:type="dxa"/>
            <w:tcBorders>
              <w:top w:val="nil"/>
              <w:left w:val="nil"/>
              <w:bottom w:val="nil"/>
              <w:right w:val="nil"/>
            </w:tcBorders>
            <w:shd w:val="clear" w:color="auto" w:fill="auto"/>
            <w:noWrap/>
            <w:vAlign w:val="bottom"/>
          </w:tcPr>
          <w:p w:rsidR="00FE769B" w:rsidRDefault="00FE769B" w:rsidP="00FE769B">
            <w:pPr>
              <w:jc w:val="right"/>
              <w:rPr>
                <w:sz w:val="18"/>
                <w:szCs w:val="18"/>
              </w:rPr>
            </w:pPr>
            <w:r>
              <w:rPr>
                <w:sz w:val="18"/>
                <w:szCs w:val="18"/>
              </w:rPr>
              <w:t>129,2</w:t>
            </w:r>
          </w:p>
        </w:tc>
        <w:tc>
          <w:tcPr>
            <w:tcW w:w="1342" w:type="dxa"/>
            <w:tcBorders>
              <w:top w:val="nil"/>
              <w:left w:val="nil"/>
              <w:bottom w:val="nil"/>
              <w:right w:val="single" w:sz="8" w:space="0" w:color="auto"/>
            </w:tcBorders>
            <w:shd w:val="clear" w:color="auto" w:fill="auto"/>
            <w:noWrap/>
            <w:vAlign w:val="bottom"/>
          </w:tcPr>
          <w:p w:rsidR="00FE769B" w:rsidRDefault="00FE769B" w:rsidP="00FE769B">
            <w:pPr>
              <w:jc w:val="right"/>
              <w:rPr>
                <w:sz w:val="18"/>
                <w:szCs w:val="18"/>
              </w:rPr>
            </w:pPr>
            <w:r>
              <w:rPr>
                <w:sz w:val="18"/>
                <w:szCs w:val="18"/>
              </w:rPr>
              <w:t>51,5%</w:t>
            </w:r>
          </w:p>
        </w:tc>
      </w:tr>
      <w:tr w:rsidR="00FE769B" w:rsidRPr="0092537A" w:rsidTr="00EC478C">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FE769B" w:rsidRPr="00DD50AA" w:rsidRDefault="00FE769B" w:rsidP="00FE769B">
            <w:pPr>
              <w:rPr>
                <w:b/>
                <w:i/>
                <w:sz w:val="18"/>
                <w:szCs w:val="18"/>
              </w:rPr>
            </w:pPr>
            <w:r w:rsidRPr="00DD50AA">
              <w:rPr>
                <w:b/>
                <w:i/>
                <w:sz w:val="18"/>
                <w:szCs w:val="18"/>
              </w:rPr>
              <w:t xml:space="preserve"> - Резерв за непредвидени и неотложни разходи</w:t>
            </w:r>
            <w:r w:rsidRPr="00DD50AA">
              <w:rPr>
                <w:rStyle w:val="FootnoteReference"/>
                <w:b/>
                <w:bCs/>
                <w:sz w:val="20"/>
                <w:szCs w:val="20"/>
              </w:rPr>
              <w:footnoteReference w:id="7"/>
            </w:r>
            <w:r w:rsidRPr="00DD50AA">
              <w:rPr>
                <w:b/>
                <w:i/>
                <w:sz w:val="18"/>
                <w:szCs w:val="18"/>
              </w:rPr>
              <w:tab/>
            </w:r>
          </w:p>
        </w:tc>
        <w:tc>
          <w:tcPr>
            <w:tcW w:w="1276" w:type="dxa"/>
            <w:tcBorders>
              <w:top w:val="nil"/>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71,1</w:t>
            </w:r>
          </w:p>
        </w:tc>
        <w:tc>
          <w:tcPr>
            <w:tcW w:w="1209" w:type="dxa"/>
            <w:tcBorders>
              <w:top w:val="nil"/>
              <w:left w:val="nil"/>
              <w:bottom w:val="nil"/>
              <w:right w:val="nil"/>
            </w:tcBorders>
            <w:shd w:val="clear" w:color="auto" w:fill="auto"/>
            <w:noWrap/>
            <w:vAlign w:val="bottom"/>
          </w:tcPr>
          <w:p w:rsidR="00FE769B" w:rsidRDefault="00FE769B" w:rsidP="00FE769B">
            <w:pPr>
              <w:jc w:val="right"/>
              <w:rPr>
                <w:sz w:val="18"/>
                <w:szCs w:val="18"/>
              </w:rPr>
            </w:pPr>
            <w:r>
              <w:rPr>
                <w:sz w:val="18"/>
                <w:szCs w:val="18"/>
              </w:rPr>
              <w:t>0,</w:t>
            </w:r>
            <w:proofErr w:type="spellStart"/>
            <w:r>
              <w:rPr>
                <w:sz w:val="18"/>
                <w:szCs w:val="18"/>
              </w:rPr>
              <w:t>0</w:t>
            </w:r>
            <w:proofErr w:type="spellEnd"/>
          </w:p>
        </w:tc>
        <w:tc>
          <w:tcPr>
            <w:tcW w:w="1342" w:type="dxa"/>
            <w:tcBorders>
              <w:top w:val="nil"/>
              <w:left w:val="nil"/>
              <w:bottom w:val="nil"/>
              <w:right w:val="single" w:sz="8" w:space="0" w:color="auto"/>
            </w:tcBorders>
            <w:shd w:val="clear" w:color="auto" w:fill="auto"/>
            <w:noWrap/>
            <w:vAlign w:val="bottom"/>
          </w:tcPr>
          <w:p w:rsidR="00FE769B" w:rsidRDefault="00FE769B" w:rsidP="00FE769B">
            <w:pPr>
              <w:jc w:val="right"/>
              <w:rPr>
                <w:sz w:val="18"/>
                <w:szCs w:val="18"/>
              </w:rPr>
            </w:pPr>
          </w:p>
        </w:tc>
      </w:tr>
      <w:tr w:rsidR="00FE769B" w:rsidRPr="0092537A" w:rsidTr="00EC478C">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FE769B" w:rsidRPr="00DD50AA" w:rsidRDefault="00FE769B" w:rsidP="00FE769B">
            <w:pPr>
              <w:rPr>
                <w:b/>
                <w:i/>
                <w:sz w:val="18"/>
                <w:szCs w:val="18"/>
              </w:rPr>
            </w:pPr>
            <w:r w:rsidRPr="00DD50AA">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10 711,5</w:t>
            </w:r>
          </w:p>
        </w:tc>
        <w:tc>
          <w:tcPr>
            <w:tcW w:w="1209" w:type="dxa"/>
            <w:tcBorders>
              <w:top w:val="nil"/>
              <w:left w:val="nil"/>
              <w:bottom w:val="nil"/>
              <w:right w:val="nil"/>
            </w:tcBorders>
            <w:shd w:val="clear" w:color="auto" w:fill="auto"/>
            <w:noWrap/>
            <w:vAlign w:val="bottom"/>
          </w:tcPr>
          <w:p w:rsidR="00FE769B" w:rsidRDefault="00FE769B" w:rsidP="00FE769B">
            <w:pPr>
              <w:jc w:val="right"/>
              <w:rPr>
                <w:sz w:val="18"/>
                <w:szCs w:val="18"/>
              </w:rPr>
            </w:pPr>
            <w:r>
              <w:rPr>
                <w:sz w:val="18"/>
                <w:szCs w:val="18"/>
              </w:rPr>
              <w:t>5 096,5</w:t>
            </w:r>
          </w:p>
        </w:tc>
        <w:tc>
          <w:tcPr>
            <w:tcW w:w="1342" w:type="dxa"/>
            <w:tcBorders>
              <w:top w:val="nil"/>
              <w:left w:val="nil"/>
              <w:bottom w:val="nil"/>
              <w:right w:val="single" w:sz="8" w:space="0" w:color="auto"/>
            </w:tcBorders>
            <w:shd w:val="clear" w:color="auto" w:fill="auto"/>
            <w:noWrap/>
            <w:vAlign w:val="bottom"/>
          </w:tcPr>
          <w:p w:rsidR="00FE769B" w:rsidRDefault="00FE769B" w:rsidP="00FE769B">
            <w:pPr>
              <w:jc w:val="right"/>
              <w:rPr>
                <w:sz w:val="18"/>
                <w:szCs w:val="18"/>
              </w:rPr>
            </w:pPr>
            <w:r>
              <w:rPr>
                <w:sz w:val="18"/>
                <w:szCs w:val="18"/>
              </w:rPr>
              <w:t>47,6%</w:t>
            </w:r>
          </w:p>
        </w:tc>
      </w:tr>
      <w:tr w:rsidR="00FE769B" w:rsidRPr="0092537A" w:rsidTr="00EC478C">
        <w:trPr>
          <w:trHeight w:val="80"/>
          <w:jc w:val="center"/>
        </w:trPr>
        <w:tc>
          <w:tcPr>
            <w:tcW w:w="4853" w:type="dxa"/>
            <w:tcBorders>
              <w:top w:val="nil"/>
              <w:left w:val="single" w:sz="4" w:space="0" w:color="auto"/>
              <w:bottom w:val="single" w:sz="4" w:space="0" w:color="auto"/>
              <w:right w:val="single" w:sz="4" w:space="0" w:color="auto"/>
            </w:tcBorders>
            <w:shd w:val="clear" w:color="auto" w:fill="auto"/>
            <w:noWrap/>
            <w:vAlign w:val="bottom"/>
          </w:tcPr>
          <w:p w:rsidR="00FE769B" w:rsidRPr="00DD50AA" w:rsidRDefault="00FE769B" w:rsidP="00FE769B">
            <w:pPr>
              <w:rPr>
                <w:b/>
                <w:bCs/>
                <w:i/>
                <w:sz w:val="18"/>
                <w:szCs w:val="18"/>
              </w:rPr>
            </w:pPr>
            <w:r w:rsidRPr="00DD50AA">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FE769B" w:rsidRPr="00787859" w:rsidRDefault="00FE769B" w:rsidP="00FE769B">
            <w:pPr>
              <w:jc w:val="right"/>
              <w:rPr>
                <w:sz w:val="18"/>
                <w:szCs w:val="18"/>
              </w:rPr>
            </w:pPr>
            <w:r w:rsidRPr="00787859">
              <w:rPr>
                <w:sz w:val="18"/>
                <w:szCs w:val="18"/>
              </w:rPr>
              <w:t>992,6</w:t>
            </w:r>
          </w:p>
        </w:tc>
        <w:tc>
          <w:tcPr>
            <w:tcW w:w="1209" w:type="dxa"/>
            <w:tcBorders>
              <w:top w:val="nil"/>
              <w:left w:val="nil"/>
              <w:bottom w:val="single" w:sz="4" w:space="0" w:color="auto"/>
              <w:right w:val="nil"/>
            </w:tcBorders>
            <w:shd w:val="clear" w:color="auto" w:fill="auto"/>
            <w:noWrap/>
            <w:vAlign w:val="bottom"/>
          </w:tcPr>
          <w:p w:rsidR="00FE769B" w:rsidRDefault="00FE769B" w:rsidP="00FE769B">
            <w:pPr>
              <w:jc w:val="right"/>
              <w:rPr>
                <w:sz w:val="18"/>
                <w:szCs w:val="18"/>
              </w:rPr>
            </w:pPr>
            <w:r>
              <w:rPr>
                <w:sz w:val="18"/>
                <w:szCs w:val="18"/>
              </w:rPr>
              <w:t>488,3</w:t>
            </w:r>
          </w:p>
        </w:tc>
        <w:tc>
          <w:tcPr>
            <w:tcW w:w="1342" w:type="dxa"/>
            <w:tcBorders>
              <w:top w:val="nil"/>
              <w:left w:val="nil"/>
              <w:bottom w:val="single" w:sz="4" w:space="0" w:color="auto"/>
              <w:right w:val="single" w:sz="8" w:space="0" w:color="auto"/>
            </w:tcBorders>
            <w:shd w:val="clear" w:color="auto" w:fill="auto"/>
            <w:noWrap/>
            <w:vAlign w:val="bottom"/>
          </w:tcPr>
          <w:p w:rsidR="00FE769B" w:rsidRDefault="00FE769B" w:rsidP="00FE769B">
            <w:pPr>
              <w:jc w:val="right"/>
              <w:rPr>
                <w:sz w:val="18"/>
                <w:szCs w:val="18"/>
              </w:rPr>
            </w:pPr>
            <w:r>
              <w:rPr>
                <w:sz w:val="18"/>
                <w:szCs w:val="18"/>
              </w:rPr>
              <w:t>49,2%</w:t>
            </w:r>
          </w:p>
        </w:tc>
      </w:tr>
      <w:tr w:rsidR="00FE769B" w:rsidRPr="0092537A" w:rsidTr="00EC478C">
        <w:trPr>
          <w:trHeight w:val="70"/>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769B" w:rsidRPr="00DD50AA" w:rsidRDefault="00FE769B" w:rsidP="00FE769B">
            <w:pPr>
              <w:rPr>
                <w:b/>
                <w:bCs/>
                <w:sz w:val="18"/>
                <w:szCs w:val="18"/>
              </w:rPr>
            </w:pPr>
            <w:r w:rsidRPr="00DD50AA">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FE769B" w:rsidRPr="00787859" w:rsidRDefault="00FE769B" w:rsidP="00FE769B">
            <w:pPr>
              <w:jc w:val="right"/>
              <w:rPr>
                <w:b/>
                <w:bCs/>
                <w:sz w:val="18"/>
                <w:szCs w:val="18"/>
              </w:rPr>
            </w:pPr>
            <w:r w:rsidRPr="00787859">
              <w:rPr>
                <w:b/>
                <w:bCs/>
                <w:sz w:val="18"/>
                <w:szCs w:val="18"/>
              </w:rPr>
              <w:t>-864,2</w:t>
            </w:r>
          </w:p>
        </w:tc>
        <w:tc>
          <w:tcPr>
            <w:tcW w:w="1209" w:type="dxa"/>
            <w:tcBorders>
              <w:top w:val="single" w:sz="4" w:space="0" w:color="auto"/>
              <w:left w:val="nil"/>
              <w:bottom w:val="single" w:sz="8" w:space="0" w:color="auto"/>
              <w:right w:val="nil"/>
            </w:tcBorders>
            <w:shd w:val="clear" w:color="auto" w:fill="auto"/>
            <w:noWrap/>
            <w:vAlign w:val="bottom"/>
          </w:tcPr>
          <w:p w:rsidR="00FE769B" w:rsidRDefault="00FE769B" w:rsidP="00FE769B">
            <w:pPr>
              <w:jc w:val="right"/>
              <w:rPr>
                <w:b/>
                <w:bCs/>
                <w:sz w:val="18"/>
                <w:szCs w:val="18"/>
              </w:rPr>
            </w:pPr>
            <w:r>
              <w:rPr>
                <w:b/>
                <w:bCs/>
                <w:sz w:val="18"/>
                <w:szCs w:val="18"/>
              </w:rPr>
              <w:t>1 265,3</w:t>
            </w:r>
          </w:p>
        </w:tc>
        <w:tc>
          <w:tcPr>
            <w:tcW w:w="1342" w:type="dxa"/>
            <w:tcBorders>
              <w:top w:val="single" w:sz="4" w:space="0" w:color="auto"/>
              <w:left w:val="nil"/>
              <w:bottom w:val="single" w:sz="8" w:space="0" w:color="auto"/>
              <w:right w:val="single" w:sz="8" w:space="0" w:color="auto"/>
            </w:tcBorders>
            <w:shd w:val="clear" w:color="auto" w:fill="auto"/>
            <w:noWrap/>
            <w:vAlign w:val="bottom"/>
          </w:tcPr>
          <w:p w:rsidR="00FE769B" w:rsidRDefault="00FE769B" w:rsidP="00FE769B">
            <w:pPr>
              <w:jc w:val="right"/>
              <w:rPr>
                <w:b/>
                <w:bCs/>
                <w:sz w:val="18"/>
                <w:szCs w:val="18"/>
              </w:rPr>
            </w:pPr>
          </w:p>
        </w:tc>
      </w:tr>
    </w:tbl>
    <w:p w:rsidR="004B5DC2" w:rsidRPr="0092537A" w:rsidRDefault="004B5DC2" w:rsidP="004B5DC2">
      <w:pPr>
        <w:spacing w:after="120"/>
        <w:ind w:left="360"/>
        <w:jc w:val="both"/>
        <w:rPr>
          <w:b/>
          <w:color w:val="0070C0"/>
          <w:sz w:val="12"/>
        </w:rPr>
      </w:pPr>
    </w:p>
    <w:p w:rsidR="004B5DC2" w:rsidRPr="008C7A23" w:rsidRDefault="004B5DC2" w:rsidP="004B5DC2">
      <w:pPr>
        <w:numPr>
          <w:ilvl w:val="0"/>
          <w:numId w:val="2"/>
        </w:numPr>
        <w:spacing w:after="120"/>
        <w:jc w:val="both"/>
        <w:rPr>
          <w:b/>
        </w:rPr>
      </w:pPr>
      <w:r w:rsidRPr="008C7A23">
        <w:rPr>
          <w:b/>
          <w:bCs/>
        </w:rPr>
        <w:t xml:space="preserve">Приходи по държавния бюджет </w:t>
      </w:r>
    </w:p>
    <w:p w:rsidR="008C7A23" w:rsidRPr="007955F1" w:rsidRDefault="008C7A23" w:rsidP="008C7A23">
      <w:pPr>
        <w:spacing w:after="120"/>
        <w:jc w:val="both"/>
        <w:rPr>
          <w:bCs/>
        </w:rPr>
      </w:pPr>
      <w:r w:rsidRPr="007955F1">
        <w:rPr>
          <w:b/>
          <w:bCs/>
        </w:rPr>
        <w:t>Общият размер на приходите и помощите по държавния бюджет</w:t>
      </w:r>
      <w:r w:rsidRPr="007955F1">
        <w:rPr>
          <w:bCs/>
        </w:rPr>
        <w:t xml:space="preserve"> към юни 2017 г. е</w:t>
      </w:r>
      <w:r w:rsidRPr="007955F1">
        <w:rPr>
          <w:b/>
          <w:bCs/>
        </w:rPr>
        <w:t xml:space="preserve"> 11 079,9 млн. лв.</w:t>
      </w:r>
      <w:r w:rsidRPr="007955F1">
        <w:rPr>
          <w:bCs/>
        </w:rPr>
        <w:t>, което представлява 50,5 % изпълнение на разчетите по ЗДБРБ за 2017 г. и с 461,7 млн. лв. повече спрямо юни 2016 година.</w:t>
      </w:r>
    </w:p>
    <w:p w:rsidR="008C7A23" w:rsidRPr="007955F1" w:rsidRDefault="008C7A23" w:rsidP="008C7A23">
      <w:pPr>
        <w:numPr>
          <w:ilvl w:val="0"/>
          <w:numId w:val="3"/>
        </w:numPr>
        <w:tabs>
          <w:tab w:val="num" w:pos="720"/>
        </w:tabs>
        <w:ind w:left="0" w:firstLine="180"/>
        <w:jc w:val="both"/>
        <w:rPr>
          <w:b/>
          <w:bCs/>
        </w:rPr>
      </w:pPr>
      <w:r w:rsidRPr="007955F1">
        <w:rPr>
          <w:bCs/>
        </w:rPr>
        <w:t xml:space="preserve"> </w:t>
      </w:r>
      <w:r w:rsidRPr="007955F1">
        <w:rPr>
          <w:b/>
          <w:bCs/>
        </w:rPr>
        <w:t>Данъчни приходи</w:t>
      </w:r>
    </w:p>
    <w:p w:rsidR="008C7A23" w:rsidRPr="007955F1" w:rsidRDefault="008C7A23" w:rsidP="008C7A23">
      <w:pPr>
        <w:jc w:val="both"/>
        <w:rPr>
          <w:bCs/>
          <w:sz w:val="4"/>
          <w:szCs w:val="4"/>
        </w:rPr>
      </w:pPr>
    </w:p>
    <w:p w:rsidR="008C7A23" w:rsidRPr="007955F1" w:rsidRDefault="008C7A23" w:rsidP="008C7A23">
      <w:pPr>
        <w:jc w:val="both"/>
      </w:pPr>
      <w:r w:rsidRPr="007955F1">
        <w:rPr>
          <w:b/>
          <w:bCs/>
        </w:rPr>
        <w:t>Размерът на данъчните постъпления по държавния бюджет</w:t>
      </w:r>
      <w:r w:rsidRPr="007955F1">
        <w:rPr>
          <w:bCs/>
        </w:rPr>
        <w:t xml:space="preserve"> към юни 2017 г. </w:t>
      </w:r>
      <w:r w:rsidRPr="007955F1">
        <w:t xml:space="preserve">е </w:t>
      </w:r>
      <w:r w:rsidRPr="007955F1">
        <w:rPr>
          <w:b/>
        </w:rPr>
        <w:t>9 970,8 млн. лв</w:t>
      </w:r>
      <w:r w:rsidRPr="007955F1">
        <w:t>., което представлява 51,9 % изпълнение на годишните разчети</w:t>
      </w:r>
      <w:r w:rsidRPr="007955F1">
        <w:rPr>
          <w:b/>
          <w:bCs/>
        </w:rPr>
        <w:t xml:space="preserve"> </w:t>
      </w:r>
      <w:r w:rsidRPr="007955F1">
        <w:t xml:space="preserve">и </w:t>
      </w:r>
      <w:r w:rsidRPr="007955F1">
        <w:rPr>
          <w:b/>
        </w:rPr>
        <w:t>номинален ръст от 512,2 млн. лв.</w:t>
      </w:r>
      <w:r w:rsidRPr="007955F1">
        <w:t xml:space="preserve"> спрямо постъпленията за същия период на</w:t>
      </w:r>
      <w:r w:rsidRPr="007955F1">
        <w:rPr>
          <w:bCs/>
        </w:rPr>
        <w:t xml:space="preserve"> </w:t>
      </w:r>
      <w:r w:rsidRPr="007955F1">
        <w:t xml:space="preserve">2016 </w:t>
      </w:r>
      <w:r w:rsidRPr="007955F1">
        <w:rPr>
          <w:bCs/>
        </w:rPr>
        <w:t>година</w:t>
      </w:r>
      <w:r w:rsidRPr="007955F1">
        <w:t xml:space="preserve">. </w:t>
      </w:r>
    </w:p>
    <w:p w:rsidR="008C7A23" w:rsidRPr="007955F1" w:rsidRDefault="008C7A23" w:rsidP="008C7A23">
      <w:pPr>
        <w:jc w:val="both"/>
        <w:rPr>
          <w:sz w:val="8"/>
          <w:szCs w:val="8"/>
        </w:rPr>
      </w:pPr>
      <w:r w:rsidRPr="007955F1">
        <w:rPr>
          <w:sz w:val="8"/>
          <w:szCs w:val="8"/>
        </w:rPr>
        <w:t xml:space="preserve"> </w:t>
      </w:r>
    </w:p>
    <w:p w:rsidR="008C7A23" w:rsidRPr="007955F1" w:rsidRDefault="008C7A23" w:rsidP="008C7A23">
      <w:pPr>
        <w:numPr>
          <w:ilvl w:val="0"/>
          <w:numId w:val="4"/>
        </w:numPr>
        <w:tabs>
          <w:tab w:val="clear" w:pos="1440"/>
          <w:tab w:val="num" w:pos="540"/>
        </w:tabs>
        <w:ind w:left="0" w:firstLine="180"/>
        <w:jc w:val="both"/>
        <w:rPr>
          <w:b/>
          <w:bCs/>
        </w:rPr>
      </w:pPr>
      <w:r w:rsidRPr="007955F1">
        <w:rPr>
          <w:b/>
          <w:bCs/>
        </w:rPr>
        <w:t>Преки данъци</w:t>
      </w:r>
    </w:p>
    <w:p w:rsidR="008C7A23" w:rsidRPr="007955F1" w:rsidRDefault="008C7A23" w:rsidP="008C7A23">
      <w:pPr>
        <w:spacing w:after="120"/>
        <w:ind w:firstLine="540"/>
        <w:jc w:val="both"/>
        <w:rPr>
          <w:sz w:val="2"/>
          <w:szCs w:val="2"/>
          <w:highlight w:val="yellow"/>
        </w:rPr>
      </w:pPr>
    </w:p>
    <w:p w:rsidR="008C7A23" w:rsidRPr="00B56FA1" w:rsidRDefault="008C7A23" w:rsidP="008C7A23">
      <w:pPr>
        <w:spacing w:after="120"/>
        <w:jc w:val="both"/>
      </w:pPr>
      <w:r w:rsidRPr="007955F1">
        <w:t>Приходите в групата на</w:t>
      </w:r>
      <w:r w:rsidRPr="007955F1">
        <w:rPr>
          <w:b/>
        </w:rPr>
        <w:t xml:space="preserve"> преките данъци</w:t>
      </w:r>
      <w:r w:rsidRPr="007955F1">
        <w:t xml:space="preserve"> са в размер на</w:t>
      </w:r>
      <w:r w:rsidRPr="007955F1">
        <w:rPr>
          <w:b/>
        </w:rPr>
        <w:t> 2</w:t>
      </w:r>
      <w:r>
        <w:rPr>
          <w:b/>
        </w:rPr>
        <w:t> 759,8</w:t>
      </w:r>
      <w:r w:rsidRPr="007955F1">
        <w:rPr>
          <w:b/>
        </w:rPr>
        <w:t xml:space="preserve"> млн. лв</w:t>
      </w:r>
      <w:r w:rsidRPr="007955F1">
        <w:t xml:space="preserve">. или </w:t>
      </w:r>
      <w:r>
        <w:t>54,4</w:t>
      </w:r>
      <w:r w:rsidRPr="007955F1">
        <w:t xml:space="preserve"> % от </w:t>
      </w:r>
      <w:r w:rsidRPr="00B56FA1">
        <w:t xml:space="preserve">планираните за годината, като съпоставени с данните към месец юни 2016 г. нарастват със 227,6 млн. лв. (9,0 %). </w:t>
      </w:r>
    </w:p>
    <w:p w:rsidR="008C7A23" w:rsidRPr="00BA0737" w:rsidRDefault="008C7A23" w:rsidP="008C7A23">
      <w:pPr>
        <w:spacing w:after="120"/>
        <w:jc w:val="both"/>
      </w:pPr>
      <w:r w:rsidRPr="00BA0737">
        <w:t>Приходите от</w:t>
      </w:r>
      <w:r w:rsidRPr="00BA0737">
        <w:rPr>
          <w:b/>
        </w:rPr>
        <w:t xml:space="preserve"> </w:t>
      </w:r>
      <w:r w:rsidRPr="00BA0737">
        <w:rPr>
          <w:b/>
          <w:bCs/>
        </w:rPr>
        <w:t>корпоративни данъци</w:t>
      </w:r>
      <w:r w:rsidRPr="00BA0737">
        <w:t xml:space="preserve"> към юни 2017 г. са в размер на </w:t>
      </w:r>
      <w:r w:rsidRPr="00BA0737">
        <w:rPr>
          <w:b/>
        </w:rPr>
        <w:t>1 187,9 млн. лв</w:t>
      </w:r>
      <w:r w:rsidRPr="00BA0737">
        <w:t>. или 58,3 % от годишния план. Съпоставено с първите шест месеца на 2016 г. приходите от корпоративни данъци нарастват с 92,6 млн. лв. (8,5 %).</w:t>
      </w:r>
    </w:p>
    <w:p w:rsidR="008C7A23" w:rsidRPr="00650005" w:rsidRDefault="008C7A23" w:rsidP="008C7A23">
      <w:pPr>
        <w:spacing w:after="120"/>
        <w:jc w:val="both"/>
      </w:pPr>
      <w:r w:rsidRPr="00650005">
        <w:lastRenderedPageBreak/>
        <w:t>Приходите от</w:t>
      </w:r>
      <w:r w:rsidRPr="00650005">
        <w:rPr>
          <w:b/>
        </w:rPr>
        <w:t xml:space="preserve"> данъци върху доходите на физически лица </w:t>
      </w:r>
      <w:r w:rsidRPr="00650005">
        <w:t xml:space="preserve">са в размер на </w:t>
      </w:r>
      <w:r w:rsidRPr="00650005">
        <w:rPr>
          <w:b/>
        </w:rPr>
        <w:t>1 571,9 млн. лв.</w:t>
      </w:r>
      <w:r w:rsidRPr="00650005">
        <w:t xml:space="preserve"> или 51,8 % от заложените в разчета за годината и нарастват със 135,0 млн. лв. (9,4 %) спрямо същия период на 2016 година.</w:t>
      </w:r>
    </w:p>
    <w:p w:rsidR="008C7A23" w:rsidRPr="0090149B" w:rsidRDefault="008C7A23" w:rsidP="008C7A23">
      <w:pPr>
        <w:spacing w:after="120"/>
        <w:jc w:val="both"/>
      </w:pPr>
      <w:r w:rsidRPr="0090149B">
        <w:rPr>
          <w:i/>
        </w:rPr>
        <w:t>По трудови правоотношения</w:t>
      </w:r>
      <w:r w:rsidRPr="0090149B">
        <w:t xml:space="preserve"> приходите от данъка към юни 2017 г. са 1 258,7 млн. лв., 50,4 % от годишните разчети. Върху размера на постъпленията през периода оказва влияние ръста на средната работна заплата и броя наети лица.</w:t>
      </w:r>
    </w:p>
    <w:p w:rsidR="008C7A23" w:rsidRPr="002E4B28" w:rsidRDefault="008C7A23" w:rsidP="008C7A23">
      <w:pPr>
        <w:spacing w:after="120"/>
        <w:jc w:val="both"/>
      </w:pPr>
      <w:r w:rsidRPr="002E4B28">
        <w:rPr>
          <w:i/>
        </w:rPr>
        <w:t xml:space="preserve">По </w:t>
      </w:r>
      <w:proofErr w:type="spellStart"/>
      <w:r w:rsidRPr="002E4B28">
        <w:rPr>
          <w:i/>
        </w:rPr>
        <w:t>извънтрудови</w:t>
      </w:r>
      <w:proofErr w:type="spellEnd"/>
      <w:r w:rsidRPr="002E4B28">
        <w:rPr>
          <w:i/>
        </w:rPr>
        <w:t xml:space="preserve"> правоотношения (свободни професии, граждански договори и др.)</w:t>
      </w:r>
      <w:r w:rsidRPr="002E4B28">
        <w:t xml:space="preserve"> приходите от данъка към юни 2017 г. са в размер на 197,0 млн. лв., което е 64,4 % от годишния разчет. </w:t>
      </w:r>
    </w:p>
    <w:p w:rsidR="008C7A23" w:rsidRPr="00030D38" w:rsidRDefault="008C7A23" w:rsidP="008C7A23">
      <w:pPr>
        <w:spacing w:after="120"/>
        <w:jc w:val="both"/>
      </w:pPr>
      <w:r w:rsidRPr="00030D38">
        <w:rPr>
          <w:i/>
        </w:rPr>
        <w:t xml:space="preserve">Окончателен данък на местните и чуждестранни физически лица по чл. 37 и 38 от ЗДДФЛ </w:t>
      </w:r>
      <w:r w:rsidRPr="00030D38">
        <w:t xml:space="preserve">и </w:t>
      </w:r>
      <w:r w:rsidRPr="00030D38">
        <w:rPr>
          <w:i/>
        </w:rPr>
        <w:t>данък върху дивидентите и ликвидационните дялове на физически лица</w:t>
      </w:r>
      <w:r w:rsidRPr="00030D38">
        <w:t xml:space="preserve"> - постъпленията от тези данъци са в размер на 102,9 млн. лв., 51,3 % от годишния разчет.  </w:t>
      </w:r>
    </w:p>
    <w:p w:rsidR="008C7A23" w:rsidRPr="00030D38" w:rsidRDefault="008C7A23" w:rsidP="008C7A23">
      <w:pPr>
        <w:spacing w:after="120"/>
        <w:jc w:val="both"/>
      </w:pPr>
      <w:r w:rsidRPr="00030D38">
        <w:t xml:space="preserve">Постъпленията от </w:t>
      </w:r>
      <w:r w:rsidRPr="00030D38">
        <w:rPr>
          <w:i/>
        </w:rPr>
        <w:t xml:space="preserve">окончателния данък върху приходите от лихви от депозити на физическите лица </w:t>
      </w:r>
      <w:r w:rsidRPr="00030D38">
        <w:t>са в размер на 13,3 млн. лв., 43,0 % от годишния разчет.</w:t>
      </w:r>
    </w:p>
    <w:p w:rsidR="008C7A23" w:rsidRPr="00F777FF" w:rsidRDefault="008C7A23" w:rsidP="008C7A23">
      <w:pPr>
        <w:jc w:val="both"/>
        <w:rPr>
          <w:color w:val="0070C0"/>
          <w:sz w:val="8"/>
          <w:szCs w:val="8"/>
        </w:rPr>
      </w:pPr>
    </w:p>
    <w:p w:rsidR="008C7A23" w:rsidRPr="00E14C87" w:rsidRDefault="008C7A23" w:rsidP="008C7A23">
      <w:pPr>
        <w:numPr>
          <w:ilvl w:val="0"/>
          <w:numId w:val="4"/>
        </w:numPr>
        <w:tabs>
          <w:tab w:val="clear" w:pos="1440"/>
          <w:tab w:val="num" w:pos="540"/>
        </w:tabs>
        <w:ind w:left="0" w:firstLine="180"/>
        <w:jc w:val="both"/>
        <w:rPr>
          <w:b/>
          <w:bCs/>
        </w:rPr>
      </w:pPr>
      <w:r w:rsidRPr="00E14C87">
        <w:rPr>
          <w:b/>
          <w:bCs/>
        </w:rPr>
        <w:t>Косвени данъци</w:t>
      </w:r>
    </w:p>
    <w:p w:rsidR="008C7A23" w:rsidRPr="00E14C87" w:rsidRDefault="008C7A23" w:rsidP="008C7A23">
      <w:pPr>
        <w:jc w:val="both"/>
        <w:rPr>
          <w:b/>
          <w:bCs/>
          <w:sz w:val="4"/>
          <w:szCs w:val="4"/>
        </w:rPr>
      </w:pPr>
    </w:p>
    <w:p w:rsidR="008C7A23" w:rsidRPr="00E14C87" w:rsidRDefault="008C7A23" w:rsidP="008C7A23">
      <w:pPr>
        <w:spacing w:after="120"/>
        <w:jc w:val="both"/>
      </w:pPr>
      <w:r w:rsidRPr="00E14C87">
        <w:t xml:space="preserve">Приходите от </w:t>
      </w:r>
      <w:r w:rsidRPr="00E14C87">
        <w:rPr>
          <w:b/>
        </w:rPr>
        <w:t>косвени данъци</w:t>
      </w:r>
      <w:r w:rsidRPr="00E14C87">
        <w:t xml:space="preserve"> към юни 2017 г. са в размер на </w:t>
      </w:r>
      <w:r w:rsidRPr="00E14C87">
        <w:rPr>
          <w:b/>
        </w:rPr>
        <w:t>7 110,3 млн. лв</w:t>
      </w:r>
      <w:r w:rsidRPr="00E14C87">
        <w:t xml:space="preserve">. или 50,7 % от годишния разчет. </w:t>
      </w:r>
    </w:p>
    <w:p w:rsidR="008C7A23" w:rsidRPr="00E14C87" w:rsidRDefault="008C7A23" w:rsidP="008C7A23">
      <w:pPr>
        <w:spacing w:after="120"/>
        <w:jc w:val="both"/>
        <w:rPr>
          <w:lang w:val="en-US"/>
        </w:rPr>
      </w:pPr>
      <w:r w:rsidRPr="00E14C87">
        <w:rPr>
          <w:b/>
        </w:rPr>
        <w:t>Приходите от ДДС</w:t>
      </w:r>
      <w:r w:rsidRPr="00E14C87">
        <w:t xml:space="preserve"> са в размер на </w:t>
      </w:r>
      <w:r w:rsidRPr="00E14C87">
        <w:rPr>
          <w:b/>
        </w:rPr>
        <w:t>4 730,9</w:t>
      </w:r>
      <w:r w:rsidRPr="00E14C87">
        <w:t xml:space="preserve"> </w:t>
      </w:r>
      <w:r w:rsidRPr="00E14C87">
        <w:rPr>
          <w:b/>
        </w:rPr>
        <w:t>млн. лв.,</w:t>
      </w:r>
      <w:r w:rsidRPr="00E14C87">
        <w:t xml:space="preserve"> което представлява 53,9 % от планираните със ЗДБРБ за 2017 година. Постъпленията от ДДС нарастват номинално с 375,3</w:t>
      </w:r>
      <w:r w:rsidR="00F17E5E" w:rsidRPr="00E14C87">
        <w:t> </w:t>
      </w:r>
      <w:r w:rsidRPr="00E14C87">
        <w:t xml:space="preserve">млн. лв. 8,6 %) спрямо отчетените за същия период на предходната година и формират 47,4 % от данъчните приходи по държавния бюджет. </w:t>
      </w:r>
    </w:p>
    <w:p w:rsidR="008C7A23" w:rsidRPr="00C540E3" w:rsidRDefault="008C7A23" w:rsidP="008C7A23">
      <w:pPr>
        <w:spacing w:after="120"/>
        <w:jc w:val="both"/>
      </w:pPr>
      <w:r w:rsidRPr="00C540E3">
        <w:t xml:space="preserve">Нетният размер на приходите от </w:t>
      </w:r>
      <w:r w:rsidRPr="00C540E3">
        <w:rPr>
          <w:i/>
        </w:rPr>
        <w:t>ДДС от внос</w:t>
      </w:r>
      <w:r w:rsidRPr="00C540E3">
        <w:t xml:space="preserve"> към юни 2017 г. е 1 977,4 млн. лева. Влияние върху постъпленията от ДДС от внос оказват цената на суровия петрол, количествата на внасяните стоки за междинно потребление (черни, цветни метали и др.), курса на щатския долар спрямо еврото и други.</w:t>
      </w:r>
    </w:p>
    <w:p w:rsidR="008C7A23" w:rsidRPr="00F777FF" w:rsidRDefault="008C7A23" w:rsidP="008C7A23">
      <w:pPr>
        <w:spacing w:after="120"/>
        <w:jc w:val="both"/>
        <w:rPr>
          <w:b/>
          <w:color w:val="0070C0"/>
        </w:rPr>
      </w:pPr>
      <w:r w:rsidRPr="00C540E3">
        <w:t>Постъпленията от</w:t>
      </w:r>
      <w:r w:rsidRPr="00C540E3">
        <w:rPr>
          <w:i/>
        </w:rPr>
        <w:t xml:space="preserve"> ДДС при сделки в страната (нето)</w:t>
      </w:r>
      <w:r w:rsidRPr="00C540E3">
        <w:t xml:space="preserve"> към юни 2017 г. възлизат на 2 753,6 </w:t>
      </w:r>
      <w:r w:rsidRPr="00437B77">
        <w:t xml:space="preserve">млн. лева. </w:t>
      </w:r>
      <w:r w:rsidRPr="00437B77">
        <w:rPr>
          <w:bCs/>
        </w:rPr>
        <w:t>Невъзстановеният данъчен кредит на фирми към 30.06.2017 г. е в размер на 64,9 млн. лева.</w:t>
      </w:r>
    </w:p>
    <w:p w:rsidR="008C7A23" w:rsidRPr="00FB3A03" w:rsidRDefault="008C7A23" w:rsidP="008C7A23">
      <w:pPr>
        <w:spacing w:after="120"/>
        <w:jc w:val="both"/>
      </w:pPr>
      <w:r w:rsidRPr="00FB3A03">
        <w:rPr>
          <w:b/>
        </w:rPr>
        <w:t xml:space="preserve">Приходите от акцизи (нето) </w:t>
      </w:r>
      <w:r w:rsidRPr="00FB3A03">
        <w:t xml:space="preserve">от внос, вътрешно производство и въведени в страната от други държави-членки на ЕС акцизни стоки са в размер на </w:t>
      </w:r>
      <w:r w:rsidRPr="00FB3A03">
        <w:rPr>
          <w:b/>
        </w:rPr>
        <w:t>2 269,8 млн. лв</w:t>
      </w:r>
      <w:r w:rsidRPr="00FB3A03">
        <w:t xml:space="preserve">. или 45,1 % от годишния разчет. </w:t>
      </w:r>
    </w:p>
    <w:p w:rsidR="008C7A23" w:rsidRPr="00F52B56" w:rsidRDefault="008C7A23" w:rsidP="008C7A23">
      <w:pPr>
        <w:spacing w:after="120"/>
        <w:jc w:val="both"/>
        <w:rPr>
          <w:lang w:val="en-US"/>
        </w:rPr>
      </w:pPr>
      <w:r w:rsidRPr="00F52B56">
        <w:t>Нетните постъпления от акциз са от следните основни стокови групи: горива (46,6 %); тютюневи изделия (46,3 %);</w:t>
      </w:r>
      <w:r w:rsidRPr="00F52B56">
        <w:rPr>
          <w:lang w:val="en-US"/>
        </w:rPr>
        <w:t xml:space="preserve"> </w:t>
      </w:r>
      <w:r w:rsidRPr="00F52B56">
        <w:t>алкохолни напитки и пиво (6,0 %) и други акцизни стоки – електрическа енергия, въглища и кокс (1,</w:t>
      </w:r>
      <w:proofErr w:type="spellStart"/>
      <w:r w:rsidRPr="00F52B56">
        <w:t>1</w:t>
      </w:r>
      <w:proofErr w:type="spellEnd"/>
      <w:r w:rsidRPr="00F52B56">
        <w:t> %). Постъпления от акциз към юни 2017 г. по основни стокови групи, са както следва:</w:t>
      </w:r>
    </w:p>
    <w:p w:rsidR="008C7A23" w:rsidRPr="005A7DEA" w:rsidRDefault="008C7A23" w:rsidP="008C7A23">
      <w:pPr>
        <w:numPr>
          <w:ilvl w:val="0"/>
          <w:numId w:val="19"/>
        </w:numPr>
        <w:jc w:val="both"/>
      </w:pPr>
      <w:r w:rsidRPr="005A7DEA">
        <w:rPr>
          <w:i/>
        </w:rPr>
        <w:t>Акцизите от горив</w:t>
      </w:r>
      <w:r w:rsidRPr="005A7DEA">
        <w:t xml:space="preserve">а са в размер на 1 057,2 млн. лева; </w:t>
      </w:r>
    </w:p>
    <w:p w:rsidR="008C7A23" w:rsidRPr="005A7DEA" w:rsidRDefault="008C7A23" w:rsidP="008C7A23">
      <w:pPr>
        <w:numPr>
          <w:ilvl w:val="0"/>
          <w:numId w:val="19"/>
        </w:numPr>
        <w:jc w:val="both"/>
      </w:pPr>
      <w:r w:rsidRPr="005A7DEA">
        <w:rPr>
          <w:i/>
        </w:rPr>
        <w:t>Акцизите от тютюневи изделия</w:t>
      </w:r>
      <w:r w:rsidRPr="005A7DEA">
        <w:t xml:space="preserve">  възлизат на 1 050,9 млн. лева; </w:t>
      </w:r>
    </w:p>
    <w:p w:rsidR="008C7A23" w:rsidRPr="005A7DEA" w:rsidRDefault="008C7A23" w:rsidP="008C7A23">
      <w:pPr>
        <w:numPr>
          <w:ilvl w:val="0"/>
          <w:numId w:val="19"/>
        </w:numPr>
        <w:jc w:val="both"/>
      </w:pPr>
      <w:r w:rsidRPr="005A7DEA">
        <w:rPr>
          <w:i/>
        </w:rPr>
        <w:t xml:space="preserve">Акцизите от алкохолни напитки и пиво </w:t>
      </w:r>
      <w:r w:rsidRPr="005A7DEA">
        <w:t xml:space="preserve"> възлизат на 136,6 млн. лева; </w:t>
      </w:r>
    </w:p>
    <w:p w:rsidR="008C7A23" w:rsidRPr="005A7DEA" w:rsidRDefault="008C7A23" w:rsidP="008C7A23">
      <w:pPr>
        <w:numPr>
          <w:ilvl w:val="0"/>
          <w:numId w:val="19"/>
        </w:numPr>
        <w:jc w:val="both"/>
      </w:pPr>
      <w:r w:rsidRPr="005A7DEA">
        <w:rPr>
          <w:i/>
        </w:rPr>
        <w:t xml:space="preserve">Приходите от други акцизни стоки - електрическа енергия, въглища и кокс </w:t>
      </w:r>
      <w:r w:rsidRPr="005A7DEA">
        <w:t>– възлизат на 25,0 млн. лева.</w:t>
      </w:r>
    </w:p>
    <w:p w:rsidR="008C7A23" w:rsidRPr="00F777FF" w:rsidRDefault="008C7A23" w:rsidP="008C7A23">
      <w:pPr>
        <w:ind w:left="360"/>
        <w:jc w:val="both"/>
        <w:rPr>
          <w:color w:val="0070C0"/>
          <w:sz w:val="8"/>
          <w:szCs w:val="8"/>
        </w:rPr>
      </w:pPr>
    </w:p>
    <w:p w:rsidR="008C7A23" w:rsidRPr="00C219CE" w:rsidRDefault="008C7A23" w:rsidP="008C7A23">
      <w:pPr>
        <w:spacing w:after="120"/>
        <w:jc w:val="both"/>
      </w:pPr>
      <w:r w:rsidRPr="00C219CE">
        <w:rPr>
          <w:b/>
        </w:rPr>
        <w:t>Приходите от данък върху застрахователните премии</w:t>
      </w:r>
      <w:r w:rsidRPr="00C219CE">
        <w:t xml:space="preserve"> по облагаеми застрахователни договори (рисковете, по които са поети от застрахователи) са в размер на </w:t>
      </w:r>
      <w:r>
        <w:rPr>
          <w:b/>
        </w:rPr>
        <w:t>16,4</w:t>
      </w:r>
      <w:r w:rsidRPr="00C219CE">
        <w:rPr>
          <w:b/>
        </w:rPr>
        <w:t xml:space="preserve"> млн. лв</w:t>
      </w:r>
      <w:r w:rsidRPr="00C219CE">
        <w:t>., при планирани за годината 30,9 млн. лева.</w:t>
      </w:r>
    </w:p>
    <w:p w:rsidR="008C7A23" w:rsidRDefault="008C7A23" w:rsidP="00B2174E">
      <w:pPr>
        <w:jc w:val="both"/>
        <w:rPr>
          <w:color w:val="4F81BD"/>
        </w:rPr>
      </w:pPr>
      <w:r w:rsidRPr="00223D4E">
        <w:rPr>
          <w:b/>
        </w:rPr>
        <w:t>Постъпленията от</w:t>
      </w:r>
      <w:r w:rsidRPr="00223D4E">
        <w:t xml:space="preserve"> </w:t>
      </w:r>
      <w:r w:rsidRPr="00223D4E">
        <w:rPr>
          <w:b/>
          <w:bCs/>
        </w:rPr>
        <w:t xml:space="preserve">мита </w:t>
      </w:r>
      <w:r w:rsidRPr="00223D4E">
        <w:t xml:space="preserve">възлизат на </w:t>
      </w:r>
      <w:r w:rsidRPr="00223D4E">
        <w:rPr>
          <w:b/>
        </w:rPr>
        <w:t>93,2 млн. лв</w:t>
      </w:r>
      <w:r w:rsidRPr="00223D4E">
        <w:t xml:space="preserve">. или 56,1 % от планираните със ЗДБРБ за 2017 г., като заемат 0,9 % относителен дял в общия размер на данъчните приходи по държавния бюджет. В сравнение с юни 2016 г. събраните мита  са с 9,6 млн. лв. (11,5 %) </w:t>
      </w:r>
      <w:r w:rsidRPr="00B311B0">
        <w:t>повече</w:t>
      </w:r>
      <w:r>
        <w:t>.</w:t>
      </w:r>
      <w:r w:rsidRPr="00B311B0">
        <w:t xml:space="preserve"> </w:t>
      </w:r>
      <w:r w:rsidRPr="00F8445C">
        <w:t xml:space="preserve">Увеличението на приходите от мита за първото полугодие на 2017 г. основно се </w:t>
      </w:r>
      <w:r w:rsidRPr="00F8445C">
        <w:lastRenderedPageBreak/>
        <w:t>дължи на ръста в приходите при следните стокови групи</w:t>
      </w:r>
      <w:r w:rsidRPr="00B311B0">
        <w:t xml:space="preserve">: „Ядрени реактори, котли, машини, апарати и механизми; части за тези машини или апарати“ – </w:t>
      </w:r>
      <w:r w:rsidRPr="00495012">
        <w:t>постъпленията са в размер на 12,4 млн. лв., като се повишават с 5,3 млн. лв. (75,9 %), в сравнение с края на юни 2016 г.</w:t>
      </w:r>
      <w:r w:rsidRPr="00B311B0">
        <w:t xml:space="preserve">, „Обувки, гети и подобни артикули; части за тях“ – </w:t>
      </w:r>
      <w:r w:rsidRPr="00495012">
        <w:t>постъпленията възлизат на 4,9 млн. лв. и отчитат увеличение с 2,0 млн. лв. (71,0 %) спрямо януари-юни 2016 г.</w:t>
      </w:r>
      <w:r w:rsidRPr="00B311B0">
        <w:rPr>
          <w:lang w:val="en-US"/>
        </w:rPr>
        <w:t>,</w:t>
      </w:r>
      <w:r w:rsidRPr="00B311B0">
        <w:t xml:space="preserve"> „Автомобилни превозни средства, трактори, мотоциклети и велосипеди, и други сухопътни превозни средства, </w:t>
      </w:r>
      <w:r w:rsidRPr="006F56C6">
        <w:t xml:space="preserve">техните части и принадлежности“ – </w:t>
      </w:r>
      <w:r w:rsidRPr="003F13A4">
        <w:t>приходите възлизат на 9,4 млн. лв., като нарастват с 2,0 млн. лв. (27,3 %) на годишна база</w:t>
      </w:r>
      <w:r w:rsidRPr="006F56C6">
        <w:t xml:space="preserve">, „Алуминий и изделия от алуминий“ – </w:t>
      </w:r>
      <w:r w:rsidRPr="003F13A4">
        <w:t>приходите възлизат на 5,9 млн. лв. и се увеличават с 1,7 млн. лв. (41,0 %) спрямо първото полугодие на 2016 г</w:t>
      </w:r>
      <w:r>
        <w:t xml:space="preserve">. </w:t>
      </w:r>
      <w:r w:rsidRPr="006F56C6">
        <w:t xml:space="preserve">и „Изделия от чугун, желязо или стомана“ - </w:t>
      </w:r>
      <w:r w:rsidRPr="003F13A4">
        <w:t>постъпленията са 3,5 млн. лв., като сумата се повишава с 1,4 млн. лв. (67,4 %), съпоставено с края на юни 2016 година.</w:t>
      </w:r>
      <w:r w:rsidRPr="00DC593D">
        <w:t xml:space="preserve"> </w:t>
      </w:r>
      <w:r w:rsidRPr="00AE031F">
        <w:t xml:space="preserve">Към края на юни 2017 г., от водещите за приходите от мита групи стоки, спад се отчита единствено при стоките от глава „Торове“, като постъпленията намаляват с 0,7 млн. лв. (23,8 %) на годишна база, докато внесените количества стоки се увеличават. Това е в резултат, както на декларираната по-ниска статистическа стойност за килограм внесени торове, така и на значително по-ниската осреднена ставка на митата през 2017 г. (1,6 % през първото полугодие на 2017 г. спрямо 2,1 % за същия период на 2016 г.). Спад към края на юни 2017 г. се отчита при приходите от мита на стоки от глава „Захар и захарни изделия“ с 4,8 млн. лв. (95,6 %). Намалението се дължи на изместване на доставките на захар от Бразилия към доставки от други страни с нулева ставка на митата. В зависимост от произхода на внасяните стоки, най-голям е делът на приходите от мита при внос на стоки от Китай, като за периода </w:t>
      </w:r>
      <w:r w:rsidRPr="00E40DBD">
        <w:t>януари-юни 2017 г. постъпленията възлизат на 40,9 млн. лв. и са с 15,1 % повече спрямо същия период на 2016 година. Те формират 43,7 % от общия обем на митата за отчетния период. На второ място по приходи от мита е вносът на стоки с произход Русия, които са в размер на 14,3 млн. лв. и отчитат увеличение с 91,9 % на годишна база. Тези постъпления имат относителен дял от 15,3 % от всички мита. Повишаването на приходите от мита за стоки с произход Русия се дължи основно на вноса на специфично оборудване от „Национална електрическа компания“ ЕАД. Постъпленият</w:t>
      </w:r>
      <w:r>
        <w:t xml:space="preserve">а от Япония са в размер на 5,0 </w:t>
      </w:r>
      <w:r w:rsidRPr="00E40DBD">
        <w:t>млн. лв., като се увеличават с 26,5 % и формират 5,3 % от всички мита. Постъпленията от внос на стоки с произход САЩ възлизат на 4,1 млн. лв., като отчитат ръст с 3,2 % и представляват 4,</w:t>
      </w:r>
      <w:proofErr w:type="spellStart"/>
      <w:r w:rsidRPr="00E40DBD">
        <w:t>4</w:t>
      </w:r>
      <w:proofErr w:type="spellEnd"/>
      <w:r w:rsidRPr="00E40DBD">
        <w:t xml:space="preserve"> % от всички мита. На следващо място е Еквадор, със събрани мита за отчетния период в размер на 3,1 млн. лв., като се повишават с 6,1 % и имат относителен дял от 3,4 %.</w:t>
      </w:r>
      <w:r>
        <w:t xml:space="preserve"> </w:t>
      </w:r>
      <w:r>
        <w:rPr>
          <w:color w:val="000000"/>
        </w:rPr>
        <w:t xml:space="preserve">Значителен спад в приходите от мита за първото полугодие на 2017 г. се отчита при </w:t>
      </w:r>
      <w:r w:rsidRPr="002B41B0">
        <w:rPr>
          <w:color w:val="000000"/>
        </w:rPr>
        <w:t>вно</w:t>
      </w:r>
      <w:r>
        <w:rPr>
          <w:color w:val="000000"/>
        </w:rPr>
        <w:t>с на стоки от Бразилия, като постъпленията намаляват</w:t>
      </w:r>
      <w:r w:rsidRPr="002B41B0">
        <w:rPr>
          <w:color w:val="000000"/>
        </w:rPr>
        <w:t xml:space="preserve"> </w:t>
      </w:r>
      <w:r>
        <w:rPr>
          <w:color w:val="000000"/>
        </w:rPr>
        <w:t xml:space="preserve">с 4,7 млн. лв. </w:t>
      </w:r>
      <w:r w:rsidRPr="002B41B0">
        <w:rPr>
          <w:color w:val="000000"/>
        </w:rPr>
        <w:t>(8</w:t>
      </w:r>
      <w:r>
        <w:rPr>
          <w:color w:val="000000"/>
        </w:rPr>
        <w:t>5,3 %). Основна причина за това е</w:t>
      </w:r>
      <w:r w:rsidRPr="0031622A">
        <w:rPr>
          <w:color w:val="000000"/>
        </w:rPr>
        <w:t xml:space="preserve"> </w:t>
      </w:r>
      <w:r w:rsidRPr="002B41B0">
        <w:rPr>
          <w:color w:val="000000"/>
        </w:rPr>
        <w:t>преустановения</w:t>
      </w:r>
      <w:r>
        <w:rPr>
          <w:color w:val="000000"/>
        </w:rPr>
        <w:t>т</w:t>
      </w:r>
      <w:r w:rsidRPr="002B41B0">
        <w:rPr>
          <w:color w:val="000000"/>
        </w:rPr>
        <w:t xml:space="preserve"> внос на стоки с код по КН 1701 (</w:t>
      </w:r>
      <w:r w:rsidRPr="002B41B0">
        <w:rPr>
          <w:bCs/>
        </w:rPr>
        <w:t xml:space="preserve">Захар от захарна тръстика или от цвекло и химически чиста </w:t>
      </w:r>
      <w:proofErr w:type="spellStart"/>
      <w:r w:rsidRPr="002B41B0">
        <w:rPr>
          <w:bCs/>
        </w:rPr>
        <w:t>захароза</w:t>
      </w:r>
      <w:proofErr w:type="spellEnd"/>
      <w:r w:rsidRPr="002B41B0">
        <w:rPr>
          <w:bCs/>
        </w:rPr>
        <w:t>, в твърдо състояние</w:t>
      </w:r>
      <w:r>
        <w:rPr>
          <w:color w:val="000000"/>
        </w:rPr>
        <w:t xml:space="preserve">). Намаление на годишна база се отчита и при </w:t>
      </w:r>
      <w:r w:rsidRPr="002B41B0">
        <w:rPr>
          <w:color w:val="000000"/>
        </w:rPr>
        <w:t xml:space="preserve">приходите от мита от внос на стоки </w:t>
      </w:r>
      <w:r>
        <w:rPr>
          <w:color w:val="000000"/>
        </w:rPr>
        <w:t>с произход</w:t>
      </w:r>
      <w:r w:rsidRPr="002B41B0">
        <w:rPr>
          <w:color w:val="000000"/>
        </w:rPr>
        <w:t xml:space="preserve"> Иран</w:t>
      </w:r>
      <w:r>
        <w:rPr>
          <w:color w:val="000000"/>
        </w:rPr>
        <w:t xml:space="preserve">, съответно с </w:t>
      </w:r>
      <w:r w:rsidRPr="002B41B0">
        <w:rPr>
          <w:color w:val="000000"/>
        </w:rPr>
        <w:t>0</w:t>
      </w:r>
      <w:r>
        <w:rPr>
          <w:color w:val="000000"/>
        </w:rPr>
        <w:t xml:space="preserve">,8 млн. лв. </w:t>
      </w:r>
      <w:r w:rsidRPr="002B41B0">
        <w:rPr>
          <w:color w:val="000000"/>
        </w:rPr>
        <w:t>(4</w:t>
      </w:r>
      <w:r>
        <w:rPr>
          <w:color w:val="000000"/>
        </w:rPr>
        <w:t xml:space="preserve">3,8 </w:t>
      </w:r>
      <w:r w:rsidRPr="002B41B0">
        <w:rPr>
          <w:color w:val="000000"/>
        </w:rPr>
        <w:t>%).</w:t>
      </w:r>
      <w:r>
        <w:rPr>
          <w:color w:val="000000"/>
        </w:rPr>
        <w:t xml:space="preserve"> Влияние върху по-ниските постъпления оказва спада във </w:t>
      </w:r>
      <w:r w:rsidRPr="002B41B0">
        <w:rPr>
          <w:color w:val="000000"/>
        </w:rPr>
        <w:t>внос</w:t>
      </w:r>
      <w:r>
        <w:rPr>
          <w:color w:val="000000"/>
        </w:rPr>
        <w:t>а</w:t>
      </w:r>
      <w:r w:rsidRPr="002B41B0">
        <w:rPr>
          <w:color w:val="000000"/>
        </w:rPr>
        <w:t xml:space="preserve"> на стоки с код по КН 3901 (</w:t>
      </w:r>
      <w:r>
        <w:rPr>
          <w:bCs/>
        </w:rPr>
        <w:t xml:space="preserve">Полимери на етилена в първични </w:t>
      </w:r>
      <w:r w:rsidRPr="002B41B0">
        <w:rPr>
          <w:bCs/>
        </w:rPr>
        <w:t>форми</w:t>
      </w:r>
      <w:r w:rsidRPr="002B41B0">
        <w:rPr>
          <w:color w:val="000000"/>
        </w:rPr>
        <w:t>)</w:t>
      </w:r>
      <w:r>
        <w:rPr>
          <w:color w:val="000000"/>
        </w:rPr>
        <w:t xml:space="preserve"> с </w:t>
      </w:r>
      <w:r w:rsidRPr="002B41B0">
        <w:rPr>
          <w:color w:val="000000"/>
        </w:rPr>
        <w:t>6</w:t>
      </w:r>
      <w:r>
        <w:rPr>
          <w:color w:val="000000"/>
        </w:rPr>
        <w:t xml:space="preserve">6,4 </w:t>
      </w:r>
      <w:r w:rsidRPr="002B41B0">
        <w:rPr>
          <w:color w:val="000000"/>
        </w:rPr>
        <w:t>%</w:t>
      </w:r>
      <w:r w:rsidRPr="00A525B0">
        <w:rPr>
          <w:color w:val="000000"/>
          <w:lang w:val="ru-RU"/>
        </w:rPr>
        <w:t xml:space="preserve"> </w:t>
      </w:r>
      <w:r>
        <w:rPr>
          <w:color w:val="000000"/>
        </w:rPr>
        <w:t xml:space="preserve">и на стоки </w:t>
      </w:r>
      <w:r w:rsidRPr="002B41B0">
        <w:rPr>
          <w:color w:val="000000"/>
        </w:rPr>
        <w:t>с код по КН 3903 (</w:t>
      </w:r>
      <w:r w:rsidRPr="002B41B0">
        <w:rPr>
          <w:bCs/>
        </w:rPr>
        <w:t>Полимери </w:t>
      </w:r>
      <w:r>
        <w:rPr>
          <w:bCs/>
        </w:rPr>
        <w:t>на </w:t>
      </w:r>
      <w:proofErr w:type="spellStart"/>
      <w:r w:rsidRPr="002B41B0">
        <w:rPr>
          <w:bCs/>
        </w:rPr>
        <w:t>стирена</w:t>
      </w:r>
      <w:proofErr w:type="spellEnd"/>
      <w:r w:rsidRPr="002B41B0">
        <w:rPr>
          <w:bCs/>
        </w:rPr>
        <w:t xml:space="preserve"> в първични форми</w:t>
      </w:r>
      <w:r w:rsidRPr="002B41B0">
        <w:rPr>
          <w:color w:val="000000"/>
        </w:rPr>
        <w:t xml:space="preserve">) </w:t>
      </w:r>
      <w:r>
        <w:rPr>
          <w:color w:val="000000"/>
        </w:rPr>
        <w:t xml:space="preserve">с 31,4 </w:t>
      </w:r>
      <w:r w:rsidRPr="002B41B0">
        <w:rPr>
          <w:color w:val="000000"/>
        </w:rPr>
        <w:t>%.</w:t>
      </w:r>
    </w:p>
    <w:p w:rsidR="008C7A23" w:rsidRPr="00F777FF" w:rsidRDefault="008C7A23" w:rsidP="008C7A23">
      <w:pPr>
        <w:shd w:val="clear" w:color="auto" w:fill="FFFFFF"/>
        <w:ind w:right="113"/>
        <w:jc w:val="both"/>
        <w:rPr>
          <w:i/>
          <w:color w:val="0070C0"/>
          <w:sz w:val="8"/>
          <w:szCs w:val="8"/>
        </w:rPr>
      </w:pPr>
    </w:p>
    <w:p w:rsidR="008C7A23" w:rsidRPr="00F777FF" w:rsidRDefault="008C7A23" w:rsidP="008C7A23">
      <w:pPr>
        <w:shd w:val="clear" w:color="auto" w:fill="FFFFFF"/>
        <w:ind w:right="113"/>
        <w:jc w:val="both"/>
        <w:rPr>
          <w:i/>
          <w:color w:val="0070C0"/>
          <w:sz w:val="8"/>
          <w:szCs w:val="8"/>
        </w:rPr>
      </w:pPr>
    </w:p>
    <w:p w:rsidR="008C7A23" w:rsidRPr="008D6565" w:rsidRDefault="008C7A23" w:rsidP="008C7A23">
      <w:pPr>
        <w:numPr>
          <w:ilvl w:val="0"/>
          <w:numId w:val="4"/>
        </w:numPr>
        <w:tabs>
          <w:tab w:val="clear" w:pos="1440"/>
          <w:tab w:val="num" w:pos="540"/>
        </w:tabs>
        <w:ind w:left="0" w:firstLine="180"/>
        <w:jc w:val="both"/>
        <w:rPr>
          <w:b/>
          <w:bCs/>
        </w:rPr>
      </w:pPr>
      <w:r w:rsidRPr="008D6565">
        <w:rPr>
          <w:b/>
          <w:bCs/>
        </w:rPr>
        <w:t>Други данъци</w:t>
      </w:r>
    </w:p>
    <w:p w:rsidR="008C7A23" w:rsidRPr="008D6565" w:rsidRDefault="008C7A23" w:rsidP="008C7A23">
      <w:pPr>
        <w:jc w:val="both"/>
        <w:rPr>
          <w:b/>
          <w:bCs/>
          <w:sz w:val="8"/>
          <w:szCs w:val="8"/>
        </w:rPr>
      </w:pPr>
    </w:p>
    <w:p w:rsidR="008C7A23" w:rsidRPr="008D6565" w:rsidRDefault="008C7A23" w:rsidP="008C7A23">
      <w:pPr>
        <w:spacing w:after="120"/>
        <w:ind w:right="-110"/>
        <w:jc w:val="both"/>
      </w:pPr>
      <w:r w:rsidRPr="008D6565">
        <w:t xml:space="preserve">Постъпленията от </w:t>
      </w:r>
      <w:r w:rsidRPr="008D6565">
        <w:rPr>
          <w:b/>
        </w:rPr>
        <w:t>други данъци</w:t>
      </w:r>
      <w:r w:rsidRPr="008D6565">
        <w:t xml:space="preserve"> по държавния бюджет към юни 2017 г. са в размер на </w:t>
      </w:r>
      <w:r w:rsidRPr="008D6565">
        <w:rPr>
          <w:b/>
        </w:rPr>
        <w:t>100,8</w:t>
      </w:r>
      <w:r w:rsidR="00AC2007" w:rsidRPr="00E14C87">
        <w:t> </w:t>
      </w:r>
      <w:r w:rsidRPr="008D6565">
        <w:rPr>
          <w:b/>
        </w:rPr>
        <w:t xml:space="preserve">млн. лв. </w:t>
      </w:r>
      <w:r w:rsidRPr="008D6565">
        <w:t xml:space="preserve">или 77,3 % от планираните със ЗДБРБ за 2017 година. </w:t>
      </w:r>
    </w:p>
    <w:p w:rsidR="008C7A23" w:rsidRPr="008D6565" w:rsidRDefault="008C7A23" w:rsidP="008C7A23">
      <w:pPr>
        <w:numPr>
          <w:ilvl w:val="0"/>
          <w:numId w:val="3"/>
        </w:numPr>
        <w:tabs>
          <w:tab w:val="num" w:pos="720"/>
        </w:tabs>
        <w:ind w:left="0" w:firstLine="180"/>
        <w:jc w:val="both"/>
      </w:pPr>
      <w:r w:rsidRPr="008D6565">
        <w:rPr>
          <w:b/>
          <w:bCs/>
        </w:rPr>
        <w:t>Неданъчни приходи</w:t>
      </w:r>
    </w:p>
    <w:p w:rsidR="008C7A23" w:rsidRPr="008D6565" w:rsidRDefault="008C7A23" w:rsidP="008C7A23">
      <w:pPr>
        <w:tabs>
          <w:tab w:val="left" w:pos="900"/>
        </w:tabs>
        <w:jc w:val="both"/>
        <w:rPr>
          <w:sz w:val="8"/>
          <w:szCs w:val="8"/>
        </w:rPr>
      </w:pPr>
    </w:p>
    <w:p w:rsidR="008C7A23" w:rsidRDefault="008C7A23" w:rsidP="008C7A23">
      <w:pPr>
        <w:tabs>
          <w:tab w:val="left" w:pos="900"/>
        </w:tabs>
        <w:spacing w:after="120"/>
        <w:jc w:val="both"/>
      </w:pPr>
      <w:r w:rsidRPr="008D6565">
        <w:t>Отчетените</w:t>
      </w:r>
      <w:r w:rsidRPr="008D6565">
        <w:rPr>
          <w:b/>
          <w:bCs/>
        </w:rPr>
        <w:t xml:space="preserve"> неданъчни приходи</w:t>
      </w:r>
      <w:r w:rsidRPr="008D6565">
        <w:t xml:space="preserve"> по държавния бюджет към юни 2017 г. са в размер на </w:t>
      </w:r>
      <w:r w:rsidRPr="008D6565">
        <w:rPr>
          <w:b/>
        </w:rPr>
        <w:t>1 105,7 млн. лв</w:t>
      </w:r>
      <w:r w:rsidRPr="008D6565">
        <w:t xml:space="preserve">. и се формират основно от приходи от държавни такси, приходи и доходи от собственост, приходи от концесии и други. </w:t>
      </w:r>
    </w:p>
    <w:p w:rsidR="008C7A23" w:rsidRPr="008D6565" w:rsidRDefault="008C7A23" w:rsidP="008C7A23">
      <w:pPr>
        <w:numPr>
          <w:ilvl w:val="0"/>
          <w:numId w:val="3"/>
        </w:numPr>
        <w:tabs>
          <w:tab w:val="num" w:pos="720"/>
        </w:tabs>
        <w:spacing w:after="120"/>
        <w:ind w:left="0" w:firstLine="180"/>
        <w:jc w:val="both"/>
        <w:rPr>
          <w:b/>
          <w:bCs/>
        </w:rPr>
      </w:pPr>
      <w:r w:rsidRPr="008D6565">
        <w:rPr>
          <w:b/>
          <w:bCs/>
        </w:rPr>
        <w:t xml:space="preserve">Помощи </w:t>
      </w:r>
    </w:p>
    <w:p w:rsidR="008C7A23" w:rsidRPr="008D6565" w:rsidRDefault="008C7A23" w:rsidP="008C7A23">
      <w:pPr>
        <w:spacing w:after="120"/>
        <w:jc w:val="both"/>
      </w:pPr>
      <w:r w:rsidRPr="008D6565">
        <w:t xml:space="preserve">Постъпилите </w:t>
      </w:r>
      <w:r w:rsidRPr="008D6565">
        <w:rPr>
          <w:b/>
        </w:rPr>
        <w:t>помощи</w:t>
      </w:r>
      <w:r w:rsidRPr="008D6565">
        <w:t xml:space="preserve"> по държавния бюджет към юни 2017 г. са в размер на </w:t>
      </w:r>
      <w:r w:rsidRPr="008D6565">
        <w:rPr>
          <w:b/>
        </w:rPr>
        <w:t>3,4 млн. лв.</w:t>
      </w:r>
      <w:r w:rsidRPr="008D6565">
        <w:t xml:space="preserve"> и са по бюджетите на министерствата и ведомствата.</w:t>
      </w:r>
    </w:p>
    <w:p w:rsidR="004B5DC2" w:rsidRPr="00296F8F" w:rsidRDefault="004B5DC2" w:rsidP="00337CA7">
      <w:pPr>
        <w:numPr>
          <w:ilvl w:val="0"/>
          <w:numId w:val="6"/>
        </w:numPr>
        <w:tabs>
          <w:tab w:val="clear" w:pos="700"/>
          <w:tab w:val="num" w:pos="786"/>
        </w:tabs>
        <w:spacing w:before="240"/>
        <w:ind w:left="0" w:firstLine="0"/>
        <w:jc w:val="both"/>
        <w:rPr>
          <w:b/>
          <w:bCs/>
          <w:lang w:eastAsia="bg-BG"/>
        </w:rPr>
      </w:pPr>
      <w:r w:rsidRPr="00296F8F">
        <w:rPr>
          <w:b/>
          <w:bCs/>
          <w:lang w:eastAsia="bg-BG"/>
        </w:rPr>
        <w:lastRenderedPageBreak/>
        <w:t>Разходи по държавния бюджет</w:t>
      </w:r>
    </w:p>
    <w:p w:rsidR="004B5DC2" w:rsidRPr="0092537A" w:rsidRDefault="004B5DC2" w:rsidP="004B5DC2">
      <w:pPr>
        <w:jc w:val="both"/>
        <w:rPr>
          <w:b/>
          <w:bCs/>
          <w:color w:val="0070C0"/>
          <w:sz w:val="4"/>
          <w:szCs w:val="4"/>
          <w:lang w:eastAsia="bg-BG"/>
        </w:rPr>
      </w:pPr>
    </w:p>
    <w:p w:rsidR="004B5DC2" w:rsidRPr="0092537A" w:rsidRDefault="004B5DC2" w:rsidP="004B5DC2">
      <w:pPr>
        <w:jc w:val="both"/>
        <w:rPr>
          <w:color w:val="0070C0"/>
          <w:sz w:val="8"/>
          <w:szCs w:val="8"/>
        </w:rPr>
      </w:pPr>
    </w:p>
    <w:p w:rsidR="00296F8F" w:rsidRPr="00C96A97" w:rsidRDefault="00296F8F" w:rsidP="00296F8F">
      <w:pPr>
        <w:pStyle w:val="BodyTextIndent"/>
        <w:spacing w:after="0"/>
        <w:ind w:left="0"/>
        <w:jc w:val="both"/>
      </w:pPr>
      <w:r w:rsidRPr="00C96A97">
        <w:t xml:space="preserve">Общият размер на </w:t>
      </w:r>
      <w:r w:rsidRPr="00C96A97">
        <w:rPr>
          <w:b/>
        </w:rPr>
        <w:t>разходите по държавния бюджет</w:t>
      </w:r>
      <w:r w:rsidRPr="00C96A97">
        <w:t xml:space="preserve"> (вкл. трансферите за др. бюджети и вноската в бюджета на ЕС) към юни 2017 г. е </w:t>
      </w:r>
      <w:r w:rsidRPr="00C96A97">
        <w:rPr>
          <w:b/>
        </w:rPr>
        <w:t>9 814,6 млн. лв</w:t>
      </w:r>
      <w:r w:rsidRPr="00C96A97">
        <w:t>. или 43,1 % от предвидените със ЗДБРБ за 2017 година.</w:t>
      </w:r>
    </w:p>
    <w:p w:rsidR="00296F8F" w:rsidRPr="00F777FF" w:rsidRDefault="00296F8F" w:rsidP="00296F8F">
      <w:pPr>
        <w:pStyle w:val="BodyTextIndent"/>
        <w:spacing w:after="0"/>
        <w:ind w:left="0"/>
        <w:jc w:val="both"/>
        <w:rPr>
          <w:color w:val="0070C0"/>
        </w:rPr>
      </w:pPr>
    </w:p>
    <w:p w:rsidR="00296F8F" w:rsidRPr="00F777FF" w:rsidRDefault="00296F8F" w:rsidP="00296F8F">
      <w:pPr>
        <w:pStyle w:val="BodyTextIndent"/>
        <w:spacing w:after="0"/>
        <w:ind w:left="0"/>
        <w:jc w:val="center"/>
        <w:rPr>
          <w:b/>
          <w:color w:val="0070C0"/>
          <w:sz w:val="4"/>
          <w:szCs w:val="4"/>
          <w:u w:val="single"/>
        </w:rPr>
      </w:pPr>
    </w:p>
    <w:p w:rsidR="00296F8F" w:rsidRPr="00416333" w:rsidRDefault="00296F8F" w:rsidP="00296F8F">
      <w:pPr>
        <w:pStyle w:val="BodyTextIndent"/>
        <w:spacing w:after="0"/>
        <w:ind w:left="0"/>
        <w:jc w:val="center"/>
        <w:rPr>
          <w:b/>
          <w:u w:val="single"/>
        </w:rPr>
      </w:pPr>
      <w:r w:rsidRPr="00416333">
        <w:rPr>
          <w:b/>
          <w:u w:val="single"/>
        </w:rPr>
        <w:t xml:space="preserve">Разходи, трансфери за други бюджети и вноска в бюджета на ЕС </w:t>
      </w:r>
    </w:p>
    <w:p w:rsidR="00296F8F" w:rsidRPr="00416333" w:rsidRDefault="00296F8F" w:rsidP="00296F8F">
      <w:pPr>
        <w:pStyle w:val="BodyTextIndent"/>
        <w:spacing w:after="0"/>
        <w:ind w:left="0"/>
        <w:jc w:val="center"/>
        <w:rPr>
          <w:b/>
          <w:u w:val="single"/>
        </w:rPr>
      </w:pPr>
      <w:r w:rsidRPr="00416333">
        <w:rPr>
          <w:b/>
          <w:u w:val="single"/>
        </w:rPr>
        <w:t>към юни 2016 г. и 2017 г.</w:t>
      </w:r>
    </w:p>
    <w:p w:rsidR="004B5DC2" w:rsidRDefault="004B5DC2" w:rsidP="004B5DC2">
      <w:pPr>
        <w:jc w:val="center"/>
        <w:rPr>
          <w:b/>
          <w:color w:val="0070C0"/>
          <w:u w:val="single"/>
        </w:rPr>
      </w:pPr>
    </w:p>
    <w:p w:rsidR="00296F8F" w:rsidRDefault="00296F8F" w:rsidP="004B5DC2">
      <w:pPr>
        <w:jc w:val="center"/>
        <w:rPr>
          <w:b/>
          <w:color w:val="0070C0"/>
          <w:u w:val="single"/>
        </w:rPr>
      </w:pPr>
      <w:r>
        <w:rPr>
          <w:noProof/>
          <w:lang w:eastAsia="bg-BG"/>
        </w:rPr>
        <w:drawing>
          <wp:inline distT="0" distB="0" distL="0" distR="0" wp14:anchorId="2DDC50D0" wp14:editId="78150A3C">
            <wp:extent cx="5844540" cy="2834640"/>
            <wp:effectExtent l="0" t="0" r="2286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5DC2" w:rsidRPr="0092537A" w:rsidRDefault="004B5DC2" w:rsidP="004B5DC2">
      <w:pPr>
        <w:jc w:val="center"/>
        <w:rPr>
          <w:b/>
          <w:color w:val="0070C0"/>
          <w:sz w:val="4"/>
          <w:szCs w:val="4"/>
          <w:u w:val="single"/>
        </w:rPr>
      </w:pPr>
    </w:p>
    <w:p w:rsidR="004B5DC2" w:rsidRPr="00296F8F" w:rsidRDefault="004B5DC2" w:rsidP="004B5DC2">
      <w:pPr>
        <w:rPr>
          <w:sz w:val="18"/>
          <w:szCs w:val="18"/>
          <w:lang w:eastAsia="bg-BG"/>
        </w:rPr>
      </w:pPr>
      <w:r w:rsidRPr="00296F8F">
        <w:rPr>
          <w:sz w:val="18"/>
          <w:szCs w:val="18"/>
          <w:lang w:eastAsia="bg-BG"/>
        </w:rPr>
        <w:t xml:space="preserve">       *</w:t>
      </w:r>
      <w:r w:rsidRPr="00296F8F">
        <w:rPr>
          <w:lang w:eastAsia="bg-BG"/>
        </w:rPr>
        <w:t xml:space="preserve"> </w:t>
      </w:r>
      <w:r w:rsidRPr="00296F8F">
        <w:rPr>
          <w:sz w:val="18"/>
          <w:szCs w:val="18"/>
          <w:lang w:eastAsia="bg-BG"/>
        </w:rPr>
        <w:t>Вкл. нетния прираст на държавния резерв</w:t>
      </w:r>
    </w:p>
    <w:p w:rsidR="004B5DC2" w:rsidRPr="0092537A" w:rsidRDefault="004B5DC2" w:rsidP="004B5DC2">
      <w:pPr>
        <w:rPr>
          <w:b/>
          <w:color w:val="0070C0"/>
          <w:sz w:val="22"/>
          <w:szCs w:val="22"/>
          <w:u w:val="single"/>
          <w:lang w:eastAsia="bg-BG"/>
        </w:rPr>
      </w:pPr>
    </w:p>
    <w:p w:rsidR="004B5DC2" w:rsidRPr="00C1476B" w:rsidRDefault="004B5DC2" w:rsidP="00337CA7">
      <w:pPr>
        <w:numPr>
          <w:ilvl w:val="0"/>
          <w:numId w:val="22"/>
        </w:numPr>
        <w:spacing w:before="120"/>
        <w:jc w:val="both"/>
        <w:rPr>
          <w:b/>
          <w:bCs/>
        </w:rPr>
      </w:pPr>
      <w:r w:rsidRPr="00C1476B">
        <w:rPr>
          <w:b/>
          <w:bCs/>
        </w:rPr>
        <w:t>Нелихвени разходи</w:t>
      </w:r>
    </w:p>
    <w:p w:rsidR="00C1476B" w:rsidRPr="006601E2" w:rsidRDefault="00C1476B" w:rsidP="00C1476B">
      <w:pPr>
        <w:spacing w:before="120"/>
        <w:jc w:val="both"/>
        <w:rPr>
          <w:bCs/>
        </w:rPr>
      </w:pPr>
      <w:r w:rsidRPr="006601E2">
        <w:rPr>
          <w:b/>
          <w:bCs/>
        </w:rPr>
        <w:t>Нелихвените разходи</w:t>
      </w:r>
      <w:r w:rsidRPr="006601E2">
        <w:rPr>
          <w:bCs/>
        </w:rPr>
        <w:t xml:space="preserve"> по държавния бюджет (без трансферите за др. бюджети) към юни 2017</w:t>
      </w:r>
      <w:r w:rsidR="006705D9" w:rsidRPr="006601E2">
        <w:rPr>
          <w:bCs/>
        </w:rPr>
        <w:t> </w:t>
      </w:r>
      <w:r w:rsidRPr="006601E2">
        <w:rPr>
          <w:bCs/>
        </w:rPr>
        <w:t xml:space="preserve">г. са в размер на </w:t>
      </w:r>
      <w:r w:rsidRPr="006601E2">
        <w:rPr>
          <w:b/>
          <w:bCs/>
        </w:rPr>
        <w:t>3 814,5 млн. лв</w:t>
      </w:r>
      <w:r w:rsidRPr="006601E2">
        <w:rPr>
          <w:bCs/>
        </w:rPr>
        <w:t xml:space="preserve">., което представлява 37,3 % от годишния разчет. Съпоставени с данните към юни 2016 г., нелихвените разходи нарастват със 75,1 млн. лв. (2,0 %). </w:t>
      </w:r>
    </w:p>
    <w:p w:rsidR="00C1476B" w:rsidRPr="001C02E1" w:rsidRDefault="00C1476B" w:rsidP="00C1476B">
      <w:pPr>
        <w:spacing w:after="120"/>
        <w:jc w:val="both"/>
        <w:rPr>
          <w:b/>
          <w:sz w:val="4"/>
          <w:szCs w:val="4"/>
        </w:rPr>
      </w:pPr>
      <w:r w:rsidRPr="006601E2">
        <w:rPr>
          <w:bCs/>
        </w:rPr>
        <w:t xml:space="preserve">Разходите за персонал (заплати и </w:t>
      </w:r>
      <w:r w:rsidRPr="006601E2">
        <w:rPr>
          <w:bCs/>
          <w:noProof/>
        </w:rPr>
        <w:t>възнаграждения</w:t>
      </w:r>
      <w:r w:rsidRPr="006601E2">
        <w:rPr>
          <w:bCs/>
        </w:rPr>
        <w:t xml:space="preserve">, други възнаграждения и плащания за персонала и осигурителни вноски) са в общ размер на 2 030,2 млн. лв. или 49,6 % от планираните </w:t>
      </w:r>
      <w:r w:rsidRPr="006601E2">
        <w:t xml:space="preserve">за 2017 </w:t>
      </w:r>
      <w:r w:rsidRPr="006601E2">
        <w:rPr>
          <w:bCs/>
        </w:rPr>
        <w:t>г. Разходите за издръжка (</w:t>
      </w:r>
      <w:r w:rsidR="00D13F8F" w:rsidRPr="00381D56">
        <w:rPr>
          <w:bCs/>
        </w:rPr>
        <w:t>вкл. разходи за членски внос и участие в нетърговски организации и дейности, платени данъци, такси и административни санкции и предоставени текущи трансфери за чужбина</w:t>
      </w:r>
      <w:r w:rsidRPr="006601E2">
        <w:rPr>
          <w:bCs/>
        </w:rPr>
        <w:t xml:space="preserve">) са в размер на 668,8 млн. лв. или 32,6 % от планираните </w:t>
      </w:r>
      <w:r w:rsidRPr="006601E2">
        <w:t>за годината</w:t>
      </w:r>
      <w:r w:rsidRPr="006601E2">
        <w:rPr>
          <w:bCs/>
        </w:rPr>
        <w:t xml:space="preserve">. Социалните разходи (вкл. разходите за стипендии) са в размер на 417,3 млн. лв. или 38,9 % от предвидените </w:t>
      </w:r>
      <w:r w:rsidRPr="006601E2">
        <w:t>за годината</w:t>
      </w:r>
      <w:r w:rsidRPr="006601E2">
        <w:rPr>
          <w:bCs/>
        </w:rPr>
        <w:t xml:space="preserve"> и са основно разходи по бюджета на МТСП за помощи и добавки по Закона за социално подпомагане, Закона за интеграция на хората с увреждания, Закона за семейните помощи за деца и др</w:t>
      </w:r>
      <w:r w:rsidRPr="00517A67">
        <w:rPr>
          <w:bCs/>
        </w:rPr>
        <w:t>. Разходите за субсидии са в размер на 520,8 млн. лв. или 57,3 % от планираните за годината. От тях 87,0</w:t>
      </w:r>
      <w:r w:rsidRPr="00517A67">
        <w:t xml:space="preserve"> </w:t>
      </w:r>
      <w:r w:rsidRPr="00517A67">
        <w:rPr>
          <w:bCs/>
        </w:rPr>
        <w:t xml:space="preserve">млн. лв. са субсидиите за </w:t>
      </w:r>
      <w:r w:rsidRPr="00517A67">
        <w:t xml:space="preserve">„БДЖ – Пътнически превози” ЕООД; 75,2 </w:t>
      </w:r>
      <w:r w:rsidRPr="00517A67">
        <w:rPr>
          <w:bCs/>
        </w:rPr>
        <w:t xml:space="preserve">млн. лв. са субсидиите за </w:t>
      </w:r>
      <w:r w:rsidRPr="00517A67">
        <w:t>Национална компания „Железопътна инфраструктура”</w:t>
      </w:r>
      <w:r w:rsidRPr="00517A67">
        <w:rPr>
          <w:bCs/>
        </w:rPr>
        <w:t xml:space="preserve"> </w:t>
      </w:r>
      <w:r w:rsidRPr="00517A67">
        <w:t xml:space="preserve">и 35,3 млн. лв. за „Български пощи” ЕАД. </w:t>
      </w:r>
      <w:r w:rsidRPr="001C02E1">
        <w:t xml:space="preserve">Към края на месец юни </w:t>
      </w:r>
      <w:r w:rsidRPr="001C02E1">
        <w:rPr>
          <w:bCs/>
        </w:rPr>
        <w:t>2017 г. ДФ „Земеделие“ e изплатил субсидии в общ размер на 164,3 млн. лв., от които 88,5 млн. лв. преходна национална помощ за сектор „Тютюн“, 50,0 млн. лв. държавна помощ, 21,4 млн. лв. преходна национална помощ за сектор „Животновъдство“ и 2,</w:t>
      </w:r>
      <w:proofErr w:type="spellStart"/>
      <w:r w:rsidRPr="001C02E1">
        <w:rPr>
          <w:bCs/>
        </w:rPr>
        <w:t>2</w:t>
      </w:r>
      <w:proofErr w:type="spellEnd"/>
      <w:r w:rsidRPr="001C02E1">
        <w:rPr>
          <w:bCs/>
        </w:rPr>
        <w:t xml:space="preserve"> млн. лв. средства за ДДС по схеми „Училищен плод“ и „Училищно мляко“. Капиталовите разходи възлизат на 177,3 млн. лв. или 8,5 % от планираните </w:t>
      </w:r>
      <w:r w:rsidRPr="001C02E1">
        <w:t xml:space="preserve">за 2017 </w:t>
      </w:r>
      <w:r w:rsidRPr="001C02E1">
        <w:rPr>
          <w:bCs/>
        </w:rPr>
        <w:t>г.</w:t>
      </w:r>
    </w:p>
    <w:p w:rsidR="00E918B7" w:rsidRPr="00552960" w:rsidRDefault="00E918B7" w:rsidP="00337CA7">
      <w:pPr>
        <w:pStyle w:val="BodyTextIndent"/>
        <w:numPr>
          <w:ilvl w:val="1"/>
          <w:numId w:val="14"/>
        </w:numPr>
        <w:tabs>
          <w:tab w:val="clear" w:pos="2160"/>
          <w:tab w:val="num" w:pos="720"/>
          <w:tab w:val="num" w:pos="900"/>
        </w:tabs>
        <w:spacing w:before="120" w:after="0"/>
        <w:ind w:left="720"/>
        <w:jc w:val="both"/>
        <w:rPr>
          <w:b/>
          <w:bCs/>
        </w:rPr>
      </w:pPr>
      <w:r w:rsidRPr="00552960">
        <w:rPr>
          <w:b/>
        </w:rPr>
        <w:t>Просрочени задължения</w:t>
      </w:r>
    </w:p>
    <w:p w:rsidR="00E918B7" w:rsidRPr="0092537A" w:rsidRDefault="00E918B7" w:rsidP="00E918B7">
      <w:pPr>
        <w:pStyle w:val="BodyTextIndent"/>
        <w:spacing w:after="0"/>
        <w:ind w:left="0"/>
        <w:jc w:val="both"/>
        <w:rPr>
          <w:b/>
          <w:bCs/>
          <w:color w:val="0070C0"/>
          <w:sz w:val="12"/>
          <w:szCs w:val="12"/>
        </w:rPr>
      </w:pPr>
    </w:p>
    <w:p w:rsidR="009C721E" w:rsidRPr="00552960" w:rsidRDefault="009C721E" w:rsidP="009C721E">
      <w:pPr>
        <w:ind w:firstLine="567"/>
        <w:jc w:val="both"/>
      </w:pPr>
      <w:r w:rsidRPr="00552960">
        <w:t xml:space="preserve">Към </w:t>
      </w:r>
      <w:r w:rsidR="00552960" w:rsidRPr="00552960">
        <w:rPr>
          <w:lang w:val="en-US"/>
        </w:rPr>
        <w:t>30</w:t>
      </w:r>
      <w:r w:rsidRPr="00552960">
        <w:t>.</w:t>
      </w:r>
      <w:r w:rsidR="00552960" w:rsidRPr="00552960">
        <w:rPr>
          <w:lang w:val="en-US"/>
        </w:rPr>
        <w:t>06</w:t>
      </w:r>
      <w:r w:rsidRPr="00552960">
        <w:t>.201</w:t>
      </w:r>
      <w:r w:rsidR="004B5DC2" w:rsidRPr="00552960">
        <w:t>7</w:t>
      </w:r>
      <w:r w:rsidRPr="00552960">
        <w:t xml:space="preserve"> г. просрочените задължения на централно и местно правителство са в размер на </w:t>
      </w:r>
      <w:r w:rsidR="00D5660E">
        <w:rPr>
          <w:b/>
        </w:rPr>
        <w:t>211,</w:t>
      </w:r>
      <w:r w:rsidR="00302DCB">
        <w:rPr>
          <w:b/>
          <w:lang w:val="en-US"/>
        </w:rPr>
        <w:t>6</w:t>
      </w:r>
      <w:r w:rsidRPr="00552960">
        <w:rPr>
          <w:b/>
        </w:rPr>
        <w:t xml:space="preserve"> млн. лева.</w:t>
      </w:r>
      <w:r w:rsidRPr="00552960">
        <w:t xml:space="preserve"> </w:t>
      </w:r>
    </w:p>
    <w:p w:rsidR="009C721E" w:rsidRPr="00DF591B" w:rsidRDefault="009C721E" w:rsidP="009C721E">
      <w:pPr>
        <w:ind w:firstLine="567"/>
        <w:jc w:val="both"/>
      </w:pPr>
      <w:r w:rsidRPr="007860AA">
        <w:lastRenderedPageBreak/>
        <w:t xml:space="preserve">Размерът на просрочените задължения на </w:t>
      </w:r>
      <w:r w:rsidRPr="007860AA">
        <w:rPr>
          <w:b/>
        </w:rPr>
        <w:t>централно правителство</w:t>
      </w:r>
      <w:r w:rsidRPr="007860AA">
        <w:t xml:space="preserve"> (министерства, </w:t>
      </w:r>
      <w:r w:rsidRPr="00A317E7">
        <w:t>ведомства и разпоредителите с бюджет по чл. 13, ал. 3 и ал. 4 на ЗПФ) е</w:t>
      </w:r>
      <w:r w:rsidRPr="00A317E7">
        <w:rPr>
          <w:b/>
        </w:rPr>
        <w:t xml:space="preserve"> </w:t>
      </w:r>
      <w:r w:rsidR="00A317E7" w:rsidRPr="00A317E7">
        <w:rPr>
          <w:b/>
        </w:rPr>
        <w:t>62,</w:t>
      </w:r>
      <w:r w:rsidR="00BF0851">
        <w:rPr>
          <w:b/>
        </w:rPr>
        <w:t>1</w:t>
      </w:r>
      <w:r w:rsidR="00BF0851" w:rsidRPr="00A317E7">
        <w:rPr>
          <w:b/>
        </w:rPr>
        <w:t xml:space="preserve"> </w:t>
      </w:r>
      <w:r w:rsidRPr="00A317E7">
        <w:rPr>
          <w:b/>
        </w:rPr>
        <w:t>млн. лева</w:t>
      </w:r>
      <w:r w:rsidRPr="00A317E7">
        <w:t xml:space="preserve">. </w:t>
      </w:r>
      <w:r w:rsidR="001157F9" w:rsidRPr="00212798">
        <w:t>Съпоставено с първото тримесечие на 201</w:t>
      </w:r>
      <w:r w:rsidR="001157F9">
        <w:t>7</w:t>
      </w:r>
      <w:r w:rsidR="001157F9" w:rsidRPr="00212798">
        <w:t xml:space="preserve"> г</w:t>
      </w:r>
      <w:r w:rsidR="001157F9" w:rsidRPr="002D6701">
        <w:t xml:space="preserve">. просрочените задължения на централно правителство са </w:t>
      </w:r>
      <w:r w:rsidR="00913E2B">
        <w:t>се увеличили</w:t>
      </w:r>
      <w:r w:rsidR="001157F9" w:rsidRPr="002D6701">
        <w:t xml:space="preserve"> с 1,9 млн. лева.</w:t>
      </w:r>
      <w:r w:rsidRPr="002D6701">
        <w:t xml:space="preserve"> В обхвата на държавния бюджет по-значими проблеми с наличие на просрочени задължения съществуват </w:t>
      </w:r>
      <w:r w:rsidRPr="002D6701">
        <w:rPr>
          <w:bCs/>
        </w:rPr>
        <w:t>при няколко министерства, което изисква активни мерки от тези първостепенни разпоредители с бюджет за редуцирането им. С най-значими</w:t>
      </w:r>
      <w:r w:rsidRPr="002D6701">
        <w:t xml:space="preserve"> просрочени задължения по държавния бюджет е Министерство на отбраната - </w:t>
      </w:r>
      <w:r w:rsidRPr="002D6701">
        <w:rPr>
          <w:bCs/>
          <w:noProof/>
        </w:rPr>
        <w:t xml:space="preserve">към края на </w:t>
      </w:r>
      <w:r w:rsidR="002D6701" w:rsidRPr="002D6701">
        <w:rPr>
          <w:bCs/>
          <w:noProof/>
        </w:rPr>
        <w:t>юни</w:t>
      </w:r>
      <w:r w:rsidRPr="002D6701">
        <w:rPr>
          <w:bCs/>
          <w:noProof/>
        </w:rPr>
        <w:t xml:space="preserve"> 201</w:t>
      </w:r>
      <w:r w:rsidR="003E678B" w:rsidRPr="002D6701">
        <w:rPr>
          <w:bCs/>
          <w:noProof/>
        </w:rPr>
        <w:t>7</w:t>
      </w:r>
      <w:r w:rsidRPr="002D6701">
        <w:rPr>
          <w:bCs/>
          <w:noProof/>
        </w:rPr>
        <w:t xml:space="preserve"> г. просрочените задължения са в размер на </w:t>
      </w:r>
      <w:r w:rsidR="002D6701" w:rsidRPr="002D6701">
        <w:rPr>
          <w:bCs/>
          <w:noProof/>
        </w:rPr>
        <w:t>14,8</w:t>
      </w:r>
      <w:r w:rsidRPr="002D6701">
        <w:rPr>
          <w:noProof/>
        </w:rPr>
        <w:t xml:space="preserve"> млн. лв. (намаление с </w:t>
      </w:r>
      <w:r w:rsidR="0085580B" w:rsidRPr="002D6701">
        <w:rPr>
          <w:noProof/>
        </w:rPr>
        <w:t>0,</w:t>
      </w:r>
      <w:r w:rsidR="002D6701" w:rsidRPr="002D6701">
        <w:rPr>
          <w:noProof/>
        </w:rPr>
        <w:t>4</w:t>
      </w:r>
      <w:r w:rsidRPr="002D6701">
        <w:rPr>
          <w:noProof/>
        </w:rPr>
        <w:t xml:space="preserve"> млн. лв. </w:t>
      </w:r>
      <w:r w:rsidRPr="002D6701">
        <w:t xml:space="preserve">спрямо </w:t>
      </w:r>
      <w:r w:rsidR="0085580B" w:rsidRPr="0097519C">
        <w:t xml:space="preserve">отчетените </w:t>
      </w:r>
      <w:r w:rsidR="002D6701" w:rsidRPr="0097519C">
        <w:t xml:space="preserve">през </w:t>
      </w:r>
      <w:r w:rsidR="0085580B" w:rsidRPr="0097519C">
        <w:t xml:space="preserve"> </w:t>
      </w:r>
      <w:r w:rsidR="002D6701" w:rsidRPr="0097519C">
        <w:t xml:space="preserve">първото тримесечие </w:t>
      </w:r>
      <w:r w:rsidR="0085580B" w:rsidRPr="0097519C">
        <w:t xml:space="preserve">на </w:t>
      </w:r>
      <w:r w:rsidRPr="0097519C">
        <w:t>201</w:t>
      </w:r>
      <w:r w:rsidR="002D6701" w:rsidRPr="0097519C">
        <w:t>7</w:t>
      </w:r>
      <w:r w:rsidRPr="0097519C">
        <w:t xml:space="preserve"> г.</w:t>
      </w:r>
      <w:r w:rsidRPr="0097519C">
        <w:rPr>
          <w:noProof/>
        </w:rPr>
        <w:t xml:space="preserve">), от които </w:t>
      </w:r>
      <w:r w:rsidR="00753B48" w:rsidRPr="0097519C">
        <w:rPr>
          <w:noProof/>
        </w:rPr>
        <w:t>14,</w:t>
      </w:r>
      <w:r w:rsidR="002D6701" w:rsidRPr="0097519C">
        <w:rPr>
          <w:noProof/>
        </w:rPr>
        <w:t>2</w:t>
      </w:r>
      <w:r w:rsidRPr="0097519C">
        <w:rPr>
          <w:noProof/>
        </w:rPr>
        <w:t xml:space="preserve"> млн. лв. са на ВМА. Проблеми с наличието на просрочени задължения има и в бюджетните системи на </w:t>
      </w:r>
      <w:r w:rsidR="00575BC1" w:rsidRPr="002C14E6">
        <w:rPr>
          <w:noProof/>
        </w:rPr>
        <w:t>Министерство на земеделието и храните (</w:t>
      </w:r>
      <w:r w:rsidR="0097519C" w:rsidRPr="002C14E6">
        <w:rPr>
          <w:noProof/>
        </w:rPr>
        <w:t>13,2</w:t>
      </w:r>
      <w:r w:rsidR="00575BC1" w:rsidRPr="002C14E6">
        <w:rPr>
          <w:noProof/>
        </w:rPr>
        <w:t xml:space="preserve"> млн. лв.)</w:t>
      </w:r>
      <w:r w:rsidR="00753B48" w:rsidRPr="002C14E6">
        <w:rPr>
          <w:noProof/>
        </w:rPr>
        <w:t>,</w:t>
      </w:r>
      <w:r w:rsidR="00575BC1" w:rsidRPr="002C14E6">
        <w:rPr>
          <w:noProof/>
        </w:rPr>
        <w:t xml:space="preserve"> </w:t>
      </w:r>
      <w:r w:rsidR="00753B48" w:rsidRPr="002C14E6">
        <w:rPr>
          <w:noProof/>
        </w:rPr>
        <w:t>Министерството на вътрешните работи (</w:t>
      </w:r>
      <w:r w:rsidR="002C14E6" w:rsidRPr="002C14E6">
        <w:rPr>
          <w:noProof/>
        </w:rPr>
        <w:t>10,</w:t>
      </w:r>
      <w:r w:rsidR="00BF0851">
        <w:rPr>
          <w:noProof/>
        </w:rPr>
        <w:t>3</w:t>
      </w:r>
      <w:r w:rsidR="00BF0851" w:rsidRPr="002C14E6">
        <w:rPr>
          <w:noProof/>
        </w:rPr>
        <w:t xml:space="preserve"> </w:t>
      </w:r>
      <w:r w:rsidR="00753B48" w:rsidRPr="002C14E6">
        <w:rPr>
          <w:noProof/>
        </w:rPr>
        <w:t>млн. лв</w:t>
      </w:r>
      <w:r w:rsidR="00753B48" w:rsidRPr="00DF591B">
        <w:rPr>
          <w:noProof/>
        </w:rPr>
        <w:t xml:space="preserve">.) </w:t>
      </w:r>
      <w:r w:rsidRPr="00DF591B">
        <w:rPr>
          <w:noProof/>
        </w:rPr>
        <w:t xml:space="preserve">и други. От разпоредителите с бюджет по чл. 13, ал. 3 на Закона за публичните финанси проблеми с наличието на просрочени задължения имат </w:t>
      </w:r>
      <w:r w:rsidR="003748CB" w:rsidRPr="00DF591B">
        <w:rPr>
          <w:noProof/>
        </w:rPr>
        <w:t xml:space="preserve">основно </w:t>
      </w:r>
      <w:r w:rsidR="00911B8C" w:rsidRPr="00DF591B">
        <w:rPr>
          <w:noProof/>
        </w:rPr>
        <w:t>Българската национална телевизия (</w:t>
      </w:r>
      <w:r w:rsidR="00DF591B" w:rsidRPr="00DF591B">
        <w:rPr>
          <w:noProof/>
        </w:rPr>
        <w:t>7,9</w:t>
      </w:r>
      <w:r w:rsidR="00911B8C" w:rsidRPr="00DF591B">
        <w:rPr>
          <w:noProof/>
        </w:rPr>
        <w:t xml:space="preserve"> млн. лв.) и </w:t>
      </w:r>
      <w:r w:rsidRPr="00DF591B">
        <w:rPr>
          <w:noProof/>
        </w:rPr>
        <w:t>държавните висши училища (</w:t>
      </w:r>
      <w:r w:rsidR="00DF591B" w:rsidRPr="00DF591B">
        <w:rPr>
          <w:noProof/>
        </w:rPr>
        <w:t>8,1</w:t>
      </w:r>
      <w:r w:rsidRPr="00DF591B">
        <w:rPr>
          <w:noProof/>
        </w:rPr>
        <w:t xml:space="preserve"> млн. лв.).</w:t>
      </w:r>
    </w:p>
    <w:p w:rsidR="009C721E" w:rsidRPr="0092537A" w:rsidRDefault="009C721E" w:rsidP="009C721E">
      <w:pPr>
        <w:ind w:firstLine="567"/>
        <w:jc w:val="both"/>
        <w:rPr>
          <w:bCs/>
          <w:color w:val="0070C0"/>
          <w:sz w:val="12"/>
          <w:szCs w:val="12"/>
        </w:rPr>
      </w:pPr>
    </w:p>
    <w:p w:rsidR="00BB059C" w:rsidRPr="00D45C31" w:rsidRDefault="009C721E" w:rsidP="00866CA9">
      <w:pPr>
        <w:spacing w:after="120"/>
        <w:ind w:firstLine="567"/>
        <w:jc w:val="both"/>
        <w:rPr>
          <w:noProof/>
        </w:rPr>
      </w:pPr>
      <w:r w:rsidRPr="00AF7542">
        <w:rPr>
          <w:noProof/>
          <w:lang w:val="en-US"/>
        </w:rPr>
        <w:t xml:space="preserve">Просрочените задължения по </w:t>
      </w:r>
      <w:r w:rsidRPr="00AF7542">
        <w:rPr>
          <w:b/>
          <w:noProof/>
        </w:rPr>
        <w:t>бюджетите на общините</w:t>
      </w:r>
      <w:r w:rsidRPr="00AF7542">
        <w:rPr>
          <w:noProof/>
          <w:lang w:val="en-US"/>
        </w:rPr>
        <w:t xml:space="preserve"> </w:t>
      </w:r>
      <w:r w:rsidR="007C1790" w:rsidRPr="00AF7542">
        <w:rPr>
          <w:noProof/>
        </w:rPr>
        <w:t xml:space="preserve">към </w:t>
      </w:r>
      <w:r w:rsidR="00AF7542" w:rsidRPr="00AF7542">
        <w:rPr>
          <w:noProof/>
        </w:rPr>
        <w:t>30</w:t>
      </w:r>
      <w:r w:rsidR="007C1790" w:rsidRPr="00AF7542">
        <w:rPr>
          <w:noProof/>
        </w:rPr>
        <w:t>.</w:t>
      </w:r>
      <w:r w:rsidR="00AF7542" w:rsidRPr="00AF7542">
        <w:rPr>
          <w:noProof/>
        </w:rPr>
        <w:t>06</w:t>
      </w:r>
      <w:r w:rsidR="007C1790" w:rsidRPr="00AF7542">
        <w:rPr>
          <w:noProof/>
        </w:rPr>
        <w:t>.201</w:t>
      </w:r>
      <w:r w:rsidR="00753B48" w:rsidRPr="00AF7542">
        <w:rPr>
          <w:noProof/>
        </w:rPr>
        <w:t>7</w:t>
      </w:r>
      <w:r w:rsidR="007C1790" w:rsidRPr="00AF7542">
        <w:rPr>
          <w:noProof/>
        </w:rPr>
        <w:t xml:space="preserve"> г. </w:t>
      </w:r>
      <w:r w:rsidRPr="00AF7542">
        <w:rPr>
          <w:noProof/>
          <w:lang w:val="en-US"/>
        </w:rPr>
        <w:t xml:space="preserve">са в размер на </w:t>
      </w:r>
      <w:r w:rsidR="00AF7542" w:rsidRPr="00AF7542">
        <w:rPr>
          <w:b/>
          <w:noProof/>
          <w:lang w:val="en-US"/>
        </w:rPr>
        <w:t>149</w:t>
      </w:r>
      <w:r w:rsidR="00AF7542" w:rsidRPr="00AF7542">
        <w:rPr>
          <w:b/>
          <w:noProof/>
        </w:rPr>
        <w:t>,5</w:t>
      </w:r>
      <w:r w:rsidRPr="00AF7542">
        <w:rPr>
          <w:b/>
          <w:noProof/>
          <w:lang w:val="en-US"/>
        </w:rPr>
        <w:t xml:space="preserve"> млн. лв.,</w:t>
      </w:r>
      <w:r w:rsidR="00BB059C" w:rsidRPr="00AF7542">
        <w:rPr>
          <w:noProof/>
          <w:lang w:val="en-US"/>
        </w:rPr>
        <w:t xml:space="preserve"> като спрямо </w:t>
      </w:r>
      <w:r w:rsidR="00E86555" w:rsidRPr="00091FFE">
        <w:rPr>
          <w:noProof/>
        </w:rPr>
        <w:t xml:space="preserve">отчетените </w:t>
      </w:r>
      <w:r w:rsidR="003B6C02" w:rsidRPr="00091FFE">
        <w:rPr>
          <w:noProof/>
        </w:rPr>
        <w:t xml:space="preserve">през първото тримесечие </w:t>
      </w:r>
      <w:r w:rsidR="00E86555" w:rsidRPr="00091FFE">
        <w:rPr>
          <w:noProof/>
        </w:rPr>
        <w:t xml:space="preserve">на </w:t>
      </w:r>
      <w:r w:rsidR="00BB059C" w:rsidRPr="00091FFE">
        <w:rPr>
          <w:noProof/>
          <w:lang w:val="en-US"/>
        </w:rPr>
        <w:t>201</w:t>
      </w:r>
      <w:r w:rsidR="003B6C02" w:rsidRPr="00091FFE">
        <w:rPr>
          <w:noProof/>
        </w:rPr>
        <w:t>7</w:t>
      </w:r>
      <w:r w:rsidR="00BB059C" w:rsidRPr="00091FFE">
        <w:rPr>
          <w:noProof/>
          <w:lang w:val="en-US"/>
        </w:rPr>
        <w:t xml:space="preserve"> г. се отчита </w:t>
      </w:r>
      <w:r w:rsidR="00753B48" w:rsidRPr="00091FFE">
        <w:rPr>
          <w:noProof/>
        </w:rPr>
        <w:t>намаление от</w:t>
      </w:r>
      <w:r w:rsidR="00BB059C" w:rsidRPr="00091FFE">
        <w:rPr>
          <w:noProof/>
          <w:lang w:val="en-US"/>
        </w:rPr>
        <w:t xml:space="preserve"> </w:t>
      </w:r>
      <w:r w:rsidR="003B6C02" w:rsidRPr="00091FFE">
        <w:rPr>
          <w:noProof/>
        </w:rPr>
        <w:t>26,3</w:t>
      </w:r>
      <w:r w:rsidR="00BB059C" w:rsidRPr="00091FFE">
        <w:rPr>
          <w:noProof/>
          <w:lang w:val="en-US"/>
        </w:rPr>
        <w:t xml:space="preserve"> млн. лева. В делегираните от държавата дейности просрочените </w:t>
      </w:r>
      <w:r w:rsidR="00BB059C" w:rsidRPr="00D45C31">
        <w:rPr>
          <w:noProof/>
          <w:lang w:val="en-US"/>
        </w:rPr>
        <w:t xml:space="preserve">задължения са в размер на </w:t>
      </w:r>
      <w:r w:rsidR="00091FFE" w:rsidRPr="00D45C31">
        <w:rPr>
          <w:noProof/>
        </w:rPr>
        <w:t>4,6</w:t>
      </w:r>
      <w:r w:rsidR="00BB059C" w:rsidRPr="00D45C31">
        <w:rPr>
          <w:noProof/>
          <w:lang w:val="en-US"/>
        </w:rPr>
        <w:t xml:space="preserve"> млн. лева. С най-голям относителен дял в просрочените задължения по бюджета на общините са просрочените задължения към доставчици, </w:t>
      </w:r>
      <w:r w:rsidR="00E86555" w:rsidRPr="00D45C31">
        <w:rPr>
          <w:noProof/>
        </w:rPr>
        <w:t xml:space="preserve">които са </w:t>
      </w:r>
      <w:r w:rsidR="00BB059C" w:rsidRPr="00D45C31">
        <w:rPr>
          <w:noProof/>
          <w:lang w:val="en-US"/>
        </w:rPr>
        <w:t xml:space="preserve">в размер на </w:t>
      </w:r>
      <w:r w:rsidR="00D45C31" w:rsidRPr="00D45C31">
        <w:rPr>
          <w:noProof/>
        </w:rPr>
        <w:t>138,9</w:t>
      </w:r>
      <w:r w:rsidR="00BB059C" w:rsidRPr="00D45C31">
        <w:rPr>
          <w:noProof/>
          <w:lang w:val="en-US"/>
        </w:rPr>
        <w:t xml:space="preserve"> млн. лева.</w:t>
      </w:r>
    </w:p>
    <w:p w:rsidR="00F2557F" w:rsidRPr="00F2557F" w:rsidRDefault="00F2557F" w:rsidP="00F2557F">
      <w:pPr>
        <w:spacing w:after="120"/>
        <w:ind w:firstLine="567"/>
        <w:jc w:val="both"/>
        <w:rPr>
          <w:noProof/>
          <w:lang w:val="en-US"/>
        </w:rPr>
      </w:pPr>
      <w:r w:rsidRPr="00F2557F">
        <w:rPr>
          <w:noProof/>
          <w:lang w:val="en-US"/>
        </w:rPr>
        <w:t>Извън обхвата на консолидираната фискална програма, сериозен продължава да бъде проблемът с просрочията на лечебните заведения за болнична помощ (държавни и общински болници – търговски дружества). Към 3</w:t>
      </w:r>
      <w:r w:rsidRPr="00F2557F">
        <w:rPr>
          <w:noProof/>
        </w:rPr>
        <w:t>0</w:t>
      </w:r>
      <w:r w:rsidRPr="00F2557F">
        <w:rPr>
          <w:noProof/>
          <w:lang w:val="en-US"/>
        </w:rPr>
        <w:t>.0</w:t>
      </w:r>
      <w:r w:rsidRPr="00F2557F">
        <w:rPr>
          <w:noProof/>
        </w:rPr>
        <w:t>6</w:t>
      </w:r>
      <w:r w:rsidRPr="00F2557F">
        <w:rPr>
          <w:noProof/>
          <w:lang w:val="en-US"/>
        </w:rPr>
        <w:t>.201</w:t>
      </w:r>
      <w:r w:rsidRPr="00F2557F">
        <w:rPr>
          <w:noProof/>
        </w:rPr>
        <w:t>7</w:t>
      </w:r>
      <w:r w:rsidRPr="00F2557F">
        <w:rPr>
          <w:noProof/>
          <w:lang w:val="en-US"/>
        </w:rPr>
        <w:t xml:space="preserve"> г. размерът на просрочените задължения </w:t>
      </w:r>
      <w:r w:rsidRPr="00F2557F">
        <w:rPr>
          <w:noProof/>
        </w:rPr>
        <w:t>е 208,7 млн. лв., от които 163,3 млн. лв. са на държавните болници и 45,4 млн. лв. са на общинските болници.</w:t>
      </w:r>
      <w:r w:rsidRPr="00F2557F">
        <w:rPr>
          <w:noProof/>
          <w:lang w:val="en-US"/>
        </w:rPr>
        <w:t xml:space="preserve"> За </w:t>
      </w:r>
      <w:r w:rsidRPr="00F2557F">
        <w:rPr>
          <w:noProof/>
        </w:rPr>
        <w:t>полугодието</w:t>
      </w:r>
      <w:r w:rsidRPr="00F2557F">
        <w:rPr>
          <w:noProof/>
          <w:lang w:val="en-US"/>
        </w:rPr>
        <w:t xml:space="preserve"> на 201</w:t>
      </w:r>
      <w:r w:rsidRPr="00F2557F">
        <w:rPr>
          <w:noProof/>
        </w:rPr>
        <w:t>7</w:t>
      </w:r>
      <w:r w:rsidRPr="00F2557F">
        <w:rPr>
          <w:noProof/>
          <w:lang w:val="en-US"/>
        </w:rPr>
        <w:t xml:space="preserve"> г. е налице увеличение на просрочените задължения </w:t>
      </w:r>
      <w:r w:rsidRPr="00F2557F">
        <w:rPr>
          <w:noProof/>
        </w:rPr>
        <w:t>със 17,5 млн.</w:t>
      </w:r>
      <w:r>
        <w:rPr>
          <w:noProof/>
          <w:lang w:val="en-US"/>
        </w:rPr>
        <w:t xml:space="preserve"> </w:t>
      </w:r>
      <w:r w:rsidRPr="00F2557F">
        <w:rPr>
          <w:noProof/>
        </w:rPr>
        <w:t>лв.</w:t>
      </w:r>
      <w:r w:rsidRPr="00F2557F">
        <w:rPr>
          <w:noProof/>
          <w:lang w:val="en-US"/>
        </w:rPr>
        <w:t xml:space="preserve"> спрямо отчетените просрочия към 31.12.201</w:t>
      </w:r>
      <w:r w:rsidRPr="00F2557F">
        <w:rPr>
          <w:noProof/>
        </w:rPr>
        <w:t>6</w:t>
      </w:r>
      <w:r w:rsidRPr="00F2557F">
        <w:rPr>
          <w:noProof/>
          <w:lang w:val="en-US"/>
        </w:rPr>
        <w:t xml:space="preserve"> г. (</w:t>
      </w:r>
      <w:r w:rsidRPr="00F2557F">
        <w:rPr>
          <w:noProof/>
        </w:rPr>
        <w:t>191,2</w:t>
      </w:r>
      <w:r w:rsidRPr="00F2557F">
        <w:rPr>
          <w:noProof/>
          <w:lang w:val="en-US"/>
        </w:rPr>
        <w:t xml:space="preserve"> млн.</w:t>
      </w:r>
      <w:r>
        <w:rPr>
          <w:noProof/>
          <w:lang w:val="en-US"/>
        </w:rPr>
        <w:t xml:space="preserve"> </w:t>
      </w:r>
      <w:r w:rsidRPr="00F2557F">
        <w:rPr>
          <w:noProof/>
          <w:lang w:val="en-US"/>
        </w:rPr>
        <w:t>лв.)</w:t>
      </w:r>
      <w:r w:rsidRPr="00F2557F">
        <w:rPr>
          <w:noProof/>
        </w:rPr>
        <w:t xml:space="preserve">, от които </w:t>
      </w:r>
      <w:r w:rsidRPr="00F2557F">
        <w:rPr>
          <w:noProof/>
          <w:lang w:val="en-US"/>
        </w:rPr>
        <w:t>на държавните лечебни заведения – търговски дружества с 1</w:t>
      </w:r>
      <w:r w:rsidRPr="00F2557F">
        <w:rPr>
          <w:noProof/>
        </w:rPr>
        <w:t>4</w:t>
      </w:r>
      <w:r w:rsidRPr="00F2557F">
        <w:rPr>
          <w:noProof/>
          <w:lang w:val="en-US"/>
        </w:rPr>
        <w:t>,</w:t>
      </w:r>
      <w:r w:rsidRPr="00F2557F">
        <w:rPr>
          <w:noProof/>
        </w:rPr>
        <w:t>3</w:t>
      </w:r>
      <w:r w:rsidRPr="00F2557F">
        <w:rPr>
          <w:noProof/>
          <w:lang w:val="en-US"/>
        </w:rPr>
        <w:t xml:space="preserve"> млн.</w:t>
      </w:r>
      <w:r>
        <w:rPr>
          <w:noProof/>
          <w:lang w:val="en-US"/>
        </w:rPr>
        <w:t xml:space="preserve"> </w:t>
      </w:r>
      <w:r w:rsidRPr="00F2557F">
        <w:rPr>
          <w:noProof/>
          <w:lang w:val="en-US"/>
        </w:rPr>
        <w:t>лв.</w:t>
      </w:r>
      <w:r w:rsidRPr="00F2557F">
        <w:rPr>
          <w:noProof/>
        </w:rPr>
        <w:t xml:space="preserve"> и на общинските болници с 3,2 млн.</w:t>
      </w:r>
      <w:r>
        <w:rPr>
          <w:noProof/>
          <w:lang w:val="en-US"/>
        </w:rPr>
        <w:t xml:space="preserve"> </w:t>
      </w:r>
      <w:r w:rsidRPr="00F2557F">
        <w:rPr>
          <w:noProof/>
        </w:rPr>
        <w:t>лв.</w:t>
      </w:r>
    </w:p>
    <w:p w:rsidR="009C2594" w:rsidRPr="007A23F5" w:rsidRDefault="009C2594" w:rsidP="00337CA7">
      <w:pPr>
        <w:pStyle w:val="BodyTextIndent"/>
        <w:numPr>
          <w:ilvl w:val="1"/>
          <w:numId w:val="14"/>
        </w:numPr>
        <w:tabs>
          <w:tab w:val="clear" w:pos="2160"/>
          <w:tab w:val="num" w:pos="720"/>
          <w:tab w:val="num" w:pos="900"/>
        </w:tabs>
        <w:spacing w:before="120" w:after="0"/>
        <w:ind w:left="720"/>
        <w:jc w:val="both"/>
        <w:rPr>
          <w:b/>
          <w:bCs/>
        </w:rPr>
      </w:pPr>
      <w:r w:rsidRPr="007A23F5">
        <w:rPr>
          <w:b/>
          <w:bCs/>
        </w:rPr>
        <w:t xml:space="preserve">Разходи по </w:t>
      </w:r>
      <w:r w:rsidRPr="007A23F5">
        <w:rPr>
          <w:b/>
          <w:bCs/>
          <w:szCs w:val="26"/>
        </w:rPr>
        <w:t xml:space="preserve">централния бюджет </w:t>
      </w:r>
      <w:r w:rsidRPr="007A23F5">
        <w:rPr>
          <w:b/>
          <w:bCs/>
        </w:rPr>
        <w:t>за субсидии</w:t>
      </w:r>
      <w:r w:rsidR="00F202DD" w:rsidRPr="007A23F5">
        <w:rPr>
          <w:b/>
          <w:bCs/>
        </w:rPr>
        <w:t>,</w:t>
      </w:r>
      <w:r w:rsidR="0091667E" w:rsidRPr="007A23F5">
        <w:rPr>
          <w:b/>
          <w:bCs/>
        </w:rPr>
        <w:t xml:space="preserve"> </w:t>
      </w:r>
      <w:r w:rsidR="00F202DD" w:rsidRPr="007A23F5">
        <w:rPr>
          <w:b/>
          <w:bCs/>
        </w:rPr>
        <w:t>капиталови разходи</w:t>
      </w:r>
      <w:r w:rsidRPr="007A23F5">
        <w:rPr>
          <w:b/>
          <w:bCs/>
        </w:rPr>
        <w:t xml:space="preserve"> и други разходи, свързани с дейността на реалния сектор </w:t>
      </w:r>
    </w:p>
    <w:p w:rsidR="009C2594" w:rsidRPr="0092537A" w:rsidRDefault="009C2594" w:rsidP="009C2594">
      <w:pPr>
        <w:pStyle w:val="Header"/>
        <w:jc w:val="both"/>
        <w:rPr>
          <w:color w:val="0070C0"/>
          <w:sz w:val="8"/>
          <w:szCs w:val="8"/>
        </w:rPr>
      </w:pPr>
    </w:p>
    <w:p w:rsidR="00157673" w:rsidRPr="007A23F5" w:rsidRDefault="009C2594" w:rsidP="009975EC">
      <w:pPr>
        <w:pStyle w:val="Header"/>
        <w:ind w:firstLine="567"/>
        <w:jc w:val="both"/>
      </w:pPr>
      <w:r w:rsidRPr="007A23F5">
        <w:t>Със ЗДБРБ за 201</w:t>
      </w:r>
      <w:r w:rsidR="00C2042B" w:rsidRPr="007A23F5">
        <w:t>7</w:t>
      </w:r>
      <w:r w:rsidRPr="007A23F5">
        <w:t xml:space="preserve"> г. са утвърдени </w:t>
      </w:r>
      <w:r w:rsidR="00B34F16" w:rsidRPr="007A23F5">
        <w:t>1</w:t>
      </w:r>
      <w:r w:rsidR="00A12A2D" w:rsidRPr="007A23F5">
        <w:rPr>
          <w:lang w:val="en-US"/>
        </w:rPr>
        <w:t>58</w:t>
      </w:r>
      <w:r w:rsidR="00CE04DE" w:rsidRPr="007A23F5">
        <w:t>,</w:t>
      </w:r>
      <w:r w:rsidR="00A12A2D" w:rsidRPr="007A23F5">
        <w:rPr>
          <w:lang w:val="en-US"/>
        </w:rPr>
        <w:t>0</w:t>
      </w:r>
      <w:r w:rsidRPr="007A23F5">
        <w:t xml:space="preserve"> млн. лв</w:t>
      </w:r>
      <w:r w:rsidRPr="007A23F5">
        <w:rPr>
          <w:b/>
        </w:rPr>
        <w:t>.</w:t>
      </w:r>
      <w:r w:rsidRPr="007A23F5">
        <w:t xml:space="preserve"> </w:t>
      </w:r>
      <w:r w:rsidRPr="007A23F5">
        <w:rPr>
          <w:b/>
        </w:rPr>
        <w:t>субсидии</w:t>
      </w:r>
      <w:r w:rsidRPr="007A23F5">
        <w:t xml:space="preserve"> за нефинансови предприятия</w:t>
      </w:r>
      <w:r w:rsidR="00B34F16" w:rsidRPr="007A23F5">
        <w:t xml:space="preserve"> от централния бюджет.</w:t>
      </w:r>
    </w:p>
    <w:p w:rsidR="00B34F16" w:rsidRPr="0092537A" w:rsidRDefault="00B34F16" w:rsidP="009975EC">
      <w:pPr>
        <w:pStyle w:val="Header"/>
        <w:ind w:firstLine="567"/>
        <w:jc w:val="both"/>
        <w:rPr>
          <w:color w:val="0070C0"/>
          <w:sz w:val="4"/>
          <w:szCs w:val="4"/>
        </w:rPr>
      </w:pPr>
    </w:p>
    <w:p w:rsidR="008360FD" w:rsidRPr="000C363F" w:rsidRDefault="008360FD" w:rsidP="008360FD">
      <w:pPr>
        <w:pStyle w:val="BodyText2"/>
        <w:spacing w:after="0" w:line="240" w:lineRule="auto"/>
        <w:ind w:firstLine="567"/>
        <w:jc w:val="both"/>
      </w:pPr>
      <w:r w:rsidRPr="000C363F">
        <w:t xml:space="preserve">Средствата за </w:t>
      </w:r>
      <w:r w:rsidRPr="000C363F">
        <w:rPr>
          <w:bCs/>
        </w:rPr>
        <w:t>субсидии</w:t>
      </w:r>
      <w:r w:rsidRPr="000C363F">
        <w:t xml:space="preserve"> са предназначени за търговски дружества от различните видове транспорт – железопътни пътнически превози, автомобилни пътнически превози (вътрешноградски превози и междуселищни превози в слабо населени планински и други райони), за текущо поддържане и експлоатация на железопътната инфраструктура и </w:t>
      </w:r>
      <w:r w:rsidR="00844985" w:rsidRPr="000C363F">
        <w:t>др.</w:t>
      </w:r>
    </w:p>
    <w:p w:rsidR="008360FD" w:rsidRPr="0092537A" w:rsidRDefault="008360FD" w:rsidP="008360FD">
      <w:pPr>
        <w:pStyle w:val="BodyText2"/>
        <w:spacing w:after="0" w:line="240" w:lineRule="auto"/>
        <w:jc w:val="both"/>
        <w:rPr>
          <w:color w:val="0070C0"/>
          <w:sz w:val="12"/>
          <w:szCs w:val="12"/>
        </w:rPr>
      </w:pPr>
    </w:p>
    <w:p w:rsidR="008360FD" w:rsidRPr="003A4DE8" w:rsidRDefault="008360FD" w:rsidP="008360FD">
      <w:pPr>
        <w:pStyle w:val="BodyTextIndent"/>
        <w:ind w:left="0" w:firstLine="357"/>
        <w:jc w:val="both"/>
      </w:pPr>
      <w:r w:rsidRPr="003A4DE8">
        <w:t>- Със ЗДБРБ за 201</w:t>
      </w:r>
      <w:r w:rsidR="006C1B63" w:rsidRPr="003A4DE8">
        <w:t>7</w:t>
      </w:r>
      <w:r w:rsidRPr="003A4DE8">
        <w:t xml:space="preserve"> г. за Национална компания </w:t>
      </w:r>
      <w:r w:rsidR="00D60B43" w:rsidRPr="003A4DE8">
        <w:t>„</w:t>
      </w:r>
      <w:r w:rsidRPr="003A4DE8">
        <w:t xml:space="preserve">Железопътна инфраструктура” са предвидени средства под формата на субсидии, предназначени за изграждане, поддържане, развитие и експлоатация на железопътната инфраструктура, в размер на 135,0 млн. лева. </w:t>
      </w:r>
      <w:r w:rsidR="006C1B63" w:rsidRPr="003A4DE8">
        <w:t xml:space="preserve">Усвоените средства за първото </w:t>
      </w:r>
      <w:r w:rsidR="003A4DE8" w:rsidRPr="003A4DE8">
        <w:t>полугодие</w:t>
      </w:r>
      <w:r w:rsidR="006C1B63" w:rsidRPr="003A4DE8">
        <w:t xml:space="preserve"> на 2017 г. са в размер на </w:t>
      </w:r>
      <w:r w:rsidR="003A4DE8" w:rsidRPr="003A4DE8">
        <w:t>75,2</w:t>
      </w:r>
      <w:r w:rsidR="006C1B63" w:rsidRPr="003A4DE8">
        <w:t xml:space="preserve"> млн. лв. или </w:t>
      </w:r>
      <w:r w:rsidR="003A4DE8" w:rsidRPr="003A4DE8">
        <w:t>55,7</w:t>
      </w:r>
      <w:r w:rsidR="006C1B63" w:rsidRPr="003A4DE8">
        <w:t xml:space="preserve"> на сто от уточнения годишен план и при прилагане на чл. 22 от Договора между Държавата и Национална компания „Железопътна инфраструктура“. Същите са предоставени в съответствие с утвърдения от министъра на финансите и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w:t>
      </w:r>
    </w:p>
    <w:p w:rsidR="008360FD" w:rsidRPr="00377CDE" w:rsidRDefault="008360FD" w:rsidP="00C83494">
      <w:pPr>
        <w:pStyle w:val="BodyTextIndent2"/>
        <w:spacing w:line="240" w:lineRule="auto"/>
        <w:ind w:left="0" w:firstLine="357"/>
        <w:jc w:val="both"/>
        <w:rPr>
          <w:noProof/>
        </w:rPr>
      </w:pPr>
      <w:r w:rsidRPr="001F152C">
        <w:t>- Предвидените със ЗДБРБ за 201</w:t>
      </w:r>
      <w:r w:rsidR="006C1B63" w:rsidRPr="001F152C">
        <w:t>7</w:t>
      </w:r>
      <w:r w:rsidRPr="001F152C">
        <w:t xml:space="preserve"> г. средства за субсидиране на превоза на пътниците по нерентабилни линии във вътрешноградския транспорт и транспорт</w:t>
      </w:r>
      <w:r w:rsidR="00B77876" w:rsidRPr="001F152C">
        <w:t>а</w:t>
      </w:r>
      <w:r w:rsidRPr="001F152C">
        <w:t xml:space="preserve"> в планински и други </w:t>
      </w:r>
      <w:r w:rsidRPr="00377CDE">
        <w:t>райони са в размер на 23,0 млн. лева. По своя характер те са обществени превозни услуги от общ икономически интерес</w:t>
      </w:r>
      <w:r w:rsidR="00352F76" w:rsidRPr="00377CDE">
        <w:t xml:space="preserve"> и</w:t>
      </w:r>
      <w:r w:rsidRPr="00377CDE">
        <w:t xml:space="preserve"> имат предимно социална насоченост – масови превози до и от работните места в рамките на града и превози до малки отдалечени селища, осигуряващи </w:t>
      </w:r>
      <w:r w:rsidRPr="00377CDE">
        <w:lastRenderedPageBreak/>
        <w:t xml:space="preserve">връзка с </w:t>
      </w:r>
      <w:r w:rsidRPr="00116B20">
        <w:t>общинския център. Администрирането на предоставените средства се осъществява чрез общините, които разпределят средствата на превозвачите на база сключени с общините договори и при събл</w:t>
      </w:r>
      <w:r w:rsidR="00123862" w:rsidRPr="00116B20">
        <w:t xml:space="preserve">юдаване изискванията на Наредбата </w:t>
      </w:r>
      <w:r w:rsidRPr="00116B20">
        <w:t xml:space="preserve">за условията и реда за предоставяне на средства за </w:t>
      </w:r>
      <w:r w:rsidR="00123862" w:rsidRPr="00116B20">
        <w:t xml:space="preserve">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r w:rsidR="000C299E" w:rsidRPr="00116B20">
        <w:t xml:space="preserve">приета с ПМС № 163/2015 г. </w:t>
      </w:r>
      <w:r w:rsidR="000C299E">
        <w:t xml:space="preserve">Средствата се предоставят за </w:t>
      </w:r>
      <w:r w:rsidR="000C299E" w:rsidRPr="00116B20">
        <w:t>изпълнение на задължени</w:t>
      </w:r>
      <w:r w:rsidR="000C299E">
        <w:t>я</w:t>
      </w:r>
      <w:r w:rsidR="000C299E" w:rsidRPr="00116B20">
        <w:t xml:space="preserve"> за извършване на обществен</w:t>
      </w:r>
      <w:r w:rsidR="000C299E">
        <w:t>и</w:t>
      </w:r>
      <w:r w:rsidR="000C299E" w:rsidRPr="00116B20">
        <w:t xml:space="preserve"> превозн</w:t>
      </w:r>
      <w:r w:rsidR="000C299E">
        <w:t>и</w:t>
      </w:r>
      <w:r w:rsidR="000C299E" w:rsidRPr="00116B20">
        <w:t xml:space="preserve"> услуг</w:t>
      </w:r>
      <w:r w:rsidR="000C299E">
        <w:t>и до размера на нетния финансов ефект от изпълнението им.</w:t>
      </w:r>
      <w:r w:rsidR="000C299E" w:rsidRPr="00116B20">
        <w:t xml:space="preserve"> </w:t>
      </w:r>
      <w:r w:rsidRPr="00116B20">
        <w:t xml:space="preserve"> </w:t>
      </w:r>
      <w:r w:rsidR="006C1B63" w:rsidRPr="00116B20">
        <w:rPr>
          <w:noProof/>
        </w:rPr>
        <w:t xml:space="preserve">През първото </w:t>
      </w:r>
      <w:r w:rsidR="00377CDE" w:rsidRPr="00116B20">
        <w:rPr>
          <w:noProof/>
        </w:rPr>
        <w:t>полугодие</w:t>
      </w:r>
      <w:r w:rsidR="006C1B63" w:rsidRPr="00116B20">
        <w:rPr>
          <w:noProof/>
        </w:rPr>
        <w:t xml:space="preserve"> на 2017 г., усвоените средства са в размер на </w:t>
      </w:r>
      <w:r w:rsidR="00377CDE" w:rsidRPr="00116B20">
        <w:rPr>
          <w:noProof/>
        </w:rPr>
        <w:t>10,8</w:t>
      </w:r>
      <w:r w:rsidR="006C1B63" w:rsidRPr="00116B20">
        <w:rPr>
          <w:noProof/>
        </w:rPr>
        <w:t xml:space="preserve"> млн. лв. или </w:t>
      </w:r>
      <w:r w:rsidR="00377CDE" w:rsidRPr="00116B20">
        <w:rPr>
          <w:noProof/>
        </w:rPr>
        <w:t>46,8</w:t>
      </w:r>
      <w:r w:rsidR="006C1B63" w:rsidRPr="00116B20">
        <w:rPr>
          <w:noProof/>
        </w:rPr>
        <w:t xml:space="preserve"> на сто от предвидените </w:t>
      </w:r>
      <w:r w:rsidR="006C1B63" w:rsidRPr="00377CDE">
        <w:rPr>
          <w:noProof/>
        </w:rPr>
        <w:t>по годишния план.</w:t>
      </w:r>
      <w:r w:rsidRPr="00377CDE">
        <w:rPr>
          <w:noProof/>
        </w:rPr>
        <w:t xml:space="preserve"> </w:t>
      </w:r>
    </w:p>
    <w:p w:rsidR="008360FD" w:rsidRPr="00A24493" w:rsidRDefault="008360FD" w:rsidP="008360FD">
      <w:pPr>
        <w:ind w:firstLine="567"/>
        <w:jc w:val="both"/>
        <w:rPr>
          <w:bCs/>
        </w:rPr>
      </w:pPr>
      <w:r w:rsidRPr="00A24493">
        <w:rPr>
          <w:bCs/>
        </w:rPr>
        <w:t xml:space="preserve">За </w:t>
      </w:r>
      <w:r w:rsidRPr="00A24493">
        <w:rPr>
          <w:b/>
          <w:bCs/>
        </w:rPr>
        <w:t>капиталови разходи</w:t>
      </w:r>
      <w:r w:rsidRPr="00A24493">
        <w:rPr>
          <w:bCs/>
        </w:rPr>
        <w:t xml:space="preserve"> от централния бюджет за нефинансови предприятия със ЗДБРБ за 201</w:t>
      </w:r>
      <w:r w:rsidR="0053709A" w:rsidRPr="00A24493">
        <w:rPr>
          <w:bCs/>
        </w:rPr>
        <w:t>7</w:t>
      </w:r>
      <w:r w:rsidRPr="00A24493">
        <w:rPr>
          <w:bCs/>
        </w:rPr>
        <w:t xml:space="preserve"> г. са предвидени </w:t>
      </w:r>
      <w:r w:rsidRPr="00A24493">
        <w:rPr>
          <w:b/>
          <w:bCs/>
        </w:rPr>
        <w:t>1</w:t>
      </w:r>
      <w:r w:rsidR="002E49A6" w:rsidRPr="00A24493">
        <w:rPr>
          <w:b/>
          <w:bCs/>
        </w:rPr>
        <w:t>5</w:t>
      </w:r>
      <w:r w:rsidR="00E5271E" w:rsidRPr="00A24493">
        <w:rPr>
          <w:b/>
          <w:bCs/>
        </w:rPr>
        <w:t>6</w:t>
      </w:r>
      <w:r w:rsidRPr="00A24493">
        <w:rPr>
          <w:b/>
          <w:bCs/>
        </w:rPr>
        <w:t>,0 млн. лева.</w:t>
      </w:r>
      <w:r w:rsidRPr="00A24493">
        <w:rPr>
          <w:bCs/>
        </w:rPr>
        <w:t xml:space="preserve"> Преведените и усвоени средства </w:t>
      </w:r>
      <w:r w:rsidR="005061E5" w:rsidRPr="00A24493">
        <w:rPr>
          <w:bCs/>
        </w:rPr>
        <w:t xml:space="preserve">към </w:t>
      </w:r>
      <w:r w:rsidR="00A24493" w:rsidRPr="00A24493">
        <w:rPr>
          <w:bCs/>
        </w:rPr>
        <w:t>30</w:t>
      </w:r>
      <w:r w:rsidR="005061E5" w:rsidRPr="00A24493">
        <w:rPr>
          <w:bCs/>
        </w:rPr>
        <w:t>.</w:t>
      </w:r>
      <w:r w:rsidR="00A24493" w:rsidRPr="00A24493">
        <w:rPr>
          <w:bCs/>
        </w:rPr>
        <w:t>06</w:t>
      </w:r>
      <w:r w:rsidR="005061E5" w:rsidRPr="00A24493">
        <w:rPr>
          <w:bCs/>
        </w:rPr>
        <w:t>.201</w:t>
      </w:r>
      <w:r w:rsidR="00E5271E" w:rsidRPr="00A24493">
        <w:rPr>
          <w:bCs/>
        </w:rPr>
        <w:t>7</w:t>
      </w:r>
      <w:r w:rsidR="005061E5" w:rsidRPr="00A24493">
        <w:rPr>
          <w:bCs/>
        </w:rPr>
        <w:t xml:space="preserve"> г.</w:t>
      </w:r>
      <w:r w:rsidRPr="00A24493">
        <w:rPr>
          <w:bCs/>
        </w:rPr>
        <w:t xml:space="preserve"> са в размер на </w:t>
      </w:r>
      <w:r w:rsidR="00A24493" w:rsidRPr="00A24493">
        <w:rPr>
          <w:b/>
          <w:bCs/>
        </w:rPr>
        <w:t>90,7</w:t>
      </w:r>
      <w:r w:rsidRPr="00A24493">
        <w:rPr>
          <w:b/>
          <w:bCs/>
        </w:rPr>
        <w:t xml:space="preserve"> млн. лв.</w:t>
      </w:r>
      <w:r w:rsidRPr="00A24493">
        <w:rPr>
          <w:bCs/>
        </w:rPr>
        <w:t xml:space="preserve"> или </w:t>
      </w:r>
      <w:r w:rsidR="00A24493" w:rsidRPr="00A24493">
        <w:rPr>
          <w:bCs/>
        </w:rPr>
        <w:t>58,2</w:t>
      </w:r>
      <w:r w:rsidRPr="00A24493">
        <w:rPr>
          <w:bCs/>
        </w:rPr>
        <w:t xml:space="preserve"> % от годишния размер, както следва:</w:t>
      </w:r>
    </w:p>
    <w:p w:rsidR="008360FD" w:rsidRPr="00DD2B5C" w:rsidRDefault="008360FD" w:rsidP="00337CA7">
      <w:pPr>
        <w:numPr>
          <w:ilvl w:val="0"/>
          <w:numId w:val="5"/>
        </w:numPr>
        <w:tabs>
          <w:tab w:val="clear" w:pos="1440"/>
          <w:tab w:val="left" w:pos="851"/>
          <w:tab w:val="left" w:pos="1134"/>
        </w:tabs>
        <w:ind w:left="0" w:firstLine="567"/>
        <w:jc w:val="both"/>
        <w:rPr>
          <w:i/>
        </w:rPr>
      </w:pPr>
      <w:r w:rsidRPr="00DD2B5C">
        <w:rPr>
          <w:i/>
        </w:rPr>
        <w:t xml:space="preserve">капиталови трансфери за  Национална компания </w:t>
      </w:r>
      <w:r w:rsidR="00B77876" w:rsidRPr="00DD2B5C">
        <w:rPr>
          <w:i/>
        </w:rPr>
        <w:t>„</w:t>
      </w:r>
      <w:r w:rsidRPr="00DD2B5C">
        <w:rPr>
          <w:i/>
        </w:rPr>
        <w:t>Железопътна инфраструктура</w:t>
      </w:r>
      <w:r w:rsidRPr="00DD2B5C">
        <w:t>” - ф</w:t>
      </w:r>
      <w:r w:rsidRPr="00DD2B5C">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DD2B5C">
        <w:t xml:space="preserve">. </w:t>
      </w:r>
      <w:r w:rsidRPr="00DD2B5C">
        <w:rPr>
          <w:noProof/>
        </w:rPr>
        <w:t>За 201</w:t>
      </w:r>
      <w:r w:rsidR="00E5271E" w:rsidRPr="00DD2B5C">
        <w:rPr>
          <w:noProof/>
        </w:rPr>
        <w:t>7</w:t>
      </w:r>
      <w:r w:rsidRPr="00DD2B5C">
        <w:rPr>
          <w:noProof/>
        </w:rPr>
        <w:t xml:space="preserve"> г. от държавния бюджет за компанията е предвиден капиталов трансфер в размер на 105,0 млн. лева. </w:t>
      </w:r>
      <w:r w:rsidR="00E5271E" w:rsidRPr="00DD2B5C">
        <w:rPr>
          <w:noProof/>
        </w:rPr>
        <w:t xml:space="preserve">Усвоените средства за първото </w:t>
      </w:r>
      <w:r w:rsidR="00DD2B5C" w:rsidRPr="00DD2B5C">
        <w:rPr>
          <w:noProof/>
        </w:rPr>
        <w:t>полугодие</w:t>
      </w:r>
      <w:r w:rsidR="00E5271E" w:rsidRPr="00DD2B5C">
        <w:rPr>
          <w:noProof/>
        </w:rPr>
        <w:t xml:space="preserve"> на 2017 г. са в размер на </w:t>
      </w:r>
      <w:r w:rsidR="00DD2B5C" w:rsidRPr="00DD2B5C">
        <w:rPr>
          <w:noProof/>
        </w:rPr>
        <w:t>65,0</w:t>
      </w:r>
      <w:r w:rsidR="00E5271E" w:rsidRPr="00DD2B5C">
        <w:rPr>
          <w:noProof/>
        </w:rPr>
        <w:t xml:space="preserve"> млн. лв. или </w:t>
      </w:r>
      <w:r w:rsidR="00DD2B5C" w:rsidRPr="00DD2B5C">
        <w:rPr>
          <w:noProof/>
        </w:rPr>
        <w:t>61</w:t>
      </w:r>
      <w:r w:rsidR="00E5271E" w:rsidRPr="00DD2B5C">
        <w:rPr>
          <w:noProof/>
        </w:rPr>
        <w:t>,9 на сто от уточнения годишен план.</w:t>
      </w:r>
      <w:r w:rsidR="00222228" w:rsidRPr="00DD2B5C">
        <w:rPr>
          <w:noProof/>
        </w:rPr>
        <w:t xml:space="preserve"> Изпълняват се проекти за ремонт и придобиване на дълготрайни материални активи</w:t>
      </w:r>
      <w:r w:rsidR="00EF5667" w:rsidRPr="00DD2B5C">
        <w:rPr>
          <w:noProof/>
        </w:rPr>
        <w:t>,</w:t>
      </w:r>
      <w:r w:rsidR="00222228" w:rsidRPr="00DD2B5C">
        <w:rPr>
          <w:noProof/>
        </w:rPr>
        <w:t xml:space="preserve"> за възстановяване и подобряване на експлоатационното състояние на железния път и съор</w:t>
      </w:r>
      <w:r w:rsidR="001A5350" w:rsidRPr="00DD2B5C">
        <w:rPr>
          <w:noProof/>
        </w:rPr>
        <w:t>ъ</w:t>
      </w:r>
      <w:r w:rsidR="00222228" w:rsidRPr="00DD2B5C">
        <w:rPr>
          <w:noProof/>
        </w:rPr>
        <w:t>женията, както и ремонт и преустройство на възлови жп гари в съответствие с европейските изисквания</w:t>
      </w:r>
      <w:r w:rsidRPr="00DD2B5C">
        <w:rPr>
          <w:noProof/>
        </w:rPr>
        <w:t>;</w:t>
      </w:r>
    </w:p>
    <w:p w:rsidR="008360FD" w:rsidRPr="00A31AE1" w:rsidRDefault="008360FD" w:rsidP="00337CA7">
      <w:pPr>
        <w:numPr>
          <w:ilvl w:val="0"/>
          <w:numId w:val="5"/>
        </w:numPr>
        <w:tabs>
          <w:tab w:val="clear" w:pos="1440"/>
          <w:tab w:val="num" w:pos="360"/>
          <w:tab w:val="left" w:pos="851"/>
        </w:tabs>
        <w:ind w:left="0" w:firstLine="567"/>
        <w:jc w:val="both"/>
        <w:rPr>
          <w:i/>
        </w:rPr>
      </w:pPr>
      <w:r w:rsidRPr="00A31AE1">
        <w:rPr>
          <w:i/>
        </w:rPr>
        <w:t xml:space="preserve">капиталови трансфери за „БДЖ – Пътнически превози” - ЕООД – </w:t>
      </w:r>
      <w:r w:rsidRPr="00A31AE1">
        <w:t>предвидените средства със ЗДБРБ за 201</w:t>
      </w:r>
      <w:r w:rsidR="00AC3200" w:rsidRPr="00A31AE1">
        <w:t>7</w:t>
      </w:r>
      <w:r w:rsidRPr="00A31AE1">
        <w:t> г. са в размер на 3</w:t>
      </w:r>
      <w:r w:rsidR="00AC3200" w:rsidRPr="00A31AE1">
        <w:t>5</w:t>
      </w:r>
      <w:r w:rsidRPr="00A31AE1">
        <w:t>,0 млн. л</w:t>
      </w:r>
      <w:r w:rsidR="00EF5667" w:rsidRPr="00A31AE1">
        <w:t>е</w:t>
      </w:r>
      <w:r w:rsidRPr="00A31AE1">
        <w:t>в</w:t>
      </w:r>
      <w:r w:rsidR="00EF5667" w:rsidRPr="00A31AE1">
        <w:t>а</w:t>
      </w:r>
      <w:r w:rsidRPr="00A31AE1">
        <w:t xml:space="preserve">. </w:t>
      </w:r>
      <w:r w:rsidR="00A31AE1" w:rsidRPr="00A31AE1">
        <w:t xml:space="preserve">Средствата са предназначени за погасяване на задължения на предприятието, във връзка с придобити </w:t>
      </w:r>
      <w:proofErr w:type="spellStart"/>
      <w:r w:rsidR="00A31AE1" w:rsidRPr="00A31AE1">
        <w:t>електромотрисни</w:t>
      </w:r>
      <w:proofErr w:type="spellEnd"/>
      <w:r w:rsidR="00A31AE1" w:rsidRPr="00A31AE1">
        <w:t xml:space="preserve"> влакове през предходни години. </w:t>
      </w:r>
      <w:r w:rsidR="00AC3200" w:rsidRPr="00A31AE1">
        <w:t xml:space="preserve">За първото </w:t>
      </w:r>
      <w:r w:rsidR="00A31AE1">
        <w:t>полугодие</w:t>
      </w:r>
      <w:r w:rsidR="00AC3200" w:rsidRPr="00A31AE1">
        <w:t xml:space="preserve"> на 2017 г. са усвоени 21,4 млн. лв. или 61,0 на сто от уточнения годишен план</w:t>
      </w:r>
      <w:r w:rsidRPr="00A31AE1">
        <w:t>;</w:t>
      </w:r>
    </w:p>
    <w:p w:rsidR="008360FD" w:rsidRPr="00753A52" w:rsidRDefault="008360FD" w:rsidP="00337CA7">
      <w:pPr>
        <w:numPr>
          <w:ilvl w:val="1"/>
          <w:numId w:val="15"/>
        </w:numPr>
        <w:tabs>
          <w:tab w:val="clear" w:pos="1440"/>
          <w:tab w:val="num" w:pos="360"/>
          <w:tab w:val="left" w:pos="851"/>
        </w:tabs>
        <w:ind w:left="0" w:firstLine="567"/>
        <w:jc w:val="both"/>
      </w:pPr>
      <w:r w:rsidRPr="00753A52">
        <w:rPr>
          <w:i/>
        </w:rPr>
        <w:t>капиталови трансфери за ДП „Пристанищна инфраструктура”</w:t>
      </w:r>
      <w:r w:rsidRPr="00753A52">
        <w:rPr>
          <w:b/>
          <w:i/>
        </w:rPr>
        <w:t xml:space="preserve"> </w:t>
      </w:r>
      <w:r w:rsidRPr="00753A52">
        <w:t xml:space="preserve">- </w:t>
      </w:r>
      <w:r w:rsidR="001C1ACE">
        <w:t>и</w:t>
      </w:r>
      <w:r w:rsidRPr="00753A52">
        <w:t>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 трансфер от бюджета</w:t>
      </w:r>
      <w:r w:rsidR="00D466A8" w:rsidRPr="00753A52">
        <w:rPr>
          <w:noProof/>
        </w:rPr>
        <w:t xml:space="preserve"> Предвидените със Закона за държавния бюджет на Република България за  2017 г. средства са в размер на 11</w:t>
      </w:r>
      <w:r w:rsidR="000411D9" w:rsidRPr="00753A52">
        <w:rPr>
          <w:noProof/>
        </w:rPr>
        <w:t>,0</w:t>
      </w:r>
      <w:r w:rsidR="00D466A8" w:rsidRPr="00753A52">
        <w:rPr>
          <w:noProof/>
        </w:rPr>
        <w:t xml:space="preserve"> млн. лева. Към </w:t>
      </w:r>
      <w:r w:rsidR="00753A52" w:rsidRPr="00753A52">
        <w:rPr>
          <w:noProof/>
        </w:rPr>
        <w:t>30</w:t>
      </w:r>
      <w:r w:rsidR="00D466A8" w:rsidRPr="00753A52">
        <w:rPr>
          <w:noProof/>
        </w:rPr>
        <w:t>.</w:t>
      </w:r>
      <w:r w:rsidR="00753A52" w:rsidRPr="00753A52">
        <w:rPr>
          <w:noProof/>
        </w:rPr>
        <w:t>06</w:t>
      </w:r>
      <w:r w:rsidR="00D466A8" w:rsidRPr="00753A52">
        <w:rPr>
          <w:noProof/>
        </w:rPr>
        <w:t xml:space="preserve">.2017 г. </w:t>
      </w:r>
      <w:r w:rsidR="00753A52" w:rsidRPr="00753A52">
        <w:rPr>
          <w:noProof/>
        </w:rPr>
        <w:t>са усвоени 3,1 млн.лв. или 28,4 на сто от уточнения годишен план</w:t>
      </w:r>
      <w:r w:rsidRPr="00753A52">
        <w:t>;</w:t>
      </w:r>
    </w:p>
    <w:p w:rsidR="008360FD" w:rsidRPr="00895408" w:rsidRDefault="008360FD" w:rsidP="00337CA7">
      <w:pPr>
        <w:numPr>
          <w:ilvl w:val="0"/>
          <w:numId w:val="16"/>
        </w:numPr>
        <w:tabs>
          <w:tab w:val="clear" w:pos="2157"/>
          <w:tab w:val="left" w:pos="360"/>
          <w:tab w:val="left" w:pos="851"/>
        </w:tabs>
        <w:ind w:left="0" w:firstLine="567"/>
        <w:jc w:val="both"/>
      </w:pPr>
      <w:r w:rsidRPr="00895408">
        <w:t>През 201</w:t>
      </w:r>
      <w:r w:rsidR="00D466A8" w:rsidRPr="00895408">
        <w:t>7</w:t>
      </w:r>
      <w:r w:rsidRPr="00895408">
        <w:t xml:space="preserve"> г. продължава изпълнението на </w:t>
      </w:r>
      <w:r w:rsidRPr="00895408">
        <w:rPr>
          <w:i/>
        </w:rPr>
        <w:t xml:space="preserve">Програмите за отстраняване на </w:t>
      </w:r>
      <w:r w:rsidR="00895408" w:rsidRPr="00895408">
        <w:rPr>
          <w:i/>
        </w:rPr>
        <w:t>нанесени</w:t>
      </w:r>
      <w:r w:rsidRPr="00895408">
        <w:rPr>
          <w:i/>
        </w:rPr>
        <w:t xml:space="preserve"> щети</w:t>
      </w:r>
      <w:r w:rsidR="00895408" w:rsidRPr="00895408">
        <w:rPr>
          <w:i/>
        </w:rPr>
        <w:t xml:space="preserve"> </w:t>
      </w:r>
      <w:r w:rsidR="00895408" w:rsidRPr="00895408">
        <w:rPr>
          <w:noProof/>
        </w:rPr>
        <w:t>върху околната среда</w:t>
      </w:r>
      <w:r w:rsidRPr="00895408">
        <w:rPr>
          <w:i/>
        </w:rPr>
        <w:t>, настъпили от минали действия или бездействия на приватизираните предприятия, възникнали до момента на приватизацията</w:t>
      </w:r>
      <w:r w:rsidRPr="00895408">
        <w:t xml:space="preserve">. </w:t>
      </w:r>
      <w:r w:rsidRPr="00895408">
        <w:rPr>
          <w:noProof/>
        </w:rPr>
        <w:t>В ЗДБРБ за 201</w:t>
      </w:r>
      <w:r w:rsidR="00D466A8" w:rsidRPr="00895408">
        <w:rPr>
          <w:noProof/>
        </w:rPr>
        <w:t>7</w:t>
      </w:r>
      <w:r w:rsidRPr="00895408">
        <w:rPr>
          <w:noProof/>
        </w:rPr>
        <w:t xml:space="preserve"> г. за тези програми са предвидени </w:t>
      </w:r>
      <w:r w:rsidR="000411D9" w:rsidRPr="00895408">
        <w:rPr>
          <w:noProof/>
        </w:rPr>
        <w:t>5</w:t>
      </w:r>
      <w:r w:rsidRPr="00895408">
        <w:rPr>
          <w:noProof/>
        </w:rPr>
        <w:t>,0 млн. л</w:t>
      </w:r>
      <w:r w:rsidR="000411D9" w:rsidRPr="00895408">
        <w:rPr>
          <w:noProof/>
        </w:rPr>
        <w:t>е</w:t>
      </w:r>
      <w:r w:rsidRPr="00895408">
        <w:rPr>
          <w:noProof/>
        </w:rPr>
        <w:t>в</w:t>
      </w:r>
      <w:r w:rsidR="000411D9" w:rsidRPr="00895408">
        <w:rPr>
          <w:noProof/>
        </w:rPr>
        <w:t xml:space="preserve">а. За първото </w:t>
      </w:r>
      <w:r w:rsidR="00895408" w:rsidRPr="00895408">
        <w:rPr>
          <w:noProof/>
        </w:rPr>
        <w:t>полугодие</w:t>
      </w:r>
      <w:r w:rsidR="000411D9" w:rsidRPr="00895408">
        <w:rPr>
          <w:noProof/>
        </w:rPr>
        <w:t xml:space="preserve"> на 2017 г. са усвоени </w:t>
      </w:r>
      <w:r w:rsidR="00895408" w:rsidRPr="00895408">
        <w:rPr>
          <w:noProof/>
        </w:rPr>
        <w:t>1,3</w:t>
      </w:r>
      <w:r w:rsidR="000411D9" w:rsidRPr="00895408">
        <w:rPr>
          <w:noProof/>
        </w:rPr>
        <w:t xml:space="preserve"> млн. лв. или </w:t>
      </w:r>
      <w:r w:rsidR="00895408" w:rsidRPr="00895408">
        <w:rPr>
          <w:noProof/>
        </w:rPr>
        <w:t>25,5</w:t>
      </w:r>
      <w:r w:rsidR="000411D9" w:rsidRPr="00895408">
        <w:rPr>
          <w:noProof/>
        </w:rPr>
        <w:t xml:space="preserve"> на сто от годишния план.</w:t>
      </w:r>
      <w:r w:rsidRPr="00895408">
        <w:t xml:space="preserve">  </w:t>
      </w:r>
    </w:p>
    <w:p w:rsidR="008360FD" w:rsidRPr="0092537A" w:rsidRDefault="008360FD" w:rsidP="008360FD">
      <w:pPr>
        <w:jc w:val="both"/>
        <w:rPr>
          <w:color w:val="0070C0"/>
          <w:sz w:val="8"/>
          <w:szCs w:val="8"/>
        </w:rPr>
      </w:pPr>
    </w:p>
    <w:p w:rsidR="008360FD" w:rsidRPr="0092537A" w:rsidRDefault="008360FD" w:rsidP="008360FD">
      <w:pPr>
        <w:jc w:val="both"/>
        <w:rPr>
          <w:color w:val="0070C0"/>
          <w:sz w:val="8"/>
          <w:szCs w:val="8"/>
          <w:highlight w:val="yellow"/>
        </w:rPr>
      </w:pPr>
    </w:p>
    <w:p w:rsidR="008360FD" w:rsidRPr="00192CFC" w:rsidRDefault="008360FD" w:rsidP="008360FD">
      <w:pPr>
        <w:ind w:firstLine="567"/>
        <w:jc w:val="both"/>
      </w:pPr>
      <w:r w:rsidRPr="00192CFC">
        <w:rPr>
          <w:b/>
          <w:bCs/>
        </w:rPr>
        <w:t>Други разходи по централния бюджет</w:t>
      </w:r>
      <w:r w:rsidRPr="00192CFC">
        <w:t xml:space="preserve"> предназначени за: </w:t>
      </w:r>
    </w:p>
    <w:p w:rsidR="008360FD" w:rsidRPr="0092537A" w:rsidRDefault="008360FD" w:rsidP="008360FD">
      <w:pPr>
        <w:jc w:val="both"/>
        <w:rPr>
          <w:color w:val="0070C0"/>
          <w:sz w:val="8"/>
          <w:szCs w:val="8"/>
        </w:rPr>
      </w:pPr>
    </w:p>
    <w:p w:rsidR="008360FD" w:rsidRPr="00192CFC" w:rsidRDefault="008360FD" w:rsidP="008360FD">
      <w:pPr>
        <w:jc w:val="both"/>
        <w:rPr>
          <w:sz w:val="8"/>
          <w:szCs w:val="8"/>
        </w:rPr>
      </w:pPr>
    </w:p>
    <w:p w:rsidR="00E7455D" w:rsidRPr="00192CFC" w:rsidRDefault="008360FD" w:rsidP="00E7455D">
      <w:pPr>
        <w:numPr>
          <w:ilvl w:val="0"/>
          <w:numId w:val="5"/>
        </w:numPr>
        <w:tabs>
          <w:tab w:val="clear" w:pos="1440"/>
          <w:tab w:val="num" w:pos="360"/>
          <w:tab w:val="left" w:pos="851"/>
        </w:tabs>
        <w:ind w:left="0" w:firstLine="567"/>
        <w:jc w:val="both"/>
        <w:rPr>
          <w:sz w:val="8"/>
          <w:szCs w:val="8"/>
        </w:rPr>
      </w:pPr>
      <w:r w:rsidRPr="00192CFC">
        <w:rPr>
          <w:i/>
        </w:rPr>
        <w:t>Компенсиране на стойността на</w:t>
      </w:r>
      <w:r w:rsidR="007607CE" w:rsidRPr="00192CFC">
        <w:rPr>
          <w:i/>
        </w:rPr>
        <w:t xml:space="preserve"> </w:t>
      </w:r>
      <w:r w:rsidR="007607CE" w:rsidRPr="00192CFC">
        <w:rPr>
          <w:bCs/>
          <w:i/>
        </w:rPr>
        <w:t>намалените приходи от прилагането на цени за пътуване, предвидени в нормативни актове за определени категории пътници</w:t>
      </w:r>
      <w:r w:rsidRPr="00192CFC">
        <w:rPr>
          <w:i/>
        </w:rPr>
        <w:t xml:space="preserve"> по железопътния и автомобилния транспорт със средства от държавния бюджет</w:t>
      </w:r>
      <w:r w:rsidRPr="00192CFC">
        <w:t xml:space="preserve"> - предвидените средства </w:t>
      </w:r>
      <w:r w:rsidR="00E7455D" w:rsidRPr="00192CFC">
        <w:t>са общо в размер на 96,</w:t>
      </w:r>
      <w:r w:rsidR="00E7455D" w:rsidRPr="00192CFC">
        <w:rPr>
          <w:lang w:val="en-US"/>
        </w:rPr>
        <w:t>8</w:t>
      </w:r>
      <w:r w:rsidR="00E7455D" w:rsidRPr="00192CFC">
        <w:t xml:space="preserve"> млн. лв., от които </w:t>
      </w:r>
      <w:r w:rsidR="00E7455D" w:rsidRPr="00192CFC">
        <w:rPr>
          <w:lang w:val="en-US"/>
        </w:rPr>
        <w:t xml:space="preserve">37,8 </w:t>
      </w:r>
      <w:r w:rsidR="00E7455D" w:rsidRPr="00192CFC">
        <w:t xml:space="preserve">млн. лв. </w:t>
      </w:r>
      <w:r w:rsidR="009316ED" w:rsidRPr="00192CFC">
        <w:rPr>
          <w:noProof/>
        </w:rPr>
        <w:t>за пътувания с вътрешноградския транспорт и междуселищния автомобилен транспорт</w:t>
      </w:r>
      <w:r w:rsidR="00E7455D" w:rsidRPr="00192CFC">
        <w:rPr>
          <w:noProof/>
        </w:rPr>
        <w:t xml:space="preserve">, 25,5 млн. лв. за транспорт на деца и ученици по чл. 283, ал. 2 от Закона за предучилищното и училищното образование, 16,5 млн. лв. за превоз на служители, ползващи право на безплатно пътуване при изпълнение на служебните си задължения в съответствие със Закона за Министерството на вътрешните работи, Закона за изпълнение на наказанията и задържането под стража и Закона </w:t>
      </w:r>
      <w:r w:rsidR="00E7455D" w:rsidRPr="00192CFC">
        <w:rPr>
          <w:noProof/>
        </w:rPr>
        <w:lastRenderedPageBreak/>
        <w:t>за Държавна агенция „Национална сигурност“ и 17 млн. лв. за пътувания с железопътния транспорт.</w:t>
      </w:r>
      <w:r w:rsidR="00E7455D" w:rsidRPr="00192CFC">
        <w:t xml:space="preserve"> </w:t>
      </w:r>
      <w:r w:rsidR="00E7455D" w:rsidRPr="00192CFC">
        <w:rPr>
          <w:noProof/>
        </w:rPr>
        <w:t xml:space="preserve">Предоставените средства за първото </w:t>
      </w:r>
      <w:r w:rsidR="00192CFC" w:rsidRPr="00192CFC">
        <w:rPr>
          <w:noProof/>
        </w:rPr>
        <w:t>полугодие</w:t>
      </w:r>
      <w:r w:rsidR="00E7455D" w:rsidRPr="00192CFC">
        <w:rPr>
          <w:noProof/>
        </w:rPr>
        <w:t xml:space="preserve"> на 2017 г. са общо в размер на </w:t>
      </w:r>
      <w:r w:rsidR="00192CFC" w:rsidRPr="00192CFC">
        <w:rPr>
          <w:noProof/>
        </w:rPr>
        <w:t>51</w:t>
      </w:r>
      <w:r w:rsidR="00E7455D" w:rsidRPr="00192CFC">
        <w:rPr>
          <w:noProof/>
        </w:rPr>
        <w:t xml:space="preserve">,0 млн. лв., или </w:t>
      </w:r>
      <w:r w:rsidR="00192CFC" w:rsidRPr="00192CFC">
        <w:rPr>
          <w:noProof/>
        </w:rPr>
        <w:t>52,7</w:t>
      </w:r>
      <w:r w:rsidR="00E7455D" w:rsidRPr="00192CFC">
        <w:rPr>
          <w:noProof/>
        </w:rPr>
        <w:t xml:space="preserve"> на сто от уточнения годишен план.</w:t>
      </w:r>
      <w:r w:rsidR="00E7455D" w:rsidRPr="00192CFC">
        <w:t xml:space="preserve"> </w:t>
      </w:r>
    </w:p>
    <w:p w:rsidR="00E7455D" w:rsidRPr="008A3264" w:rsidRDefault="00E7455D" w:rsidP="00E7455D">
      <w:pPr>
        <w:tabs>
          <w:tab w:val="left" w:pos="851"/>
        </w:tabs>
        <w:ind w:firstLine="567"/>
        <w:jc w:val="both"/>
      </w:pPr>
      <w:r w:rsidRPr="008A3264">
        <w:t xml:space="preserve">Усвоените средства за първото </w:t>
      </w:r>
      <w:r w:rsidR="008A3264" w:rsidRPr="008A3264">
        <w:t>полугодие</w:t>
      </w:r>
      <w:r w:rsidRPr="008A3264">
        <w:t xml:space="preserve"> на 2017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8A3264">
        <w:rPr>
          <w:noProof/>
        </w:rPr>
        <w:t xml:space="preserve">вътрешноградски транспорт и междуселищен </w:t>
      </w:r>
      <w:r w:rsidRPr="008A3264">
        <w:t>автомобилен транспорт или железопътен транспорт, съгласно ПМС № 374/2016 г. за изпълнението на държавния бюджет на Република България за 2017 г., са както следва:</w:t>
      </w:r>
    </w:p>
    <w:p w:rsidR="00E7455D" w:rsidRPr="008A3264" w:rsidRDefault="00E7455D" w:rsidP="00E7455D">
      <w:pPr>
        <w:ind w:firstLine="567"/>
        <w:jc w:val="both"/>
      </w:pPr>
      <w:r w:rsidRPr="008A3264">
        <w:t xml:space="preserve">- компенсации за </w:t>
      </w:r>
      <w:r w:rsidR="00C00C3E">
        <w:t xml:space="preserve">пътувания с </w:t>
      </w:r>
      <w:r w:rsidRPr="008A3264">
        <w:t xml:space="preserve">железопътния транспорт в размер на </w:t>
      </w:r>
      <w:r w:rsidR="008A3264" w:rsidRPr="008A3264">
        <w:t>5,0</w:t>
      </w:r>
      <w:r w:rsidRPr="008A3264">
        <w:t xml:space="preserve"> млн. лв.,  </w:t>
      </w:r>
      <w:r w:rsidR="008A3264" w:rsidRPr="008A3264">
        <w:t>29,5</w:t>
      </w:r>
      <w:r w:rsidRPr="008A3264">
        <w:t xml:space="preserve"> на сто от утвърдения годишен план; </w:t>
      </w:r>
    </w:p>
    <w:p w:rsidR="00E7455D" w:rsidRPr="00D32777" w:rsidRDefault="00E7455D" w:rsidP="00E7455D">
      <w:pPr>
        <w:tabs>
          <w:tab w:val="left" w:pos="540"/>
          <w:tab w:val="left" w:pos="709"/>
        </w:tabs>
        <w:ind w:firstLine="567"/>
        <w:jc w:val="both"/>
        <w:rPr>
          <w:noProof/>
        </w:rPr>
      </w:pPr>
      <w:r w:rsidRPr="008A3264">
        <w:rPr>
          <w:noProof/>
        </w:rPr>
        <w:t xml:space="preserve">- компенсации за </w:t>
      </w:r>
      <w:r w:rsidR="008A3264" w:rsidRPr="008A3264">
        <w:rPr>
          <w:noProof/>
        </w:rPr>
        <w:t>пътувания с</w:t>
      </w:r>
      <w:r w:rsidRPr="008A3264">
        <w:rPr>
          <w:noProof/>
        </w:rPr>
        <w:t xml:space="preserve"> вътрешноградски</w:t>
      </w:r>
      <w:r w:rsidR="008A3264" w:rsidRPr="008A3264">
        <w:rPr>
          <w:noProof/>
        </w:rPr>
        <w:t>я</w:t>
      </w:r>
      <w:r w:rsidRPr="008A3264">
        <w:rPr>
          <w:noProof/>
        </w:rPr>
        <w:t xml:space="preserve"> транспорт и междуселищния автомобилен транспорт, предоставени чрез Системата за електронни бюджетни разплащания </w:t>
      </w:r>
      <w:r w:rsidRPr="00D32777">
        <w:rPr>
          <w:noProof/>
        </w:rPr>
        <w:t xml:space="preserve">– </w:t>
      </w:r>
      <w:r w:rsidR="008A3264" w:rsidRPr="00D32777">
        <w:rPr>
          <w:noProof/>
        </w:rPr>
        <w:t>46,0</w:t>
      </w:r>
      <w:r w:rsidRPr="00D32777">
        <w:rPr>
          <w:noProof/>
        </w:rPr>
        <w:t xml:space="preserve"> млн. лв., което е </w:t>
      </w:r>
      <w:r w:rsidR="008A3264" w:rsidRPr="00D32777">
        <w:rPr>
          <w:noProof/>
        </w:rPr>
        <w:t>57,6</w:t>
      </w:r>
      <w:r w:rsidRPr="00D32777">
        <w:rPr>
          <w:noProof/>
        </w:rPr>
        <w:t xml:space="preserve"> на сто от уточнения годишен план. </w:t>
      </w:r>
    </w:p>
    <w:p w:rsidR="00E7455D" w:rsidRPr="00D32777" w:rsidRDefault="00E7455D" w:rsidP="00E7455D">
      <w:pPr>
        <w:ind w:firstLine="567"/>
        <w:jc w:val="both"/>
        <w:rPr>
          <w:noProof/>
        </w:rPr>
      </w:pPr>
      <w:r w:rsidRPr="00D32777">
        <w:rPr>
          <w:noProof/>
        </w:rPr>
        <w:t xml:space="preserve">Усвоените средства за </w:t>
      </w:r>
      <w:r w:rsidRPr="00D32777">
        <w:t>компенсиране на намалените приходи от прилагането на цени за пътуване, предвидени в нормативни актове за определени категории пътници,</w:t>
      </w:r>
      <w:r w:rsidRPr="00D32777">
        <w:rPr>
          <w:noProof/>
        </w:rPr>
        <w:t xml:space="preserve"> по вътрешноградския транспорт и междуселищния автомобилен транспорт, за първото </w:t>
      </w:r>
      <w:r w:rsidR="00D32777" w:rsidRPr="00D32777">
        <w:rPr>
          <w:noProof/>
        </w:rPr>
        <w:t>полугодие</w:t>
      </w:r>
      <w:r w:rsidRPr="00D32777">
        <w:rPr>
          <w:noProof/>
        </w:rPr>
        <w:t xml:space="preserve"> на 2017 г., диференцирани по групи правоимащи лица и размер на намалението спрямо редовната цена, са както следва:</w:t>
      </w:r>
    </w:p>
    <w:p w:rsidR="00E7455D" w:rsidRPr="00254052" w:rsidRDefault="00E7455D" w:rsidP="00E7455D">
      <w:pPr>
        <w:pStyle w:val="BodyTextIndent"/>
        <w:spacing w:after="0"/>
        <w:ind w:left="0" w:firstLine="567"/>
        <w:jc w:val="both"/>
      </w:pPr>
      <w:r w:rsidRPr="00254052">
        <w:t xml:space="preserve">- </w:t>
      </w:r>
      <w:r w:rsidR="00254052" w:rsidRPr="00254052">
        <w:t>21,0</w:t>
      </w:r>
      <w:r w:rsidRPr="00254052">
        <w:rPr>
          <w:lang w:val="en-US"/>
        </w:rPr>
        <w:t xml:space="preserve"> </w:t>
      </w:r>
      <w:r w:rsidRPr="00254052">
        <w:t xml:space="preserve">млн. лв. за транспорт на деца и ученици в съответствие с чл. 283, ал. 2 от Закона за предучилищното и училищното образование, което е </w:t>
      </w:r>
      <w:r w:rsidR="00254052" w:rsidRPr="00254052">
        <w:t>82,4</w:t>
      </w:r>
      <w:r w:rsidRPr="00254052">
        <w:t xml:space="preserve"> на сто от уточнения годишен план; </w:t>
      </w:r>
    </w:p>
    <w:p w:rsidR="00E7455D" w:rsidRPr="00254052" w:rsidRDefault="00E7455D" w:rsidP="00E7455D">
      <w:pPr>
        <w:pStyle w:val="BodyTextIndent"/>
        <w:tabs>
          <w:tab w:val="left" w:pos="1026"/>
        </w:tabs>
        <w:spacing w:after="0"/>
        <w:ind w:left="0" w:firstLine="567"/>
        <w:jc w:val="both"/>
      </w:pPr>
      <w:r w:rsidRPr="00254052">
        <w:t xml:space="preserve">- </w:t>
      </w:r>
      <w:r w:rsidR="00254052" w:rsidRPr="00254052">
        <w:t>25</w:t>
      </w:r>
      <w:r w:rsidRPr="00254052">
        <w:t xml:space="preserve">,0 млн. лв. за безплатни и по намалени цени пътувания.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w:t>
      </w:r>
      <w:r w:rsidR="00254052" w:rsidRPr="00254052">
        <w:t>46,0</w:t>
      </w:r>
      <w:r w:rsidRPr="00254052">
        <w:t xml:space="preserve"> на сто, в това число:</w:t>
      </w:r>
    </w:p>
    <w:p w:rsidR="00E7455D" w:rsidRPr="00541ED6" w:rsidRDefault="00541ED6" w:rsidP="00E7455D">
      <w:pPr>
        <w:numPr>
          <w:ilvl w:val="0"/>
          <w:numId w:val="20"/>
        </w:numPr>
        <w:tabs>
          <w:tab w:val="left" w:pos="993"/>
        </w:tabs>
        <w:ind w:hanging="275"/>
        <w:jc w:val="both"/>
      </w:pPr>
      <w:r w:rsidRPr="00541ED6">
        <w:t>16,7</w:t>
      </w:r>
      <w:r w:rsidR="00E7455D" w:rsidRPr="00541ED6">
        <w:t xml:space="preserve"> млн. лв. за безплатни пътувания на деца до седемгодишна възраст, ветерани от войните, военноинвалиди и </w:t>
      </w:r>
      <w:proofErr w:type="spellStart"/>
      <w:r w:rsidR="00E7455D" w:rsidRPr="00541ED6">
        <w:t>военнопострадали</w:t>
      </w:r>
      <w:proofErr w:type="spellEnd"/>
      <w:r w:rsidR="00E7455D" w:rsidRPr="00541ED6">
        <w:t xml:space="preserve">,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w:t>
      </w:r>
      <w:r w:rsidRPr="00541ED6">
        <w:t>44,2</w:t>
      </w:r>
      <w:r w:rsidR="00E7455D" w:rsidRPr="00541ED6">
        <w:t xml:space="preserve"> на сто спрямо утвърдения годишен план; </w:t>
      </w:r>
    </w:p>
    <w:p w:rsidR="008360FD" w:rsidRPr="00A044E6" w:rsidRDefault="00A044E6" w:rsidP="00E7455D">
      <w:pPr>
        <w:numPr>
          <w:ilvl w:val="0"/>
          <w:numId w:val="20"/>
        </w:numPr>
        <w:tabs>
          <w:tab w:val="num" w:pos="360"/>
          <w:tab w:val="left" w:pos="993"/>
        </w:tabs>
        <w:ind w:hanging="275"/>
        <w:jc w:val="both"/>
      </w:pPr>
      <w:r w:rsidRPr="00A044E6">
        <w:t>8,2</w:t>
      </w:r>
      <w:r w:rsidR="00E7455D" w:rsidRPr="00A044E6">
        <w:t xml:space="preserve"> млн. лв. за превоз на служители, ползващи право на безплатно пътуване при изпълнение на служебните си задължения в съответствие със Закона за Министерството на вътрешните работи, Закона за изпълнение на наказанията и задържането под стража и Закона за Държавна агенция „Национална сигурност“, което е </w:t>
      </w:r>
      <w:r w:rsidRPr="00A044E6">
        <w:t>50,0</w:t>
      </w:r>
      <w:r w:rsidR="00E7455D" w:rsidRPr="00A044E6">
        <w:t xml:space="preserve"> от уточнения годишен план.</w:t>
      </w:r>
    </w:p>
    <w:p w:rsidR="00333B5E" w:rsidRPr="0092537A" w:rsidRDefault="00333B5E" w:rsidP="00333B5E">
      <w:pPr>
        <w:jc w:val="both"/>
        <w:rPr>
          <w:color w:val="0070C0"/>
          <w:sz w:val="12"/>
          <w:szCs w:val="12"/>
        </w:rPr>
      </w:pPr>
    </w:p>
    <w:p w:rsidR="0082037E" w:rsidRPr="00347251" w:rsidRDefault="0082037E" w:rsidP="00337CA7">
      <w:pPr>
        <w:numPr>
          <w:ilvl w:val="0"/>
          <w:numId w:val="7"/>
        </w:numPr>
        <w:spacing w:after="120"/>
        <w:ind w:left="0" w:firstLine="360"/>
        <w:jc w:val="both"/>
        <w:rPr>
          <w:b/>
        </w:rPr>
      </w:pPr>
      <w:r w:rsidRPr="00347251">
        <w:rPr>
          <w:b/>
        </w:rPr>
        <w:t xml:space="preserve">Разходи за лихви </w:t>
      </w:r>
    </w:p>
    <w:p w:rsidR="00347251" w:rsidRPr="00AB7BC3" w:rsidRDefault="00347251" w:rsidP="00347251">
      <w:pPr>
        <w:spacing w:after="120"/>
        <w:jc w:val="both"/>
      </w:pPr>
      <w:r w:rsidRPr="00AB7BC3">
        <w:rPr>
          <w:b/>
        </w:rPr>
        <w:t xml:space="preserve">Лихвените плащания </w:t>
      </w:r>
      <w:r w:rsidRPr="00AB7BC3">
        <w:t xml:space="preserve">по държавния бюджет към 30.06.2017 г. са в общ размер на </w:t>
      </w:r>
      <w:r w:rsidRPr="00AB7BC3">
        <w:rPr>
          <w:b/>
        </w:rPr>
        <w:t>415,3 млн. лв</w:t>
      </w:r>
      <w:r w:rsidRPr="00AB7BC3">
        <w:t xml:space="preserve">. или 52,4 % от предвидените в годишните разчети. </w:t>
      </w:r>
    </w:p>
    <w:p w:rsidR="00347251" w:rsidRPr="00AB7BC3" w:rsidRDefault="00347251" w:rsidP="00347251">
      <w:pPr>
        <w:spacing w:after="120"/>
        <w:jc w:val="both"/>
      </w:pPr>
      <w:r w:rsidRPr="00AB7BC3">
        <w:t xml:space="preserve">Разходите за </w:t>
      </w:r>
      <w:r w:rsidRPr="00AB7BC3">
        <w:rPr>
          <w:b/>
        </w:rPr>
        <w:t>лихви по външни заеми</w:t>
      </w:r>
      <w:r w:rsidRPr="00AB7BC3">
        <w:t xml:space="preserve"> са в размер на </w:t>
      </w:r>
      <w:r w:rsidRPr="00AB7BC3">
        <w:rPr>
          <w:b/>
        </w:rPr>
        <w:t xml:space="preserve">286,1 млн. лв., </w:t>
      </w:r>
      <w:r w:rsidRPr="00AB7BC3">
        <w:t xml:space="preserve">в т.ч. 265,6 млн. лв. по централния бюджет. Разходите за лихви по ДИЗ, управлявани от министерства и ведомства са в размер на 20,5 млн. лева. </w:t>
      </w:r>
    </w:p>
    <w:p w:rsidR="00347251" w:rsidRPr="00BB2B43" w:rsidRDefault="00347251" w:rsidP="00347251">
      <w:pPr>
        <w:spacing w:after="120"/>
        <w:jc w:val="both"/>
      </w:pPr>
      <w:r w:rsidRPr="00BB2B43">
        <w:t xml:space="preserve">През отчетния период не са използвани средства, предвидени за покриване на риска от активиране на държавни гаранции. </w:t>
      </w:r>
    </w:p>
    <w:p w:rsidR="00347251" w:rsidRPr="00BB2B43" w:rsidRDefault="00347251" w:rsidP="00347251">
      <w:pPr>
        <w:spacing w:after="120"/>
        <w:jc w:val="both"/>
      </w:pPr>
      <w:r w:rsidRPr="00BB2B43">
        <w:rPr>
          <w:b/>
        </w:rPr>
        <w:t>Лихвите по вътрешни заеми</w:t>
      </w:r>
      <w:r w:rsidRPr="00BB2B43">
        <w:t xml:space="preserve"> по държавния бюджет към юни 2017 г. са в размер на </w:t>
      </w:r>
      <w:r w:rsidRPr="00BB2B43">
        <w:rPr>
          <w:b/>
        </w:rPr>
        <w:t>129,2 млн. лв.</w:t>
      </w:r>
      <w:r w:rsidRPr="00BB2B43">
        <w:t xml:space="preserve"> и представляват основно лихви по емисии на ДЦК на вътрешния пазар. Платените лихви и отстъпки по ДЦК, емитирани на </w:t>
      </w:r>
      <w:proofErr w:type="spellStart"/>
      <w:r w:rsidRPr="00BB2B43">
        <w:t>аукционен</w:t>
      </w:r>
      <w:proofErr w:type="spellEnd"/>
      <w:r w:rsidRPr="00BB2B43">
        <w:t xml:space="preserve"> принцип са в размер на 134,2 млн. лв., лихвите по ДЦК, емитирани за структурната реформа – 0,2 млн. лв. и реализираните при </w:t>
      </w:r>
      <w:proofErr w:type="spellStart"/>
      <w:r w:rsidRPr="00BB2B43">
        <w:t>аукционите</w:t>
      </w:r>
      <w:proofErr w:type="spellEnd"/>
      <w:r w:rsidRPr="00BB2B43">
        <w:t xml:space="preserve"> премии над номинала от емисии ДЦК до 30.06.2017 г. /отчетени в намаление на разходите за лихви по вътрешния дълг/ съответно (-5,2) млн. лева. </w:t>
      </w:r>
    </w:p>
    <w:p w:rsidR="00F56D72" w:rsidRPr="00F47154" w:rsidRDefault="00F56D72" w:rsidP="00F56D72">
      <w:pPr>
        <w:numPr>
          <w:ilvl w:val="0"/>
          <w:numId w:val="6"/>
        </w:numPr>
        <w:tabs>
          <w:tab w:val="clear" w:pos="700"/>
        </w:tabs>
        <w:spacing w:before="120"/>
        <w:ind w:left="0" w:firstLine="0"/>
        <w:jc w:val="both"/>
        <w:rPr>
          <w:b/>
          <w:bCs/>
        </w:rPr>
      </w:pPr>
      <w:r w:rsidRPr="00F47154">
        <w:rPr>
          <w:b/>
          <w:bCs/>
        </w:rPr>
        <w:t>Нетният размер на трансферите по държавния бюджет</w:t>
      </w:r>
      <w:r w:rsidRPr="00F47154">
        <w:rPr>
          <w:bCs/>
        </w:rPr>
        <w:t xml:space="preserve"> към края на юни 2017 г. е</w:t>
      </w:r>
      <w:r w:rsidRPr="00F47154">
        <w:rPr>
          <w:b/>
          <w:bCs/>
        </w:rPr>
        <w:t xml:space="preserve"> 5 096,5  млн. лв., </w:t>
      </w:r>
      <w:r w:rsidRPr="00F47154">
        <w:rPr>
          <w:bCs/>
        </w:rPr>
        <w:t>в т.ч.:</w:t>
      </w:r>
      <w:r w:rsidRPr="00F47154">
        <w:rPr>
          <w:b/>
          <w:bCs/>
        </w:rPr>
        <w:t xml:space="preserve"> </w:t>
      </w:r>
    </w:p>
    <w:p w:rsidR="00F56D72" w:rsidRPr="00D710AF" w:rsidRDefault="00F56D72" w:rsidP="00F56D72">
      <w:pPr>
        <w:numPr>
          <w:ilvl w:val="0"/>
          <w:numId w:val="24"/>
        </w:numPr>
        <w:tabs>
          <w:tab w:val="clear" w:pos="700"/>
          <w:tab w:val="left" w:pos="180"/>
          <w:tab w:val="num" w:pos="540"/>
          <w:tab w:val="num" w:pos="1495"/>
          <w:tab w:val="num" w:pos="9858"/>
        </w:tabs>
        <w:ind w:left="538" w:hanging="357"/>
        <w:jc w:val="both"/>
      </w:pPr>
      <w:r w:rsidRPr="00D710AF">
        <w:lastRenderedPageBreak/>
        <w:t xml:space="preserve">бюджетните взаимоотношения с общините включват нето предоставени трансфери в размер на 1 611,8 млн. лв., от които субсидии от централния бюджет в размер на 1 523,7 млн. лв., други целеви трансфери от централния бюджет в размер на 53,0 млн. лв., нетни трансфери от други бюджети в размер на 38,5 млн. лв. и възстановени трансфери от предходни години в централния бюджет – </w:t>
      </w:r>
      <w:r w:rsidRPr="00D710AF">
        <w:rPr>
          <w:lang w:val="en-US"/>
        </w:rPr>
        <w:t>3</w:t>
      </w:r>
      <w:r w:rsidRPr="00D710AF">
        <w:t>,4 млн. лева;</w:t>
      </w:r>
    </w:p>
    <w:p w:rsidR="00F56D72" w:rsidRPr="00B24EC7" w:rsidRDefault="00F56D72" w:rsidP="00F56D72">
      <w:pPr>
        <w:numPr>
          <w:ilvl w:val="0"/>
          <w:numId w:val="24"/>
        </w:numPr>
        <w:tabs>
          <w:tab w:val="clear" w:pos="700"/>
          <w:tab w:val="left" w:pos="180"/>
          <w:tab w:val="num" w:pos="540"/>
          <w:tab w:val="num" w:pos="1495"/>
          <w:tab w:val="num" w:pos="9858"/>
        </w:tabs>
        <w:ind w:left="538" w:hanging="357"/>
        <w:jc w:val="both"/>
      </w:pPr>
      <w:r w:rsidRPr="00B24EC7">
        <w:t xml:space="preserve">на </w:t>
      </w:r>
      <w:proofErr w:type="spellStart"/>
      <w:r w:rsidRPr="00B24EC7">
        <w:t>социалноосигурителните</w:t>
      </w:r>
      <w:proofErr w:type="spellEnd"/>
      <w:r w:rsidRPr="00B24EC7">
        <w:t xml:space="preserve"> фондове (нето) – 2 973,8 млн. лв.,</w:t>
      </w:r>
      <w:r w:rsidRPr="00B24EC7">
        <w:rPr>
          <w:b/>
        </w:rPr>
        <w:t xml:space="preserve"> </w:t>
      </w:r>
      <w:r w:rsidRPr="00B24EC7">
        <w:t>което представлява 50,7 % от годишния разчет;</w:t>
      </w:r>
    </w:p>
    <w:p w:rsidR="00F56D72" w:rsidRPr="00B24EC7" w:rsidRDefault="00F56D72" w:rsidP="00F56D72">
      <w:pPr>
        <w:numPr>
          <w:ilvl w:val="0"/>
          <w:numId w:val="24"/>
        </w:numPr>
        <w:tabs>
          <w:tab w:val="clear" w:pos="700"/>
          <w:tab w:val="left" w:pos="180"/>
          <w:tab w:val="num" w:pos="540"/>
          <w:tab w:val="num" w:pos="1495"/>
          <w:tab w:val="num" w:pos="9858"/>
        </w:tabs>
        <w:ind w:left="538" w:hanging="357"/>
        <w:jc w:val="both"/>
      </w:pPr>
      <w:r w:rsidRPr="00B24EC7">
        <w:t>на други автономни бюджети (ДВУ, БАН, БНТ, БНР и БТА) – 326,1 млн. лв., 53,2 % от годишния разчет.</w:t>
      </w:r>
    </w:p>
    <w:p w:rsidR="00F56D72" w:rsidRPr="0031181A" w:rsidRDefault="00F56D72" w:rsidP="00F56D72">
      <w:pPr>
        <w:numPr>
          <w:ilvl w:val="0"/>
          <w:numId w:val="6"/>
        </w:numPr>
        <w:tabs>
          <w:tab w:val="clear" w:pos="700"/>
          <w:tab w:val="left" w:pos="426"/>
        </w:tabs>
        <w:spacing w:before="120"/>
        <w:ind w:left="0" w:firstLine="0"/>
        <w:jc w:val="both"/>
        <w:rPr>
          <w:bCs/>
        </w:rPr>
      </w:pPr>
      <w:r w:rsidRPr="0031181A">
        <w:t>Частта от</w:t>
      </w:r>
      <w:r w:rsidRPr="0031181A">
        <w:rPr>
          <w:b/>
        </w:rPr>
        <w:t xml:space="preserve"> вноската на Република България в общия бюджет на ЕС, </w:t>
      </w:r>
      <w:r w:rsidRPr="0031181A">
        <w:t>изплатена към 30.06.2017 г. от централния бюджет възлиза на</w:t>
      </w:r>
      <w:r w:rsidRPr="0031181A">
        <w:rPr>
          <w:b/>
        </w:rPr>
        <w:t xml:space="preserve"> 488,3 млн. лв., </w:t>
      </w:r>
      <w:r w:rsidRPr="0031181A">
        <w:t xml:space="preserve">което е в изпълнение на действащото към момента законодателство в областта на собствените ресурси на ЕС - Решение на Съвета 2014/335/ЕС, </w:t>
      </w:r>
      <w:proofErr w:type="spellStart"/>
      <w:r w:rsidRPr="0031181A">
        <w:t>Евратом</w:t>
      </w:r>
      <w:proofErr w:type="spellEnd"/>
      <w:r w:rsidRPr="0031181A">
        <w:t xml:space="preserve"> относно системата на собствените ресурси на Европейския съюз, Регламент (ЕС, </w:t>
      </w:r>
      <w:proofErr w:type="spellStart"/>
      <w:r w:rsidRPr="0031181A">
        <w:t>Евратом</w:t>
      </w:r>
      <w:proofErr w:type="spellEnd"/>
      <w:r w:rsidRPr="0031181A">
        <w:t xml:space="preserve">) № 608/2014 на Съвета от 26 май 2014 г. за определяне на мерки за прилагане на системата на собствените ресурси на ЕС и Регламент (EС, </w:t>
      </w:r>
      <w:proofErr w:type="spellStart"/>
      <w:r w:rsidRPr="0031181A">
        <w:t>Евратом</w:t>
      </w:r>
      <w:proofErr w:type="spellEnd"/>
      <w:r w:rsidRPr="0031181A">
        <w:t xml:space="preserve">)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w:t>
      </w:r>
      <w:proofErr w:type="spellStart"/>
      <w:r w:rsidRPr="0031181A">
        <w:t>Евратом</w:t>
      </w:r>
      <w:proofErr w:type="spellEnd"/>
      <w:r w:rsidRPr="0031181A">
        <w:t xml:space="preserve">) 2016/804 на Съвета от 17 май 2016 г. </w:t>
      </w:r>
    </w:p>
    <w:p w:rsidR="00F56D72" w:rsidRPr="00D23F42" w:rsidRDefault="00F56D72" w:rsidP="00F56D72">
      <w:pPr>
        <w:numPr>
          <w:ilvl w:val="0"/>
          <w:numId w:val="6"/>
        </w:numPr>
        <w:tabs>
          <w:tab w:val="clear" w:pos="700"/>
          <w:tab w:val="num" w:pos="426"/>
        </w:tabs>
        <w:spacing w:before="240" w:after="240"/>
        <w:ind w:left="0" w:firstLine="0"/>
        <w:jc w:val="both"/>
        <w:rPr>
          <w:sz w:val="16"/>
          <w:szCs w:val="16"/>
        </w:rPr>
      </w:pPr>
      <w:r w:rsidRPr="00D23F42">
        <w:rPr>
          <w:b/>
        </w:rPr>
        <w:t xml:space="preserve">Бюджетното салдо по държавния бюджет </w:t>
      </w:r>
      <w:r w:rsidRPr="00D23F42">
        <w:t>към 30.06.2017 г.</w:t>
      </w:r>
      <w:r w:rsidRPr="00D23F42">
        <w:rPr>
          <w:b/>
        </w:rPr>
        <w:t xml:space="preserve"> е положително </w:t>
      </w:r>
      <w:r w:rsidRPr="00D23F42">
        <w:t xml:space="preserve">в размер на </w:t>
      </w:r>
      <w:r w:rsidRPr="00D23F42">
        <w:rPr>
          <w:b/>
        </w:rPr>
        <w:t>1 265,3</w:t>
      </w:r>
      <w:r w:rsidRPr="00D23F42">
        <w:t xml:space="preserve"> </w:t>
      </w:r>
      <w:r w:rsidRPr="00D23F42">
        <w:rPr>
          <w:b/>
        </w:rPr>
        <w:t>млн. лева.</w:t>
      </w:r>
      <w:r w:rsidRPr="00D23F42">
        <w:t xml:space="preserve"> </w:t>
      </w:r>
    </w:p>
    <w:p w:rsidR="00BD3B54" w:rsidRPr="005728D8" w:rsidRDefault="00BD3B54" w:rsidP="00337CA7">
      <w:pPr>
        <w:numPr>
          <w:ilvl w:val="0"/>
          <w:numId w:val="6"/>
        </w:numPr>
        <w:tabs>
          <w:tab w:val="clear" w:pos="700"/>
          <w:tab w:val="num" w:pos="567"/>
        </w:tabs>
        <w:spacing w:after="240"/>
        <w:ind w:left="0" w:firstLine="181"/>
        <w:jc w:val="both"/>
        <w:rPr>
          <w:b/>
        </w:rPr>
      </w:pPr>
      <w:r w:rsidRPr="005728D8">
        <w:rPr>
          <w:b/>
        </w:rPr>
        <w:t>Финансиране на бюджета чрез операции по дълга</w:t>
      </w:r>
    </w:p>
    <w:p w:rsidR="005728D8" w:rsidRPr="00160530" w:rsidRDefault="005728D8" w:rsidP="005728D8">
      <w:pPr>
        <w:spacing w:after="120"/>
        <w:jc w:val="both"/>
      </w:pPr>
      <w:r w:rsidRPr="00160530">
        <w:t xml:space="preserve">Към 30.06.2017 г. е отчетено отрицателно нетно външно финансиране по централния бюджет в размер на 90,8 млн. лева. </w:t>
      </w:r>
    </w:p>
    <w:p w:rsidR="005728D8" w:rsidRPr="00160530" w:rsidRDefault="005728D8" w:rsidP="005728D8">
      <w:pPr>
        <w:spacing w:after="120"/>
        <w:jc w:val="both"/>
      </w:pPr>
      <w:r w:rsidRPr="00160530">
        <w:t>През отчетния период по централния бюджет няма усвоени средства по заеми от чужбина.</w:t>
      </w:r>
    </w:p>
    <w:p w:rsidR="005728D8" w:rsidRPr="00160530" w:rsidRDefault="005728D8" w:rsidP="005728D8">
      <w:pPr>
        <w:spacing w:before="120" w:after="60"/>
        <w:jc w:val="both"/>
      </w:pPr>
      <w:r w:rsidRPr="00160530">
        <w:t>Извършените погашения по заеми от чужбина по централния бюджет възлизат на 91,4 млн. лв., в т.ч.:</w:t>
      </w:r>
    </w:p>
    <w:p w:rsidR="005728D8" w:rsidRPr="00CD719D" w:rsidRDefault="005728D8" w:rsidP="005728D8">
      <w:pPr>
        <w:numPr>
          <w:ilvl w:val="0"/>
          <w:numId w:val="23"/>
        </w:numPr>
        <w:tabs>
          <w:tab w:val="num" w:pos="900"/>
          <w:tab w:val="left" w:pos="993"/>
          <w:tab w:val="left" w:pos="1080"/>
          <w:tab w:val="left" w:pos="10348"/>
        </w:tabs>
        <w:spacing w:after="60"/>
        <w:ind w:left="0" w:right="42" w:firstLine="720"/>
        <w:jc w:val="both"/>
        <w:rPr>
          <w:rFonts w:ascii="Arial" w:hAnsi="Arial" w:cs="Arial"/>
        </w:rPr>
      </w:pPr>
      <w:r w:rsidRPr="00CD719D">
        <w:t>12,3 млн. лв. към правителството на Германия по силата на двустранно споразумение в рамките на Парижкия клуб;</w:t>
      </w:r>
    </w:p>
    <w:p w:rsidR="005728D8" w:rsidRPr="00CD719D" w:rsidRDefault="005728D8" w:rsidP="005728D8">
      <w:pPr>
        <w:numPr>
          <w:ilvl w:val="0"/>
          <w:numId w:val="23"/>
        </w:numPr>
        <w:tabs>
          <w:tab w:val="num" w:pos="900"/>
          <w:tab w:val="left" w:pos="993"/>
          <w:tab w:val="left" w:pos="1080"/>
          <w:tab w:val="left" w:pos="10348"/>
        </w:tabs>
        <w:spacing w:after="60"/>
        <w:ind w:left="0" w:right="42" w:firstLine="720"/>
        <w:jc w:val="both"/>
        <w:rPr>
          <w:rFonts w:ascii="Arial" w:hAnsi="Arial" w:cs="Arial"/>
        </w:rPr>
      </w:pPr>
      <w:r w:rsidRPr="00CD719D">
        <w:t>75,</w:t>
      </w:r>
      <w:r>
        <w:t>4</w:t>
      </w:r>
      <w:r w:rsidRPr="00CD719D">
        <w:t xml:space="preserve"> млн. лв. по държавен заем към Международната банка за възстановяване и развитие.</w:t>
      </w:r>
    </w:p>
    <w:p w:rsidR="005728D8" w:rsidRPr="00CD719D" w:rsidRDefault="005728D8" w:rsidP="005728D8">
      <w:pPr>
        <w:numPr>
          <w:ilvl w:val="0"/>
          <w:numId w:val="23"/>
        </w:numPr>
        <w:tabs>
          <w:tab w:val="num" w:pos="900"/>
          <w:tab w:val="left" w:pos="993"/>
          <w:tab w:val="left" w:pos="1080"/>
          <w:tab w:val="left" w:pos="10348"/>
        </w:tabs>
        <w:spacing w:after="60"/>
        <w:ind w:left="0" w:right="42" w:firstLine="720"/>
        <w:jc w:val="both"/>
        <w:rPr>
          <w:rFonts w:ascii="Arial" w:hAnsi="Arial" w:cs="Arial"/>
        </w:rPr>
      </w:pPr>
      <w:r w:rsidRPr="00CD719D">
        <w:t>3,7 млн. лв. по дълга към Япония</w:t>
      </w:r>
    </w:p>
    <w:p w:rsidR="005728D8" w:rsidRPr="00210AEF" w:rsidRDefault="005728D8" w:rsidP="005728D8">
      <w:pPr>
        <w:spacing w:after="120"/>
        <w:jc w:val="both"/>
      </w:pPr>
      <w:r w:rsidRPr="00210AEF">
        <w:t xml:space="preserve">По </w:t>
      </w:r>
      <w:r w:rsidRPr="00210AEF">
        <w:rPr>
          <w:b/>
        </w:rPr>
        <w:t>държавните инвестиционни заеми</w:t>
      </w:r>
      <w:r w:rsidRPr="00210AEF">
        <w:t xml:space="preserve">, управлявани от министерства и ведомства през отчетния период са </w:t>
      </w:r>
      <w:r w:rsidRPr="00210AEF">
        <w:rPr>
          <w:b/>
          <w:i/>
        </w:rPr>
        <w:t>усвоени</w:t>
      </w:r>
      <w:r w:rsidRPr="00210AEF">
        <w:t xml:space="preserve"> 7,6</w:t>
      </w:r>
      <w:r w:rsidRPr="00210AEF">
        <w:rPr>
          <w:lang w:val="en-US"/>
        </w:rPr>
        <w:t xml:space="preserve"> </w:t>
      </w:r>
      <w:r w:rsidRPr="00210AEF">
        <w:t>млн.лв. по проект „Развитие на общинската инфраструктура“ с кредитор Международната банка за възстановяване и развитие.</w:t>
      </w:r>
    </w:p>
    <w:p w:rsidR="005728D8" w:rsidRPr="004714EC" w:rsidRDefault="005728D8" w:rsidP="005728D8">
      <w:pPr>
        <w:spacing w:after="120"/>
        <w:jc w:val="both"/>
      </w:pPr>
      <w:r w:rsidRPr="00210AEF">
        <w:rPr>
          <w:b/>
          <w:i/>
        </w:rPr>
        <w:t>Изплатените погашения</w:t>
      </w:r>
      <w:r w:rsidRPr="00210AEF">
        <w:t xml:space="preserve"> по ДИЗ, управлявани от министерства и ведомства, са в размер </w:t>
      </w:r>
      <w:r w:rsidRPr="004714EC">
        <w:t>на 72,6 млн. лева. По заемите с краен бенефициент търговско дружество са извършени погашения в размер на 9,</w:t>
      </w:r>
      <w:proofErr w:type="spellStart"/>
      <w:r w:rsidRPr="004714EC">
        <w:t>9</w:t>
      </w:r>
      <w:proofErr w:type="spellEnd"/>
      <w:r w:rsidRPr="004714EC">
        <w:t xml:space="preserve"> млн.</w:t>
      </w:r>
      <w:r w:rsidR="00492847">
        <w:t xml:space="preserve"> </w:t>
      </w:r>
      <w:r w:rsidRPr="004714EC">
        <w:t xml:space="preserve">лв. Не са използвани средства, предвидени за покриване на риска от активиране на държавни гаранции. </w:t>
      </w:r>
    </w:p>
    <w:p w:rsidR="005728D8" w:rsidRPr="00CE5E96" w:rsidRDefault="005728D8" w:rsidP="005728D8">
      <w:pPr>
        <w:tabs>
          <w:tab w:val="left" w:pos="9356"/>
        </w:tabs>
        <w:spacing w:after="60"/>
        <w:jc w:val="both"/>
        <w:rPr>
          <w:rFonts w:ascii="Arial" w:hAnsi="Arial" w:cs="Arial"/>
        </w:rPr>
      </w:pPr>
      <w:r w:rsidRPr="00CE5E96">
        <w:t xml:space="preserve">Операции с </w:t>
      </w:r>
      <w:r w:rsidRPr="00CE5E96">
        <w:rPr>
          <w:b/>
        </w:rPr>
        <w:t xml:space="preserve">държавни ценни книжа </w:t>
      </w:r>
      <w:r w:rsidRPr="00CE5E96">
        <w:t xml:space="preserve">по централния бюджет </w:t>
      </w:r>
      <w:r w:rsidRPr="00CE5E96">
        <w:rPr>
          <w:b/>
        </w:rPr>
        <w:t>(позиция във вътрешното финансиране):</w:t>
      </w:r>
      <w:r w:rsidRPr="00CE5E96">
        <w:t xml:space="preserve"> Към 30 юни 2017 г. е реализирано отрицателно нетно вътрешно финансиране на бюджета с държавни ценни книжа (ДЦК) в размер на 364,5 млн. лева. Общият размер на постъпления от емисии на ДЦК е 420,</w:t>
      </w:r>
      <w:r w:rsidRPr="00CE5E96">
        <w:rPr>
          <w:lang w:val="en-US"/>
        </w:rPr>
        <w:t>0</w:t>
      </w:r>
      <w:r w:rsidRPr="00CE5E96">
        <w:t xml:space="preserve"> млн. лв. Емитирани </w:t>
      </w:r>
      <w:bookmarkStart w:id="1" w:name="OLE_LINK4"/>
      <w:bookmarkStart w:id="2" w:name="OLE_LINK5"/>
      <w:r w:rsidRPr="00CE5E96">
        <w:t xml:space="preserve">ДЦК на съвкупна номинална стойност са както следва: 250,0 </w:t>
      </w:r>
      <w:bookmarkEnd w:id="1"/>
      <w:bookmarkEnd w:id="2"/>
      <w:r w:rsidRPr="00CE5E96">
        <w:t xml:space="preserve">млн. лв. дългосрочни </w:t>
      </w:r>
      <w:r w:rsidRPr="00CE5E96">
        <w:rPr>
          <w:lang w:val="en-US"/>
        </w:rPr>
        <w:t>(</w:t>
      </w:r>
      <w:r w:rsidRPr="00CE5E96">
        <w:t>10,5-годишни ДЦК</w:t>
      </w:r>
      <w:r w:rsidRPr="00CE5E96">
        <w:rPr>
          <w:lang w:val="en-US"/>
        </w:rPr>
        <w:t>)</w:t>
      </w:r>
      <w:r w:rsidRPr="00CE5E96">
        <w:t xml:space="preserve"> и 170,0 млн. лв. 4-годишни ДЦК, деноминирани в лева, с падеж 22 февруари 2021 година.</w:t>
      </w:r>
    </w:p>
    <w:p w:rsidR="005728D8" w:rsidRPr="008B38D2" w:rsidRDefault="005728D8" w:rsidP="005728D8">
      <w:pPr>
        <w:spacing w:before="120" w:after="120"/>
        <w:jc w:val="both"/>
      </w:pPr>
      <w:r w:rsidRPr="008B38D2">
        <w:lastRenderedPageBreak/>
        <w:t>Отчетените погашения за периода са в размер на 784,5 млн. лв., в т.ч. 750,7 млн. лв. по ДЦК, емитирани за финансиране на дефицита и 33,8 млн. лв. по ДЦК, емитирани за структурната реформа.</w:t>
      </w:r>
    </w:p>
    <w:p w:rsidR="0004753C" w:rsidRPr="007520AE" w:rsidRDefault="0004753C" w:rsidP="00337CA7">
      <w:pPr>
        <w:pStyle w:val="Heading1"/>
        <w:numPr>
          <w:ilvl w:val="1"/>
          <w:numId w:val="10"/>
        </w:numPr>
        <w:spacing w:after="120"/>
        <w:ind w:right="-108"/>
        <w:jc w:val="both"/>
        <w:rPr>
          <w:sz w:val="24"/>
        </w:rPr>
      </w:pPr>
      <w:r w:rsidRPr="007520AE">
        <w:rPr>
          <w:sz w:val="24"/>
        </w:rPr>
        <w:t>Бюджет на съдебната власт</w:t>
      </w:r>
    </w:p>
    <w:p w:rsidR="007520AE" w:rsidRPr="009279A7" w:rsidRDefault="007520AE" w:rsidP="007520AE">
      <w:pPr>
        <w:ind w:firstLine="567"/>
        <w:jc w:val="both"/>
      </w:pPr>
      <w:r w:rsidRPr="009279A7">
        <w:t xml:space="preserve">Със ЗДБРБ за 2017 г. са предвидени общо </w:t>
      </w:r>
      <w:r w:rsidRPr="009279A7">
        <w:rPr>
          <w:b/>
        </w:rPr>
        <w:t>приходи</w:t>
      </w:r>
      <w:r w:rsidRPr="009279A7">
        <w:t xml:space="preserve"> по бюджета на съдебната власт в размер на 125,0 млн.</w:t>
      </w:r>
      <w:r w:rsidRPr="009279A7">
        <w:rPr>
          <w:lang w:val="en-US"/>
        </w:rPr>
        <w:t xml:space="preserve"> </w:t>
      </w:r>
      <w:r w:rsidRPr="009279A7">
        <w:t>лв., от тях 105,0 млн.</w:t>
      </w:r>
      <w:r w:rsidRPr="009279A7">
        <w:rPr>
          <w:lang w:val="en-US"/>
        </w:rPr>
        <w:t xml:space="preserve"> </w:t>
      </w:r>
      <w:r w:rsidRPr="009279A7">
        <w:t xml:space="preserve">лв. са приходи от съдебни такси. За първото полугодие на 2017 г. са отчетени приходи в размер на 56,9 млн. лв. (45,5 % от закона), от които </w:t>
      </w:r>
      <w:r w:rsidRPr="0009722D">
        <w:t>49</w:t>
      </w:r>
      <w:r w:rsidRPr="009279A7">
        <w:t>,</w:t>
      </w:r>
      <w:r w:rsidRPr="0009722D">
        <w:t>0</w:t>
      </w:r>
      <w:r w:rsidRPr="009279A7">
        <w:t xml:space="preserve"> млн. лв. - приходи от съдебни такси. За сравнение, към 3</w:t>
      </w:r>
      <w:r w:rsidRPr="0009722D">
        <w:t>0</w:t>
      </w:r>
      <w:r w:rsidRPr="009279A7">
        <w:t>.0</w:t>
      </w:r>
      <w:r w:rsidRPr="0009722D">
        <w:t>6</w:t>
      </w:r>
      <w:r w:rsidRPr="009279A7">
        <w:t xml:space="preserve">.2016 г. са отчетени общо неданъчни приходи в размер на </w:t>
      </w:r>
      <w:r w:rsidRPr="0009722D">
        <w:t>53</w:t>
      </w:r>
      <w:r w:rsidRPr="009279A7">
        <w:t>,</w:t>
      </w:r>
      <w:r w:rsidRPr="0009722D">
        <w:t>8</w:t>
      </w:r>
      <w:r w:rsidRPr="009279A7">
        <w:t xml:space="preserve"> млн. лв. (</w:t>
      </w:r>
      <w:r w:rsidRPr="0009722D">
        <w:t>38</w:t>
      </w:r>
      <w:r w:rsidRPr="009279A7">
        <w:t>,</w:t>
      </w:r>
      <w:r w:rsidRPr="0009722D">
        <w:t>4</w:t>
      </w:r>
      <w:r w:rsidRPr="009279A7">
        <w:t xml:space="preserve"> % от закона), от които </w:t>
      </w:r>
      <w:r w:rsidRPr="0009722D">
        <w:t>46</w:t>
      </w:r>
      <w:r w:rsidRPr="009279A7">
        <w:t>,</w:t>
      </w:r>
      <w:r w:rsidRPr="0009722D">
        <w:t>5</w:t>
      </w:r>
      <w:r w:rsidRPr="009279A7">
        <w:t xml:space="preserve"> млн. лв. - приходи от съдебни такси.</w:t>
      </w:r>
    </w:p>
    <w:p w:rsidR="007520AE" w:rsidRPr="0009722D" w:rsidRDefault="007520AE" w:rsidP="007520AE">
      <w:pPr>
        <w:ind w:firstLine="567"/>
        <w:jc w:val="both"/>
      </w:pPr>
      <w:r w:rsidRPr="0009722D">
        <w:rPr>
          <w:b/>
        </w:rPr>
        <w:t xml:space="preserve">Разходите </w:t>
      </w:r>
      <w:r w:rsidRPr="0009722D">
        <w:t>по бюджета на съдебната власт</w:t>
      </w:r>
      <w:r w:rsidRPr="0009722D">
        <w:rPr>
          <w:b/>
        </w:rPr>
        <w:t xml:space="preserve"> </w:t>
      </w:r>
      <w:r w:rsidRPr="0009722D">
        <w:t>за първото полугодие на 2017 г.</w:t>
      </w:r>
      <w:r w:rsidRPr="0009722D">
        <w:rPr>
          <w:b/>
        </w:rPr>
        <w:t xml:space="preserve"> </w:t>
      </w:r>
      <w:r w:rsidRPr="0009722D">
        <w:t>са в размер на 279,5 млн. лв. или 49,5 % от планираните за годината (565,0 млн. лв.). За сравнение, през същия период на 2016 г. са отчетени разходи в размер 261,7 млн. лв., които представляват 50,5 % от определените с годишния закон 518,0 млн. лева.</w:t>
      </w:r>
    </w:p>
    <w:p w:rsidR="0092459E" w:rsidRPr="0092459E" w:rsidRDefault="0092459E" w:rsidP="00967BB9">
      <w:pPr>
        <w:ind w:firstLine="567"/>
        <w:jc w:val="both"/>
        <w:rPr>
          <w:color w:val="0070C0"/>
          <w:lang w:val="en-US"/>
        </w:rPr>
      </w:pPr>
    </w:p>
    <w:p w:rsidR="00FD30B0" w:rsidRPr="00AF4993" w:rsidRDefault="00FD30B0" w:rsidP="00FD30B0">
      <w:pPr>
        <w:pStyle w:val="Heading1"/>
        <w:numPr>
          <w:ilvl w:val="0"/>
          <w:numId w:val="10"/>
        </w:numPr>
        <w:spacing w:before="240" w:after="120"/>
        <w:ind w:left="748" w:right="-108" w:hanging="391"/>
        <w:jc w:val="both"/>
        <w:rPr>
          <w:sz w:val="24"/>
        </w:rPr>
      </w:pPr>
      <w:r w:rsidRPr="00AF4993">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D30B0" w:rsidRPr="00AF4993" w:rsidRDefault="00FD30B0" w:rsidP="00FD30B0">
      <w:pPr>
        <w:pStyle w:val="Heading1"/>
        <w:numPr>
          <w:ilvl w:val="1"/>
          <w:numId w:val="10"/>
        </w:numPr>
        <w:spacing w:after="120"/>
        <w:ind w:left="788" w:right="-108" w:hanging="431"/>
        <w:jc w:val="both"/>
        <w:rPr>
          <w:sz w:val="24"/>
          <w:lang w:val="en-US"/>
        </w:rPr>
      </w:pPr>
      <w:r w:rsidRPr="00AF4993">
        <w:rPr>
          <w:sz w:val="24"/>
        </w:rPr>
        <w:t xml:space="preserve"> Сметка за Европейски средства на Разплащателна агенция към Държавен фонд „Земеделие” </w:t>
      </w:r>
    </w:p>
    <w:p w:rsidR="00546B8C" w:rsidRPr="00546B8C" w:rsidRDefault="00546B8C" w:rsidP="00546B8C">
      <w:pPr>
        <w:numPr>
          <w:ilvl w:val="0"/>
          <w:numId w:val="28"/>
        </w:numPr>
        <w:tabs>
          <w:tab w:val="num" w:pos="540"/>
        </w:tabs>
        <w:spacing w:before="120" w:after="120" w:line="276" w:lineRule="auto"/>
        <w:contextualSpacing/>
        <w:jc w:val="both"/>
        <w:rPr>
          <w:b/>
          <w:lang w:eastAsia="bg-BG"/>
        </w:rPr>
      </w:pPr>
      <w:r w:rsidRPr="00546B8C">
        <w:rPr>
          <w:b/>
          <w:lang w:eastAsia="bg-BG"/>
        </w:rPr>
        <w:t>Приходи</w:t>
      </w:r>
    </w:p>
    <w:p w:rsidR="00546B8C" w:rsidRPr="00546B8C" w:rsidRDefault="00546B8C" w:rsidP="00546B8C">
      <w:pPr>
        <w:tabs>
          <w:tab w:val="right" w:pos="0"/>
          <w:tab w:val="left" w:pos="709"/>
        </w:tabs>
        <w:ind w:firstLine="709"/>
        <w:jc w:val="both"/>
        <w:rPr>
          <w:szCs w:val="20"/>
        </w:rPr>
      </w:pPr>
      <w:r w:rsidRPr="00546B8C">
        <w:rPr>
          <w:szCs w:val="20"/>
        </w:rPr>
        <w:t>За 2017 г. планираните приходи по утвърдените годишни разчети на сметката за средства от Европейския съюз на ДФ „Земеделие” са в размер на 513,5 млн. лв. Към 30.06.2017 г. по отчетни данни, постъпленията са в размер на 31,8 млн. лв. – 6,2 % от годишния план.</w:t>
      </w:r>
    </w:p>
    <w:p w:rsidR="00546B8C" w:rsidRPr="00546B8C" w:rsidRDefault="00546B8C" w:rsidP="00546B8C">
      <w:pPr>
        <w:tabs>
          <w:tab w:val="right" w:pos="0"/>
          <w:tab w:val="left" w:pos="709"/>
        </w:tabs>
        <w:ind w:firstLine="709"/>
        <w:jc w:val="both"/>
        <w:rPr>
          <w:szCs w:val="20"/>
        </w:rPr>
      </w:pPr>
      <w:r w:rsidRPr="00546B8C">
        <w:rPr>
          <w:szCs w:val="20"/>
        </w:rPr>
        <w:t>Най-голям е делът на помощите и даренията от чужбина, които възлизат на 31,7 млн. лв. или 6,1 % от годишния уточнен план, разпределени както следва:</w:t>
      </w:r>
    </w:p>
    <w:p w:rsidR="00546B8C" w:rsidRPr="00546B8C" w:rsidRDefault="00546B8C" w:rsidP="00546B8C">
      <w:pPr>
        <w:tabs>
          <w:tab w:val="right" w:pos="0"/>
          <w:tab w:val="left" w:pos="709"/>
        </w:tabs>
        <w:ind w:firstLine="780"/>
        <w:jc w:val="both"/>
        <w:rPr>
          <w:color w:val="0070C0"/>
          <w:szCs w:val="20"/>
        </w:rPr>
      </w:pPr>
    </w:p>
    <w:p w:rsidR="00546B8C" w:rsidRPr="00546B8C" w:rsidRDefault="00546B8C" w:rsidP="00546B8C">
      <w:pPr>
        <w:numPr>
          <w:ilvl w:val="0"/>
          <w:numId w:val="31"/>
        </w:numPr>
        <w:tabs>
          <w:tab w:val="right" w:pos="0"/>
          <w:tab w:val="left" w:pos="709"/>
        </w:tabs>
        <w:ind w:left="993" w:hanging="284"/>
        <w:contextualSpacing/>
        <w:jc w:val="both"/>
        <w:rPr>
          <w:b/>
          <w:i/>
          <w:lang w:eastAsia="bg-BG"/>
        </w:rPr>
      </w:pPr>
      <w:r w:rsidRPr="00546B8C">
        <w:rPr>
          <w:b/>
          <w:i/>
          <w:lang w:eastAsia="bg-BG"/>
        </w:rPr>
        <w:t>Текущи помощи и дарения от Европейския съюз</w:t>
      </w:r>
    </w:p>
    <w:p w:rsidR="00546B8C" w:rsidRPr="00546B8C" w:rsidRDefault="00546B8C" w:rsidP="00546B8C">
      <w:pPr>
        <w:jc w:val="both"/>
        <w:rPr>
          <w:lang w:eastAsia="bg-BG"/>
        </w:rPr>
      </w:pPr>
      <w:r w:rsidRPr="00546B8C">
        <w:rPr>
          <w:lang w:eastAsia="bg-BG"/>
        </w:rPr>
        <w:tab/>
        <w:t>Общият размер на получените приходи, отчетени в „Текущи помощи и дарения от Европейския съюз“  към 30.06.2017 г. е 8,5 млн. лв., при план от 69 млн. лв. Тяхното разпределение по отделните направления е както следва:</w:t>
      </w:r>
    </w:p>
    <w:p w:rsidR="00546B8C" w:rsidRPr="00546B8C" w:rsidRDefault="00546B8C" w:rsidP="00546B8C">
      <w:pPr>
        <w:numPr>
          <w:ilvl w:val="0"/>
          <w:numId w:val="32"/>
        </w:numPr>
        <w:ind w:left="0" w:firstLine="708"/>
        <w:contextualSpacing/>
        <w:jc w:val="both"/>
        <w:rPr>
          <w:lang w:eastAsia="bg-BG"/>
        </w:rPr>
      </w:pPr>
      <w:r w:rsidRPr="00546B8C">
        <w:rPr>
          <w:lang w:eastAsia="bg-BG"/>
        </w:rPr>
        <w:t>получени текущи приходи от възстановяване на средства от</w:t>
      </w:r>
      <w:r w:rsidRPr="00546B8C">
        <w:t xml:space="preserve"> Европейския земеделски фонд за развитие на селските райони </w:t>
      </w:r>
      <w:r w:rsidRPr="00546B8C">
        <w:rPr>
          <w:lang w:val="en-US"/>
        </w:rPr>
        <w:t>(</w:t>
      </w:r>
      <w:r w:rsidRPr="00546B8C">
        <w:t>ЕЗФРСР</w:t>
      </w:r>
      <w:r w:rsidRPr="00546B8C">
        <w:rPr>
          <w:lang w:val="en-US"/>
        </w:rPr>
        <w:t>)</w:t>
      </w:r>
      <w:r w:rsidRPr="00546B8C">
        <w:t xml:space="preserve"> по линия на ПРСР без директни плащания към 30.06.2017 г. - 5,8 млн. лв. Общото изпълнение е 9,</w:t>
      </w:r>
      <w:proofErr w:type="spellStart"/>
      <w:r w:rsidRPr="00546B8C">
        <w:t>9</w:t>
      </w:r>
      <w:proofErr w:type="spellEnd"/>
      <w:r w:rsidRPr="00546B8C">
        <w:t xml:space="preserve"> % от планираните 58,5 млн. лв.</w:t>
      </w:r>
    </w:p>
    <w:p w:rsidR="00546B8C" w:rsidRPr="00546B8C" w:rsidRDefault="00546B8C" w:rsidP="00546B8C">
      <w:pPr>
        <w:numPr>
          <w:ilvl w:val="0"/>
          <w:numId w:val="32"/>
        </w:numPr>
        <w:ind w:left="0" w:firstLine="708"/>
        <w:contextualSpacing/>
        <w:jc w:val="both"/>
        <w:rPr>
          <w:lang w:eastAsia="bg-BG"/>
        </w:rPr>
      </w:pPr>
      <w:r w:rsidRPr="00546B8C">
        <w:rPr>
          <w:lang w:eastAsia="bg-BG"/>
        </w:rPr>
        <w:t xml:space="preserve">получени текущи приходи от възстановяване на средства по линия на схема „Училищен плод“ и „Училищно мляко“ от </w:t>
      </w:r>
      <w:r w:rsidRPr="00546B8C">
        <w:t xml:space="preserve">Европейския фонд за гарантиране в земеделието </w:t>
      </w:r>
      <w:r w:rsidRPr="00546B8C">
        <w:rPr>
          <w:lang w:val="en-US"/>
        </w:rPr>
        <w:t>(</w:t>
      </w:r>
      <w:r w:rsidRPr="00546B8C">
        <w:t>ЕФГЗ</w:t>
      </w:r>
      <w:r w:rsidRPr="00546B8C">
        <w:rPr>
          <w:lang w:val="en-US"/>
        </w:rPr>
        <w:t>)</w:t>
      </w:r>
      <w:r w:rsidRPr="00546B8C">
        <w:t xml:space="preserve"> към 30.06.201</w:t>
      </w:r>
      <w:r w:rsidR="002A3A9F">
        <w:rPr>
          <w:lang w:val="en-US"/>
        </w:rPr>
        <w:t>7</w:t>
      </w:r>
      <w:r w:rsidRPr="00546B8C">
        <w:t xml:space="preserve"> г. - 2,7 млн. лв. – 42,2 % от планираните 6,4 млн. лв.</w:t>
      </w:r>
    </w:p>
    <w:p w:rsidR="00546B8C" w:rsidRPr="00546B8C" w:rsidRDefault="00546B8C" w:rsidP="00546B8C">
      <w:pPr>
        <w:numPr>
          <w:ilvl w:val="0"/>
          <w:numId w:val="32"/>
        </w:numPr>
        <w:ind w:left="0" w:firstLine="708"/>
        <w:contextualSpacing/>
        <w:jc w:val="both"/>
        <w:rPr>
          <w:lang w:eastAsia="bg-BG"/>
        </w:rPr>
      </w:pPr>
      <w:r w:rsidRPr="00546B8C">
        <w:t xml:space="preserve">няма получени текущи приходи от възстановени средства от Европейския фонд за морско дело и рибарство </w:t>
      </w:r>
      <w:r w:rsidRPr="00546B8C">
        <w:rPr>
          <w:lang w:val="en-US"/>
        </w:rPr>
        <w:t>(</w:t>
      </w:r>
      <w:r w:rsidRPr="00546B8C">
        <w:t>ЕФМДР</w:t>
      </w:r>
      <w:r w:rsidRPr="00546B8C">
        <w:rPr>
          <w:lang w:val="en-US"/>
        </w:rPr>
        <w:t>)</w:t>
      </w:r>
      <w:r w:rsidRPr="00546B8C">
        <w:t xml:space="preserve"> към 30.06.2017 г. при планирани 4,1 млн. лв.</w:t>
      </w:r>
    </w:p>
    <w:p w:rsidR="00546B8C" w:rsidRPr="00546B8C" w:rsidRDefault="00546B8C" w:rsidP="00546B8C">
      <w:pPr>
        <w:numPr>
          <w:ilvl w:val="0"/>
          <w:numId w:val="25"/>
        </w:numPr>
        <w:tabs>
          <w:tab w:val="left" w:pos="993"/>
        </w:tabs>
        <w:spacing w:before="120" w:after="120" w:line="276" w:lineRule="auto"/>
        <w:ind w:left="1321" w:hanging="612"/>
        <w:jc w:val="both"/>
        <w:rPr>
          <w:b/>
          <w:i/>
          <w:lang w:eastAsia="bg-BG"/>
        </w:rPr>
      </w:pPr>
      <w:r w:rsidRPr="00546B8C">
        <w:rPr>
          <w:b/>
          <w:i/>
          <w:lang w:eastAsia="bg-BG"/>
        </w:rPr>
        <w:t>Капиталови помощи и дарения от Европейския съюз</w:t>
      </w:r>
    </w:p>
    <w:p w:rsidR="00546B8C" w:rsidRPr="00546B8C" w:rsidRDefault="00546B8C" w:rsidP="00546B8C">
      <w:pPr>
        <w:jc w:val="both"/>
      </w:pPr>
      <w:r w:rsidRPr="00546B8C">
        <w:rPr>
          <w:lang w:eastAsia="bg-BG"/>
        </w:rPr>
        <w:tab/>
      </w:r>
      <w:r w:rsidRPr="00546B8C">
        <w:t>Общият размер на получените приходи, отчетени в „Капиталови помощи и дарения от Европейския съюз“ през първите шест месеца на 2017 г. е 23,2 млн. лв., при план от 444,5 млн. лв. От които:</w:t>
      </w:r>
    </w:p>
    <w:p w:rsidR="00546B8C" w:rsidRPr="00546B8C" w:rsidRDefault="00546B8C" w:rsidP="00546B8C">
      <w:pPr>
        <w:numPr>
          <w:ilvl w:val="0"/>
          <w:numId w:val="32"/>
        </w:numPr>
        <w:ind w:left="0" w:firstLine="708"/>
        <w:contextualSpacing/>
        <w:jc w:val="both"/>
      </w:pPr>
      <w:r w:rsidRPr="00546B8C">
        <w:t>получените капиталови приходи от ЕЗФРСР по линия на ПРСР без директни плащания до 30.06.2017 г. са 22,2 млн. лв. Общото изпълнение е 5,2 % спрямо заложените по план 428,9 млн. лв.</w:t>
      </w:r>
    </w:p>
    <w:p w:rsidR="00546B8C" w:rsidRPr="00546B8C" w:rsidRDefault="00546B8C" w:rsidP="00546B8C">
      <w:pPr>
        <w:numPr>
          <w:ilvl w:val="0"/>
          <w:numId w:val="32"/>
        </w:numPr>
        <w:ind w:left="0" w:firstLine="708"/>
        <w:contextualSpacing/>
        <w:jc w:val="both"/>
      </w:pPr>
      <w:r w:rsidRPr="00546B8C">
        <w:t>получените капиталови приходи в областта на сектор „Рибарство“ са 1,01 млн. лв. при планирани 15,6 млн. лв. Общото изпълнение е 6,5 %.</w:t>
      </w:r>
    </w:p>
    <w:p w:rsidR="00546B8C" w:rsidRPr="00546B8C" w:rsidRDefault="00546B8C" w:rsidP="00546B8C">
      <w:pPr>
        <w:jc w:val="both"/>
        <w:rPr>
          <w:color w:val="0070C0"/>
          <w:lang w:eastAsia="bg-BG"/>
        </w:rPr>
      </w:pPr>
      <w:r w:rsidRPr="00546B8C">
        <w:rPr>
          <w:color w:val="0070C0"/>
        </w:rPr>
        <w:tab/>
      </w:r>
      <w:r w:rsidRPr="00546B8C">
        <w:rPr>
          <w:color w:val="0070C0"/>
        </w:rPr>
        <w:tab/>
      </w:r>
    </w:p>
    <w:p w:rsidR="00546B8C" w:rsidRPr="00546B8C" w:rsidRDefault="00546B8C" w:rsidP="00546B8C">
      <w:pPr>
        <w:numPr>
          <w:ilvl w:val="0"/>
          <w:numId w:val="28"/>
        </w:numPr>
        <w:tabs>
          <w:tab w:val="num" w:pos="540"/>
        </w:tabs>
        <w:spacing w:before="240" w:after="120" w:line="276" w:lineRule="auto"/>
        <w:ind w:left="777" w:hanging="357"/>
        <w:contextualSpacing/>
        <w:jc w:val="both"/>
        <w:rPr>
          <w:b/>
          <w:lang w:eastAsia="bg-BG"/>
        </w:rPr>
      </w:pPr>
      <w:r w:rsidRPr="00546B8C">
        <w:rPr>
          <w:b/>
          <w:lang w:eastAsia="bg-BG"/>
        </w:rPr>
        <w:lastRenderedPageBreak/>
        <w:t xml:space="preserve">Разходи </w:t>
      </w:r>
    </w:p>
    <w:p w:rsidR="00546B8C" w:rsidRPr="00546B8C" w:rsidRDefault="00546B8C" w:rsidP="00546B8C">
      <w:pPr>
        <w:ind w:firstLine="708"/>
        <w:jc w:val="both"/>
        <w:rPr>
          <w:color w:val="0070C0"/>
          <w:lang w:eastAsia="bg-BG"/>
        </w:rPr>
      </w:pPr>
      <w:r w:rsidRPr="00546B8C">
        <w:rPr>
          <w:lang w:eastAsia="bg-BG"/>
        </w:rPr>
        <w:t>Общият размер на планираните за 2017 г. разходи по утвърдените актуализирани годишни разчети на сметката за средства от Европейския съюз на ДФ „Земеделие” са 669,1 млн. лв., а по отчет сумата възлиза на 150,9 млн. лв. Уточненият план за изплащане на субсидии за текуща дейност и за капиталови трансфери възлиза на 492,7 млн. лв., а отчетените разходи към 30.06.2017 г. в размер на 150,9 млн. лв. са 30,6 % спрямо годишния план. Разпределението на разходите е както следва:</w:t>
      </w:r>
    </w:p>
    <w:p w:rsidR="00546B8C" w:rsidRPr="00546B8C" w:rsidRDefault="00546B8C" w:rsidP="00546B8C">
      <w:pPr>
        <w:numPr>
          <w:ilvl w:val="0"/>
          <w:numId w:val="25"/>
        </w:numPr>
        <w:tabs>
          <w:tab w:val="left" w:pos="993"/>
        </w:tabs>
        <w:spacing w:before="120" w:after="120" w:line="276" w:lineRule="auto"/>
        <w:ind w:left="1321" w:hanging="612"/>
        <w:jc w:val="both"/>
        <w:rPr>
          <w:b/>
          <w:i/>
          <w:lang w:eastAsia="bg-BG"/>
        </w:rPr>
      </w:pPr>
      <w:r w:rsidRPr="00546B8C">
        <w:rPr>
          <w:b/>
          <w:i/>
          <w:lang w:eastAsia="bg-BG"/>
        </w:rPr>
        <w:t>Субсидии и други текущи трансфери за нефинансови предприятия</w:t>
      </w:r>
    </w:p>
    <w:p w:rsidR="00546B8C" w:rsidRPr="00546B8C" w:rsidRDefault="00546B8C" w:rsidP="00546B8C">
      <w:pPr>
        <w:tabs>
          <w:tab w:val="left" w:pos="993"/>
        </w:tabs>
        <w:ind w:firstLine="709"/>
        <w:jc w:val="both"/>
        <w:rPr>
          <w:lang w:eastAsia="bg-BG"/>
        </w:rPr>
      </w:pPr>
      <w:r w:rsidRPr="00546B8C">
        <w:rPr>
          <w:lang w:eastAsia="bg-BG"/>
        </w:rPr>
        <w:t>За 2017 г. са планирани средства в размер на 187,1 млн. лв. Изплатените и отчетени средства представляват 47,6 % от планираните и са в размер на 89,1 млн.</w:t>
      </w:r>
      <w:r w:rsidR="00E0505B">
        <w:rPr>
          <w:lang w:eastAsia="bg-BG"/>
        </w:rPr>
        <w:t xml:space="preserve"> </w:t>
      </w:r>
      <w:r w:rsidRPr="00546B8C">
        <w:rPr>
          <w:lang w:eastAsia="bg-BG"/>
        </w:rPr>
        <w:t>лв. Изпълнението по дейности е както следва:</w:t>
      </w:r>
    </w:p>
    <w:p w:rsidR="00546B8C" w:rsidRPr="00546B8C" w:rsidRDefault="00546B8C" w:rsidP="00546B8C">
      <w:pPr>
        <w:tabs>
          <w:tab w:val="left" w:pos="993"/>
        </w:tabs>
        <w:ind w:firstLine="709"/>
        <w:jc w:val="both"/>
        <w:rPr>
          <w:lang w:eastAsia="bg-BG"/>
        </w:rPr>
      </w:pPr>
      <w:r w:rsidRPr="00546B8C">
        <w:rPr>
          <w:lang w:eastAsia="bg-BG"/>
        </w:rPr>
        <w:t xml:space="preserve">- национално </w:t>
      </w:r>
      <w:proofErr w:type="spellStart"/>
      <w:r w:rsidRPr="00546B8C">
        <w:rPr>
          <w:lang w:eastAsia="bg-BG"/>
        </w:rPr>
        <w:t>съфинансиране</w:t>
      </w:r>
      <w:proofErr w:type="spellEnd"/>
      <w:r w:rsidRPr="00546B8C">
        <w:rPr>
          <w:lang w:eastAsia="bg-BG"/>
        </w:rPr>
        <w:t xml:space="preserve"> към ЕЗФРСР за директни плащания  – 52,7 млн. лв., изпълнение 60,1 % спрямо планираните 87,6 млн. лв.;</w:t>
      </w:r>
    </w:p>
    <w:p w:rsidR="00546B8C" w:rsidRPr="00546B8C" w:rsidRDefault="00546B8C" w:rsidP="00546B8C">
      <w:pPr>
        <w:tabs>
          <w:tab w:val="left" w:pos="993"/>
        </w:tabs>
        <w:ind w:firstLine="709"/>
        <w:jc w:val="both"/>
        <w:rPr>
          <w:lang w:eastAsia="bg-BG"/>
        </w:rPr>
      </w:pPr>
      <w:r w:rsidRPr="00546B8C">
        <w:rPr>
          <w:lang w:eastAsia="bg-BG"/>
        </w:rPr>
        <w:t>- текущи субсидии за сектор „Рибарство“ – 0,02 млн. лв., 2,</w:t>
      </w:r>
      <w:proofErr w:type="spellStart"/>
      <w:r w:rsidRPr="00546B8C">
        <w:rPr>
          <w:lang w:eastAsia="bg-BG"/>
        </w:rPr>
        <w:t>2</w:t>
      </w:r>
      <w:proofErr w:type="spellEnd"/>
      <w:r w:rsidRPr="00546B8C">
        <w:rPr>
          <w:lang w:eastAsia="bg-BG"/>
        </w:rPr>
        <w:t xml:space="preserve"> % изпълнение при планирани 0,9 млн. лв.;</w:t>
      </w:r>
    </w:p>
    <w:p w:rsidR="00546B8C" w:rsidRPr="00546B8C" w:rsidRDefault="00546B8C" w:rsidP="00546B8C">
      <w:pPr>
        <w:tabs>
          <w:tab w:val="left" w:pos="993"/>
        </w:tabs>
        <w:ind w:firstLine="709"/>
        <w:jc w:val="both"/>
        <w:rPr>
          <w:lang w:eastAsia="bg-BG"/>
        </w:rPr>
      </w:pPr>
      <w:r w:rsidRPr="00546B8C">
        <w:rPr>
          <w:lang w:eastAsia="bg-BG"/>
        </w:rPr>
        <w:t>- текущи субсидии по Програмата за развитие на селските райони – 25,7 млн. лв., изпълнение 41,1 % от планираните 62,5 млн. лв.;</w:t>
      </w:r>
    </w:p>
    <w:p w:rsidR="00546B8C" w:rsidRPr="00546B8C" w:rsidRDefault="00546B8C" w:rsidP="00546B8C">
      <w:pPr>
        <w:tabs>
          <w:tab w:val="left" w:pos="993"/>
        </w:tabs>
        <w:ind w:firstLine="709"/>
        <w:jc w:val="both"/>
        <w:rPr>
          <w:lang w:eastAsia="bg-BG"/>
        </w:rPr>
      </w:pPr>
      <w:r w:rsidRPr="00546B8C">
        <w:rPr>
          <w:lang w:eastAsia="bg-BG"/>
        </w:rPr>
        <w:t>- текущи субсидии за пазарни мерки – 10,6 млн. лв., изпълнение 29,4 % от планираните 36,1 млн. лв.;</w:t>
      </w:r>
    </w:p>
    <w:p w:rsidR="00546B8C" w:rsidRPr="00546B8C" w:rsidRDefault="00546B8C" w:rsidP="00546B8C">
      <w:pPr>
        <w:numPr>
          <w:ilvl w:val="0"/>
          <w:numId w:val="25"/>
        </w:numPr>
        <w:tabs>
          <w:tab w:val="left" w:pos="993"/>
        </w:tabs>
        <w:spacing w:before="120" w:line="276" w:lineRule="auto"/>
        <w:ind w:left="1321" w:hanging="612"/>
        <w:jc w:val="both"/>
        <w:rPr>
          <w:b/>
          <w:i/>
          <w:lang w:eastAsia="bg-BG"/>
        </w:rPr>
      </w:pPr>
      <w:r w:rsidRPr="00546B8C">
        <w:rPr>
          <w:b/>
          <w:i/>
          <w:lang w:eastAsia="bg-BG"/>
        </w:rPr>
        <w:t>Субсидии и други текущи трансфери за  юридически лица с нестопанска цел</w:t>
      </w:r>
    </w:p>
    <w:p w:rsidR="00546B8C" w:rsidRPr="00546B8C" w:rsidRDefault="00546B8C" w:rsidP="00546B8C">
      <w:pPr>
        <w:contextualSpacing/>
        <w:jc w:val="both"/>
        <w:rPr>
          <w:szCs w:val="20"/>
        </w:rPr>
      </w:pPr>
      <w:r w:rsidRPr="00546B8C">
        <w:rPr>
          <w:szCs w:val="20"/>
        </w:rPr>
        <w:tab/>
      </w:r>
      <w:r w:rsidRPr="00546B8C">
        <w:t xml:space="preserve">За 2017 г. са планирани 1,9 млн. лв., а към края на м. юни са отчетени </w:t>
      </w:r>
      <w:r w:rsidRPr="00546B8C">
        <w:rPr>
          <w:szCs w:val="20"/>
        </w:rPr>
        <w:t>извършени разходи в размер на 1,5 млн. лв., представляващи 78,9 % от плана.</w:t>
      </w:r>
    </w:p>
    <w:p w:rsidR="00546B8C" w:rsidRPr="00546B8C" w:rsidRDefault="00546B8C" w:rsidP="00546B8C">
      <w:pPr>
        <w:ind w:firstLine="708"/>
        <w:contextualSpacing/>
        <w:jc w:val="both"/>
        <w:rPr>
          <w:szCs w:val="20"/>
        </w:rPr>
      </w:pPr>
      <w:r w:rsidRPr="00546B8C">
        <w:rPr>
          <w:szCs w:val="20"/>
        </w:rPr>
        <w:t>Разпределението по дейности е както следва:</w:t>
      </w:r>
    </w:p>
    <w:p w:rsidR="00546B8C" w:rsidRPr="00546B8C" w:rsidRDefault="00546B8C" w:rsidP="00546B8C">
      <w:pPr>
        <w:ind w:firstLine="708"/>
        <w:contextualSpacing/>
        <w:jc w:val="both"/>
        <w:rPr>
          <w:szCs w:val="20"/>
        </w:rPr>
      </w:pPr>
      <w:r w:rsidRPr="00546B8C">
        <w:rPr>
          <w:szCs w:val="20"/>
        </w:rPr>
        <w:t xml:space="preserve">- национално </w:t>
      </w:r>
      <w:proofErr w:type="spellStart"/>
      <w:r w:rsidRPr="00546B8C">
        <w:rPr>
          <w:szCs w:val="20"/>
        </w:rPr>
        <w:t>съфинансиране</w:t>
      </w:r>
      <w:proofErr w:type="spellEnd"/>
      <w:r w:rsidRPr="00546B8C">
        <w:rPr>
          <w:szCs w:val="20"/>
        </w:rPr>
        <w:t xml:space="preserve"> към ЕЗФРСР за директни плащания  – 0,08 млн. лв., </w:t>
      </w:r>
    </w:p>
    <w:p w:rsidR="00546B8C" w:rsidRPr="00546B8C" w:rsidRDefault="00546B8C" w:rsidP="00546B8C">
      <w:pPr>
        <w:tabs>
          <w:tab w:val="left" w:pos="851"/>
        </w:tabs>
        <w:ind w:firstLine="720"/>
        <w:contextualSpacing/>
        <w:jc w:val="both"/>
        <w:rPr>
          <w:szCs w:val="20"/>
        </w:rPr>
      </w:pPr>
      <w:r w:rsidRPr="00546B8C">
        <w:rPr>
          <w:szCs w:val="20"/>
        </w:rPr>
        <w:t>- текущи субсидии за сектор „Рибарство“</w:t>
      </w:r>
      <w:r w:rsidRPr="00546B8C">
        <w:rPr>
          <w:szCs w:val="20"/>
          <w:lang w:val="en-US"/>
        </w:rPr>
        <w:t xml:space="preserve"> </w:t>
      </w:r>
      <w:r w:rsidRPr="00546B8C">
        <w:rPr>
          <w:szCs w:val="20"/>
        </w:rPr>
        <w:t>– (-0,03 млн. лв.) при планирани 0,1 млн. лв.;</w:t>
      </w:r>
    </w:p>
    <w:p w:rsidR="00546B8C" w:rsidRPr="00546B8C" w:rsidRDefault="00546B8C" w:rsidP="00546B8C">
      <w:pPr>
        <w:ind w:firstLine="720"/>
        <w:contextualSpacing/>
        <w:jc w:val="both"/>
        <w:rPr>
          <w:szCs w:val="20"/>
        </w:rPr>
      </w:pPr>
      <w:r w:rsidRPr="00546B8C">
        <w:rPr>
          <w:szCs w:val="20"/>
        </w:rPr>
        <w:t>- текущи субсидии по Програмата за развитие на селските райони</w:t>
      </w:r>
      <w:r w:rsidRPr="00546B8C">
        <w:rPr>
          <w:szCs w:val="20"/>
          <w:lang w:val="en-US"/>
        </w:rPr>
        <w:t xml:space="preserve"> </w:t>
      </w:r>
      <w:r w:rsidRPr="00546B8C">
        <w:rPr>
          <w:szCs w:val="20"/>
        </w:rPr>
        <w:t>– 1,</w:t>
      </w:r>
      <w:proofErr w:type="spellStart"/>
      <w:r w:rsidRPr="00546B8C">
        <w:rPr>
          <w:szCs w:val="20"/>
        </w:rPr>
        <w:t>1</w:t>
      </w:r>
      <w:proofErr w:type="spellEnd"/>
      <w:r w:rsidRPr="00546B8C">
        <w:rPr>
          <w:szCs w:val="20"/>
        </w:rPr>
        <w:t xml:space="preserve"> млн. лв.,  </w:t>
      </w:r>
    </w:p>
    <w:p w:rsidR="00546B8C" w:rsidRPr="00546B8C" w:rsidRDefault="00546B8C" w:rsidP="00546B8C">
      <w:pPr>
        <w:ind w:firstLine="709"/>
        <w:contextualSpacing/>
        <w:jc w:val="both"/>
        <w:rPr>
          <w:szCs w:val="20"/>
        </w:rPr>
      </w:pPr>
      <w:r w:rsidRPr="00546B8C">
        <w:rPr>
          <w:szCs w:val="20"/>
        </w:rPr>
        <w:t>- текущи субсидии за пазарни мерки</w:t>
      </w:r>
      <w:r w:rsidRPr="00546B8C">
        <w:rPr>
          <w:szCs w:val="20"/>
          <w:lang w:val="en-US"/>
        </w:rPr>
        <w:t xml:space="preserve"> </w:t>
      </w:r>
      <w:r w:rsidRPr="00546B8C">
        <w:rPr>
          <w:szCs w:val="20"/>
        </w:rPr>
        <w:t xml:space="preserve">– </w:t>
      </w:r>
      <w:r w:rsidRPr="00546B8C">
        <w:rPr>
          <w:szCs w:val="20"/>
          <w:lang w:val="en-US"/>
        </w:rPr>
        <w:t>0,</w:t>
      </w:r>
      <w:r w:rsidRPr="00546B8C">
        <w:rPr>
          <w:szCs w:val="20"/>
        </w:rPr>
        <w:t>3 млн. лв., изпълнение 16,7 % спрямо планираните 1,8 млн. лв.</w:t>
      </w:r>
    </w:p>
    <w:p w:rsidR="00546B8C" w:rsidRPr="00546B8C" w:rsidRDefault="00546B8C" w:rsidP="00546B8C">
      <w:pPr>
        <w:numPr>
          <w:ilvl w:val="0"/>
          <w:numId w:val="25"/>
        </w:numPr>
        <w:tabs>
          <w:tab w:val="left" w:pos="993"/>
        </w:tabs>
        <w:spacing w:before="120" w:after="120" w:line="276" w:lineRule="auto"/>
        <w:ind w:left="1321" w:hanging="612"/>
        <w:jc w:val="both"/>
        <w:rPr>
          <w:lang w:eastAsia="bg-BG"/>
        </w:rPr>
      </w:pPr>
      <w:r w:rsidRPr="00546B8C">
        <w:rPr>
          <w:b/>
          <w:i/>
          <w:lang w:eastAsia="bg-BG"/>
        </w:rPr>
        <w:t>Капиталови трансфери</w:t>
      </w:r>
      <w:r w:rsidRPr="00546B8C">
        <w:rPr>
          <w:lang w:eastAsia="bg-BG"/>
        </w:rPr>
        <w:t>, от които за:</w:t>
      </w:r>
    </w:p>
    <w:p w:rsidR="00546B8C" w:rsidRPr="00546B8C" w:rsidRDefault="00546B8C" w:rsidP="00546B8C">
      <w:pPr>
        <w:tabs>
          <w:tab w:val="left" w:pos="993"/>
        </w:tabs>
        <w:ind w:firstLine="709"/>
        <w:jc w:val="both"/>
        <w:rPr>
          <w:lang w:eastAsia="bg-BG"/>
        </w:rPr>
      </w:pPr>
      <w:r w:rsidRPr="00546B8C">
        <w:rPr>
          <w:lang w:eastAsia="bg-BG"/>
        </w:rPr>
        <w:t xml:space="preserve">- </w:t>
      </w:r>
      <w:r w:rsidRPr="00546B8C">
        <w:rPr>
          <w:i/>
          <w:lang w:eastAsia="bg-BG"/>
        </w:rPr>
        <w:t>нефинансови предприятия</w:t>
      </w:r>
      <w:r w:rsidRPr="00546B8C">
        <w:rPr>
          <w:lang w:eastAsia="bg-BG"/>
        </w:rPr>
        <w:t xml:space="preserve"> - за 2017</w:t>
      </w:r>
      <w:r w:rsidRPr="00546B8C">
        <w:rPr>
          <w:lang w:val="en-US" w:eastAsia="bg-BG"/>
        </w:rPr>
        <w:t xml:space="preserve"> </w:t>
      </w:r>
      <w:r w:rsidRPr="00546B8C">
        <w:rPr>
          <w:lang w:eastAsia="bg-BG"/>
        </w:rPr>
        <w:t>г. са планирани 303,7 млн. лв., като към 30.06</w:t>
      </w:r>
      <w:r w:rsidR="006D09CC">
        <w:rPr>
          <w:lang w:eastAsia="bg-BG"/>
        </w:rPr>
        <w:t>.</w:t>
      </w:r>
      <w:r w:rsidRPr="00546B8C">
        <w:rPr>
          <w:lang w:eastAsia="bg-BG"/>
        </w:rPr>
        <w:t>2017 г. са отчетени 60,3 млн. лв., разпределени по дейности както следва:</w:t>
      </w:r>
    </w:p>
    <w:p w:rsidR="00546B8C" w:rsidRPr="00546B8C" w:rsidRDefault="00546B8C" w:rsidP="00546B8C">
      <w:pPr>
        <w:ind w:firstLine="720"/>
        <w:contextualSpacing/>
        <w:jc w:val="both"/>
      </w:pPr>
      <w:r w:rsidRPr="00546B8C">
        <w:rPr>
          <w:szCs w:val="20"/>
        </w:rPr>
        <w:t>- капиталови субсидии за сектор „Рибарство“</w:t>
      </w:r>
      <w:r w:rsidRPr="00546B8C">
        <w:rPr>
          <w:szCs w:val="20"/>
          <w:lang w:val="en-US"/>
        </w:rPr>
        <w:t xml:space="preserve"> </w:t>
      </w:r>
      <w:r w:rsidRPr="00546B8C">
        <w:rPr>
          <w:szCs w:val="20"/>
        </w:rPr>
        <w:t>– 0,2 млн. лв., изпълнение 0,9 % от</w:t>
      </w:r>
      <w:r w:rsidRPr="00546B8C">
        <w:t xml:space="preserve"> планираните 21,5 млн. лв.;</w:t>
      </w:r>
    </w:p>
    <w:p w:rsidR="00546B8C" w:rsidRPr="00546B8C" w:rsidRDefault="00546B8C" w:rsidP="00546B8C">
      <w:pPr>
        <w:ind w:firstLine="720"/>
        <w:contextualSpacing/>
        <w:jc w:val="both"/>
        <w:rPr>
          <w:szCs w:val="20"/>
        </w:rPr>
      </w:pPr>
      <w:r w:rsidRPr="00546B8C">
        <w:rPr>
          <w:szCs w:val="20"/>
        </w:rPr>
        <w:t xml:space="preserve"> - капиталови субсидии по ПРСР – 55,8 млн. лв. при планирани 268,2 млн. лв., изпълнение 20,8 %;</w:t>
      </w:r>
    </w:p>
    <w:p w:rsidR="00546B8C" w:rsidRPr="00546B8C" w:rsidRDefault="00546B8C" w:rsidP="00546B8C">
      <w:pPr>
        <w:ind w:firstLine="720"/>
        <w:contextualSpacing/>
        <w:jc w:val="both"/>
        <w:rPr>
          <w:szCs w:val="20"/>
        </w:rPr>
      </w:pPr>
      <w:r w:rsidRPr="00546B8C">
        <w:rPr>
          <w:szCs w:val="20"/>
        </w:rPr>
        <w:t>- капиталови субсидии за пазарни мерки – 4,3 млн. лв., изпълнение 30,7 % на заложените по план 14,0 млн. лв.;</w:t>
      </w:r>
    </w:p>
    <w:p w:rsidR="00546B8C" w:rsidRPr="00546B8C" w:rsidRDefault="00546B8C" w:rsidP="00546B8C">
      <w:pPr>
        <w:tabs>
          <w:tab w:val="left" w:pos="993"/>
        </w:tabs>
        <w:jc w:val="both"/>
        <w:rPr>
          <w:lang w:eastAsia="bg-BG"/>
        </w:rPr>
      </w:pPr>
      <w:r w:rsidRPr="00546B8C">
        <w:rPr>
          <w:lang w:eastAsia="bg-BG"/>
        </w:rPr>
        <w:t xml:space="preserve">            - </w:t>
      </w:r>
      <w:r w:rsidRPr="00546B8C">
        <w:rPr>
          <w:i/>
          <w:lang w:eastAsia="bg-BG"/>
        </w:rPr>
        <w:t xml:space="preserve">организации с нестопанска цел - </w:t>
      </w:r>
      <w:r w:rsidRPr="00546B8C">
        <w:rPr>
          <w:lang w:eastAsia="bg-BG"/>
        </w:rPr>
        <w:t>з</w:t>
      </w:r>
      <w:r w:rsidRPr="00546B8C">
        <w:t xml:space="preserve">а 2017 г. не са планирани и отчетени капиталови разходи за организации с нестопанска цел. </w:t>
      </w:r>
      <w:r w:rsidRPr="00546B8C">
        <w:rPr>
          <w:lang w:eastAsia="bg-BG"/>
        </w:rPr>
        <w:t xml:space="preserve"> </w:t>
      </w:r>
    </w:p>
    <w:p w:rsidR="00546B8C" w:rsidRPr="00546B8C" w:rsidRDefault="00546B8C" w:rsidP="00546B8C">
      <w:pPr>
        <w:tabs>
          <w:tab w:val="left" w:pos="993"/>
        </w:tabs>
        <w:jc w:val="both"/>
        <w:rPr>
          <w:color w:val="0070C0"/>
          <w:lang w:eastAsia="bg-BG"/>
        </w:rPr>
      </w:pPr>
    </w:p>
    <w:p w:rsidR="00546B8C" w:rsidRPr="00546B8C" w:rsidRDefault="00546B8C" w:rsidP="00546B8C">
      <w:pPr>
        <w:tabs>
          <w:tab w:val="left" w:pos="709"/>
        </w:tabs>
        <w:jc w:val="both"/>
        <w:rPr>
          <w:lang w:eastAsia="bg-BG"/>
        </w:rPr>
      </w:pPr>
      <w:r w:rsidRPr="00546B8C">
        <w:tab/>
        <w:t>Планираните разходи за: други възнаграждения и плащания за персонала 8,9 млн. лв., задължителни осигурителни вноски от работодатели 4 млн. лв., издръжка 5,7 млн. лв. и придобиване на ДМА в размер на 157,8 млн. лв., подлежат на отчитане в § 63-00 Трансфери между сметки за средствата от ЕС.</w:t>
      </w:r>
    </w:p>
    <w:p w:rsidR="00546B8C" w:rsidRPr="00546B8C" w:rsidRDefault="00546B8C" w:rsidP="00546B8C">
      <w:pPr>
        <w:tabs>
          <w:tab w:val="left" w:pos="709"/>
        </w:tabs>
        <w:jc w:val="both"/>
        <w:rPr>
          <w:color w:val="0070C0"/>
          <w:lang w:eastAsia="bg-BG"/>
        </w:rPr>
      </w:pPr>
      <w:r w:rsidRPr="00546B8C">
        <w:rPr>
          <w:color w:val="0070C0"/>
          <w:lang w:eastAsia="bg-BG"/>
        </w:rPr>
        <w:tab/>
      </w:r>
    </w:p>
    <w:p w:rsidR="00546B8C" w:rsidRPr="00546B8C" w:rsidRDefault="00546B8C" w:rsidP="00546B8C">
      <w:pPr>
        <w:numPr>
          <w:ilvl w:val="0"/>
          <w:numId w:val="28"/>
        </w:numPr>
        <w:tabs>
          <w:tab w:val="num" w:pos="540"/>
        </w:tabs>
        <w:spacing w:before="120" w:after="120" w:line="276" w:lineRule="auto"/>
        <w:contextualSpacing/>
        <w:jc w:val="both"/>
        <w:rPr>
          <w:b/>
          <w:lang w:eastAsia="bg-BG"/>
        </w:rPr>
      </w:pPr>
      <w:r w:rsidRPr="00546B8C">
        <w:rPr>
          <w:b/>
          <w:lang w:eastAsia="bg-BG"/>
        </w:rPr>
        <w:t xml:space="preserve">Трансфери </w:t>
      </w:r>
    </w:p>
    <w:p w:rsidR="00546B8C" w:rsidRPr="00546B8C" w:rsidRDefault="00546B8C" w:rsidP="00546B8C">
      <w:pPr>
        <w:tabs>
          <w:tab w:val="left" w:pos="540"/>
        </w:tabs>
        <w:jc w:val="both"/>
        <w:rPr>
          <w:rFonts w:ascii="Times New Roman CYR" w:hAnsi="Times New Roman CYR" w:cs="Times New Roman CYR"/>
          <w:lang w:eastAsia="bg-BG"/>
        </w:rPr>
      </w:pPr>
      <w:r w:rsidRPr="00546B8C">
        <w:rPr>
          <w:rFonts w:ascii="Times New Roman CYR" w:hAnsi="Times New Roman CYR" w:cs="Times New Roman CYR"/>
          <w:lang w:eastAsia="bg-BG"/>
        </w:rPr>
        <w:tab/>
        <w:t>В частта на трансферите в касовия отчет на ДФЗ-РА към 30.06.2017 г. са отразени следните касови потоци</w:t>
      </w:r>
      <w:r w:rsidRPr="00546B8C">
        <w:rPr>
          <w:rFonts w:ascii="Times New Roman CYR" w:hAnsi="Times New Roman CYR" w:cs="Times New Roman CYR"/>
          <w:lang w:val="en-US" w:eastAsia="bg-BG"/>
        </w:rPr>
        <w:t>:</w:t>
      </w:r>
    </w:p>
    <w:p w:rsidR="00546B8C" w:rsidRPr="00546B8C" w:rsidRDefault="00546B8C" w:rsidP="00546B8C">
      <w:pPr>
        <w:numPr>
          <w:ilvl w:val="0"/>
          <w:numId w:val="25"/>
        </w:numPr>
        <w:tabs>
          <w:tab w:val="left" w:pos="540"/>
          <w:tab w:val="left" w:pos="993"/>
        </w:tabs>
        <w:spacing w:before="120" w:after="120" w:line="276" w:lineRule="auto"/>
        <w:ind w:left="1321" w:hanging="612"/>
        <w:jc w:val="both"/>
        <w:rPr>
          <w:lang w:eastAsia="bg-BG"/>
        </w:rPr>
      </w:pPr>
      <w:r w:rsidRPr="00546B8C">
        <w:rPr>
          <w:lang w:eastAsia="bg-BG"/>
        </w:rPr>
        <w:t>Трансфери между бюджети и сметки за средства от Европейския съюз</w:t>
      </w:r>
    </w:p>
    <w:p w:rsidR="00546B8C" w:rsidRPr="00546B8C" w:rsidRDefault="00546B8C" w:rsidP="00546B8C">
      <w:pPr>
        <w:jc w:val="both"/>
        <w:rPr>
          <w:lang w:val="en-GB" w:eastAsia="bg-BG"/>
        </w:rPr>
      </w:pPr>
      <w:r w:rsidRPr="00546B8C">
        <w:rPr>
          <w:lang w:eastAsia="bg-BG"/>
        </w:rPr>
        <w:lastRenderedPageBreak/>
        <w:tab/>
      </w:r>
      <w:r w:rsidRPr="00546B8C">
        <w:t>Към 30.06.2017 г. получените трансфери от бюджетни сметки на бюджетни организации и общини за възстановяване на вземания по ПРСР и ОПРСР са в размер на 0,6 млн. лв. Предоставените трансфери във връзка с чл. 14 от ЗПЗП възлизат на 0,</w:t>
      </w:r>
      <w:r w:rsidRPr="00546B8C">
        <w:rPr>
          <w:lang w:val="en-US"/>
        </w:rPr>
        <w:t>2</w:t>
      </w:r>
      <w:r w:rsidRPr="00546B8C">
        <w:t xml:space="preserve"> млн. лв.</w:t>
      </w:r>
    </w:p>
    <w:p w:rsidR="00546B8C" w:rsidRPr="00546B8C" w:rsidRDefault="00546B8C" w:rsidP="00546B8C">
      <w:pPr>
        <w:numPr>
          <w:ilvl w:val="0"/>
          <w:numId w:val="25"/>
        </w:numPr>
        <w:tabs>
          <w:tab w:val="left" w:pos="540"/>
          <w:tab w:val="left" w:pos="993"/>
        </w:tabs>
        <w:spacing w:before="120" w:after="120" w:line="276" w:lineRule="auto"/>
        <w:ind w:left="1321" w:hanging="612"/>
        <w:jc w:val="both"/>
        <w:rPr>
          <w:lang w:eastAsia="bg-BG"/>
        </w:rPr>
      </w:pPr>
      <w:r w:rsidRPr="00546B8C">
        <w:rPr>
          <w:lang w:eastAsia="bg-BG"/>
        </w:rPr>
        <w:t xml:space="preserve">Трансфери между сметки за средства от Европейския съюз: </w:t>
      </w:r>
    </w:p>
    <w:p w:rsidR="00546B8C" w:rsidRPr="00546B8C" w:rsidRDefault="00546B8C" w:rsidP="00546B8C">
      <w:pPr>
        <w:tabs>
          <w:tab w:val="left" w:pos="540"/>
          <w:tab w:val="left" w:pos="993"/>
        </w:tabs>
        <w:ind w:firstLine="709"/>
        <w:jc w:val="both"/>
        <w:rPr>
          <w:lang w:eastAsia="bg-BG"/>
        </w:rPr>
      </w:pPr>
      <w:r w:rsidRPr="00546B8C">
        <w:rPr>
          <w:color w:val="0070C0"/>
          <w:lang w:eastAsia="bg-BG"/>
        </w:rPr>
        <w:t xml:space="preserve">- </w:t>
      </w:r>
      <w:r w:rsidRPr="00546B8C">
        <w:rPr>
          <w:lang w:eastAsia="bg-BG"/>
        </w:rPr>
        <w:t xml:space="preserve">предоставени трансфери – </w:t>
      </w:r>
      <w:r w:rsidRPr="00546B8C">
        <w:t xml:space="preserve">формирани са от изплатените субсидии и възстановените суми от публични бенефициенти по ПРСР, схема „Училищен плод“, „Училищно мляко“ и национално </w:t>
      </w:r>
      <w:proofErr w:type="spellStart"/>
      <w:r w:rsidRPr="00546B8C">
        <w:t>съфинансиране</w:t>
      </w:r>
      <w:proofErr w:type="spellEnd"/>
      <w:r w:rsidRPr="00546B8C">
        <w:t xml:space="preserve"> към директни плащания. За периода 01.01–30.06.2017 г. са отчетени (-8,</w:t>
      </w:r>
      <w:proofErr w:type="spellStart"/>
      <w:r w:rsidRPr="00546B8C">
        <w:t>8</w:t>
      </w:r>
      <w:proofErr w:type="spellEnd"/>
      <w:r w:rsidRPr="00546B8C">
        <w:t>) млн. лв., в т.ч.</w:t>
      </w:r>
      <w:r w:rsidRPr="00546B8C">
        <w:rPr>
          <w:lang w:val="en-US"/>
        </w:rPr>
        <w:t>:</w:t>
      </w:r>
      <w:r w:rsidRPr="00546B8C">
        <w:t xml:space="preserve"> по Програмата за развитие на селските райони: (-8,3) млн. лв.; пазарни мерки: (-0,2) млн. лв.; национално </w:t>
      </w:r>
      <w:proofErr w:type="spellStart"/>
      <w:r w:rsidRPr="00546B8C">
        <w:t>съфинансиране</w:t>
      </w:r>
      <w:proofErr w:type="spellEnd"/>
      <w:r w:rsidRPr="00546B8C">
        <w:t xml:space="preserve"> към директни плащания: (-0,05) млн. лв.; рибарство: (-0,3) млн. лв.</w:t>
      </w:r>
      <w:r w:rsidRPr="00546B8C">
        <w:rPr>
          <w:lang w:eastAsia="bg-BG"/>
        </w:rPr>
        <w:t xml:space="preserve"> </w:t>
      </w:r>
    </w:p>
    <w:p w:rsidR="00546B8C" w:rsidRPr="00546B8C" w:rsidRDefault="00546B8C" w:rsidP="00546B8C">
      <w:pPr>
        <w:tabs>
          <w:tab w:val="left" w:pos="540"/>
          <w:tab w:val="left" w:pos="993"/>
        </w:tabs>
        <w:ind w:firstLine="709"/>
        <w:jc w:val="both"/>
        <w:rPr>
          <w:lang w:eastAsia="bg-BG"/>
        </w:rPr>
      </w:pPr>
    </w:p>
    <w:p w:rsidR="00546B8C" w:rsidRPr="00546B8C" w:rsidRDefault="00546B8C" w:rsidP="00546B8C">
      <w:pPr>
        <w:numPr>
          <w:ilvl w:val="0"/>
          <w:numId w:val="28"/>
        </w:numPr>
        <w:tabs>
          <w:tab w:val="num" w:pos="540"/>
        </w:tabs>
        <w:spacing w:before="120" w:after="120" w:line="276" w:lineRule="auto"/>
        <w:contextualSpacing/>
        <w:jc w:val="both"/>
        <w:rPr>
          <w:b/>
          <w:lang w:eastAsia="bg-BG"/>
        </w:rPr>
      </w:pPr>
      <w:r w:rsidRPr="00546B8C">
        <w:rPr>
          <w:b/>
          <w:lang w:eastAsia="bg-BG"/>
        </w:rPr>
        <w:t>Финансиране</w:t>
      </w:r>
    </w:p>
    <w:p w:rsidR="00546B8C" w:rsidRPr="00546B8C" w:rsidRDefault="00546B8C" w:rsidP="00546B8C">
      <w:pPr>
        <w:spacing w:after="120"/>
        <w:jc w:val="both"/>
        <w:rPr>
          <w:lang w:eastAsia="bg-BG"/>
        </w:rPr>
      </w:pPr>
      <w:r w:rsidRPr="00546B8C">
        <w:rPr>
          <w:lang w:eastAsia="bg-BG"/>
        </w:rPr>
        <w:tab/>
        <w:t>Към 30.06.2017</w:t>
      </w:r>
      <w:r w:rsidRPr="00546B8C">
        <w:rPr>
          <w:lang w:val="en-US" w:eastAsia="bg-BG"/>
        </w:rPr>
        <w:t xml:space="preserve"> </w:t>
      </w:r>
      <w:r w:rsidRPr="00546B8C">
        <w:rPr>
          <w:lang w:eastAsia="bg-BG"/>
        </w:rPr>
        <w:t>г. извършените плащания, възстановените суми, разчета с централния бюджет и чуждите средства от други лица, включени в отчетността в „Друго финансиране“ са общо (-127,5) млн. лв., при 199,7 млн. лв. по разчет.</w:t>
      </w:r>
    </w:p>
    <w:p w:rsidR="00546B8C" w:rsidRPr="00546B8C" w:rsidRDefault="00546B8C" w:rsidP="00546B8C">
      <w:pPr>
        <w:spacing w:after="120"/>
        <w:jc w:val="both"/>
        <w:rPr>
          <w:b/>
          <w:i/>
          <w:lang w:eastAsia="bg-BG"/>
        </w:rPr>
      </w:pPr>
      <w:r w:rsidRPr="00546B8C">
        <w:rPr>
          <w:b/>
          <w:i/>
          <w:lang w:eastAsia="bg-BG"/>
        </w:rPr>
        <w:t>Към 30.06.2017 г. са изплатени средства по следните направления:</w:t>
      </w:r>
    </w:p>
    <w:p w:rsidR="00546B8C" w:rsidRPr="00546B8C" w:rsidRDefault="00546B8C" w:rsidP="00546B8C">
      <w:pPr>
        <w:numPr>
          <w:ilvl w:val="0"/>
          <w:numId w:val="30"/>
        </w:numPr>
        <w:tabs>
          <w:tab w:val="left" w:pos="993"/>
        </w:tabs>
        <w:ind w:left="0" w:firstLine="709"/>
        <w:contextualSpacing/>
        <w:jc w:val="both"/>
        <w:rPr>
          <w:szCs w:val="20"/>
        </w:rPr>
      </w:pPr>
      <w:r w:rsidRPr="00546B8C">
        <w:rPr>
          <w:szCs w:val="20"/>
        </w:rPr>
        <w:t>888,8 млн. лв. за директни плащания за сметка на ЕФГЗ, представляващи 59,9 % от планираните 1 484,0 млн. лв.;</w:t>
      </w:r>
    </w:p>
    <w:p w:rsidR="00546B8C" w:rsidRPr="00546B8C" w:rsidRDefault="00546B8C" w:rsidP="00546B8C">
      <w:pPr>
        <w:numPr>
          <w:ilvl w:val="0"/>
          <w:numId w:val="30"/>
        </w:numPr>
        <w:tabs>
          <w:tab w:val="left" w:pos="993"/>
        </w:tabs>
        <w:ind w:left="0" w:firstLine="709"/>
        <w:contextualSpacing/>
        <w:jc w:val="both"/>
        <w:rPr>
          <w:szCs w:val="20"/>
        </w:rPr>
      </w:pPr>
      <w:r w:rsidRPr="00546B8C">
        <w:rPr>
          <w:szCs w:val="20"/>
        </w:rPr>
        <w:t>158,2 млн. лв. - средства от ЕЗФРСР, прехвърлени към директни плащания, което е 60,2 % от планираните 262,7 млн. лв.;</w:t>
      </w:r>
    </w:p>
    <w:p w:rsidR="00546B8C" w:rsidRPr="00546B8C" w:rsidRDefault="00546B8C" w:rsidP="00546B8C">
      <w:pPr>
        <w:numPr>
          <w:ilvl w:val="0"/>
          <w:numId w:val="30"/>
        </w:numPr>
        <w:tabs>
          <w:tab w:val="left" w:pos="993"/>
        </w:tabs>
        <w:ind w:left="0" w:firstLine="709"/>
        <w:contextualSpacing/>
        <w:jc w:val="both"/>
        <w:rPr>
          <w:szCs w:val="20"/>
        </w:rPr>
      </w:pPr>
      <w:r w:rsidRPr="00546B8C">
        <w:rPr>
          <w:szCs w:val="20"/>
        </w:rPr>
        <w:t>3,6 млн. лв. за пазарни мерки - изпълнение 11,5 % от планираните 31,3 млн. лв.;</w:t>
      </w:r>
    </w:p>
    <w:p w:rsidR="00546B8C" w:rsidRPr="00546B8C" w:rsidRDefault="00546B8C" w:rsidP="00546B8C">
      <w:pPr>
        <w:numPr>
          <w:ilvl w:val="0"/>
          <w:numId w:val="30"/>
        </w:numPr>
        <w:tabs>
          <w:tab w:val="left" w:pos="993"/>
        </w:tabs>
        <w:ind w:left="0" w:firstLine="709"/>
        <w:contextualSpacing/>
        <w:jc w:val="both"/>
        <w:rPr>
          <w:szCs w:val="20"/>
        </w:rPr>
      </w:pPr>
      <w:r w:rsidRPr="00546B8C">
        <w:rPr>
          <w:szCs w:val="20"/>
        </w:rPr>
        <w:t>5,</w:t>
      </w:r>
      <w:proofErr w:type="spellStart"/>
      <w:r w:rsidRPr="00546B8C">
        <w:rPr>
          <w:szCs w:val="20"/>
        </w:rPr>
        <w:t>5</w:t>
      </w:r>
      <w:proofErr w:type="spellEnd"/>
      <w:r w:rsidRPr="00546B8C">
        <w:rPr>
          <w:szCs w:val="20"/>
        </w:rPr>
        <w:t xml:space="preserve"> млн. лв. – суми за преструктуриране, 11,4 % от планираните 48,2 млн. лв.</w:t>
      </w:r>
    </w:p>
    <w:p w:rsidR="00546B8C" w:rsidRPr="00546B8C" w:rsidRDefault="00546B8C" w:rsidP="00546B8C">
      <w:pPr>
        <w:spacing w:before="120" w:after="120"/>
        <w:jc w:val="both"/>
        <w:rPr>
          <w:b/>
          <w:i/>
          <w:lang w:eastAsia="bg-BG"/>
        </w:rPr>
      </w:pPr>
      <w:r w:rsidRPr="00546B8C">
        <w:rPr>
          <w:b/>
          <w:i/>
          <w:lang w:eastAsia="bg-BG"/>
        </w:rPr>
        <w:t>Възстановените суми от Европейския съюз към 30.06.2017 г. са както следва:</w:t>
      </w:r>
    </w:p>
    <w:p w:rsidR="00546B8C" w:rsidRPr="00546B8C" w:rsidRDefault="00546B8C" w:rsidP="00546B8C">
      <w:pPr>
        <w:numPr>
          <w:ilvl w:val="0"/>
          <w:numId w:val="30"/>
        </w:numPr>
        <w:tabs>
          <w:tab w:val="left" w:pos="993"/>
        </w:tabs>
        <w:ind w:left="0" w:firstLine="709"/>
        <w:contextualSpacing/>
        <w:jc w:val="both"/>
        <w:rPr>
          <w:szCs w:val="20"/>
        </w:rPr>
      </w:pPr>
      <w:r w:rsidRPr="00546B8C">
        <w:rPr>
          <w:szCs w:val="20"/>
        </w:rPr>
        <w:t>925,1 млн. лв. за директни плащания от ЕФГЗ – 65,7 % от заложените 1 408,2 млн. лв.;</w:t>
      </w:r>
    </w:p>
    <w:p w:rsidR="00546B8C" w:rsidRPr="00546B8C" w:rsidRDefault="00546B8C" w:rsidP="00546B8C">
      <w:pPr>
        <w:numPr>
          <w:ilvl w:val="0"/>
          <w:numId w:val="30"/>
        </w:numPr>
        <w:tabs>
          <w:tab w:val="left" w:pos="993"/>
        </w:tabs>
        <w:ind w:left="0" w:firstLine="709"/>
        <w:contextualSpacing/>
        <w:jc w:val="both"/>
        <w:rPr>
          <w:szCs w:val="20"/>
        </w:rPr>
      </w:pPr>
      <w:r w:rsidRPr="00546B8C">
        <w:rPr>
          <w:szCs w:val="20"/>
        </w:rPr>
        <w:t xml:space="preserve">при планирани за получаване 441,2 млн. лв. от ЕЗФРСР, прехвърлени към директни плащания, към края на юни са постъпили 51,9 млн. </w:t>
      </w:r>
      <w:proofErr w:type="spellStart"/>
      <w:r w:rsidRPr="00546B8C">
        <w:rPr>
          <w:szCs w:val="20"/>
        </w:rPr>
        <w:t>лв</w:t>
      </w:r>
      <w:proofErr w:type="spellEnd"/>
      <w:r w:rsidRPr="00546B8C">
        <w:rPr>
          <w:szCs w:val="20"/>
        </w:rPr>
        <w:t>;</w:t>
      </w:r>
    </w:p>
    <w:p w:rsidR="00546B8C" w:rsidRPr="00546B8C" w:rsidRDefault="00546B8C" w:rsidP="00546B8C">
      <w:pPr>
        <w:numPr>
          <w:ilvl w:val="0"/>
          <w:numId w:val="30"/>
        </w:numPr>
        <w:tabs>
          <w:tab w:val="left" w:pos="993"/>
        </w:tabs>
        <w:ind w:left="0" w:firstLine="709"/>
        <w:contextualSpacing/>
        <w:jc w:val="both"/>
        <w:rPr>
          <w:szCs w:val="20"/>
        </w:rPr>
      </w:pPr>
      <w:r w:rsidRPr="00546B8C">
        <w:rPr>
          <w:szCs w:val="20"/>
        </w:rPr>
        <w:t>15,1 млн. лв. за пазарни мерки, 46,5 % изпълнение на планираните 32,5 млн. лв.;</w:t>
      </w:r>
    </w:p>
    <w:p w:rsidR="00546B8C" w:rsidRPr="00546B8C" w:rsidRDefault="00546B8C" w:rsidP="00546B8C">
      <w:pPr>
        <w:numPr>
          <w:ilvl w:val="0"/>
          <w:numId w:val="30"/>
        </w:numPr>
        <w:tabs>
          <w:tab w:val="left" w:pos="993"/>
        </w:tabs>
        <w:ind w:left="0" w:firstLine="709"/>
        <w:contextualSpacing/>
        <w:jc w:val="both"/>
        <w:rPr>
          <w:szCs w:val="20"/>
        </w:rPr>
      </w:pPr>
      <w:r w:rsidRPr="00546B8C">
        <w:rPr>
          <w:szCs w:val="20"/>
        </w:rPr>
        <w:t>3,1 млн. лв. – суми за преструктуриране, 6,7 % изпълнение на планираните 46,4 млн. лв.</w:t>
      </w:r>
    </w:p>
    <w:p w:rsidR="00546B8C" w:rsidRPr="00546B8C" w:rsidRDefault="00546B8C" w:rsidP="00546B8C">
      <w:pPr>
        <w:jc w:val="both"/>
        <w:rPr>
          <w:rFonts w:ascii="Times New Roman CYR" w:hAnsi="Times New Roman CYR" w:cs="Times New Roman CYR"/>
          <w:color w:val="0070C0"/>
        </w:rPr>
      </w:pPr>
      <w:r w:rsidRPr="00546B8C">
        <w:rPr>
          <w:lang w:eastAsia="bg-BG"/>
        </w:rPr>
        <w:tab/>
        <w:t>Предоставените суми (нето) по разчети с ЦБ за финансиране на плащания при недостиг на средства за периода 01.01-30.06.2017 г. са 188,5 млн. лева. Предоставените ч</w:t>
      </w:r>
      <w:r w:rsidRPr="00546B8C">
        <w:t xml:space="preserve">ужди средства от други лица са (-0,03) млн. лв., </w:t>
      </w:r>
      <w:r w:rsidRPr="00546B8C">
        <w:rPr>
          <w:rFonts w:ascii="Times New Roman CYR" w:hAnsi="Times New Roman CYR" w:cs="Times New Roman CYR"/>
        </w:rPr>
        <w:t xml:space="preserve">представляващи резултативна величина между постъпилите и възстановени </w:t>
      </w:r>
      <w:proofErr w:type="spellStart"/>
      <w:r w:rsidRPr="00546B8C">
        <w:rPr>
          <w:rFonts w:ascii="Times New Roman CYR" w:hAnsi="Times New Roman CYR" w:cs="Times New Roman CYR"/>
        </w:rPr>
        <w:t>кешови</w:t>
      </w:r>
      <w:proofErr w:type="spellEnd"/>
      <w:r w:rsidRPr="00546B8C">
        <w:rPr>
          <w:rFonts w:ascii="Times New Roman CYR" w:hAnsi="Times New Roman CYR" w:cs="Times New Roman CYR"/>
        </w:rPr>
        <w:t xml:space="preserve"> гаранции и чужди средства.</w:t>
      </w:r>
    </w:p>
    <w:p w:rsidR="00FD30B0" w:rsidRPr="0092537A" w:rsidRDefault="00FD30B0" w:rsidP="00FD30B0">
      <w:pPr>
        <w:jc w:val="both"/>
        <w:rPr>
          <w:rFonts w:ascii="Times New Roman CYR" w:hAnsi="Times New Roman CYR" w:cs="Times New Roman CYR"/>
          <w:color w:val="0070C0"/>
        </w:rPr>
      </w:pPr>
    </w:p>
    <w:p w:rsidR="00FD30B0" w:rsidRPr="003619A0" w:rsidRDefault="00FD30B0" w:rsidP="00FD30B0">
      <w:pPr>
        <w:pStyle w:val="Heading1"/>
        <w:numPr>
          <w:ilvl w:val="1"/>
          <w:numId w:val="10"/>
        </w:numPr>
        <w:spacing w:after="120"/>
        <w:ind w:left="788" w:right="-108" w:hanging="431"/>
        <w:jc w:val="both"/>
        <w:rPr>
          <w:sz w:val="24"/>
        </w:rPr>
      </w:pPr>
      <w:r w:rsidRPr="003619A0">
        <w:rPr>
          <w:sz w:val="24"/>
        </w:rPr>
        <w:t>Национален фонд към Министерство на финансите</w:t>
      </w:r>
    </w:p>
    <w:p w:rsidR="003619A0" w:rsidRPr="0092537A" w:rsidRDefault="003619A0" w:rsidP="003619A0">
      <w:pPr>
        <w:ind w:firstLine="686"/>
        <w:jc w:val="both"/>
        <w:rPr>
          <w:bCs/>
          <w:color w:val="0070C0"/>
        </w:rPr>
      </w:pPr>
      <w:r w:rsidRPr="00937E09">
        <w:rPr>
          <w:bCs/>
        </w:rPr>
        <w:t>По сметките на Национален фонд (НФ) към 30.06.201</w:t>
      </w:r>
      <w:r w:rsidRPr="00937E09">
        <w:rPr>
          <w:bCs/>
          <w:lang w:val="en-US"/>
        </w:rPr>
        <w:t>7</w:t>
      </w:r>
      <w:r w:rsidRPr="00937E09">
        <w:rPr>
          <w:bCs/>
        </w:rPr>
        <w:t xml:space="preserve"> г. са постъпили приходи  (нето) в размер на 472,8 млн. лв. по програмите, финансирани от Европейския фонд за регионално развитие, Европейския социален фонд (включително Инициативата за младежка заетост), </w:t>
      </w:r>
      <w:proofErr w:type="spellStart"/>
      <w:r w:rsidRPr="00937E09">
        <w:rPr>
          <w:bCs/>
        </w:rPr>
        <w:t>Кохезионния</w:t>
      </w:r>
      <w:proofErr w:type="spellEnd"/>
      <w:r w:rsidRPr="00937E09">
        <w:rPr>
          <w:bCs/>
        </w:rPr>
        <w:t xml:space="preserve"> фонд и Фонда за европейско подпомагане на най-нуждаещите се лица (ФЕПН) на ЕС за финансовата рамка 2014 – 2020 г., двустранните програми за трансгранично сътрудничество по външните граници на EС за периода 2014 – 2020 г. и Българо-швейцарската програма за сътрудничество,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двустранните програми за трансгранично сътрудничество по външните граници на ЕС и изплатените средства от получения ресурс към бенефициенти извън страната. </w:t>
      </w:r>
    </w:p>
    <w:p w:rsidR="003619A0" w:rsidRPr="00650BB6" w:rsidRDefault="003619A0" w:rsidP="003619A0">
      <w:pPr>
        <w:ind w:firstLine="686"/>
        <w:jc w:val="both"/>
        <w:rPr>
          <w:bCs/>
        </w:rPr>
      </w:pPr>
      <w:r w:rsidRPr="00650BB6">
        <w:rPr>
          <w:bCs/>
        </w:rPr>
        <w:lastRenderedPageBreak/>
        <w:t>Извършените разходи (нето) за периода чрез сметките на НФ възлизат на 254,4 млн. лева. По видове разходи изпълнението е както следва: 84,16 % от общия размер са капиталови трансфери, 15,25 % са субсидии</w:t>
      </w:r>
      <w:r w:rsidRPr="00650BB6">
        <w:rPr>
          <w:bCs/>
          <w:lang w:val="en-US"/>
        </w:rPr>
        <w:t xml:space="preserve"> </w:t>
      </w:r>
      <w:r w:rsidRPr="00650BB6">
        <w:rPr>
          <w:bCs/>
        </w:rPr>
        <w:t>и 0,59 % - издръжка.</w:t>
      </w:r>
    </w:p>
    <w:p w:rsidR="003619A0" w:rsidRPr="0092537A" w:rsidRDefault="003619A0" w:rsidP="003619A0">
      <w:pPr>
        <w:ind w:firstLine="686"/>
        <w:jc w:val="both"/>
        <w:rPr>
          <w:bCs/>
          <w:color w:val="0070C0"/>
        </w:rPr>
      </w:pPr>
      <w:r w:rsidRPr="00650BB6">
        <w:rPr>
          <w:bCs/>
        </w:rPr>
        <w:t>Трансферите и временните безлихвени заеми (нето) за разглеждания период са в размер на 258,9 млн. лв.</w:t>
      </w:r>
      <w:r w:rsidRPr="00650BB6">
        <w:rPr>
          <w:szCs w:val="20"/>
        </w:rPr>
        <w:t xml:space="preserve"> </w:t>
      </w:r>
      <w:r w:rsidRPr="00650BB6">
        <w:t xml:space="preserve">(включват предоставените трансфери към бенефициенти по Оперативните програми (ОП) на ЕС - програмни периоди 2007 – 2013 г. и 2014 – 2020 г., по </w:t>
      </w:r>
      <w:r w:rsidRPr="00650BB6">
        <w:rPr>
          <w:bCs/>
        </w:rPr>
        <w:t>двустранните програми за трансгранично сътрудничество по външни граници на EС за периода 2007 – 2013 г. и 2014 – 2020 г., Финансовия механизъм на Европейското икономическо пространство 2009 – 2014 г., Норвежкия финансов механизъм 2009 – 2014 г. и Българо-швейцарската програма за сътрудничество,</w:t>
      </w:r>
      <w:r w:rsidRPr="00650BB6">
        <w:t xml:space="preserve"> възстановени суми по приключили проекти, възстановени недопустими разходи и др. от бенефициенти-бюджетни организации)</w:t>
      </w:r>
      <w:r w:rsidRPr="00650BB6">
        <w:rPr>
          <w:szCs w:val="20"/>
        </w:rPr>
        <w:t>.</w:t>
      </w:r>
      <w:r w:rsidRPr="00650BB6">
        <w:rPr>
          <w:bCs/>
        </w:rPr>
        <w:t xml:space="preserve"> В консолидираната </w:t>
      </w:r>
      <w:r w:rsidRPr="00650BB6">
        <w:rPr>
          <w:szCs w:val="20"/>
        </w:rPr>
        <w:t>отчетност на НФ</w:t>
      </w:r>
      <w:r w:rsidRPr="00650BB6">
        <w:rPr>
          <w:bCs/>
        </w:rPr>
        <w:t xml:space="preserve"> са отразени и трансфери (нето) към бенефициенти, които са за сметка на средства, предоставени на МРРБ от държавите-партньори по </w:t>
      </w:r>
      <w:r w:rsidRPr="00650BB6">
        <w:rPr>
          <w:szCs w:val="20"/>
        </w:rPr>
        <w:t>двустранните програми за трансгранично сътрудничество.</w:t>
      </w:r>
    </w:p>
    <w:p w:rsidR="003619A0" w:rsidRPr="00650BB6" w:rsidRDefault="003619A0" w:rsidP="003619A0">
      <w:pPr>
        <w:ind w:firstLine="686"/>
        <w:jc w:val="both"/>
        <w:rPr>
          <w:bCs/>
        </w:rPr>
      </w:pPr>
      <w:r w:rsidRPr="00650BB6">
        <w:rPr>
          <w:bCs/>
        </w:rPr>
        <w:t>Във връзка с изпълнението на ОП</w:t>
      </w:r>
      <w:r w:rsidRPr="00650BB6">
        <w:rPr>
          <w:rFonts w:ascii="Arial" w:hAnsi="Arial"/>
        </w:rPr>
        <w:t xml:space="preserve"> - </w:t>
      </w:r>
      <w:r w:rsidRPr="00650BB6">
        <w:rPr>
          <w:bCs/>
        </w:rPr>
        <w:t>програмен период 2007 – 2013 г. и програмен период 2014 – 2020 г., двустранните програми за трансгранично сътрудничество по външните граници на EС 2007 – 2013 г. и периода 2014 – 2020 г. по сметките на Националния фонд са получени трансфери от централния бюджет на стойност 65,6 млн. лева.</w:t>
      </w:r>
    </w:p>
    <w:p w:rsidR="003619A0" w:rsidRPr="008825FD" w:rsidRDefault="003619A0" w:rsidP="003619A0">
      <w:pPr>
        <w:ind w:firstLine="684"/>
        <w:jc w:val="both"/>
        <w:rPr>
          <w:bCs/>
        </w:rPr>
      </w:pPr>
      <w:r w:rsidRPr="00FC2BDB">
        <w:rPr>
          <w:bCs/>
        </w:rPr>
        <w:t xml:space="preserve">Неданъчните приходи, постъпили по сметките на НФ, са в размер на 0,4 млн. лв. Част от тях са натрупаните лихви в резултат на управлението на свободните средства в </w:t>
      </w:r>
      <w:r w:rsidRPr="008825FD">
        <w:rPr>
          <w:bCs/>
        </w:rPr>
        <w:t>обслужващите търговски банки, като към 30.06.2017 г. те възлизат на 0,1 млн. лева.</w:t>
      </w:r>
    </w:p>
    <w:p w:rsidR="003619A0" w:rsidRPr="008825FD" w:rsidRDefault="003619A0" w:rsidP="003619A0">
      <w:pPr>
        <w:jc w:val="both"/>
        <w:rPr>
          <w:szCs w:val="20"/>
        </w:rPr>
      </w:pPr>
      <w:r w:rsidRPr="008825FD">
        <w:rPr>
          <w:bCs/>
        </w:rPr>
        <w:t xml:space="preserve"> </w:t>
      </w:r>
      <w:r w:rsidRPr="008825FD">
        <w:rPr>
          <w:bCs/>
        </w:rPr>
        <w:tab/>
      </w:r>
      <w:r w:rsidRPr="008825FD">
        <w:rPr>
          <w:szCs w:val="20"/>
        </w:rPr>
        <w:t xml:space="preserve">Наличностите по сметките за средства от ЕС на НФ към </w:t>
      </w:r>
      <w:r w:rsidRPr="008825FD">
        <w:rPr>
          <w:bCs/>
        </w:rPr>
        <w:t>30.06.2017 г.</w:t>
      </w:r>
      <w:r w:rsidRPr="008825FD">
        <w:rPr>
          <w:szCs w:val="20"/>
        </w:rPr>
        <w:t xml:space="preserve"> възлизат на 2 315,6 млн. лв. (в отчета на НФ са включени и наличностите на Фонда мениджър на финансови инструменти в България (Фонд на фондовете), които са в размер на 235,3 млн. лв.), като в БНБ са в размер на 2 280,8 млн. лв., а в търговските банки - в размер на 34,8 млн. лева.</w:t>
      </w:r>
    </w:p>
    <w:p w:rsidR="003619A0" w:rsidRPr="00844F5E" w:rsidRDefault="003619A0" w:rsidP="003619A0">
      <w:pPr>
        <w:spacing w:before="240"/>
        <w:ind w:firstLine="686"/>
        <w:jc w:val="both"/>
        <w:rPr>
          <w:b/>
          <w:snapToGrid w:val="0"/>
          <w:szCs w:val="20"/>
        </w:rPr>
      </w:pPr>
      <w:r w:rsidRPr="00844F5E">
        <w:rPr>
          <w:b/>
          <w:bCs/>
        </w:rPr>
        <w:t xml:space="preserve">Структурни и </w:t>
      </w:r>
      <w:proofErr w:type="spellStart"/>
      <w:r w:rsidRPr="00844F5E">
        <w:rPr>
          <w:b/>
          <w:bCs/>
        </w:rPr>
        <w:t>Кохезионен</w:t>
      </w:r>
      <w:proofErr w:type="spellEnd"/>
      <w:r w:rsidRPr="00844F5E">
        <w:rPr>
          <w:b/>
          <w:bCs/>
        </w:rPr>
        <w:t xml:space="preserve"> фондове </w:t>
      </w:r>
      <w:r w:rsidRPr="00844F5E">
        <w:rPr>
          <w:b/>
          <w:snapToGrid w:val="0"/>
          <w:szCs w:val="20"/>
        </w:rPr>
        <w:t>(СКФ) 2007 – 2013 г.</w:t>
      </w:r>
    </w:p>
    <w:p w:rsidR="003619A0" w:rsidRPr="00844F5E" w:rsidRDefault="003619A0" w:rsidP="003619A0">
      <w:pPr>
        <w:ind w:firstLine="684"/>
        <w:jc w:val="both"/>
        <w:rPr>
          <w:szCs w:val="20"/>
        </w:rPr>
      </w:pPr>
      <w:r w:rsidRPr="00844F5E">
        <w:rPr>
          <w:bCs/>
          <w:lang w:eastAsia="bg-BG"/>
        </w:rPr>
        <w:tab/>
      </w:r>
      <w:r w:rsidRPr="00844F5E">
        <w:rPr>
          <w:szCs w:val="20"/>
        </w:rPr>
        <w:t xml:space="preserve">Направените разходи (нето) по Оперативни програми и трансферите (нето) към бюджетни организации за периода са отразени в отчета със знак „минус“ (-17,7 млн. лв.), защото извършените плащания за периода в размер на 2,6 млн. лева, са по-малко в сравнение с възстановените средства от бенефициенти към Национален фонд, които са 20,3 млн. лв. </w:t>
      </w:r>
    </w:p>
    <w:p w:rsidR="003619A0" w:rsidRPr="00844F5E" w:rsidRDefault="003619A0" w:rsidP="003619A0">
      <w:pPr>
        <w:ind w:firstLine="686"/>
        <w:jc w:val="both"/>
        <w:rPr>
          <w:b/>
          <w:bCs/>
        </w:rPr>
      </w:pPr>
      <w:r w:rsidRPr="00844F5E">
        <w:rPr>
          <w:bCs/>
          <w:lang w:eastAsia="bg-BG"/>
        </w:rPr>
        <w:t>През отчетния период е възстановено авансово финансиране (нето), осигурено по реда на ДДС № 6 от 2011 г., в размер на 20,7 млн. лева.</w:t>
      </w:r>
    </w:p>
    <w:p w:rsidR="003619A0" w:rsidRPr="00844F5E" w:rsidRDefault="003619A0" w:rsidP="003619A0">
      <w:pPr>
        <w:tabs>
          <w:tab w:val="left" w:pos="570"/>
          <w:tab w:val="num" w:pos="741"/>
        </w:tabs>
        <w:spacing w:before="120"/>
        <w:jc w:val="both"/>
        <w:rPr>
          <w:b/>
          <w:bCs/>
        </w:rPr>
      </w:pPr>
      <w:r w:rsidRPr="00844F5E">
        <w:rPr>
          <w:szCs w:val="20"/>
        </w:rPr>
        <w:tab/>
      </w:r>
      <w:r w:rsidRPr="00844F5E">
        <w:rPr>
          <w:b/>
          <w:bCs/>
        </w:rPr>
        <w:t xml:space="preserve">Европейски фонд за регионално развитие, Европейски социален фонд (включително Инициативата за младежка заетост), </w:t>
      </w:r>
      <w:proofErr w:type="spellStart"/>
      <w:r w:rsidRPr="00844F5E">
        <w:rPr>
          <w:b/>
          <w:bCs/>
        </w:rPr>
        <w:t>Кохезионния</w:t>
      </w:r>
      <w:proofErr w:type="spellEnd"/>
      <w:r w:rsidRPr="00844F5E">
        <w:rPr>
          <w:b/>
          <w:bCs/>
        </w:rPr>
        <w:t xml:space="preserve"> фонд и ФЕПН на Европейския съюз за финансова рамка 2014 – 2020 г.</w:t>
      </w:r>
    </w:p>
    <w:p w:rsidR="003619A0" w:rsidRPr="00844F5E" w:rsidRDefault="003619A0" w:rsidP="003619A0">
      <w:pPr>
        <w:tabs>
          <w:tab w:val="left" w:pos="570"/>
          <w:tab w:val="num" w:pos="741"/>
        </w:tabs>
        <w:jc w:val="both"/>
        <w:rPr>
          <w:bCs/>
          <w:szCs w:val="20"/>
        </w:rPr>
      </w:pPr>
      <w:r w:rsidRPr="00844F5E">
        <w:rPr>
          <w:szCs w:val="20"/>
        </w:rPr>
        <w:tab/>
      </w:r>
      <w:r w:rsidRPr="00844F5E">
        <w:rPr>
          <w:bCs/>
        </w:rPr>
        <w:t xml:space="preserve">Общо получените средства за периода са в размер на 465,6 </w:t>
      </w:r>
      <w:r w:rsidRPr="00844F5E">
        <w:rPr>
          <w:bCs/>
          <w:szCs w:val="20"/>
        </w:rPr>
        <w:t xml:space="preserve">млн. лв. и представляват </w:t>
      </w:r>
      <w:r w:rsidRPr="00844F5E">
        <w:rPr>
          <w:szCs w:val="20"/>
        </w:rPr>
        <w:t>възстановени средства от ЕК , като са разпределени както следва:</w:t>
      </w:r>
    </w:p>
    <w:p w:rsidR="003619A0" w:rsidRPr="00844F5E" w:rsidRDefault="003619A0" w:rsidP="003619A0">
      <w:pPr>
        <w:numPr>
          <w:ilvl w:val="0"/>
          <w:numId w:val="12"/>
        </w:numPr>
        <w:tabs>
          <w:tab w:val="num" w:pos="741"/>
          <w:tab w:val="num" w:pos="786"/>
        </w:tabs>
        <w:ind w:left="737" w:hanging="357"/>
        <w:jc w:val="both"/>
        <w:rPr>
          <w:bCs/>
          <w:lang w:eastAsia="bg-BG"/>
        </w:rPr>
      </w:pPr>
      <w:r w:rsidRPr="00844F5E">
        <w:rPr>
          <w:bCs/>
          <w:lang w:eastAsia="bg-BG"/>
        </w:rPr>
        <w:t xml:space="preserve">ОП „Иновации и конкурентоспособност” – 116,5 млн. лв.;  </w:t>
      </w:r>
    </w:p>
    <w:p w:rsidR="003619A0" w:rsidRPr="00844F5E" w:rsidRDefault="003619A0" w:rsidP="003619A0">
      <w:pPr>
        <w:numPr>
          <w:ilvl w:val="0"/>
          <w:numId w:val="12"/>
        </w:numPr>
        <w:tabs>
          <w:tab w:val="num" w:pos="741"/>
          <w:tab w:val="num" w:pos="786"/>
        </w:tabs>
        <w:ind w:left="737" w:hanging="357"/>
        <w:jc w:val="both"/>
        <w:rPr>
          <w:bCs/>
          <w:lang w:eastAsia="bg-BG"/>
        </w:rPr>
      </w:pPr>
      <w:r w:rsidRPr="00844F5E">
        <w:rPr>
          <w:bCs/>
          <w:lang w:eastAsia="bg-BG"/>
        </w:rPr>
        <w:t>ОП „Добро управление” – 5,3 млн. лв.;</w:t>
      </w:r>
    </w:p>
    <w:p w:rsidR="003619A0" w:rsidRPr="00844F5E" w:rsidRDefault="003619A0" w:rsidP="003619A0">
      <w:pPr>
        <w:numPr>
          <w:ilvl w:val="0"/>
          <w:numId w:val="12"/>
        </w:numPr>
        <w:tabs>
          <w:tab w:val="num" w:pos="741"/>
          <w:tab w:val="num" w:pos="786"/>
        </w:tabs>
        <w:ind w:left="737" w:hanging="357"/>
        <w:jc w:val="both"/>
        <w:rPr>
          <w:bCs/>
          <w:lang w:eastAsia="bg-BG"/>
        </w:rPr>
      </w:pPr>
      <w:r w:rsidRPr="00844F5E">
        <w:rPr>
          <w:bCs/>
          <w:lang w:eastAsia="bg-BG"/>
        </w:rPr>
        <w:t xml:space="preserve">ОП „Транспорт и транспортна инфраструктура” – 101,4 млн. лв.; </w:t>
      </w:r>
    </w:p>
    <w:p w:rsidR="003619A0" w:rsidRPr="00844F5E" w:rsidRDefault="003619A0" w:rsidP="003619A0">
      <w:pPr>
        <w:numPr>
          <w:ilvl w:val="0"/>
          <w:numId w:val="12"/>
        </w:numPr>
        <w:tabs>
          <w:tab w:val="num" w:pos="741"/>
          <w:tab w:val="num" w:pos="786"/>
        </w:tabs>
        <w:ind w:left="737" w:hanging="357"/>
        <w:jc w:val="both"/>
        <w:rPr>
          <w:bCs/>
          <w:lang w:eastAsia="bg-BG"/>
        </w:rPr>
      </w:pPr>
      <w:r w:rsidRPr="00844F5E">
        <w:rPr>
          <w:bCs/>
          <w:lang w:eastAsia="bg-BG"/>
        </w:rPr>
        <w:t>ОП „Развитие на човешките ресурси 2014 - 2020 г.” – 48,0 млн. лв.;</w:t>
      </w:r>
    </w:p>
    <w:p w:rsidR="003619A0" w:rsidRPr="00834EA0" w:rsidRDefault="003619A0" w:rsidP="003619A0">
      <w:pPr>
        <w:numPr>
          <w:ilvl w:val="0"/>
          <w:numId w:val="12"/>
        </w:numPr>
        <w:tabs>
          <w:tab w:val="num" w:pos="741"/>
          <w:tab w:val="num" w:pos="786"/>
        </w:tabs>
        <w:ind w:left="737" w:hanging="357"/>
        <w:jc w:val="both"/>
        <w:rPr>
          <w:bCs/>
          <w:lang w:eastAsia="bg-BG"/>
        </w:rPr>
      </w:pPr>
      <w:r w:rsidRPr="00834EA0">
        <w:rPr>
          <w:bCs/>
          <w:lang w:eastAsia="bg-BG"/>
        </w:rPr>
        <w:t>Инициативата за младежка заетост – 34,4 млн. лв.;</w:t>
      </w:r>
    </w:p>
    <w:p w:rsidR="003619A0" w:rsidRPr="00834EA0" w:rsidRDefault="003619A0" w:rsidP="003619A0">
      <w:pPr>
        <w:numPr>
          <w:ilvl w:val="0"/>
          <w:numId w:val="12"/>
        </w:numPr>
        <w:tabs>
          <w:tab w:val="num" w:pos="741"/>
          <w:tab w:val="num" w:pos="786"/>
        </w:tabs>
        <w:ind w:left="737" w:hanging="357"/>
        <w:jc w:val="both"/>
        <w:rPr>
          <w:bCs/>
          <w:lang w:eastAsia="bg-BG"/>
        </w:rPr>
      </w:pPr>
      <w:r w:rsidRPr="00834EA0">
        <w:rPr>
          <w:bCs/>
          <w:lang w:eastAsia="bg-BG"/>
        </w:rPr>
        <w:t>ОП за храни и/или основно материално подпомагане от Фонда за европейско подпомагане на най-нуждаещите се лица в България за периода 2014 – 2020 г. – 12,9 млн. лв.;</w:t>
      </w:r>
    </w:p>
    <w:p w:rsidR="003619A0" w:rsidRPr="00834EA0" w:rsidRDefault="003619A0" w:rsidP="003619A0">
      <w:pPr>
        <w:numPr>
          <w:ilvl w:val="0"/>
          <w:numId w:val="12"/>
        </w:numPr>
        <w:tabs>
          <w:tab w:val="num" w:pos="741"/>
          <w:tab w:val="num" w:pos="786"/>
        </w:tabs>
        <w:ind w:left="737" w:hanging="357"/>
        <w:jc w:val="both"/>
        <w:rPr>
          <w:bCs/>
          <w:lang w:eastAsia="bg-BG"/>
        </w:rPr>
      </w:pPr>
      <w:r w:rsidRPr="00834EA0">
        <w:rPr>
          <w:bCs/>
          <w:lang w:eastAsia="bg-BG"/>
        </w:rPr>
        <w:t>ОП „Околна среда 2014 – 2020 г.“ – 42,0</w:t>
      </w:r>
      <w:r w:rsidRPr="00834EA0">
        <w:rPr>
          <w:rFonts w:ascii="Arial" w:hAnsi="Arial"/>
          <w:bCs/>
          <w:lang w:eastAsia="bg-BG"/>
        </w:rPr>
        <w:t xml:space="preserve"> </w:t>
      </w:r>
      <w:r w:rsidRPr="00834EA0">
        <w:rPr>
          <w:bCs/>
          <w:lang w:eastAsia="bg-BG"/>
        </w:rPr>
        <w:t xml:space="preserve">млн. лв.; </w:t>
      </w:r>
    </w:p>
    <w:p w:rsidR="003619A0" w:rsidRDefault="003619A0" w:rsidP="003619A0">
      <w:pPr>
        <w:numPr>
          <w:ilvl w:val="0"/>
          <w:numId w:val="12"/>
        </w:numPr>
        <w:tabs>
          <w:tab w:val="num" w:pos="741"/>
          <w:tab w:val="num" w:pos="786"/>
        </w:tabs>
        <w:ind w:left="737" w:hanging="357"/>
        <w:jc w:val="both"/>
        <w:rPr>
          <w:bCs/>
          <w:lang w:eastAsia="bg-BG"/>
        </w:rPr>
      </w:pPr>
      <w:r w:rsidRPr="00834EA0">
        <w:rPr>
          <w:bCs/>
          <w:lang w:eastAsia="bg-BG"/>
        </w:rPr>
        <w:t>ОП „Региони в растеж“ – 101,1</w:t>
      </w:r>
      <w:r w:rsidRPr="00834EA0">
        <w:rPr>
          <w:rFonts w:ascii="Arial" w:hAnsi="Arial"/>
          <w:bCs/>
          <w:lang w:eastAsia="bg-BG"/>
        </w:rPr>
        <w:t xml:space="preserve"> </w:t>
      </w:r>
      <w:r w:rsidRPr="00834EA0">
        <w:rPr>
          <w:bCs/>
          <w:lang w:eastAsia="bg-BG"/>
        </w:rPr>
        <w:t xml:space="preserve">млн. лв. </w:t>
      </w:r>
    </w:p>
    <w:p w:rsidR="00656D31" w:rsidRPr="00656D31" w:rsidRDefault="00656D31" w:rsidP="00656D31">
      <w:pPr>
        <w:numPr>
          <w:ilvl w:val="0"/>
          <w:numId w:val="12"/>
        </w:numPr>
        <w:tabs>
          <w:tab w:val="num" w:pos="741"/>
          <w:tab w:val="num" w:pos="786"/>
        </w:tabs>
        <w:ind w:left="737" w:hanging="357"/>
        <w:jc w:val="both"/>
        <w:rPr>
          <w:bCs/>
          <w:lang w:eastAsia="bg-BG"/>
        </w:rPr>
      </w:pPr>
      <w:r w:rsidRPr="00656D31">
        <w:rPr>
          <w:bCs/>
          <w:lang w:eastAsia="bg-BG"/>
        </w:rPr>
        <w:t>ОП „Наука и образование за интелигентен растеж” – 2</w:t>
      </w:r>
      <w:r w:rsidR="00EA6BCC">
        <w:rPr>
          <w:bCs/>
          <w:lang w:eastAsia="bg-BG"/>
        </w:rPr>
        <w:t>,</w:t>
      </w:r>
      <w:r w:rsidRPr="00656D31">
        <w:rPr>
          <w:bCs/>
          <w:lang w:eastAsia="bg-BG"/>
        </w:rPr>
        <w:t xml:space="preserve">8 млн. </w:t>
      </w:r>
      <w:proofErr w:type="spellStart"/>
      <w:r w:rsidRPr="00656D31">
        <w:rPr>
          <w:bCs/>
          <w:lang w:eastAsia="bg-BG"/>
        </w:rPr>
        <w:t>лв</w:t>
      </w:r>
      <w:proofErr w:type="spellEnd"/>
      <w:r w:rsidRPr="00656D31">
        <w:rPr>
          <w:bCs/>
          <w:lang w:val="en-US" w:eastAsia="bg-BG"/>
        </w:rPr>
        <w:t xml:space="preserve">. </w:t>
      </w:r>
    </w:p>
    <w:p w:rsidR="003619A0" w:rsidRPr="00834EA0" w:rsidRDefault="003619A0" w:rsidP="00656D31">
      <w:pPr>
        <w:numPr>
          <w:ilvl w:val="0"/>
          <w:numId w:val="12"/>
        </w:numPr>
        <w:tabs>
          <w:tab w:val="num" w:pos="741"/>
          <w:tab w:val="num" w:pos="786"/>
        </w:tabs>
        <w:ind w:left="737" w:hanging="357"/>
        <w:jc w:val="both"/>
        <w:rPr>
          <w:bCs/>
          <w:lang w:eastAsia="bg-BG"/>
        </w:rPr>
      </w:pPr>
      <w:r w:rsidRPr="00834EA0">
        <w:rPr>
          <w:bCs/>
          <w:lang w:eastAsia="bg-BG"/>
        </w:rPr>
        <w:t>ОП „Инициатива за малки и средни предприятия 2014-2020“ - 1,2 млн. лв.</w:t>
      </w:r>
    </w:p>
    <w:p w:rsidR="003619A0" w:rsidRPr="00D73AC8" w:rsidRDefault="003619A0" w:rsidP="003619A0">
      <w:pPr>
        <w:ind w:firstLine="686"/>
        <w:jc w:val="both"/>
        <w:rPr>
          <w:bCs/>
          <w:szCs w:val="20"/>
        </w:rPr>
      </w:pPr>
      <w:r w:rsidRPr="00D73AC8">
        <w:rPr>
          <w:bCs/>
          <w:lang w:eastAsia="bg-BG"/>
        </w:rPr>
        <w:tab/>
      </w:r>
      <w:r w:rsidRPr="00D73AC8">
        <w:rPr>
          <w:bCs/>
          <w:szCs w:val="20"/>
        </w:rPr>
        <w:t>Направените разходи (нето) по Оперативни програми и трансферите (нето) към бюджетни организации за периода са в размер на 513,7 млн. лв., като разпределението по Оперативни програми е следното:</w:t>
      </w:r>
    </w:p>
    <w:p w:rsidR="003619A0" w:rsidRPr="00D73AC8" w:rsidRDefault="003619A0" w:rsidP="003619A0">
      <w:pPr>
        <w:numPr>
          <w:ilvl w:val="0"/>
          <w:numId w:val="12"/>
        </w:numPr>
        <w:tabs>
          <w:tab w:val="num" w:pos="741"/>
          <w:tab w:val="num" w:pos="786"/>
        </w:tabs>
        <w:ind w:left="786"/>
        <w:jc w:val="both"/>
        <w:rPr>
          <w:bCs/>
          <w:szCs w:val="20"/>
        </w:rPr>
      </w:pPr>
      <w:r w:rsidRPr="00D73AC8">
        <w:rPr>
          <w:bCs/>
          <w:lang w:eastAsia="bg-BG"/>
        </w:rPr>
        <w:lastRenderedPageBreak/>
        <w:t>ОП</w:t>
      </w:r>
      <w:r w:rsidRPr="00D73AC8">
        <w:rPr>
          <w:bCs/>
          <w:szCs w:val="20"/>
        </w:rPr>
        <w:t xml:space="preserve"> „Развитие на човешките ресурси 2014 - 2020 г.” – 80,4 млн. лв.;</w:t>
      </w:r>
    </w:p>
    <w:p w:rsidR="003619A0" w:rsidRPr="00D73AC8" w:rsidRDefault="003619A0" w:rsidP="003619A0">
      <w:pPr>
        <w:numPr>
          <w:ilvl w:val="0"/>
          <w:numId w:val="12"/>
        </w:numPr>
        <w:tabs>
          <w:tab w:val="num" w:pos="741"/>
          <w:tab w:val="num" w:pos="786"/>
        </w:tabs>
        <w:ind w:left="786"/>
        <w:jc w:val="both"/>
        <w:rPr>
          <w:bCs/>
          <w:szCs w:val="20"/>
        </w:rPr>
      </w:pPr>
      <w:r w:rsidRPr="00D73AC8">
        <w:rPr>
          <w:bCs/>
          <w:szCs w:val="20"/>
        </w:rPr>
        <w:t>Инициативата за младежка заетост – 17,6 млн. лв.;</w:t>
      </w:r>
    </w:p>
    <w:p w:rsidR="003619A0" w:rsidRPr="00D73AC8" w:rsidRDefault="003619A0" w:rsidP="003619A0">
      <w:pPr>
        <w:numPr>
          <w:ilvl w:val="0"/>
          <w:numId w:val="12"/>
        </w:numPr>
        <w:tabs>
          <w:tab w:val="num" w:pos="741"/>
          <w:tab w:val="num" w:pos="786"/>
        </w:tabs>
        <w:ind w:left="786"/>
        <w:jc w:val="both"/>
        <w:rPr>
          <w:bCs/>
          <w:szCs w:val="20"/>
        </w:rPr>
      </w:pPr>
      <w:r w:rsidRPr="00D73AC8">
        <w:rPr>
          <w:bCs/>
          <w:szCs w:val="20"/>
        </w:rPr>
        <w:t>ОП за храни и/или основно материално подпомагане от Фонда за европейско подпомагане на най-нуждаещите се лица в България за периода 2014 – 2020 г. – 32,3 млн. лева;</w:t>
      </w:r>
    </w:p>
    <w:p w:rsidR="003619A0" w:rsidRPr="00D73AC8" w:rsidRDefault="003619A0" w:rsidP="003619A0">
      <w:pPr>
        <w:numPr>
          <w:ilvl w:val="0"/>
          <w:numId w:val="12"/>
        </w:numPr>
        <w:tabs>
          <w:tab w:val="num" w:pos="741"/>
          <w:tab w:val="num" w:pos="786"/>
        </w:tabs>
        <w:ind w:left="737" w:hanging="357"/>
        <w:jc w:val="both"/>
        <w:rPr>
          <w:bCs/>
          <w:szCs w:val="20"/>
        </w:rPr>
      </w:pPr>
      <w:r w:rsidRPr="00D73AC8">
        <w:rPr>
          <w:bCs/>
          <w:szCs w:val="20"/>
        </w:rPr>
        <w:t>ОП „Иновации и конкурентоспособност” – 170,7 млн. лв.;</w:t>
      </w:r>
    </w:p>
    <w:p w:rsidR="003619A0" w:rsidRPr="00D73AC8" w:rsidRDefault="003619A0" w:rsidP="003619A0">
      <w:pPr>
        <w:numPr>
          <w:ilvl w:val="0"/>
          <w:numId w:val="12"/>
        </w:numPr>
        <w:tabs>
          <w:tab w:val="num" w:pos="741"/>
          <w:tab w:val="num" w:pos="786"/>
        </w:tabs>
        <w:ind w:left="737" w:hanging="357"/>
        <w:jc w:val="both"/>
        <w:rPr>
          <w:bCs/>
          <w:szCs w:val="20"/>
        </w:rPr>
      </w:pPr>
      <w:r w:rsidRPr="00D73AC8">
        <w:rPr>
          <w:bCs/>
          <w:szCs w:val="20"/>
        </w:rPr>
        <w:t>ОП „Добро управление” – 13,4 млн. лв.;</w:t>
      </w:r>
    </w:p>
    <w:p w:rsidR="003619A0" w:rsidRPr="00D73AC8" w:rsidRDefault="003619A0" w:rsidP="003619A0">
      <w:pPr>
        <w:numPr>
          <w:ilvl w:val="0"/>
          <w:numId w:val="12"/>
        </w:numPr>
        <w:tabs>
          <w:tab w:val="num" w:pos="741"/>
          <w:tab w:val="num" w:pos="786"/>
        </w:tabs>
        <w:ind w:left="737" w:hanging="357"/>
        <w:jc w:val="both"/>
        <w:rPr>
          <w:bCs/>
          <w:szCs w:val="20"/>
        </w:rPr>
      </w:pPr>
      <w:r w:rsidRPr="00D73AC8">
        <w:rPr>
          <w:bCs/>
          <w:szCs w:val="20"/>
        </w:rPr>
        <w:t>ОП „Региони в растеж“ – 39,7 млн. лв.;</w:t>
      </w:r>
    </w:p>
    <w:p w:rsidR="003619A0" w:rsidRPr="00D73AC8" w:rsidRDefault="003619A0" w:rsidP="003619A0">
      <w:pPr>
        <w:numPr>
          <w:ilvl w:val="0"/>
          <w:numId w:val="12"/>
        </w:numPr>
        <w:tabs>
          <w:tab w:val="num" w:pos="741"/>
          <w:tab w:val="num" w:pos="786"/>
        </w:tabs>
        <w:ind w:left="737" w:hanging="357"/>
        <w:jc w:val="both"/>
        <w:rPr>
          <w:bCs/>
          <w:szCs w:val="20"/>
        </w:rPr>
      </w:pPr>
      <w:r w:rsidRPr="00D73AC8">
        <w:rPr>
          <w:bCs/>
          <w:lang w:eastAsia="bg-BG"/>
        </w:rPr>
        <w:t>ОП „Транспорт и транспортна инфраструктура” – 88,4 млн. лв.;</w:t>
      </w:r>
    </w:p>
    <w:p w:rsidR="003619A0" w:rsidRPr="00D73AC8" w:rsidRDefault="003619A0" w:rsidP="003619A0">
      <w:pPr>
        <w:numPr>
          <w:ilvl w:val="0"/>
          <w:numId w:val="12"/>
        </w:numPr>
        <w:tabs>
          <w:tab w:val="num" w:pos="741"/>
          <w:tab w:val="num" w:pos="786"/>
        </w:tabs>
        <w:ind w:left="737" w:hanging="357"/>
        <w:jc w:val="both"/>
        <w:rPr>
          <w:bCs/>
          <w:lang w:eastAsia="bg-BG"/>
        </w:rPr>
      </w:pPr>
      <w:r w:rsidRPr="00D73AC8">
        <w:rPr>
          <w:bCs/>
          <w:lang w:eastAsia="bg-BG"/>
        </w:rPr>
        <w:t>ОП „Наука и образование за интелигентен растеж” – 24,6 млн. лв. и</w:t>
      </w:r>
    </w:p>
    <w:p w:rsidR="003619A0" w:rsidRPr="00D73AC8" w:rsidRDefault="003619A0" w:rsidP="003619A0">
      <w:pPr>
        <w:numPr>
          <w:ilvl w:val="0"/>
          <w:numId w:val="12"/>
        </w:numPr>
        <w:tabs>
          <w:tab w:val="num" w:pos="741"/>
          <w:tab w:val="num" w:pos="786"/>
        </w:tabs>
        <w:ind w:left="737" w:hanging="357"/>
        <w:jc w:val="both"/>
        <w:rPr>
          <w:bCs/>
          <w:lang w:eastAsia="bg-BG"/>
        </w:rPr>
      </w:pPr>
      <w:r w:rsidRPr="00D73AC8">
        <w:rPr>
          <w:bCs/>
          <w:lang w:eastAsia="bg-BG"/>
        </w:rPr>
        <w:t>ОП „Околна среда 2014 – 2020 г.“ – 46,6 млн. лв.</w:t>
      </w:r>
    </w:p>
    <w:p w:rsidR="003619A0" w:rsidRPr="0092537A" w:rsidRDefault="003619A0" w:rsidP="003619A0">
      <w:pPr>
        <w:spacing w:before="120"/>
        <w:ind w:firstLine="629"/>
        <w:jc w:val="both"/>
        <w:rPr>
          <w:b/>
          <w:bCs/>
          <w:color w:val="0070C0"/>
        </w:rPr>
      </w:pPr>
      <w:r w:rsidRPr="0030309C">
        <w:rPr>
          <w:b/>
          <w:bCs/>
        </w:rPr>
        <w:t>Програма ФАР и Преходен финансов инструмент</w:t>
      </w:r>
    </w:p>
    <w:p w:rsidR="003619A0" w:rsidRPr="0030309C" w:rsidRDefault="003619A0" w:rsidP="003619A0">
      <w:pPr>
        <w:ind w:firstLine="629"/>
        <w:jc w:val="both"/>
        <w:rPr>
          <w:bCs/>
          <w:lang w:eastAsia="bg-BG"/>
        </w:rPr>
      </w:pPr>
      <w:r w:rsidRPr="0030309C">
        <w:rPr>
          <w:snapToGrid w:val="0"/>
          <w:szCs w:val="20"/>
        </w:rPr>
        <w:t xml:space="preserve">През отчетния период </w:t>
      </w:r>
      <w:r w:rsidRPr="0030309C">
        <w:rPr>
          <w:bCs/>
          <w:lang w:eastAsia="bg-BG"/>
        </w:rPr>
        <w:t xml:space="preserve">са </w:t>
      </w:r>
      <w:r w:rsidRPr="0030309C">
        <w:rPr>
          <w:snapToGrid w:val="0"/>
          <w:szCs w:val="20"/>
        </w:rPr>
        <w:t>постъпили възстановени суми от бенефициенти по сметките на Националния фонд в размер на 0,5</w:t>
      </w:r>
      <w:r w:rsidRPr="0030309C">
        <w:rPr>
          <w:bCs/>
          <w:lang w:eastAsia="bg-BG"/>
        </w:rPr>
        <w:t xml:space="preserve"> млн. лв.</w:t>
      </w:r>
    </w:p>
    <w:p w:rsidR="003619A0" w:rsidRPr="0030309C" w:rsidRDefault="003619A0" w:rsidP="003619A0">
      <w:pPr>
        <w:spacing w:before="120"/>
        <w:ind w:firstLine="629"/>
        <w:jc w:val="both"/>
        <w:rPr>
          <w:b/>
        </w:rPr>
      </w:pPr>
      <w:r w:rsidRPr="0030309C">
        <w:rPr>
          <w:b/>
        </w:rPr>
        <w:t>Програма ИСПА/</w:t>
      </w:r>
      <w:proofErr w:type="spellStart"/>
      <w:r w:rsidRPr="0030309C">
        <w:rPr>
          <w:b/>
        </w:rPr>
        <w:t>Кохезионен</w:t>
      </w:r>
      <w:proofErr w:type="spellEnd"/>
      <w:r w:rsidRPr="0030309C">
        <w:rPr>
          <w:b/>
        </w:rPr>
        <w:t xml:space="preserve"> фонд (Регламент 1164/94)</w:t>
      </w:r>
    </w:p>
    <w:p w:rsidR="003619A0" w:rsidRPr="0030309C" w:rsidRDefault="003619A0" w:rsidP="003619A0">
      <w:pPr>
        <w:ind w:firstLine="629"/>
        <w:jc w:val="both"/>
        <w:rPr>
          <w:szCs w:val="20"/>
        </w:rPr>
      </w:pPr>
      <w:r w:rsidRPr="0030309C">
        <w:rPr>
          <w:snapToGrid w:val="0"/>
          <w:szCs w:val="20"/>
        </w:rPr>
        <w:t>От началото на годината по тази програма няма възстановени средства от ЕК и няма извършени разходи.</w:t>
      </w:r>
    </w:p>
    <w:p w:rsidR="003619A0" w:rsidRPr="0030309C" w:rsidRDefault="003619A0" w:rsidP="003619A0">
      <w:pPr>
        <w:spacing w:before="120"/>
        <w:ind w:firstLine="720"/>
        <w:jc w:val="both"/>
        <w:rPr>
          <w:b/>
        </w:rPr>
      </w:pPr>
      <w:r w:rsidRPr="0030309C">
        <w:rPr>
          <w:b/>
        </w:rPr>
        <w:t xml:space="preserve">Програма САПАРД </w:t>
      </w:r>
    </w:p>
    <w:p w:rsidR="003619A0" w:rsidRPr="0030309C" w:rsidRDefault="003619A0" w:rsidP="003619A0">
      <w:pPr>
        <w:ind w:firstLine="720"/>
        <w:jc w:val="both"/>
        <w:rPr>
          <w:szCs w:val="20"/>
        </w:rPr>
      </w:pPr>
      <w:r w:rsidRPr="0030309C">
        <w:rPr>
          <w:szCs w:val="20"/>
        </w:rPr>
        <w:t>На 31.12.2009 г. изтече валидността на Годишното финансово споразумение (ГФС) 2006, с което се прекрати и изплащането на субсидии към крайни бенефициенти по програма САПАРД.</w:t>
      </w:r>
    </w:p>
    <w:p w:rsidR="003619A0" w:rsidRPr="0030309C" w:rsidRDefault="003619A0" w:rsidP="003619A0">
      <w:pPr>
        <w:ind w:firstLine="720"/>
        <w:jc w:val="both"/>
      </w:pPr>
      <w:r w:rsidRPr="0030309C">
        <w:t>От началото на годината са извършени възстановявания от Агенция САПАРД и НАП по дългове в размер на 0,01 млн. лв.</w:t>
      </w:r>
    </w:p>
    <w:p w:rsidR="003619A0" w:rsidRPr="0030309C" w:rsidRDefault="003619A0" w:rsidP="003619A0">
      <w:pPr>
        <w:ind w:firstLine="720"/>
        <w:jc w:val="both"/>
        <w:rPr>
          <w:szCs w:val="20"/>
        </w:rPr>
      </w:pPr>
      <w:r w:rsidRPr="0030309C">
        <w:rPr>
          <w:szCs w:val="20"/>
        </w:rPr>
        <w:t>Възстановените средства към ЕК за отчетния период са в размер на 6,1 млн. лева.</w:t>
      </w:r>
    </w:p>
    <w:p w:rsidR="003619A0" w:rsidRPr="0030309C" w:rsidRDefault="003619A0" w:rsidP="003619A0">
      <w:pPr>
        <w:spacing w:before="120"/>
        <w:jc w:val="both"/>
        <w:rPr>
          <w:b/>
          <w:szCs w:val="20"/>
        </w:rPr>
      </w:pPr>
      <w:r w:rsidRPr="0030309C">
        <w:rPr>
          <w:szCs w:val="20"/>
        </w:rPr>
        <w:tab/>
      </w:r>
      <w:r w:rsidRPr="0030309C">
        <w:rPr>
          <w:b/>
          <w:szCs w:val="20"/>
        </w:rPr>
        <w:t>Двустранни програми за трансгранично сътрудничество по външните граници на Европейския съюз 2007 – 2013 г.</w:t>
      </w:r>
    </w:p>
    <w:p w:rsidR="003619A0" w:rsidRPr="0030309C" w:rsidRDefault="003619A0" w:rsidP="003619A0">
      <w:pPr>
        <w:spacing w:before="120"/>
        <w:ind w:firstLine="686"/>
        <w:jc w:val="both"/>
        <w:rPr>
          <w:b/>
          <w:szCs w:val="20"/>
        </w:rPr>
      </w:pPr>
      <w:r w:rsidRPr="0030309C">
        <w:rPr>
          <w:snapToGrid w:val="0"/>
        </w:rPr>
        <w:t>За първото полугодие на 2017 г. сумата на разходите и трансферите (нето) към бюджетни организации в страната, които са направени по двустранните програми са на обща стойност 2,</w:t>
      </w:r>
      <w:proofErr w:type="spellStart"/>
      <w:r w:rsidRPr="0030309C">
        <w:rPr>
          <w:snapToGrid w:val="0"/>
        </w:rPr>
        <w:t>2</w:t>
      </w:r>
      <w:proofErr w:type="spellEnd"/>
      <w:r w:rsidRPr="0030309C">
        <w:rPr>
          <w:snapToGrid w:val="0"/>
        </w:rPr>
        <w:t xml:space="preserve"> млн. лв., включително за плащания към бенефициенти в страната </w:t>
      </w:r>
      <w:r w:rsidRPr="0030309C">
        <w:t>за сметка на финансиране от страната-партньор по тези програми.</w:t>
      </w:r>
    </w:p>
    <w:p w:rsidR="003619A0" w:rsidRPr="0030309C" w:rsidRDefault="003619A0" w:rsidP="003619A0">
      <w:pPr>
        <w:spacing w:before="120"/>
        <w:ind w:firstLine="686"/>
        <w:jc w:val="both"/>
        <w:rPr>
          <w:b/>
          <w:szCs w:val="20"/>
        </w:rPr>
      </w:pPr>
      <w:r w:rsidRPr="0030309C">
        <w:rPr>
          <w:b/>
          <w:szCs w:val="20"/>
        </w:rPr>
        <w:t>Двустранни програми за трансгранично сътрудничество по външните граници на Европейския съюз 2014 – 2020 г.</w:t>
      </w:r>
    </w:p>
    <w:p w:rsidR="003619A0" w:rsidRPr="0030309C" w:rsidRDefault="003619A0" w:rsidP="003619A0">
      <w:pPr>
        <w:ind w:firstLine="686"/>
        <w:jc w:val="both"/>
        <w:rPr>
          <w:bCs/>
          <w:snapToGrid w:val="0"/>
          <w:szCs w:val="20"/>
        </w:rPr>
      </w:pPr>
      <w:r w:rsidRPr="0030309C">
        <w:rPr>
          <w:bCs/>
          <w:snapToGrid w:val="0"/>
          <w:szCs w:val="20"/>
        </w:rPr>
        <w:t>През отчетния период Европейската комисия преведе авансови средства в размер на 4,3 млн. лева.</w:t>
      </w:r>
    </w:p>
    <w:p w:rsidR="003619A0" w:rsidRPr="0030309C" w:rsidRDefault="003619A0" w:rsidP="003619A0">
      <w:pPr>
        <w:ind w:firstLine="686"/>
        <w:jc w:val="both"/>
        <w:rPr>
          <w:snapToGrid w:val="0"/>
          <w:szCs w:val="20"/>
        </w:rPr>
      </w:pPr>
      <w:r w:rsidRPr="0030309C">
        <w:rPr>
          <w:snapToGrid w:val="0"/>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7,3 млн. лв.,</w:t>
      </w:r>
      <w:r w:rsidRPr="0030309C">
        <w:t xml:space="preserve"> </w:t>
      </w:r>
      <w:r w:rsidRPr="0030309C">
        <w:rPr>
          <w:snapToGrid w:val="0"/>
        </w:rPr>
        <w:t>включително за плащания към бенефициенти в страната за сметка на финансиране от страната-партньор по тези програми.</w:t>
      </w:r>
    </w:p>
    <w:p w:rsidR="003619A0" w:rsidRPr="0030309C" w:rsidRDefault="003619A0" w:rsidP="003619A0">
      <w:pPr>
        <w:spacing w:before="120"/>
        <w:ind w:firstLine="686"/>
        <w:jc w:val="both"/>
        <w:rPr>
          <w:b/>
          <w:szCs w:val="20"/>
        </w:rPr>
      </w:pPr>
      <w:r w:rsidRPr="0030309C">
        <w:rPr>
          <w:b/>
          <w:szCs w:val="20"/>
        </w:rPr>
        <w:t xml:space="preserve">Финансов механизъм на Европейското икономическо пространство 2009-2014 г. и Норвежки финансов механизъм 2009-2014 г. </w:t>
      </w:r>
    </w:p>
    <w:p w:rsidR="003619A0" w:rsidRDefault="003619A0" w:rsidP="003619A0">
      <w:pPr>
        <w:ind w:firstLine="686"/>
        <w:jc w:val="both"/>
        <w:rPr>
          <w:snapToGrid w:val="0"/>
          <w:color w:val="0070C0"/>
          <w:szCs w:val="20"/>
        </w:rPr>
      </w:pPr>
      <w:r w:rsidRPr="00571884">
        <w:rPr>
          <w:snapToGrid w:val="0"/>
        </w:rPr>
        <w:t xml:space="preserve">Получените средства общо по </w:t>
      </w:r>
      <w:r>
        <w:rPr>
          <w:snapToGrid w:val="0"/>
        </w:rPr>
        <w:t>ЕИП и НФМ</w:t>
      </w:r>
      <w:r w:rsidRPr="00571884">
        <w:rPr>
          <w:snapToGrid w:val="0"/>
        </w:rPr>
        <w:t xml:space="preserve"> за периода са в размер на 8</w:t>
      </w:r>
      <w:r>
        <w:rPr>
          <w:snapToGrid w:val="0"/>
        </w:rPr>
        <w:t>,</w:t>
      </w:r>
      <w:r w:rsidRPr="00571884">
        <w:rPr>
          <w:snapToGrid w:val="0"/>
        </w:rPr>
        <w:t>6 млн. лева.</w:t>
      </w:r>
    </w:p>
    <w:p w:rsidR="003619A0" w:rsidRPr="006E057C" w:rsidRDefault="003619A0" w:rsidP="003619A0">
      <w:pPr>
        <w:ind w:firstLine="686"/>
        <w:jc w:val="both"/>
        <w:rPr>
          <w:snapToGrid w:val="0"/>
          <w:szCs w:val="20"/>
        </w:rPr>
      </w:pPr>
      <w:r w:rsidRPr="006E057C">
        <w:rPr>
          <w:snapToGrid w:val="0"/>
          <w:szCs w:val="20"/>
        </w:rPr>
        <w:t>Сумата на разходите и трансферите (нето) към 30.06.2017 г., които са направени по тези две програми са на обща стойност 26,1 млн. лв.</w:t>
      </w:r>
    </w:p>
    <w:p w:rsidR="003619A0" w:rsidRPr="006E057C" w:rsidRDefault="003619A0" w:rsidP="003619A0">
      <w:pPr>
        <w:ind w:firstLine="684"/>
        <w:jc w:val="both"/>
        <w:rPr>
          <w:rFonts w:eastAsia="Calibri"/>
        </w:rPr>
      </w:pPr>
      <w:r w:rsidRPr="006E057C">
        <w:rPr>
          <w:rFonts w:eastAsia="Calibri"/>
        </w:rPr>
        <w:t>За периода 01.</w:t>
      </w:r>
      <w:proofErr w:type="spellStart"/>
      <w:r w:rsidRPr="006E057C">
        <w:rPr>
          <w:rFonts w:eastAsia="Calibri"/>
        </w:rPr>
        <w:t>01</w:t>
      </w:r>
      <w:proofErr w:type="spellEnd"/>
      <w:r w:rsidRPr="006E057C">
        <w:rPr>
          <w:rFonts w:eastAsia="Calibri"/>
        </w:rPr>
        <w:t>.2017 г. – 30.06.2017 г. дирекция „Национален фонд“ е процедирала към ОФМ на ЕИП 13 бр. междинни финансови доклада с обща стойност на заявените (предложени за получаване) средства 10,8 млн. лева.</w:t>
      </w:r>
    </w:p>
    <w:p w:rsidR="003619A0" w:rsidRPr="006E057C" w:rsidRDefault="003619A0" w:rsidP="003619A0">
      <w:pPr>
        <w:spacing w:before="120"/>
        <w:ind w:firstLine="743"/>
        <w:jc w:val="both"/>
        <w:rPr>
          <w:b/>
          <w:szCs w:val="20"/>
        </w:rPr>
      </w:pPr>
      <w:r w:rsidRPr="006E057C">
        <w:rPr>
          <w:b/>
          <w:szCs w:val="20"/>
        </w:rPr>
        <w:t>Българо-швейцарска програма за сътрудничество за намаляване на икономическите и социални неравенства в рамките на разширения Европейски съюз</w:t>
      </w:r>
    </w:p>
    <w:p w:rsidR="003619A0" w:rsidRPr="006E057C" w:rsidRDefault="003619A0" w:rsidP="003619A0">
      <w:pPr>
        <w:ind w:firstLine="686"/>
        <w:jc w:val="both"/>
        <w:rPr>
          <w:snapToGrid w:val="0"/>
          <w:szCs w:val="20"/>
        </w:rPr>
      </w:pPr>
      <w:r w:rsidRPr="006E057C">
        <w:rPr>
          <w:snapToGrid w:val="0"/>
          <w:szCs w:val="20"/>
        </w:rPr>
        <w:t>Получените средства по програмата за периода са в размер на 0,1 млн. лева.</w:t>
      </w:r>
    </w:p>
    <w:p w:rsidR="003619A0" w:rsidRPr="006E057C" w:rsidRDefault="003619A0" w:rsidP="003619A0">
      <w:pPr>
        <w:ind w:firstLine="709"/>
        <w:jc w:val="both"/>
        <w:rPr>
          <w:bCs/>
          <w:lang w:val="en-US"/>
        </w:rPr>
      </w:pPr>
      <w:r w:rsidRPr="006E057C">
        <w:rPr>
          <w:bCs/>
        </w:rPr>
        <w:lastRenderedPageBreak/>
        <w:t>Извършените изходящи трансфери към бенефициенти-бюджетни организации от началото на годината са в размер на 0,2 млн. лв.</w:t>
      </w:r>
    </w:p>
    <w:p w:rsidR="0092459E" w:rsidRDefault="0092459E" w:rsidP="0092459E">
      <w:pPr>
        <w:pStyle w:val="Heading1"/>
        <w:numPr>
          <w:ilvl w:val="0"/>
          <w:numId w:val="10"/>
        </w:numPr>
        <w:spacing w:before="240" w:after="120"/>
        <w:ind w:right="-108"/>
        <w:jc w:val="both"/>
        <w:rPr>
          <w:sz w:val="24"/>
        </w:rPr>
      </w:pPr>
      <w:r>
        <w:rPr>
          <w:sz w:val="24"/>
        </w:rPr>
        <w:t>Бюджети на социално и здравно-осигурителните фондове и бюджети по чл. 13, ал. 2 и ал. 3 на Закона за публичните финанси</w:t>
      </w:r>
    </w:p>
    <w:p w:rsidR="00FD30B0" w:rsidRPr="006705D9" w:rsidRDefault="00FD30B0" w:rsidP="00FD30B0">
      <w:pPr>
        <w:pStyle w:val="Heading1"/>
        <w:numPr>
          <w:ilvl w:val="1"/>
          <w:numId w:val="10"/>
        </w:numPr>
        <w:spacing w:before="240" w:after="120"/>
        <w:ind w:left="788" w:right="-108" w:hanging="431"/>
        <w:jc w:val="both"/>
        <w:rPr>
          <w:sz w:val="24"/>
        </w:rPr>
      </w:pPr>
      <w:r w:rsidRPr="006705D9">
        <w:rPr>
          <w:sz w:val="24"/>
        </w:rPr>
        <w:t>Социално и здравно-осигурителни фондове</w:t>
      </w:r>
    </w:p>
    <w:p w:rsidR="006705D9" w:rsidRPr="00243394" w:rsidRDefault="006705D9" w:rsidP="006705D9">
      <w:pPr>
        <w:pStyle w:val="BodyText2"/>
        <w:numPr>
          <w:ilvl w:val="1"/>
          <w:numId w:val="6"/>
        </w:numPr>
        <w:tabs>
          <w:tab w:val="clear" w:pos="1440"/>
        </w:tabs>
        <w:spacing w:after="0" w:line="240" w:lineRule="auto"/>
        <w:ind w:left="851" w:firstLine="0"/>
        <w:jc w:val="both"/>
        <w:rPr>
          <w:b/>
          <w:bCs/>
        </w:rPr>
      </w:pPr>
      <w:r w:rsidRPr="00243394">
        <w:rPr>
          <w:b/>
        </w:rPr>
        <w:t>Държавно обществено осигуряване</w:t>
      </w:r>
    </w:p>
    <w:p w:rsidR="006705D9" w:rsidRPr="0092537A" w:rsidRDefault="006705D9" w:rsidP="006705D9">
      <w:pPr>
        <w:pStyle w:val="BodyText2"/>
        <w:spacing w:after="0" w:line="240" w:lineRule="auto"/>
        <w:jc w:val="both"/>
        <w:rPr>
          <w:b/>
          <w:color w:val="0070C0"/>
          <w:sz w:val="12"/>
          <w:szCs w:val="12"/>
        </w:rPr>
      </w:pPr>
    </w:p>
    <w:p w:rsidR="006705D9" w:rsidRPr="0092537A" w:rsidRDefault="006705D9" w:rsidP="006705D9">
      <w:pPr>
        <w:spacing w:after="120"/>
        <w:ind w:firstLine="567"/>
        <w:jc w:val="both"/>
        <w:rPr>
          <w:color w:val="0070C0"/>
        </w:rPr>
      </w:pPr>
      <w:r w:rsidRPr="00234EF6">
        <w:t xml:space="preserve">Общата сума на </w:t>
      </w:r>
      <w:r w:rsidRPr="00234EF6">
        <w:rPr>
          <w:b/>
        </w:rPr>
        <w:t>приходите и помощите</w:t>
      </w:r>
      <w:r w:rsidRPr="00234EF6">
        <w:t xml:space="preserve"> по бюджета на Държавното обществено осигуряване (ДОО) към 3</w:t>
      </w:r>
      <w:r w:rsidRPr="00234EF6">
        <w:rPr>
          <w:lang w:val="en-US"/>
        </w:rPr>
        <w:t>0</w:t>
      </w:r>
      <w:r w:rsidRPr="00234EF6">
        <w:t>.0</w:t>
      </w:r>
      <w:r w:rsidRPr="00234EF6">
        <w:rPr>
          <w:lang w:val="en-US"/>
        </w:rPr>
        <w:t>6</w:t>
      </w:r>
      <w:r w:rsidRPr="00234EF6">
        <w:t xml:space="preserve">.2017 г. възлиза на </w:t>
      </w:r>
      <w:r w:rsidRPr="00234EF6">
        <w:rPr>
          <w:lang w:val="en-US"/>
        </w:rPr>
        <w:t>2 904</w:t>
      </w:r>
      <w:r w:rsidRPr="00234EF6">
        <w:t>,</w:t>
      </w:r>
      <w:r w:rsidRPr="00234EF6">
        <w:rPr>
          <w:lang w:val="en-US"/>
        </w:rPr>
        <w:t>7</w:t>
      </w:r>
      <w:r w:rsidRPr="00234EF6">
        <w:t xml:space="preserve"> млн. лв., което представлява </w:t>
      </w:r>
      <w:r w:rsidRPr="00234EF6">
        <w:rPr>
          <w:lang w:val="en-US"/>
        </w:rPr>
        <w:t>51</w:t>
      </w:r>
      <w:r w:rsidRPr="00234EF6">
        <w:t>,</w:t>
      </w:r>
      <w:r w:rsidRPr="00234EF6">
        <w:rPr>
          <w:lang w:val="en-US"/>
        </w:rPr>
        <w:t>4</w:t>
      </w:r>
      <w:r w:rsidRPr="00234EF6">
        <w:t xml:space="preserve"> % от заложените в Закона за бюджета на държавното обществено осигуряване за 2017 г. (ЗБДОО) 5 652,0 млн. лева. Най-голям е делът на приходите от осигурителни вноски (97,</w:t>
      </w:r>
      <w:r w:rsidRPr="00234EF6">
        <w:rPr>
          <w:lang w:val="en-US"/>
        </w:rPr>
        <w:t>9</w:t>
      </w:r>
      <w:r w:rsidRPr="00234EF6">
        <w:t xml:space="preserve"> % от общите приходи), които за отчетния период са в размер на </w:t>
      </w:r>
      <w:r w:rsidRPr="00234EF6">
        <w:rPr>
          <w:lang w:val="en-US"/>
        </w:rPr>
        <w:t>2 842</w:t>
      </w:r>
      <w:r w:rsidRPr="00234EF6">
        <w:t>,</w:t>
      </w:r>
      <w:r w:rsidRPr="00234EF6">
        <w:rPr>
          <w:lang w:val="en-US"/>
        </w:rPr>
        <w:t>7</w:t>
      </w:r>
      <w:r w:rsidRPr="00234EF6">
        <w:t xml:space="preserve"> млн. лв., </w:t>
      </w:r>
      <w:r w:rsidRPr="00234EF6">
        <w:rPr>
          <w:lang w:val="en-US"/>
        </w:rPr>
        <w:t>50,6</w:t>
      </w:r>
      <w:r w:rsidRPr="00234EF6">
        <w:t xml:space="preserve"> % от заложените в ЗБДОО за 2017 година. </w:t>
      </w:r>
    </w:p>
    <w:p w:rsidR="006705D9" w:rsidRPr="00702993" w:rsidRDefault="006705D9" w:rsidP="006705D9">
      <w:pPr>
        <w:spacing w:after="120"/>
        <w:ind w:firstLine="567"/>
        <w:jc w:val="both"/>
        <w:rPr>
          <w:b/>
          <w:bCs/>
        </w:rPr>
      </w:pPr>
      <w:r w:rsidRPr="00702993">
        <w:t>Съпоставени с първото полугодие на 2016 г. приходите по бюджета на ДОО нарастват със 358,1 млн. лв. (14,1 %). Факторите, които оказват влияние върху състоянието на приходите през 2017 г. са следните:</w:t>
      </w:r>
    </w:p>
    <w:p w:rsidR="006705D9" w:rsidRPr="00702993" w:rsidRDefault="006705D9" w:rsidP="006705D9">
      <w:pPr>
        <w:numPr>
          <w:ilvl w:val="0"/>
          <w:numId w:val="21"/>
        </w:numPr>
        <w:tabs>
          <w:tab w:val="num" w:pos="1499"/>
          <w:tab w:val="num" w:pos="2148"/>
        </w:tabs>
        <w:spacing w:after="120"/>
        <w:ind w:firstLine="567"/>
        <w:jc w:val="both"/>
      </w:pPr>
      <w:r w:rsidRPr="00702993">
        <w:t>увеличение на осигурителната вноска за фонд „Пенсии” с един процентен пункт от 1 януари 2017 г. – на 18,8 на сто за родените преди 1 януари 1960 г. и на 13,8 на сто за лицата родени след 31 декември 1959 г.;</w:t>
      </w:r>
    </w:p>
    <w:p w:rsidR="006705D9" w:rsidRPr="00702993" w:rsidRDefault="006705D9" w:rsidP="006705D9">
      <w:pPr>
        <w:numPr>
          <w:ilvl w:val="0"/>
          <w:numId w:val="21"/>
        </w:numPr>
        <w:tabs>
          <w:tab w:val="num" w:pos="1499"/>
          <w:tab w:val="num" w:pos="2148"/>
        </w:tabs>
        <w:spacing w:after="120"/>
        <w:ind w:firstLine="567"/>
        <w:jc w:val="both"/>
      </w:pPr>
      <w:r w:rsidRPr="00702993">
        <w:t>увеличени</w:t>
      </w:r>
      <w:r w:rsidR="004E7034">
        <w:t>е на</w:t>
      </w:r>
      <w:r w:rsidRPr="00702993">
        <w:t xml:space="preserve"> размер</w:t>
      </w:r>
      <w:r w:rsidR="004E7034">
        <w:t>а</w:t>
      </w:r>
      <w:r w:rsidRPr="00702993">
        <w:t xml:space="preserve"> на осигурителната вноска за фонд „Пенсии за лицата по чл. 69“ с 20 процентни пункта – на </w:t>
      </w:r>
      <w:r w:rsidRPr="00702993">
        <w:rPr>
          <w:lang w:val="ru-RU"/>
        </w:rPr>
        <w:t>60</w:t>
      </w:r>
      <w:r w:rsidRPr="00702993">
        <w:t xml:space="preserve">,8 на сто за родените преди 1 януари 1960 г., и на </w:t>
      </w:r>
      <w:r w:rsidRPr="00702993">
        <w:rPr>
          <w:lang w:val="ru-RU"/>
        </w:rPr>
        <w:t>55</w:t>
      </w:r>
      <w:r w:rsidRPr="00702993">
        <w:t>,8 на сто за лицата родени след 31 декември 1959 г.;</w:t>
      </w:r>
    </w:p>
    <w:p w:rsidR="006705D9" w:rsidRPr="00702993" w:rsidRDefault="006705D9" w:rsidP="006705D9">
      <w:pPr>
        <w:numPr>
          <w:ilvl w:val="0"/>
          <w:numId w:val="21"/>
        </w:numPr>
        <w:tabs>
          <w:tab w:val="num" w:pos="1499"/>
          <w:tab w:val="num" w:pos="2148"/>
        </w:tabs>
        <w:spacing w:after="120"/>
        <w:ind w:firstLine="567"/>
        <w:jc w:val="both"/>
      </w:pPr>
      <w:r w:rsidRPr="00702993">
        <w:t>нарастване на минималните осигурителни прагове по основните икономически дейности и групи професии средно с 2</w:t>
      </w:r>
      <w:r w:rsidR="004E7034">
        <w:t>,</w:t>
      </w:r>
      <w:r w:rsidRPr="00702993">
        <w:t>6 % за 2017 г. в сравнение с 2016 г. Най-ниският минимален осигурителен доход е 460 лв.</w:t>
      </w:r>
      <w:r w:rsidR="004E7034">
        <w:t xml:space="preserve"> -</w:t>
      </w:r>
      <w:r w:rsidRPr="00702993">
        <w:t xml:space="preserve"> размерът на минималната работна заплата от началото на 2017 г.</w:t>
      </w:r>
    </w:p>
    <w:p w:rsidR="006705D9" w:rsidRPr="00B31F1B" w:rsidRDefault="006705D9" w:rsidP="006705D9">
      <w:pPr>
        <w:spacing w:after="120"/>
        <w:ind w:firstLine="567"/>
        <w:jc w:val="both"/>
        <w:rPr>
          <w:bCs/>
        </w:rPr>
      </w:pPr>
      <w:r w:rsidRPr="00C73576">
        <w:rPr>
          <w:bCs/>
        </w:rPr>
        <w:t>Отчетените не</w:t>
      </w:r>
      <w:r>
        <w:rPr>
          <w:bCs/>
        </w:rPr>
        <w:t>данъчни приходи към края на юни</w:t>
      </w:r>
      <w:r w:rsidRPr="00C73576">
        <w:rPr>
          <w:bCs/>
        </w:rPr>
        <w:t xml:space="preserve"> 2017 г. по бюджета на ДОО възлизат на 62,0 млн. лв., </w:t>
      </w:r>
      <w:r w:rsidRPr="00B31F1B">
        <w:rPr>
          <w:bCs/>
        </w:rPr>
        <w:t>в т.ч. 43,1 млн. лв. постъпили средства от п</w:t>
      </w:r>
      <w:r w:rsidRPr="00B31F1B">
        <w:t xml:space="preserve">рехвърлени </w:t>
      </w:r>
      <w:r w:rsidRPr="00B31F1B">
        <w:rPr>
          <w:lang w:val="en-US"/>
        </w:rPr>
        <w:t>(</w:t>
      </w:r>
      <w:r w:rsidRPr="00B31F1B">
        <w:t>възстановени</w:t>
      </w:r>
      <w:r w:rsidRPr="00B31F1B">
        <w:rPr>
          <w:lang w:val="en-US"/>
        </w:rPr>
        <w:t>)</w:t>
      </w:r>
      <w:r w:rsidRPr="00B31F1B">
        <w:t xml:space="preserve"> акумулирани средства от осигурителни вноски.</w:t>
      </w:r>
      <w:r w:rsidRPr="00B31F1B">
        <w:rPr>
          <w:bCs/>
        </w:rPr>
        <w:t xml:space="preserve"> </w:t>
      </w:r>
    </w:p>
    <w:p w:rsidR="006705D9" w:rsidRPr="007D5E20" w:rsidRDefault="006705D9" w:rsidP="006705D9">
      <w:pPr>
        <w:tabs>
          <w:tab w:val="num" w:pos="1499"/>
          <w:tab w:val="num" w:pos="2148"/>
        </w:tabs>
        <w:spacing w:after="120"/>
        <w:ind w:firstLine="567"/>
        <w:jc w:val="both"/>
      </w:pPr>
      <w:r w:rsidRPr="00B31F1B">
        <w:rPr>
          <w:bCs/>
        </w:rPr>
        <w:t xml:space="preserve">Размерът на извършените </w:t>
      </w:r>
      <w:r w:rsidRPr="00B31F1B">
        <w:rPr>
          <w:b/>
          <w:bCs/>
        </w:rPr>
        <w:t xml:space="preserve">разходи </w:t>
      </w:r>
      <w:r w:rsidR="00294022">
        <w:rPr>
          <w:bCs/>
        </w:rPr>
        <w:t>за първото полугодие</w:t>
      </w:r>
      <w:r w:rsidRPr="00B31F1B">
        <w:rPr>
          <w:bCs/>
        </w:rPr>
        <w:t xml:space="preserve"> на 2017 г. по бюджета на ДОО е 5 129,7 млн. лв., което представлява 49,5 % от предвидените  в ЗБДОО за 2017 г. средства. Спрямо същия период на миналата година, общо разходите по бюджета на ДОО са със 132,3 млн. лв. (2,6 %) повече. От структурна гледна точка с най-голям относителен дял в общите разходи са разходите за пенсии и обезщетенията и помощите изплащани на основание Кодекса за социално осигуряване – общо 5 102,7 млн. лв., или 99,5 % от общия размер на разходите за отчетния период. Отчетените разходи за </w:t>
      </w:r>
      <w:r w:rsidRPr="00B31F1B">
        <w:rPr>
          <w:b/>
          <w:bCs/>
        </w:rPr>
        <w:t>пенсии</w:t>
      </w:r>
      <w:r w:rsidRPr="00B31F1B">
        <w:rPr>
          <w:bCs/>
        </w:rPr>
        <w:t xml:space="preserve"> по бюджета на ДОО към 30.06.2017 г. възлизат на 4 411,2 млн. лв., </w:t>
      </w:r>
      <w:r w:rsidRPr="007D5E20">
        <w:rPr>
          <w:bCs/>
        </w:rPr>
        <w:t>което е с</w:t>
      </w:r>
      <w:r w:rsidR="00D25588">
        <w:rPr>
          <w:bCs/>
        </w:rPr>
        <w:t>ъс</w:t>
      </w:r>
      <w:r w:rsidRPr="007D5E20">
        <w:rPr>
          <w:bCs/>
        </w:rPr>
        <w:t xml:space="preserve"> 108,3 млн. лв. повече спрямо първото полугодие на 2016 г. </w:t>
      </w:r>
      <w:r w:rsidRPr="007D5E20">
        <w:t xml:space="preserve">Отчетените разходи за </w:t>
      </w:r>
      <w:r w:rsidRPr="007D5E20">
        <w:rPr>
          <w:b/>
        </w:rPr>
        <w:t>краткосрочни обезщетения и помощи по КСО</w:t>
      </w:r>
      <w:r w:rsidRPr="007D5E20">
        <w:t xml:space="preserve"> са в размер на 691,5 млн. лева. Спрямо същия период на миналата година изплатените обезщетения по КСО са с 45,8 млн. лв. (7,1 %) повече.</w:t>
      </w:r>
    </w:p>
    <w:p w:rsidR="006705D9" w:rsidRPr="005949EB" w:rsidRDefault="006705D9" w:rsidP="006705D9">
      <w:pPr>
        <w:numPr>
          <w:ilvl w:val="1"/>
          <w:numId w:val="6"/>
        </w:numPr>
        <w:spacing w:after="120"/>
        <w:jc w:val="both"/>
        <w:rPr>
          <w:b/>
          <w:bCs/>
        </w:rPr>
      </w:pPr>
      <w:r w:rsidRPr="005949EB">
        <w:rPr>
          <w:b/>
          <w:bCs/>
        </w:rPr>
        <w:t>Национална здравноосигурителна каса</w:t>
      </w:r>
    </w:p>
    <w:p w:rsidR="006705D9" w:rsidRPr="00240797" w:rsidRDefault="006705D9" w:rsidP="006705D9">
      <w:pPr>
        <w:pStyle w:val="BodyText"/>
        <w:spacing w:after="120"/>
        <w:ind w:firstLine="567"/>
      </w:pPr>
      <w:r w:rsidRPr="005949EB">
        <w:t xml:space="preserve">Общият размер на събраните приходи по бюджета на НЗОК за първото полугодие на 2017 г. възлиза на 1 174,1 млн. лв., което представлява 51,2 % от предвидените със Закона за бюджета на НЗОК (ЗБНЗОК) за 2017 г. – 2 294,7 млн. лева. </w:t>
      </w:r>
      <w:r w:rsidRPr="00240797">
        <w:t xml:space="preserve">Постъпленията от здравноосигурителни вноски са в размер на 1 164,9 млн. лв., 51,1 % изпълнение на утвърдените със ЗБНЗОК за 2017 г. средства в размер на 2 279,7 млн. лева. Събраните неданъчни приходи за първото полугодие на 2017 г. са 9,2 млн. лв., 61,5 % от заложените в ЗБНЗОК за 2017 г., като основната част от тях са приходи от глоби и санкции. </w:t>
      </w:r>
    </w:p>
    <w:p w:rsidR="006705D9" w:rsidRPr="00240797" w:rsidRDefault="006705D9" w:rsidP="006705D9">
      <w:pPr>
        <w:pStyle w:val="BodyText"/>
        <w:spacing w:after="120"/>
        <w:ind w:firstLine="567"/>
      </w:pPr>
      <w:r w:rsidRPr="00240797">
        <w:lastRenderedPageBreak/>
        <w:t xml:space="preserve">Полученият трансфер от МЗ за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w:t>
      </w:r>
      <w:proofErr w:type="spellStart"/>
      <w:r w:rsidRPr="00240797">
        <w:t>здравнонеосигурени</w:t>
      </w:r>
      <w:proofErr w:type="spellEnd"/>
      <w:r w:rsidRPr="00240797">
        <w:t xml:space="preserve">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и за сумите по чл. 37, ал. 6 от Закона за здравното осигуряване е в размер на 13,4 млн. лв., което представлява 55,8 % от заложените със ЗБНЗОК за 2017 г. средства в размер на 24,0 млн. лева. </w:t>
      </w:r>
    </w:p>
    <w:p w:rsidR="006705D9" w:rsidRPr="00141DD0" w:rsidRDefault="006705D9" w:rsidP="006705D9">
      <w:pPr>
        <w:pStyle w:val="BodyText"/>
        <w:ind w:firstLine="567"/>
      </w:pPr>
      <w:r w:rsidRPr="0029074D">
        <w:t>Отчетените разходи към 30.06.</w:t>
      </w:r>
      <w:r w:rsidR="00550ED7">
        <w:t>2017 г. са в размер на 1 770,9</w:t>
      </w:r>
      <w:r w:rsidRPr="0029074D">
        <w:t xml:space="preserve"> млн. лв. и представляват 51,4 % от предвидените в ЗБНЗОК за 2017 г. 3 448,8 млн. лева. Най-голям относителен дял (98,0 %) заемат здравноосигурителните плащания, които възлизат на 1</w:t>
      </w:r>
      <w:r w:rsidR="008D520B">
        <w:t xml:space="preserve"> </w:t>
      </w:r>
      <w:r w:rsidRPr="0029074D">
        <w:t xml:space="preserve">735,0 млн. лева. В отделните направления на здравноосигурителни плащания, изпълнението на бюджета по </w:t>
      </w:r>
      <w:r w:rsidRPr="00141DD0">
        <w:t>предварителни данни за първото полугодие на 2017 г. е следното:</w:t>
      </w:r>
    </w:p>
    <w:p w:rsidR="006705D9" w:rsidRPr="00141DD0" w:rsidRDefault="006705D9" w:rsidP="006705D9">
      <w:pPr>
        <w:pStyle w:val="BodyText2"/>
        <w:numPr>
          <w:ilvl w:val="0"/>
          <w:numId w:val="18"/>
        </w:numPr>
        <w:tabs>
          <w:tab w:val="num" w:pos="0"/>
          <w:tab w:val="left" w:pos="720"/>
          <w:tab w:val="left" w:pos="1134"/>
        </w:tabs>
        <w:spacing w:after="0" w:line="240" w:lineRule="auto"/>
        <w:ind w:left="0" w:firstLine="709"/>
        <w:jc w:val="both"/>
        <w:rPr>
          <w:bCs/>
        </w:rPr>
      </w:pPr>
      <w:r w:rsidRPr="00141DD0">
        <w:rPr>
          <w:b/>
          <w:i/>
        </w:rPr>
        <w:t xml:space="preserve">Първична </w:t>
      </w:r>
      <w:proofErr w:type="spellStart"/>
      <w:r w:rsidRPr="00141DD0">
        <w:rPr>
          <w:b/>
          <w:i/>
        </w:rPr>
        <w:t>извънболнична</w:t>
      </w:r>
      <w:proofErr w:type="spellEnd"/>
      <w:r w:rsidRPr="00141DD0">
        <w:rPr>
          <w:b/>
          <w:i/>
        </w:rPr>
        <w:t xml:space="preserve"> медицинска помощ</w:t>
      </w:r>
      <w:r w:rsidRPr="00141DD0">
        <w:rPr>
          <w:i/>
        </w:rPr>
        <w:t xml:space="preserve"> –</w:t>
      </w:r>
      <w:r w:rsidRPr="00141DD0">
        <w:t xml:space="preserve"> 97,5 млн. лева;</w:t>
      </w:r>
      <w:r w:rsidRPr="00141DD0">
        <w:rPr>
          <w:bCs/>
        </w:rPr>
        <w:t xml:space="preserve"> </w:t>
      </w:r>
    </w:p>
    <w:p w:rsidR="006705D9" w:rsidRPr="00141DD0" w:rsidRDefault="006705D9" w:rsidP="006705D9">
      <w:pPr>
        <w:pStyle w:val="BodyText2"/>
        <w:numPr>
          <w:ilvl w:val="0"/>
          <w:numId w:val="18"/>
        </w:numPr>
        <w:tabs>
          <w:tab w:val="num" w:pos="0"/>
          <w:tab w:val="left" w:pos="720"/>
          <w:tab w:val="left" w:pos="1134"/>
        </w:tabs>
        <w:spacing w:after="0" w:line="240" w:lineRule="auto"/>
        <w:ind w:left="0" w:firstLine="709"/>
        <w:jc w:val="both"/>
        <w:rPr>
          <w:i/>
        </w:rPr>
      </w:pPr>
      <w:r w:rsidRPr="00141DD0">
        <w:rPr>
          <w:b/>
          <w:i/>
        </w:rPr>
        <w:t xml:space="preserve">Специализирана </w:t>
      </w:r>
      <w:proofErr w:type="spellStart"/>
      <w:r w:rsidRPr="00141DD0">
        <w:rPr>
          <w:b/>
          <w:i/>
        </w:rPr>
        <w:t>извънболнична</w:t>
      </w:r>
      <w:proofErr w:type="spellEnd"/>
      <w:r w:rsidRPr="00141DD0">
        <w:rPr>
          <w:b/>
          <w:i/>
        </w:rPr>
        <w:t xml:space="preserve"> медицинска помощ </w:t>
      </w:r>
      <w:r w:rsidRPr="00141DD0">
        <w:t>– 104,3 млн. лева;</w:t>
      </w:r>
    </w:p>
    <w:p w:rsidR="006705D9" w:rsidRPr="00141DD0" w:rsidRDefault="006705D9" w:rsidP="006705D9">
      <w:pPr>
        <w:pStyle w:val="BodyText2"/>
        <w:numPr>
          <w:ilvl w:val="0"/>
          <w:numId w:val="18"/>
        </w:numPr>
        <w:tabs>
          <w:tab w:val="num" w:pos="0"/>
          <w:tab w:val="left" w:pos="720"/>
          <w:tab w:val="left" w:pos="1134"/>
        </w:tabs>
        <w:spacing w:after="0" w:line="240" w:lineRule="auto"/>
        <w:ind w:left="0" w:firstLine="709"/>
        <w:jc w:val="both"/>
        <w:rPr>
          <w:b/>
        </w:rPr>
      </w:pPr>
      <w:proofErr w:type="spellStart"/>
      <w:r w:rsidRPr="00141DD0">
        <w:rPr>
          <w:b/>
          <w:i/>
        </w:rPr>
        <w:t>Дентална</w:t>
      </w:r>
      <w:proofErr w:type="spellEnd"/>
      <w:r w:rsidRPr="00141DD0">
        <w:rPr>
          <w:b/>
          <w:i/>
        </w:rPr>
        <w:t xml:space="preserve"> помощ – </w:t>
      </w:r>
      <w:r w:rsidRPr="00141DD0">
        <w:t>95,0 млн. лева;</w:t>
      </w:r>
    </w:p>
    <w:p w:rsidR="006705D9" w:rsidRPr="00141DD0" w:rsidRDefault="006705D9" w:rsidP="006705D9">
      <w:pPr>
        <w:pStyle w:val="BodyText2"/>
        <w:numPr>
          <w:ilvl w:val="0"/>
          <w:numId w:val="18"/>
        </w:numPr>
        <w:tabs>
          <w:tab w:val="num" w:pos="0"/>
          <w:tab w:val="left" w:pos="720"/>
          <w:tab w:val="left" w:pos="1134"/>
        </w:tabs>
        <w:spacing w:after="0" w:line="240" w:lineRule="auto"/>
        <w:ind w:left="0" w:firstLine="709"/>
        <w:jc w:val="both"/>
        <w:rPr>
          <w:b/>
          <w:i/>
        </w:rPr>
      </w:pPr>
      <w:r w:rsidRPr="00141DD0">
        <w:rPr>
          <w:b/>
          <w:i/>
        </w:rPr>
        <w:t xml:space="preserve">Медико-диагностична дейност – </w:t>
      </w:r>
      <w:r w:rsidRPr="00141DD0">
        <w:t>36,3 млн. лева;</w:t>
      </w:r>
      <w:r w:rsidRPr="00141DD0">
        <w:rPr>
          <w:b/>
          <w:i/>
        </w:rPr>
        <w:t xml:space="preserve"> </w:t>
      </w:r>
    </w:p>
    <w:p w:rsidR="006705D9" w:rsidRPr="00141DD0" w:rsidRDefault="006705D9" w:rsidP="006705D9">
      <w:pPr>
        <w:pStyle w:val="BodyText2"/>
        <w:numPr>
          <w:ilvl w:val="0"/>
          <w:numId w:val="18"/>
        </w:numPr>
        <w:tabs>
          <w:tab w:val="num" w:pos="0"/>
          <w:tab w:val="left" w:pos="720"/>
          <w:tab w:val="left" w:pos="1134"/>
        </w:tabs>
        <w:spacing w:after="0" w:line="240" w:lineRule="auto"/>
        <w:ind w:left="0" w:firstLine="709"/>
        <w:jc w:val="both"/>
      </w:pPr>
      <w:r w:rsidRPr="00141DD0">
        <w:rPr>
          <w:b/>
          <w:i/>
        </w:rPr>
        <w:t xml:space="preserve">Лекарствени продукти, медицински изделия и диетични храни за специални медицински цели за домашно лечение на територията на страната и за лекарствени продукти за лечение на злокачествени заболявания в условията на болнична медицинска помощ </w:t>
      </w:r>
      <w:r w:rsidRPr="00141DD0">
        <w:t xml:space="preserve">– 537,7 млн. лв., в т.ч. </w:t>
      </w:r>
    </w:p>
    <w:p w:rsidR="006705D9" w:rsidRPr="00141DD0" w:rsidRDefault="006705D9" w:rsidP="006705D9">
      <w:pPr>
        <w:numPr>
          <w:ilvl w:val="0"/>
          <w:numId w:val="29"/>
        </w:numPr>
        <w:tabs>
          <w:tab w:val="right" w:pos="1134"/>
        </w:tabs>
        <w:spacing w:after="120"/>
        <w:ind w:left="1134" w:hanging="425"/>
        <w:jc w:val="both"/>
      </w:pPr>
      <w:r w:rsidRPr="00141DD0">
        <w:t xml:space="preserve">за лекарствени продукти, медицински изделия и диетични храни за специални медицински цели, за домашно лечение на територията на страната – 406,7 млн. лв.; </w:t>
      </w:r>
    </w:p>
    <w:p w:rsidR="006705D9" w:rsidRPr="00141DD0" w:rsidRDefault="006705D9" w:rsidP="006705D9">
      <w:pPr>
        <w:numPr>
          <w:ilvl w:val="0"/>
          <w:numId w:val="29"/>
        </w:numPr>
        <w:tabs>
          <w:tab w:val="right" w:pos="1134"/>
        </w:tabs>
        <w:spacing w:after="120"/>
        <w:ind w:left="1134" w:hanging="425"/>
        <w:jc w:val="both"/>
      </w:pPr>
      <w:r w:rsidRPr="00141DD0">
        <w:t>за лекарствени продукти за лечение на злокачествени заболявания в условията на болнична медицинска помощ – 131,0 млн. лв.</w:t>
      </w:r>
    </w:p>
    <w:p w:rsidR="006705D9" w:rsidRPr="00141DD0" w:rsidRDefault="006705D9" w:rsidP="006705D9">
      <w:pPr>
        <w:pStyle w:val="BodyText2"/>
        <w:numPr>
          <w:ilvl w:val="0"/>
          <w:numId w:val="18"/>
        </w:numPr>
        <w:tabs>
          <w:tab w:val="num" w:pos="0"/>
          <w:tab w:val="left" w:pos="720"/>
          <w:tab w:val="left" w:pos="1134"/>
        </w:tabs>
        <w:spacing w:after="0" w:line="240" w:lineRule="auto"/>
        <w:ind w:left="0" w:firstLine="709"/>
        <w:jc w:val="both"/>
      </w:pPr>
      <w:r w:rsidRPr="00141DD0">
        <w:rPr>
          <w:b/>
          <w:i/>
        </w:rPr>
        <w:t>Медицински изделия, прилагани в болничната медицинска помощ –</w:t>
      </w:r>
      <w:r w:rsidRPr="00141DD0">
        <w:t xml:space="preserve"> 45,5 млн. лева;</w:t>
      </w:r>
    </w:p>
    <w:p w:rsidR="006705D9" w:rsidRPr="00141DD0" w:rsidRDefault="006705D9" w:rsidP="006705D9">
      <w:pPr>
        <w:pStyle w:val="BodyText2"/>
        <w:numPr>
          <w:ilvl w:val="0"/>
          <w:numId w:val="18"/>
        </w:numPr>
        <w:tabs>
          <w:tab w:val="num" w:pos="0"/>
          <w:tab w:val="left" w:pos="720"/>
          <w:tab w:val="left" w:pos="1134"/>
        </w:tabs>
        <w:spacing w:after="0" w:line="240" w:lineRule="auto"/>
        <w:ind w:left="0" w:firstLine="709"/>
        <w:jc w:val="both"/>
      </w:pPr>
      <w:r w:rsidRPr="00141DD0">
        <w:rPr>
          <w:b/>
          <w:i/>
        </w:rPr>
        <w:t>Болнична медицинска помощ –</w:t>
      </w:r>
      <w:r w:rsidRPr="00141DD0">
        <w:t xml:space="preserve"> 793,8 млн. лева.</w:t>
      </w:r>
      <w:r w:rsidRPr="00141DD0">
        <w:tab/>
        <w:t xml:space="preserve"> </w:t>
      </w:r>
    </w:p>
    <w:p w:rsidR="006705D9" w:rsidRPr="00141DD0" w:rsidRDefault="006705D9" w:rsidP="006705D9">
      <w:pPr>
        <w:pStyle w:val="BodyText2"/>
        <w:numPr>
          <w:ilvl w:val="0"/>
          <w:numId w:val="18"/>
        </w:numPr>
        <w:tabs>
          <w:tab w:val="num" w:pos="0"/>
          <w:tab w:val="left" w:pos="720"/>
          <w:tab w:val="left" w:pos="1134"/>
        </w:tabs>
        <w:spacing w:line="240" w:lineRule="auto"/>
        <w:ind w:left="0" w:firstLine="709"/>
        <w:jc w:val="both"/>
      </w:pPr>
      <w:r w:rsidRPr="00141DD0">
        <w:rPr>
          <w:b/>
          <w:i/>
        </w:rPr>
        <w:t xml:space="preserve">Други здравноосигурителни плащания – </w:t>
      </w:r>
      <w:r w:rsidRPr="00141DD0">
        <w:t>24,7 млн. лева.</w:t>
      </w:r>
    </w:p>
    <w:p w:rsidR="006705D9" w:rsidRPr="00141DD0" w:rsidRDefault="006705D9" w:rsidP="006705D9">
      <w:pPr>
        <w:pStyle w:val="BodyText"/>
        <w:spacing w:after="120"/>
        <w:ind w:firstLine="567"/>
      </w:pPr>
      <w:r w:rsidRPr="00141DD0">
        <w:t>Като здравноосигурителни плащания следва да се третират  и  преведените 40,1 млн. лв. трансфери по договори за извършване на медицински услуги за болнична помощ към бюджетни предприятия, в структурата на които има болници по чл. 5 от Закона за лечебните заведения. Реално усвоените средства за болнична помощ, вкл. трансферите възлизат на 1 775,0 млн. лева.</w:t>
      </w:r>
    </w:p>
    <w:p w:rsidR="006705D9" w:rsidRPr="000874C8" w:rsidRDefault="006705D9" w:rsidP="006705D9">
      <w:pPr>
        <w:pStyle w:val="BodyText"/>
        <w:spacing w:after="120"/>
        <w:ind w:firstLine="567"/>
      </w:pPr>
      <w:r w:rsidRPr="000874C8">
        <w:t xml:space="preserve">За периода са отчетени плащания в размер на 13,1 млн. лв. от предоставения трансфер  от Министерството на здравеопазването за дейности за </w:t>
      </w:r>
      <w:proofErr w:type="spellStart"/>
      <w:r w:rsidRPr="000874C8">
        <w:t>здравнонеосигурени</w:t>
      </w:r>
      <w:proofErr w:type="spellEnd"/>
      <w:r w:rsidRPr="000874C8">
        <w:t xml:space="preserve"> лица, лекарствени продукти и за потребителска такса.</w:t>
      </w:r>
    </w:p>
    <w:p w:rsidR="006705D9" w:rsidRPr="000874C8" w:rsidRDefault="006705D9" w:rsidP="006705D9">
      <w:pPr>
        <w:pStyle w:val="BodyText"/>
        <w:spacing w:after="120"/>
        <w:ind w:firstLine="567"/>
      </w:pPr>
      <w:r w:rsidRPr="000874C8">
        <w:t>По бюджета на НЗОК за 2017 година са утвърдени 45,4 млн. лв. за административни разходи на институцията, които включват разходите за персонал и за текуща издръжка. За първото полугодие са отчетени 21,3 млн. лв., което представлява 47,0 % от годишния разчет. Усвоените средства за административни разходи заемат 1,2 на сто в структурата на общите разходи за отчетния период.</w:t>
      </w:r>
    </w:p>
    <w:p w:rsidR="0092459E" w:rsidRPr="00BB66F8" w:rsidRDefault="0092459E" w:rsidP="0092459E">
      <w:pPr>
        <w:pStyle w:val="Heading1"/>
        <w:numPr>
          <w:ilvl w:val="1"/>
          <w:numId w:val="10"/>
        </w:numPr>
        <w:spacing w:after="120"/>
        <w:ind w:left="788" w:right="-108" w:hanging="431"/>
        <w:jc w:val="both"/>
        <w:rPr>
          <w:sz w:val="24"/>
        </w:rPr>
      </w:pPr>
      <w:r w:rsidRPr="00BB66F8">
        <w:rPr>
          <w:sz w:val="24"/>
        </w:rPr>
        <w:t>Общински бюджети</w:t>
      </w:r>
    </w:p>
    <w:p w:rsidR="0092459E" w:rsidRPr="00BB66F8" w:rsidRDefault="0092459E" w:rsidP="0092459E">
      <w:pPr>
        <w:numPr>
          <w:ilvl w:val="0"/>
          <w:numId w:val="8"/>
        </w:numPr>
        <w:tabs>
          <w:tab w:val="num" w:pos="540"/>
        </w:tabs>
        <w:spacing w:before="120" w:after="120" w:line="276" w:lineRule="auto"/>
        <w:ind w:left="714" w:hanging="357"/>
        <w:jc w:val="both"/>
        <w:rPr>
          <w:b/>
        </w:rPr>
      </w:pPr>
      <w:r w:rsidRPr="00BB66F8">
        <w:rPr>
          <w:b/>
        </w:rPr>
        <w:t>Приходи</w:t>
      </w:r>
    </w:p>
    <w:p w:rsidR="00BB66F8" w:rsidRPr="0092537A" w:rsidRDefault="00BB66F8" w:rsidP="00BB66F8">
      <w:pPr>
        <w:ind w:firstLine="360"/>
        <w:jc w:val="both"/>
        <w:rPr>
          <w:b/>
          <w:color w:val="0070C0"/>
        </w:rPr>
      </w:pPr>
      <w:r w:rsidRPr="003937CA">
        <w:t>Собствените приходи по бюджетите на общините към 30.06.201</w:t>
      </w:r>
      <w:r w:rsidRPr="003937CA">
        <w:rPr>
          <w:lang w:val="en-US"/>
        </w:rPr>
        <w:t>7</w:t>
      </w:r>
      <w:r w:rsidRPr="003937CA">
        <w:t xml:space="preserve"> г. са в размер на </w:t>
      </w:r>
      <w:r w:rsidRPr="003937CA">
        <w:rPr>
          <w:bCs/>
        </w:rPr>
        <w:t>1</w:t>
      </w:r>
      <w:r>
        <w:rPr>
          <w:bCs/>
        </w:rPr>
        <w:t xml:space="preserve"> </w:t>
      </w:r>
      <w:r w:rsidRPr="003937CA">
        <w:rPr>
          <w:bCs/>
        </w:rPr>
        <w:t>232</w:t>
      </w:r>
      <w:r w:rsidRPr="003937CA">
        <w:rPr>
          <w:bCs/>
          <w:lang w:val="en-US"/>
        </w:rPr>
        <w:t>,</w:t>
      </w:r>
      <w:r w:rsidRPr="003937CA">
        <w:rPr>
          <w:bCs/>
        </w:rPr>
        <w:t>8 м</w:t>
      </w:r>
      <w:r w:rsidRPr="003937CA">
        <w:t>лн. лв., което представлява 58</w:t>
      </w:r>
      <w:r w:rsidRPr="003937CA">
        <w:rPr>
          <w:lang w:val="en-US"/>
        </w:rPr>
        <w:t>,</w:t>
      </w:r>
      <w:r w:rsidRPr="003937CA">
        <w:t>5 % от разчетените към ЗДБРБ за 201</w:t>
      </w:r>
      <w:r w:rsidRPr="003937CA">
        <w:rPr>
          <w:lang w:val="en-US"/>
        </w:rPr>
        <w:t>7</w:t>
      </w:r>
      <w:r w:rsidRPr="003937CA">
        <w:t xml:space="preserve"> г. постъпления в размер на </w:t>
      </w:r>
      <w:r w:rsidRPr="003937CA">
        <w:rPr>
          <w:bCs/>
        </w:rPr>
        <w:t>2 106</w:t>
      </w:r>
      <w:r w:rsidRPr="003937CA">
        <w:rPr>
          <w:bCs/>
          <w:lang w:val="en-US"/>
        </w:rPr>
        <w:t>,</w:t>
      </w:r>
      <w:r w:rsidRPr="003937CA">
        <w:rPr>
          <w:bCs/>
        </w:rPr>
        <w:t>5</w:t>
      </w:r>
      <w:r w:rsidRPr="003937CA">
        <w:t xml:space="preserve"> млн. лева. </w:t>
      </w:r>
      <w:r w:rsidRPr="003077E1">
        <w:t xml:space="preserve">Съпоставени с първото полугодие на 2016 г. приходите нарастват с 5,0 % </w:t>
      </w:r>
      <w:r w:rsidRPr="003077E1">
        <w:rPr>
          <w:lang w:val="en-US"/>
        </w:rPr>
        <w:t>(</w:t>
      </w:r>
      <w:r w:rsidRPr="003077E1">
        <w:t>58,4 млн. лв.</w:t>
      </w:r>
      <w:r w:rsidRPr="003077E1">
        <w:rPr>
          <w:lang w:val="en-US"/>
        </w:rPr>
        <w:t>)</w:t>
      </w:r>
      <w:r w:rsidRPr="003077E1">
        <w:t>.</w:t>
      </w:r>
      <w:r w:rsidRPr="0092537A">
        <w:rPr>
          <w:color w:val="0070C0"/>
        </w:rPr>
        <w:t xml:space="preserve"> </w:t>
      </w:r>
      <w:r w:rsidRPr="00196711">
        <w:rPr>
          <w:i/>
        </w:rPr>
        <w:t>Данъчните приходи</w:t>
      </w:r>
      <w:r w:rsidRPr="00196711">
        <w:t xml:space="preserve"> по общинските бюджети са в размер на 538,3 млн. лв. или 61,2 % от годишните разчети към ЗДБРБ за 2017 г. и нарастват с 6,4 % </w:t>
      </w:r>
      <w:r w:rsidRPr="00196711">
        <w:rPr>
          <w:lang w:val="en-US"/>
        </w:rPr>
        <w:t>(</w:t>
      </w:r>
      <w:r w:rsidRPr="00196711">
        <w:t>32,6 млн. лв.</w:t>
      </w:r>
      <w:r w:rsidRPr="00196711">
        <w:rPr>
          <w:lang w:val="en-US"/>
        </w:rPr>
        <w:t>)</w:t>
      </w:r>
      <w:r w:rsidRPr="00196711">
        <w:t xml:space="preserve"> спрямо същия период на предходната година. </w:t>
      </w:r>
      <w:r w:rsidRPr="005E0249">
        <w:rPr>
          <w:bCs/>
        </w:rPr>
        <w:t xml:space="preserve">От </w:t>
      </w:r>
      <w:r w:rsidRPr="005E0249">
        <w:rPr>
          <w:bCs/>
          <w:i/>
        </w:rPr>
        <w:t xml:space="preserve">имуществени данъци по Закона за </w:t>
      </w:r>
      <w:r w:rsidRPr="005E0249">
        <w:rPr>
          <w:bCs/>
          <w:i/>
        </w:rPr>
        <w:lastRenderedPageBreak/>
        <w:t>местните данъци и такси</w:t>
      </w:r>
      <w:r w:rsidRPr="005E0249">
        <w:rPr>
          <w:bCs/>
        </w:rPr>
        <w:t xml:space="preserve"> в местните бюджети към юни 2017 г. са постъпили общо 527,1 млн. лв., което представлява 61,2 % от годишния разчет, при 499,0 млн. лв. за същия период на 2016 г. </w:t>
      </w:r>
      <w:r w:rsidRPr="00F44F4E">
        <w:rPr>
          <w:bCs/>
        </w:rPr>
        <w:t>С най-значителен дял в приходите от имуществени данъци е данъкът върху недвижимите имоти – 41,9 %</w:t>
      </w:r>
      <w:r w:rsidRPr="0092537A">
        <w:rPr>
          <w:bCs/>
          <w:color w:val="0070C0"/>
        </w:rPr>
        <w:t xml:space="preserve">, </w:t>
      </w:r>
      <w:r w:rsidRPr="00F44F4E">
        <w:rPr>
          <w:bCs/>
        </w:rPr>
        <w:t>следват данъка върху превозните средства – 35,3 %, данъка върху придобиване на имущество по дарения и възмезден начин – 21,8 %</w:t>
      </w:r>
      <w:r w:rsidRPr="0092537A">
        <w:rPr>
          <w:bCs/>
          <w:color w:val="0070C0"/>
        </w:rPr>
        <w:t xml:space="preserve"> </w:t>
      </w:r>
      <w:r w:rsidRPr="00F44F4E">
        <w:rPr>
          <w:bCs/>
        </w:rPr>
        <w:t>и туристически данък – 1,0 %.</w:t>
      </w:r>
      <w:r w:rsidRPr="0092537A">
        <w:rPr>
          <w:color w:val="0070C0"/>
        </w:rPr>
        <w:t xml:space="preserve"> </w:t>
      </w:r>
      <w:r w:rsidRPr="00F44F4E">
        <w:t xml:space="preserve">През отчетния период по бюджетите на общините са постъпили 11,1 млн. лв. от </w:t>
      </w:r>
      <w:r w:rsidRPr="00F44F4E">
        <w:rPr>
          <w:i/>
        </w:rPr>
        <w:t>патентен данък</w:t>
      </w:r>
      <w:r w:rsidRPr="00F44F4E">
        <w:t xml:space="preserve"> (57,6 % от годишния разчет). </w:t>
      </w:r>
    </w:p>
    <w:p w:rsidR="00BB66F8" w:rsidRPr="0092537A" w:rsidRDefault="00BB66F8" w:rsidP="00BB66F8">
      <w:pPr>
        <w:ind w:firstLine="360"/>
        <w:jc w:val="both"/>
        <w:rPr>
          <w:color w:val="0070C0"/>
        </w:rPr>
      </w:pPr>
      <w:r w:rsidRPr="00F44F4E">
        <w:t xml:space="preserve">Общият размер на </w:t>
      </w:r>
      <w:r w:rsidRPr="00F44F4E">
        <w:rPr>
          <w:i/>
        </w:rPr>
        <w:t>неданъчните приходи</w:t>
      </w:r>
      <w:r w:rsidRPr="00F44F4E">
        <w:t xml:space="preserve"> по местните бюджети към края на първото полугодие на 2017 г. е 677,1 млн. лв. или 56,0 % от планираните</w:t>
      </w:r>
      <w:r>
        <w:rPr>
          <w:color w:val="0070C0"/>
        </w:rPr>
        <w:t xml:space="preserve">, </w:t>
      </w:r>
      <w:r w:rsidRPr="006D4BA5">
        <w:t xml:space="preserve">което е с 2,9 % </w:t>
      </w:r>
      <w:r w:rsidRPr="006D4BA5">
        <w:rPr>
          <w:lang w:val="en-US"/>
        </w:rPr>
        <w:t>(</w:t>
      </w:r>
      <w:r w:rsidRPr="006D4BA5">
        <w:t>18,8 млн. лв.</w:t>
      </w:r>
      <w:r w:rsidRPr="006D4BA5">
        <w:rPr>
          <w:lang w:val="en-US"/>
        </w:rPr>
        <w:t>)</w:t>
      </w:r>
      <w:r w:rsidRPr="006D4BA5">
        <w:t xml:space="preserve"> повече спрямо същия период на предходната година. Най-голям относителен дял заемат приходите от общински такси, които възлизат на 479,5 млн. лв. </w:t>
      </w:r>
      <w:r w:rsidRPr="006D4BA5">
        <w:rPr>
          <w:lang w:val="en-US"/>
        </w:rPr>
        <w:t>(</w:t>
      </w:r>
      <w:r w:rsidRPr="006D4BA5">
        <w:t>61</w:t>
      </w:r>
      <w:proofErr w:type="gramStart"/>
      <w:r w:rsidRPr="006D4BA5">
        <w:t>,6</w:t>
      </w:r>
      <w:proofErr w:type="gramEnd"/>
      <w:r w:rsidRPr="006D4BA5">
        <w:t xml:space="preserve"> % от разчетените за годината</w:t>
      </w:r>
      <w:r w:rsidRPr="006D4BA5">
        <w:rPr>
          <w:lang w:val="en-US"/>
        </w:rPr>
        <w:t>)</w:t>
      </w:r>
      <w:r w:rsidRPr="006D4BA5">
        <w:t xml:space="preserve">, следват приходите и доходите от собственост – 116,7 млн. лв. </w:t>
      </w:r>
      <w:r w:rsidRPr="006D4BA5">
        <w:rPr>
          <w:lang w:val="en-US"/>
        </w:rPr>
        <w:t>(</w:t>
      </w:r>
      <w:r w:rsidRPr="006D4BA5">
        <w:t>44</w:t>
      </w:r>
      <w:proofErr w:type="gramStart"/>
      <w:r w:rsidRPr="006D4BA5">
        <w:t>,7</w:t>
      </w:r>
      <w:proofErr w:type="gramEnd"/>
      <w:r w:rsidRPr="006D4BA5">
        <w:t xml:space="preserve"> % от разчетените за 2017 г.</w:t>
      </w:r>
      <w:r w:rsidRPr="006D4BA5">
        <w:rPr>
          <w:lang w:val="en-US"/>
        </w:rPr>
        <w:t>)</w:t>
      </w:r>
      <w:r w:rsidRPr="006D4BA5">
        <w:t>,</w:t>
      </w:r>
      <w:r w:rsidRPr="0092537A">
        <w:rPr>
          <w:color w:val="0070C0"/>
        </w:rPr>
        <w:t xml:space="preserve"> </w:t>
      </w:r>
      <w:r w:rsidRPr="006D4BA5">
        <w:t>постъпленията</w:t>
      </w:r>
      <w:r w:rsidRPr="006D4BA5">
        <w:rPr>
          <w:lang w:val="en-US"/>
        </w:rPr>
        <w:t xml:space="preserve"> </w:t>
      </w:r>
      <w:r w:rsidRPr="006D4BA5">
        <w:t xml:space="preserve">от продажба на нефинансови активи – 48,5 млн. лв. </w:t>
      </w:r>
      <w:r w:rsidRPr="006D4BA5">
        <w:rPr>
          <w:lang w:val="en-US"/>
        </w:rPr>
        <w:t>(</w:t>
      </w:r>
      <w:r w:rsidRPr="006D4BA5">
        <w:t>47</w:t>
      </w:r>
      <w:proofErr w:type="gramStart"/>
      <w:r w:rsidRPr="006D4BA5">
        <w:t>,9</w:t>
      </w:r>
      <w:proofErr w:type="gramEnd"/>
      <w:r w:rsidRPr="006D4BA5">
        <w:t xml:space="preserve"> % от разчета за годината</w:t>
      </w:r>
      <w:r w:rsidRPr="006D4BA5">
        <w:rPr>
          <w:lang w:val="en-US"/>
        </w:rPr>
        <w:t>)</w:t>
      </w:r>
      <w:r w:rsidRPr="002137D4">
        <w:t xml:space="preserve">, </w:t>
      </w:r>
      <w:r w:rsidR="002137D4" w:rsidRPr="006D4BA5">
        <w:t xml:space="preserve">постъпленията от глоби, санкции и наказателни лихви – 31,5 млн. лв.  </w:t>
      </w:r>
      <w:r w:rsidR="002137D4" w:rsidRPr="006D4BA5">
        <w:rPr>
          <w:lang w:val="en-US"/>
        </w:rPr>
        <w:t>(</w:t>
      </w:r>
      <w:r w:rsidR="002137D4" w:rsidRPr="006D4BA5">
        <w:t>46</w:t>
      </w:r>
      <w:proofErr w:type="gramStart"/>
      <w:r w:rsidR="002137D4" w:rsidRPr="006D4BA5">
        <w:t>,4</w:t>
      </w:r>
      <w:proofErr w:type="gramEnd"/>
      <w:r w:rsidR="002137D4" w:rsidRPr="006D4BA5">
        <w:t xml:space="preserve"> % от разчета за 2017 г.</w:t>
      </w:r>
      <w:r w:rsidR="002137D4" w:rsidRPr="006D4BA5">
        <w:rPr>
          <w:lang w:val="en-US"/>
        </w:rPr>
        <w:t>)</w:t>
      </w:r>
      <w:r w:rsidR="002137D4">
        <w:rPr>
          <w:lang w:val="en-US"/>
        </w:rPr>
        <w:t xml:space="preserve"> </w:t>
      </w:r>
      <w:r w:rsidR="002137D4">
        <w:t>и</w:t>
      </w:r>
      <w:r w:rsidR="002137D4" w:rsidRPr="006D4BA5">
        <w:t xml:space="preserve"> </w:t>
      </w:r>
      <w:r w:rsidRPr="006D4BA5">
        <w:t xml:space="preserve">приходите от концесии – 25,4 млн. лв. </w:t>
      </w:r>
      <w:r w:rsidRPr="006D4BA5">
        <w:rPr>
          <w:lang w:val="en-US"/>
        </w:rPr>
        <w:t>(</w:t>
      </w:r>
      <w:r w:rsidRPr="006D4BA5">
        <w:t>58</w:t>
      </w:r>
      <w:proofErr w:type="gramStart"/>
      <w:r w:rsidRPr="006D4BA5">
        <w:t>,9</w:t>
      </w:r>
      <w:proofErr w:type="gramEnd"/>
      <w:r w:rsidRPr="006D4BA5">
        <w:t xml:space="preserve"> % от планираните</w:t>
      </w:r>
      <w:r w:rsidRPr="006D4BA5">
        <w:rPr>
          <w:lang w:val="en-US"/>
        </w:rPr>
        <w:t>)</w:t>
      </w:r>
      <w:r w:rsidRPr="006D4BA5">
        <w:t xml:space="preserve">  </w:t>
      </w:r>
    </w:p>
    <w:p w:rsidR="00BB66F8" w:rsidRPr="0009787C" w:rsidRDefault="00BB66F8" w:rsidP="00BB66F8">
      <w:pPr>
        <w:ind w:firstLine="360"/>
        <w:jc w:val="both"/>
      </w:pPr>
      <w:r w:rsidRPr="0009787C">
        <w:t xml:space="preserve">През отчетния период по общинските бюджети са постъпили 17,4 млн. лв. приходи от </w:t>
      </w:r>
      <w:r w:rsidRPr="0009787C">
        <w:rPr>
          <w:i/>
        </w:rPr>
        <w:t>помощи</w:t>
      </w:r>
      <w:r w:rsidRPr="0009787C">
        <w:t xml:space="preserve">, което е с 6,4 %  повече от разчетените за годината 16,3 млн. лева. </w:t>
      </w:r>
    </w:p>
    <w:p w:rsidR="00BB66F8" w:rsidRPr="0009787C" w:rsidRDefault="00BB66F8" w:rsidP="00BB66F8">
      <w:pPr>
        <w:numPr>
          <w:ilvl w:val="0"/>
          <w:numId w:val="8"/>
        </w:numPr>
        <w:tabs>
          <w:tab w:val="num" w:pos="540"/>
        </w:tabs>
        <w:spacing w:before="120" w:after="120" w:line="276" w:lineRule="auto"/>
        <w:ind w:left="714" w:hanging="357"/>
        <w:jc w:val="both"/>
        <w:rPr>
          <w:b/>
        </w:rPr>
      </w:pPr>
      <w:r w:rsidRPr="0009787C">
        <w:rPr>
          <w:b/>
        </w:rPr>
        <w:t>Разходи</w:t>
      </w:r>
    </w:p>
    <w:p w:rsidR="00BB66F8" w:rsidRPr="00A75FDF" w:rsidRDefault="00BB66F8" w:rsidP="00BB66F8">
      <w:pPr>
        <w:ind w:firstLine="360"/>
        <w:jc w:val="both"/>
      </w:pPr>
      <w:r w:rsidRPr="0009787C">
        <w:t>Към 3</w:t>
      </w:r>
      <w:r w:rsidR="00E77B8F">
        <w:t>0</w:t>
      </w:r>
      <w:r w:rsidRPr="0009787C">
        <w:t>.0</w:t>
      </w:r>
      <w:r w:rsidR="00E77B8F">
        <w:t>6</w:t>
      </w:r>
      <w:r w:rsidRPr="0009787C">
        <w:t xml:space="preserve">.2017 г. общините са отчели общо разходи в размер на 2 448,8 млн. лв., които представляват 50,0 % от разчетите към ЗДБРБ за 2017 г. </w:t>
      </w:r>
      <w:r w:rsidRPr="00C8001B">
        <w:t xml:space="preserve">Текущите разходи възлизат на </w:t>
      </w:r>
      <w:r w:rsidR="00E77B8F">
        <w:t>2 257,3</w:t>
      </w:r>
      <w:r w:rsidRPr="00C8001B">
        <w:t xml:space="preserve"> млн. лв. или 54,8 % от годишния разчет.</w:t>
      </w:r>
      <w:r w:rsidRPr="0092537A">
        <w:rPr>
          <w:color w:val="0070C0"/>
        </w:rPr>
        <w:t xml:space="preserve"> </w:t>
      </w:r>
      <w:r w:rsidRPr="00C8001B">
        <w:t>Разходите за персонал (</w:t>
      </w:r>
      <w:r w:rsidRPr="00C8001B">
        <w:rPr>
          <w:bCs/>
        </w:rPr>
        <w:t>заплати и възнаграждения, други възнаграждения и плащания за персонала и осигурителни вноски)</w:t>
      </w:r>
      <w:r w:rsidRPr="00C8001B">
        <w:t xml:space="preserve"> са в размер на 1</w:t>
      </w:r>
      <w:r w:rsidR="00E157D8">
        <w:t xml:space="preserve"> </w:t>
      </w:r>
      <w:r w:rsidRPr="00C8001B">
        <w:t>224,3 млн. лв. и заемат най-голям относителен дял в т</w:t>
      </w:r>
      <w:r w:rsidR="002137D4">
        <w:t>екущите разходи на общините – 54,2</w:t>
      </w:r>
      <w:r w:rsidRPr="00C8001B">
        <w:t xml:space="preserve"> %. </w:t>
      </w:r>
      <w:r w:rsidRPr="00A75FDF">
        <w:t xml:space="preserve">Разходите за издръжка </w:t>
      </w:r>
      <w:r w:rsidRPr="00A75FDF">
        <w:rPr>
          <w:bCs/>
        </w:rPr>
        <w:t>(вкл. разходи за членски внос и участие в нетърговски организации и дейности, платени данъци, такси и административни санкции)</w:t>
      </w:r>
      <w:r w:rsidRPr="00A75FDF">
        <w:t xml:space="preserve"> са в размер на 851,1 млн. лв., 57,8 % от годишния разчет. Разходите за субсидии са в размер на 82,1 млн. лева. Тук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Текущите трансфери, обезщетения и помощи за домакинствата са в размер на 73,6 млн. лв., което е 70,0 % от разчетите към ЗДБРБ за 2017 г.  </w:t>
      </w:r>
    </w:p>
    <w:p w:rsidR="00BB66F8" w:rsidRPr="00A75FDF" w:rsidRDefault="00BB66F8" w:rsidP="00BB66F8">
      <w:pPr>
        <w:ind w:firstLine="360"/>
        <w:jc w:val="both"/>
      </w:pPr>
      <w:r w:rsidRPr="00A75FDF">
        <w:t xml:space="preserve">Разходите за лихви възлизат на 18,7 млн. лв.,  55,3 % от разчета за 2017 година. </w:t>
      </w:r>
    </w:p>
    <w:p w:rsidR="00BB66F8" w:rsidRPr="00F219B8" w:rsidRDefault="00BB66F8" w:rsidP="00BB66F8">
      <w:pPr>
        <w:ind w:firstLine="360"/>
      </w:pPr>
      <w:r w:rsidRPr="00F219B8">
        <w:t>Капиталовите разходи са в</w:t>
      </w:r>
      <w:r>
        <w:t xml:space="preserve"> размер на 191,6 млн. лв. или 24,7</w:t>
      </w:r>
      <w:r w:rsidRPr="00F219B8">
        <w:t xml:space="preserve"> % от разчетите към ЗДБРБ за 2017 година.</w:t>
      </w:r>
    </w:p>
    <w:p w:rsidR="00BB66F8" w:rsidRPr="007034C4" w:rsidRDefault="00BB66F8" w:rsidP="00BB66F8">
      <w:pPr>
        <w:tabs>
          <w:tab w:val="center" w:pos="4153"/>
          <w:tab w:val="right" w:pos="8306"/>
        </w:tabs>
        <w:jc w:val="both"/>
        <w:rPr>
          <w:rFonts w:eastAsia="Calibri"/>
        </w:rPr>
      </w:pPr>
      <w:r w:rsidRPr="007034C4">
        <w:rPr>
          <w:lang w:val="en-US"/>
        </w:rPr>
        <w:t xml:space="preserve">      </w:t>
      </w:r>
      <w:r w:rsidRPr="007034C4">
        <w:t xml:space="preserve">Общият размер на отчетените разходи за </w:t>
      </w:r>
      <w:proofErr w:type="spellStart"/>
      <w:r w:rsidRPr="007034C4">
        <w:t>дофинансиране</w:t>
      </w:r>
      <w:proofErr w:type="spellEnd"/>
      <w:r w:rsidRPr="007034C4">
        <w:t xml:space="preserve"> на делегираните от държавата дейности с местни приходи е </w:t>
      </w:r>
      <w:r w:rsidR="007034C4" w:rsidRPr="007034C4">
        <w:t>67,7</w:t>
      </w:r>
      <w:r w:rsidRPr="007034C4">
        <w:t xml:space="preserve"> млн. лв.</w:t>
      </w:r>
      <w:r w:rsidRPr="007034C4">
        <w:rPr>
          <w:rFonts w:eastAsia="Calibri"/>
        </w:rPr>
        <w:t xml:space="preserve">, от които </w:t>
      </w:r>
      <w:r w:rsidR="007034C4" w:rsidRPr="007034C4">
        <w:rPr>
          <w:rFonts w:eastAsia="Calibri"/>
        </w:rPr>
        <w:t>64,0</w:t>
      </w:r>
      <w:r w:rsidRPr="007034C4">
        <w:rPr>
          <w:rFonts w:eastAsia="Calibri"/>
        </w:rPr>
        <w:t xml:space="preserve"> млн. лв. текущи разходи и </w:t>
      </w:r>
      <w:r w:rsidR="007034C4" w:rsidRPr="007034C4">
        <w:rPr>
          <w:rFonts w:eastAsia="Calibri"/>
        </w:rPr>
        <w:t>3,7</w:t>
      </w:r>
      <w:r w:rsidRPr="007034C4">
        <w:rPr>
          <w:rFonts w:eastAsia="Calibri"/>
        </w:rPr>
        <w:t xml:space="preserve"> млн. лв. капиталови разходи.</w:t>
      </w:r>
    </w:p>
    <w:p w:rsidR="00BB66F8" w:rsidRPr="00F219B8" w:rsidRDefault="00BB66F8" w:rsidP="00BB66F8">
      <w:pPr>
        <w:numPr>
          <w:ilvl w:val="0"/>
          <w:numId w:val="8"/>
        </w:numPr>
        <w:tabs>
          <w:tab w:val="num" w:pos="540"/>
        </w:tabs>
        <w:spacing w:before="120" w:after="120" w:line="276" w:lineRule="auto"/>
        <w:ind w:left="714" w:hanging="357"/>
        <w:jc w:val="both"/>
        <w:rPr>
          <w:b/>
        </w:rPr>
      </w:pPr>
      <w:r w:rsidRPr="00F219B8">
        <w:rPr>
          <w:b/>
        </w:rPr>
        <w:t>Финансиране</w:t>
      </w:r>
    </w:p>
    <w:p w:rsidR="00BB66F8" w:rsidRPr="003D37A1" w:rsidRDefault="002137D4" w:rsidP="00BB66F8">
      <w:pPr>
        <w:ind w:firstLine="360"/>
        <w:jc w:val="both"/>
      </w:pPr>
      <w:r>
        <w:t>За първото полугодие</w:t>
      </w:r>
      <w:r w:rsidR="00BB66F8" w:rsidRPr="00F219B8">
        <w:t xml:space="preserve"> на 2017 г. по общинските бюджети са изплатени </w:t>
      </w:r>
      <w:r w:rsidR="00BB66F8" w:rsidRPr="00F219B8">
        <w:rPr>
          <w:i/>
        </w:rPr>
        <w:t>погашения по заеми</w:t>
      </w:r>
      <w:r w:rsidR="00BB66F8" w:rsidRPr="00F219B8">
        <w:t xml:space="preserve"> от чужб</w:t>
      </w:r>
      <w:r>
        <w:t>ина  в размер на 12,5 млн. лева, а получените средства от началото на годината по заеми от чуждестранни кредитори са в размер на 16,3 млн. лв.</w:t>
      </w:r>
      <w:r w:rsidR="00BB66F8" w:rsidRPr="00F219B8">
        <w:t xml:space="preserve"> </w:t>
      </w:r>
      <w:r w:rsidR="00BB66F8" w:rsidRPr="003D37A1">
        <w:t>О</w:t>
      </w:r>
      <w:r>
        <w:t>т банки</w:t>
      </w:r>
      <w:r w:rsidR="00BB66F8" w:rsidRPr="003D37A1">
        <w:t xml:space="preserve"> в страната общините са получили заеми в размер на </w:t>
      </w:r>
      <w:r w:rsidR="00BB66F8" w:rsidRPr="003D37A1">
        <w:rPr>
          <w:lang w:val="en-US"/>
        </w:rPr>
        <w:t>40</w:t>
      </w:r>
      <w:r w:rsidR="00BB66F8" w:rsidRPr="003D37A1">
        <w:t>,</w:t>
      </w:r>
      <w:r w:rsidR="00BB66F8" w:rsidRPr="003D37A1">
        <w:rPr>
          <w:lang w:val="en-US"/>
        </w:rPr>
        <w:t>6</w:t>
      </w:r>
      <w:r w:rsidR="00BB66F8" w:rsidRPr="003D37A1">
        <w:t xml:space="preserve"> млн. лв. и са изплатили погашения в размер на </w:t>
      </w:r>
      <w:r w:rsidR="00BB66F8" w:rsidRPr="003D37A1">
        <w:rPr>
          <w:lang w:val="en-US"/>
        </w:rPr>
        <w:t>40</w:t>
      </w:r>
      <w:r w:rsidR="00BB66F8" w:rsidRPr="003D37A1">
        <w:t>,</w:t>
      </w:r>
      <w:r w:rsidR="00BB66F8" w:rsidRPr="003D37A1">
        <w:rPr>
          <w:lang w:val="en-US"/>
        </w:rPr>
        <w:t>3</w:t>
      </w:r>
      <w:r w:rsidR="00BB66F8" w:rsidRPr="003D37A1">
        <w:t xml:space="preserve"> млн. лева.</w:t>
      </w:r>
    </w:p>
    <w:p w:rsidR="00BB66F8" w:rsidRPr="00F219B8" w:rsidRDefault="00BB66F8" w:rsidP="00BB66F8">
      <w:pPr>
        <w:ind w:firstLine="360"/>
        <w:jc w:val="both"/>
      </w:pPr>
      <w:r w:rsidRPr="00F219B8">
        <w:t xml:space="preserve">Усвоените за първото полугодие на 2017 г. средства по заеми, предоставени на общините чрез „Фонд за органите на местното самоуправление – ФЛАГ“ ЕАД са в размер на 3,0 млн. лв., а извършените погашения по заеми са в размер на 23,6 млн. </w:t>
      </w:r>
      <w:r w:rsidR="00A3698A" w:rsidRPr="00F219B8">
        <w:t>лева</w:t>
      </w:r>
      <w:r w:rsidRPr="00F219B8">
        <w:t>.</w:t>
      </w:r>
    </w:p>
    <w:p w:rsidR="00BB66F8" w:rsidRPr="00F219B8" w:rsidRDefault="00BB66F8" w:rsidP="00BB66F8">
      <w:pPr>
        <w:pStyle w:val="Header"/>
        <w:tabs>
          <w:tab w:val="clear" w:pos="4153"/>
          <w:tab w:val="clear" w:pos="8306"/>
        </w:tabs>
        <w:jc w:val="both"/>
      </w:pPr>
      <w:r w:rsidRPr="00F219B8">
        <w:t>Общините приключиха първото полугодие на 2017 г. с бюджетни наличности (по банкови сметки и в каса) в размер на 937,8 млн. лева.</w:t>
      </w:r>
    </w:p>
    <w:p w:rsidR="0092459E" w:rsidRPr="0092459E" w:rsidRDefault="0092459E" w:rsidP="00967BB9">
      <w:pPr>
        <w:ind w:firstLine="567"/>
        <w:jc w:val="both"/>
        <w:rPr>
          <w:color w:val="0070C0"/>
          <w:lang w:val="en-US"/>
        </w:rPr>
      </w:pPr>
    </w:p>
    <w:p w:rsidR="0092459E" w:rsidRPr="00490706" w:rsidRDefault="0092459E" w:rsidP="00D63703">
      <w:pPr>
        <w:pStyle w:val="Heading1"/>
        <w:numPr>
          <w:ilvl w:val="0"/>
          <w:numId w:val="10"/>
        </w:numPr>
        <w:spacing w:after="120"/>
        <w:ind w:right="-108"/>
        <w:jc w:val="both"/>
        <w:rPr>
          <w:sz w:val="24"/>
        </w:rPr>
      </w:pPr>
      <w:r w:rsidRPr="00490706">
        <w:rPr>
          <w:sz w:val="24"/>
        </w:rPr>
        <w:lastRenderedPageBreak/>
        <w:t>Бюджети на Българската национална телевизия (БНТ), Българското национално радио (БНР) и Българската телеграфна агенция (БТА)</w:t>
      </w:r>
    </w:p>
    <w:p w:rsidR="00275EE7" w:rsidRPr="000C35F8" w:rsidRDefault="0092459E" w:rsidP="00275EE7">
      <w:pPr>
        <w:ind w:firstLine="708"/>
        <w:jc w:val="both"/>
        <w:rPr>
          <w:szCs w:val="20"/>
        </w:rPr>
      </w:pPr>
      <w:r w:rsidRPr="000C35F8">
        <w:rPr>
          <w:b/>
        </w:rPr>
        <w:t>Приходите на БНТ</w:t>
      </w:r>
      <w:r w:rsidRPr="000C35F8">
        <w:t xml:space="preserve"> към </w:t>
      </w:r>
      <w:r w:rsidR="000C35F8" w:rsidRPr="000C35F8">
        <w:t>30</w:t>
      </w:r>
      <w:r w:rsidRPr="000C35F8">
        <w:t>.</w:t>
      </w:r>
      <w:r w:rsidR="000C35F8" w:rsidRPr="000C35F8">
        <w:t>06</w:t>
      </w:r>
      <w:r w:rsidRPr="000C35F8">
        <w:t xml:space="preserve">.2017 г. са в размер на </w:t>
      </w:r>
      <w:r w:rsidR="000C35F8" w:rsidRPr="000C35F8">
        <w:t>0,7</w:t>
      </w:r>
      <w:r w:rsidRPr="000C35F8">
        <w:t xml:space="preserve"> млн. лв. при планирани за годината 7,5 млн. лв. или за отчетния период са постъпили </w:t>
      </w:r>
      <w:r w:rsidR="000C35F8" w:rsidRPr="000C35F8">
        <w:t>9</w:t>
      </w:r>
      <w:r w:rsidRPr="000C35F8">
        <w:t>,6 % от планираните за годината.</w:t>
      </w:r>
      <w:r w:rsidR="00275EE7">
        <w:t xml:space="preserve"> </w:t>
      </w:r>
      <w:r w:rsidR="00275EE7" w:rsidRPr="00275EE7">
        <w:rPr>
          <w:szCs w:val="20"/>
        </w:rPr>
        <w:t>Отчетените неданъчни приходи са постъпления от продажби на услуги, стоки и продукция /реклама, спонсорство, технически услуги, почивно дело, продажба на програми/ и наеми на имущество.</w:t>
      </w:r>
    </w:p>
    <w:p w:rsidR="0092459E" w:rsidRDefault="0092459E" w:rsidP="0092459E">
      <w:pPr>
        <w:ind w:firstLine="708"/>
        <w:jc w:val="both"/>
        <w:rPr>
          <w:szCs w:val="20"/>
        </w:rPr>
      </w:pPr>
      <w:r w:rsidRPr="000C35F8">
        <w:rPr>
          <w:szCs w:val="20"/>
        </w:rPr>
        <w:t xml:space="preserve">Спрямо първото </w:t>
      </w:r>
      <w:r w:rsidR="000C35F8" w:rsidRPr="000C35F8">
        <w:rPr>
          <w:szCs w:val="20"/>
        </w:rPr>
        <w:t>полугодие</w:t>
      </w:r>
      <w:r w:rsidRPr="000C35F8">
        <w:rPr>
          <w:szCs w:val="20"/>
        </w:rPr>
        <w:t xml:space="preserve"> на предходната година неданъчните приходи са с </w:t>
      </w:r>
      <w:r w:rsidR="000C35F8" w:rsidRPr="000C35F8">
        <w:rPr>
          <w:szCs w:val="20"/>
        </w:rPr>
        <w:t>2,0</w:t>
      </w:r>
      <w:r w:rsidRPr="000C35F8">
        <w:rPr>
          <w:szCs w:val="20"/>
        </w:rPr>
        <w:t xml:space="preserve"> млн. лв. по-малко или спад от </w:t>
      </w:r>
      <w:r w:rsidR="000C35F8" w:rsidRPr="000C35F8">
        <w:rPr>
          <w:szCs w:val="20"/>
        </w:rPr>
        <w:t>73,8</w:t>
      </w:r>
      <w:r w:rsidRPr="000C35F8">
        <w:rPr>
          <w:szCs w:val="20"/>
        </w:rPr>
        <w:t xml:space="preserve"> % в резултат </w:t>
      </w:r>
      <w:r w:rsidR="000C35F8">
        <w:rPr>
          <w:szCs w:val="20"/>
        </w:rPr>
        <w:t>на</w:t>
      </w:r>
      <w:r w:rsidRPr="000C35F8">
        <w:rPr>
          <w:szCs w:val="20"/>
        </w:rPr>
        <w:t xml:space="preserve"> отчетени по-ниски постъпления от реклама, спонсорски и др. услуги, </w:t>
      </w:r>
      <w:r w:rsidR="000C35F8" w:rsidRPr="000C35F8">
        <w:rPr>
          <w:szCs w:val="20"/>
        </w:rPr>
        <w:t>както и изплатен ДДС на НАП във връзка с ревизио</w:t>
      </w:r>
      <w:r w:rsidR="000C35F8">
        <w:rPr>
          <w:szCs w:val="20"/>
        </w:rPr>
        <w:t>нен акт в размер на 1,6 млн. лева.</w:t>
      </w:r>
      <w:r w:rsidR="00275EE7">
        <w:rPr>
          <w:szCs w:val="20"/>
        </w:rPr>
        <w:t xml:space="preserve"> </w:t>
      </w:r>
    </w:p>
    <w:p w:rsidR="0092459E" w:rsidRPr="006055B1" w:rsidRDefault="0092459E" w:rsidP="00A941E6">
      <w:pPr>
        <w:ind w:firstLine="567"/>
        <w:jc w:val="both"/>
      </w:pPr>
      <w:r w:rsidRPr="00C0334E">
        <w:t xml:space="preserve">Отчетените </w:t>
      </w:r>
      <w:r w:rsidRPr="00C0334E">
        <w:rPr>
          <w:b/>
        </w:rPr>
        <w:t>разходи</w:t>
      </w:r>
      <w:r w:rsidRPr="00C0334E">
        <w:t xml:space="preserve"> </w:t>
      </w:r>
      <w:r w:rsidRPr="00C0334E">
        <w:rPr>
          <w:b/>
        </w:rPr>
        <w:t>на БНТ</w:t>
      </w:r>
      <w:r w:rsidRPr="00C0334E">
        <w:t xml:space="preserve"> към </w:t>
      </w:r>
      <w:r w:rsidR="00C0334E" w:rsidRPr="00C0334E">
        <w:t>30</w:t>
      </w:r>
      <w:r w:rsidRPr="00C0334E">
        <w:t>.</w:t>
      </w:r>
      <w:r w:rsidR="00C0334E" w:rsidRPr="00C0334E">
        <w:t>06</w:t>
      </w:r>
      <w:r w:rsidRPr="00C0334E">
        <w:t xml:space="preserve">.2017 г. са в размер на </w:t>
      </w:r>
      <w:r w:rsidR="00C0334E" w:rsidRPr="00C0334E">
        <w:t>40,8</w:t>
      </w:r>
      <w:r w:rsidRPr="00C0334E">
        <w:t xml:space="preserve"> млн. лв. или </w:t>
      </w:r>
      <w:r w:rsidR="00C0334E" w:rsidRPr="00C0334E">
        <w:t>55,9</w:t>
      </w:r>
      <w:r w:rsidRPr="00C0334E">
        <w:t xml:space="preserve"> % от годишния разчет по ЗДБРБ за 2017 г. </w:t>
      </w:r>
      <w:r w:rsidRPr="00C0334E">
        <w:rPr>
          <w:szCs w:val="20"/>
        </w:rPr>
        <w:t xml:space="preserve">За периода са отчетени </w:t>
      </w:r>
      <w:r w:rsidR="00C0334E" w:rsidRPr="00C0334E">
        <w:rPr>
          <w:szCs w:val="20"/>
        </w:rPr>
        <w:t>34,9</w:t>
      </w:r>
      <w:r w:rsidRPr="00C0334E">
        <w:rPr>
          <w:szCs w:val="20"/>
        </w:rPr>
        <w:t xml:space="preserve"> млн. лв. текущи разходи и </w:t>
      </w:r>
      <w:r w:rsidR="00C0334E" w:rsidRPr="00C0334E">
        <w:rPr>
          <w:szCs w:val="20"/>
        </w:rPr>
        <w:t>5,9</w:t>
      </w:r>
      <w:r w:rsidRPr="00C0334E">
        <w:rPr>
          <w:szCs w:val="20"/>
        </w:rPr>
        <w:t xml:space="preserve"> млн. лв. капиталови </w:t>
      </w:r>
      <w:r w:rsidRPr="00D853F2">
        <w:rPr>
          <w:szCs w:val="20"/>
        </w:rPr>
        <w:t xml:space="preserve">разходи. По бюджета на БНТ в частта на финансирането са отчетени погашения по търговски кредит  в размер на </w:t>
      </w:r>
      <w:r w:rsidR="00D853F2" w:rsidRPr="00D853F2">
        <w:rPr>
          <w:szCs w:val="20"/>
        </w:rPr>
        <w:t>8,2</w:t>
      </w:r>
      <w:r w:rsidRPr="00D853F2">
        <w:rPr>
          <w:szCs w:val="20"/>
        </w:rPr>
        <w:t xml:space="preserve"> млн. лв.</w:t>
      </w:r>
      <w:r w:rsidR="00BB47AC">
        <w:rPr>
          <w:szCs w:val="20"/>
        </w:rPr>
        <w:t xml:space="preserve"> /</w:t>
      </w:r>
      <w:r w:rsidRPr="00D853F2">
        <w:rPr>
          <w:szCs w:val="20"/>
        </w:rPr>
        <w:t>погашения на задължения по договори от предходната година за такси за разпространение на програмите на БНТ, придобиване на права за излъчване на европейски и световни първенства и за придобиване на машини и съоръжения</w:t>
      </w:r>
      <w:r w:rsidR="00BB47AC">
        <w:rPr>
          <w:szCs w:val="20"/>
        </w:rPr>
        <w:t xml:space="preserve">/ и </w:t>
      </w:r>
      <w:r w:rsidR="00BB47AC" w:rsidRPr="00BB47AC">
        <w:rPr>
          <w:szCs w:val="20"/>
        </w:rPr>
        <w:t xml:space="preserve">9,3 млн. лв. задължения по търговски кредит /такси за </w:t>
      </w:r>
      <w:r w:rsidR="00BB47AC" w:rsidRPr="00194166">
        <w:rPr>
          <w:szCs w:val="20"/>
        </w:rPr>
        <w:t xml:space="preserve">разпространение на програмите на БНТ/. </w:t>
      </w:r>
      <w:r w:rsidRPr="00194166">
        <w:rPr>
          <w:szCs w:val="20"/>
        </w:rPr>
        <w:t xml:space="preserve">В разпределението на разходите по бюджета на обществената медия е включен преходния остатък за 2016 г. (съгл. чл. 70, ал. 6 от ЗРТ) в </w:t>
      </w:r>
      <w:r w:rsidRPr="006055B1">
        <w:rPr>
          <w:szCs w:val="20"/>
        </w:rPr>
        <w:t xml:space="preserve">размер на </w:t>
      </w:r>
      <w:r w:rsidRPr="006055B1">
        <w:rPr>
          <w:szCs w:val="20"/>
          <w:lang w:val="en-US"/>
        </w:rPr>
        <w:t>2</w:t>
      </w:r>
      <w:r w:rsidRPr="006055B1">
        <w:rPr>
          <w:szCs w:val="20"/>
        </w:rPr>
        <w:t xml:space="preserve">,8 млн. лв. 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rsidR="0092459E" w:rsidRPr="009211E2" w:rsidRDefault="0092459E" w:rsidP="00A941E6">
      <w:pPr>
        <w:spacing w:after="120"/>
        <w:ind w:firstLine="567"/>
        <w:jc w:val="both"/>
      </w:pPr>
      <w:r w:rsidRPr="00807BB5">
        <w:t xml:space="preserve">Общо утвърдените </w:t>
      </w:r>
      <w:r w:rsidRPr="00807BB5">
        <w:rPr>
          <w:b/>
          <w:i/>
        </w:rPr>
        <w:t>бюджетни взаимоотношения на БНТ с централния бюджет</w:t>
      </w:r>
      <w:r w:rsidRPr="00807BB5">
        <w:t xml:space="preserve"> за 2017 г. са в размер на </w:t>
      </w:r>
      <w:r w:rsidRPr="00807BB5">
        <w:rPr>
          <w:szCs w:val="20"/>
        </w:rPr>
        <w:t>70,8 млн. лв., в т.ч.: 65,3 млн. лв. съгласно чл. 49, т. 2 от ЗДБРБ за 2017 г. и одобрени допълнителни трансфери общо в размер на 5,</w:t>
      </w:r>
      <w:proofErr w:type="spellStart"/>
      <w:r w:rsidRPr="00807BB5">
        <w:rPr>
          <w:szCs w:val="20"/>
        </w:rPr>
        <w:t>5</w:t>
      </w:r>
      <w:proofErr w:type="spellEnd"/>
      <w:r w:rsidRPr="00807BB5">
        <w:rPr>
          <w:szCs w:val="20"/>
        </w:rPr>
        <w:t xml:space="preserve"> млн. лв. (5,0 млн. лв. за заплащане на такси за разпространение на телевизионните програми съгл. ПМС № 25 от 2017 г. и 0,5 млн. лв. за разходи по подготовката и произвеждането на избори за народни </w:t>
      </w:r>
      <w:r w:rsidRPr="00683C47">
        <w:rPr>
          <w:szCs w:val="20"/>
        </w:rPr>
        <w:t>представители на 26.</w:t>
      </w:r>
      <w:r w:rsidR="00807BB5" w:rsidRPr="00683C47">
        <w:rPr>
          <w:szCs w:val="20"/>
        </w:rPr>
        <w:t>0</w:t>
      </w:r>
      <w:r w:rsidRPr="00683C47">
        <w:rPr>
          <w:szCs w:val="20"/>
        </w:rPr>
        <w:t>3.2017 г. съгл. ПМС № 31 от 2017 г.</w:t>
      </w:r>
      <w:r w:rsidR="00807BB5" w:rsidRPr="00683C47">
        <w:rPr>
          <w:szCs w:val="20"/>
        </w:rPr>
        <w:t xml:space="preserve"> и 0,02  млн. лв. за реализиране на поредица от инициативи под мотото „Левски в моя роден град“ съгл. ПМС № 74 от 2017 г.</w:t>
      </w:r>
      <w:r w:rsidRPr="00683C47">
        <w:rPr>
          <w:szCs w:val="20"/>
        </w:rPr>
        <w:t xml:space="preserve">). За отчетния период е усвоена сума в размер на </w:t>
      </w:r>
      <w:r w:rsidR="00683C47" w:rsidRPr="00683C47">
        <w:rPr>
          <w:szCs w:val="20"/>
        </w:rPr>
        <w:t>38,1</w:t>
      </w:r>
      <w:r w:rsidRPr="00683C47">
        <w:rPr>
          <w:szCs w:val="20"/>
        </w:rPr>
        <w:t xml:space="preserve"> млн. лв. или </w:t>
      </w:r>
      <w:r w:rsidR="00683C47" w:rsidRPr="00683C47">
        <w:rPr>
          <w:szCs w:val="20"/>
        </w:rPr>
        <w:t>53,8</w:t>
      </w:r>
      <w:r w:rsidRPr="00683C47">
        <w:rPr>
          <w:szCs w:val="20"/>
        </w:rPr>
        <w:t xml:space="preserve"> % от размера на бюджетните </w:t>
      </w:r>
      <w:r w:rsidRPr="009211E2">
        <w:rPr>
          <w:szCs w:val="20"/>
        </w:rPr>
        <w:t>взаимоотношения на БНТ с централния бюджет.</w:t>
      </w:r>
      <w:r w:rsidRPr="009211E2">
        <w:t xml:space="preserve"> </w:t>
      </w:r>
    </w:p>
    <w:p w:rsidR="0092459E" w:rsidRPr="009211E2" w:rsidRDefault="0092459E" w:rsidP="0092459E">
      <w:pPr>
        <w:ind w:firstLine="567"/>
        <w:jc w:val="both"/>
      </w:pPr>
      <w:r w:rsidRPr="009211E2">
        <w:rPr>
          <w:b/>
        </w:rPr>
        <w:t>П</w:t>
      </w:r>
      <w:r w:rsidRPr="009211E2">
        <w:rPr>
          <w:b/>
          <w:bCs/>
        </w:rPr>
        <w:t>риходите</w:t>
      </w:r>
      <w:r w:rsidRPr="009211E2">
        <w:rPr>
          <w:b/>
        </w:rPr>
        <w:t xml:space="preserve"> по бюджета на </w:t>
      </w:r>
      <w:r w:rsidRPr="009211E2">
        <w:rPr>
          <w:b/>
          <w:bCs/>
        </w:rPr>
        <w:t>БНР</w:t>
      </w:r>
      <w:r w:rsidRPr="009211E2">
        <w:rPr>
          <w:b/>
        </w:rPr>
        <w:t xml:space="preserve"> </w:t>
      </w:r>
      <w:r w:rsidRPr="009211E2">
        <w:t xml:space="preserve">за първото </w:t>
      </w:r>
      <w:r w:rsidR="009211E2" w:rsidRPr="009211E2">
        <w:t>полугодие</w:t>
      </w:r>
      <w:r w:rsidRPr="009211E2">
        <w:t xml:space="preserve"> на 2017 г. са в размер на </w:t>
      </w:r>
      <w:r w:rsidR="009211E2" w:rsidRPr="009211E2">
        <w:t>0,8</w:t>
      </w:r>
      <w:r w:rsidRPr="009211E2">
        <w:t xml:space="preserve"> млн. лв., което представлява </w:t>
      </w:r>
      <w:r w:rsidR="009211E2" w:rsidRPr="009211E2">
        <w:t>38,0</w:t>
      </w:r>
      <w:r w:rsidRPr="009211E2">
        <w:t xml:space="preserve"> % от планираните за годината 2,1 млн. лв.</w:t>
      </w:r>
      <w:r w:rsidRPr="009211E2">
        <w:rPr>
          <w:szCs w:val="20"/>
        </w:rPr>
        <w:t xml:space="preserve"> Отчетените приходи са постъпления от продажби на услуги, стоки и продукция (реклама, спонсорски съобщения, технически услуги, съвместни проекти, приходи от концертна дейност</w:t>
      </w:r>
      <w:r w:rsidRPr="009211E2">
        <w:rPr>
          <w:szCs w:val="20"/>
          <w:lang w:val="en-US"/>
        </w:rPr>
        <w:t xml:space="preserve"> </w:t>
      </w:r>
      <w:r w:rsidRPr="009211E2">
        <w:rPr>
          <w:szCs w:val="20"/>
        </w:rPr>
        <w:t>и др.), от наеми на имущество и др.</w:t>
      </w:r>
      <w:r w:rsidRPr="009211E2">
        <w:t xml:space="preserve"> </w:t>
      </w:r>
    </w:p>
    <w:p w:rsidR="0092459E" w:rsidRPr="00904608" w:rsidRDefault="0092459E" w:rsidP="0092459E">
      <w:pPr>
        <w:ind w:firstLine="567"/>
        <w:jc w:val="both"/>
        <w:rPr>
          <w:szCs w:val="20"/>
        </w:rPr>
      </w:pPr>
      <w:r w:rsidRPr="00C318F0">
        <w:rPr>
          <w:szCs w:val="20"/>
        </w:rPr>
        <w:t xml:space="preserve">Изпълнението на </w:t>
      </w:r>
      <w:r w:rsidRPr="00C318F0">
        <w:rPr>
          <w:b/>
          <w:szCs w:val="20"/>
        </w:rPr>
        <w:t>разходите</w:t>
      </w:r>
      <w:r w:rsidRPr="00C318F0">
        <w:rPr>
          <w:szCs w:val="20"/>
        </w:rPr>
        <w:t xml:space="preserve"> </w:t>
      </w:r>
      <w:r w:rsidRPr="00C318F0">
        <w:rPr>
          <w:b/>
          <w:szCs w:val="20"/>
        </w:rPr>
        <w:t>по бюджета на</w:t>
      </w:r>
      <w:r w:rsidRPr="00C318F0">
        <w:rPr>
          <w:szCs w:val="20"/>
        </w:rPr>
        <w:t xml:space="preserve"> </w:t>
      </w:r>
      <w:r w:rsidRPr="00C318F0">
        <w:rPr>
          <w:b/>
          <w:szCs w:val="20"/>
        </w:rPr>
        <w:t xml:space="preserve">БНР </w:t>
      </w:r>
      <w:r w:rsidRPr="00C318F0">
        <w:rPr>
          <w:szCs w:val="20"/>
        </w:rPr>
        <w:t xml:space="preserve">възлиза на </w:t>
      </w:r>
      <w:r w:rsidR="00C318F0" w:rsidRPr="00C318F0">
        <w:rPr>
          <w:szCs w:val="20"/>
        </w:rPr>
        <w:t>22,3</w:t>
      </w:r>
      <w:r w:rsidRPr="00C318F0">
        <w:rPr>
          <w:szCs w:val="20"/>
        </w:rPr>
        <w:t xml:space="preserve"> млн. лв. или </w:t>
      </w:r>
      <w:r w:rsidR="00C318F0" w:rsidRPr="00C318F0">
        <w:rPr>
          <w:szCs w:val="20"/>
        </w:rPr>
        <w:t>50,0</w:t>
      </w:r>
      <w:r w:rsidRPr="00C318F0">
        <w:rPr>
          <w:szCs w:val="20"/>
        </w:rPr>
        <w:t xml:space="preserve"> % от предвидените в ЗДБРБ за 2017 г. За периода са отчетени </w:t>
      </w:r>
      <w:r w:rsidR="00C318F0" w:rsidRPr="00C318F0">
        <w:rPr>
          <w:szCs w:val="20"/>
        </w:rPr>
        <w:t>21</w:t>
      </w:r>
      <w:r w:rsidRPr="00C318F0">
        <w:rPr>
          <w:szCs w:val="20"/>
        </w:rPr>
        <w:t>,</w:t>
      </w:r>
      <w:r w:rsidRPr="00C318F0">
        <w:rPr>
          <w:szCs w:val="20"/>
          <w:lang w:val="en-US"/>
        </w:rPr>
        <w:t>1</w:t>
      </w:r>
      <w:r w:rsidRPr="00C318F0">
        <w:rPr>
          <w:szCs w:val="20"/>
        </w:rPr>
        <w:t xml:space="preserve"> млн. лв. текущи разходи и </w:t>
      </w:r>
      <w:r w:rsidR="00C318F0" w:rsidRPr="00C318F0">
        <w:rPr>
          <w:szCs w:val="20"/>
        </w:rPr>
        <w:t>1,2</w:t>
      </w:r>
      <w:r w:rsidRPr="00C318F0">
        <w:rPr>
          <w:szCs w:val="20"/>
        </w:rPr>
        <w:t xml:space="preserve"> </w:t>
      </w:r>
      <w:r w:rsidRPr="004307EE">
        <w:rPr>
          <w:szCs w:val="20"/>
        </w:rPr>
        <w:t>млн. лв. капиталови разходи.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радиопрограми съгласно разпоредбите на Закона за радиото и телевизията. В разпределението на разходите по бюджета на БНР е включен и преходния остатък за 2016 г. (съгл. чл. 70</w:t>
      </w:r>
      <w:r w:rsidRPr="00904608">
        <w:rPr>
          <w:szCs w:val="20"/>
        </w:rPr>
        <w:t xml:space="preserve">, ал. 6 от Закона за радиото и телевизията) в размер на 3,2 млн. лева. </w:t>
      </w:r>
    </w:p>
    <w:p w:rsidR="0092459E" w:rsidRPr="00904608" w:rsidRDefault="0092459E" w:rsidP="0092459E">
      <w:pPr>
        <w:spacing w:after="240"/>
        <w:ind w:firstLine="567"/>
        <w:jc w:val="both"/>
      </w:pPr>
      <w:r w:rsidRPr="00904608">
        <w:t xml:space="preserve">Общо утвърдените </w:t>
      </w:r>
      <w:r w:rsidRPr="00904608">
        <w:rPr>
          <w:b/>
          <w:i/>
        </w:rPr>
        <w:t>бюджетни взаимоотношения на БНР с централния бюджет</w:t>
      </w:r>
      <w:r w:rsidRPr="00904608">
        <w:t xml:space="preserve"> за 2017 г. са в размер на </w:t>
      </w:r>
      <w:r w:rsidRPr="00904608">
        <w:rPr>
          <w:szCs w:val="20"/>
        </w:rPr>
        <w:t>42,4 млн. лв.</w:t>
      </w:r>
      <w:r w:rsidRPr="00904608">
        <w:rPr>
          <w:b/>
          <w:szCs w:val="20"/>
        </w:rPr>
        <w:t xml:space="preserve"> </w:t>
      </w:r>
      <w:r w:rsidRPr="00904608">
        <w:rPr>
          <w:szCs w:val="20"/>
        </w:rPr>
        <w:t>в т.ч.: 42,2 млн. лв. съгласно чл. 49, т. 1 от ЗДБРБ за 2017 г.</w:t>
      </w:r>
      <w:r w:rsidRPr="00904608">
        <w:rPr>
          <w:szCs w:val="20"/>
          <w:lang w:val="en-US"/>
        </w:rPr>
        <w:t xml:space="preserve"> </w:t>
      </w:r>
      <w:r w:rsidRPr="00945FC6">
        <w:rPr>
          <w:szCs w:val="20"/>
        </w:rPr>
        <w:t xml:space="preserve">и 0,2 млн. лв. одобрен допълнителен трансфер съгласно ПМС № 31 от 2017 г. за разходи по подготовката и произвеждането на избори за народни представители на 26.03.2017 г. </w:t>
      </w:r>
      <w:r w:rsidRPr="00945FC6">
        <w:t xml:space="preserve">Към </w:t>
      </w:r>
      <w:r w:rsidR="00904608" w:rsidRPr="00945FC6">
        <w:t>30</w:t>
      </w:r>
      <w:r w:rsidRPr="00945FC6">
        <w:t>.</w:t>
      </w:r>
      <w:r w:rsidR="00904608" w:rsidRPr="00945FC6">
        <w:t>06</w:t>
      </w:r>
      <w:r w:rsidRPr="00945FC6">
        <w:t xml:space="preserve">.2017 г. отчетените </w:t>
      </w:r>
      <w:r w:rsidRPr="00945FC6">
        <w:rPr>
          <w:b/>
        </w:rPr>
        <w:t>трансфери</w:t>
      </w:r>
      <w:r w:rsidRPr="00945FC6">
        <w:t xml:space="preserve"> от централния бюджет са в размер на </w:t>
      </w:r>
      <w:r w:rsidR="00904608" w:rsidRPr="00945FC6">
        <w:t>21,8</w:t>
      </w:r>
      <w:r w:rsidRPr="00945FC6">
        <w:t xml:space="preserve"> млн. лв. </w:t>
      </w:r>
      <w:r w:rsidRPr="00904608">
        <w:rPr>
          <w:szCs w:val="20"/>
        </w:rPr>
        <w:t>(</w:t>
      </w:r>
      <w:r w:rsidR="00904608" w:rsidRPr="00904608">
        <w:rPr>
          <w:szCs w:val="20"/>
        </w:rPr>
        <w:t>51,4</w:t>
      </w:r>
      <w:r w:rsidRPr="00904608">
        <w:t> %  от предвидените за годината</w:t>
      </w:r>
      <w:r w:rsidRPr="00904608">
        <w:rPr>
          <w:lang w:eastAsia="bg-BG"/>
        </w:rPr>
        <w:t>)</w:t>
      </w:r>
      <w:r w:rsidRPr="00904608">
        <w:t xml:space="preserve">. </w:t>
      </w:r>
    </w:p>
    <w:p w:rsidR="0092459E" w:rsidRPr="00FE7930" w:rsidRDefault="0092459E" w:rsidP="0092459E">
      <w:pPr>
        <w:ind w:firstLine="567"/>
        <w:jc w:val="both"/>
        <w:rPr>
          <w:b/>
          <w:szCs w:val="20"/>
        </w:rPr>
      </w:pPr>
      <w:r w:rsidRPr="00E52EE2">
        <w:rPr>
          <w:b/>
          <w:szCs w:val="20"/>
        </w:rPr>
        <w:lastRenderedPageBreak/>
        <w:t xml:space="preserve">Приходите на БТА </w:t>
      </w:r>
      <w:r w:rsidRPr="00E52EE2">
        <w:rPr>
          <w:szCs w:val="20"/>
        </w:rPr>
        <w:t xml:space="preserve">към </w:t>
      </w:r>
      <w:r w:rsidR="00E52EE2" w:rsidRPr="00E52EE2">
        <w:rPr>
          <w:szCs w:val="20"/>
        </w:rPr>
        <w:t>30</w:t>
      </w:r>
      <w:r w:rsidRPr="00E52EE2">
        <w:rPr>
          <w:szCs w:val="20"/>
        </w:rPr>
        <w:t>.</w:t>
      </w:r>
      <w:r w:rsidR="00E52EE2" w:rsidRPr="00E52EE2">
        <w:rPr>
          <w:szCs w:val="20"/>
        </w:rPr>
        <w:t>06</w:t>
      </w:r>
      <w:r w:rsidRPr="00E52EE2">
        <w:rPr>
          <w:szCs w:val="20"/>
        </w:rPr>
        <w:t>.2017 г. са 0,</w:t>
      </w:r>
      <w:r w:rsidR="00E52EE2" w:rsidRPr="00E52EE2">
        <w:rPr>
          <w:szCs w:val="20"/>
        </w:rPr>
        <w:t>9</w:t>
      </w:r>
      <w:r w:rsidR="00E52EE2">
        <w:rPr>
          <w:szCs w:val="20"/>
        </w:rPr>
        <w:t xml:space="preserve"> </w:t>
      </w:r>
      <w:r w:rsidRPr="00E52EE2">
        <w:rPr>
          <w:szCs w:val="20"/>
        </w:rPr>
        <w:t xml:space="preserve">млн. лв. или </w:t>
      </w:r>
      <w:r w:rsidR="00E52EE2" w:rsidRPr="00E52EE2">
        <w:rPr>
          <w:szCs w:val="20"/>
        </w:rPr>
        <w:t>55</w:t>
      </w:r>
      <w:r w:rsidRPr="00E52EE2">
        <w:rPr>
          <w:szCs w:val="20"/>
        </w:rPr>
        <w:t>,</w:t>
      </w:r>
      <w:r w:rsidR="004C4285">
        <w:rPr>
          <w:szCs w:val="20"/>
        </w:rPr>
        <w:t>8</w:t>
      </w:r>
      <w:r w:rsidRPr="00E52EE2">
        <w:rPr>
          <w:szCs w:val="20"/>
        </w:rPr>
        <w:t xml:space="preserve"> % от предвидените за годината, като това са основно постъпления от продажба на информационни продукти и услуги.</w:t>
      </w:r>
    </w:p>
    <w:p w:rsidR="0092459E" w:rsidRPr="00FE7930" w:rsidRDefault="0092459E" w:rsidP="0092459E">
      <w:pPr>
        <w:ind w:firstLine="567"/>
        <w:jc w:val="both"/>
        <w:rPr>
          <w:szCs w:val="20"/>
        </w:rPr>
      </w:pPr>
      <w:r w:rsidRPr="00FE7930">
        <w:rPr>
          <w:b/>
          <w:szCs w:val="20"/>
        </w:rPr>
        <w:t xml:space="preserve">Отчетените разходи на </w:t>
      </w:r>
      <w:r w:rsidRPr="00FE7930">
        <w:rPr>
          <w:szCs w:val="20"/>
        </w:rPr>
        <w:t xml:space="preserve">БТА за периода са </w:t>
      </w:r>
      <w:r w:rsidR="00FE7930" w:rsidRPr="00FE7930">
        <w:rPr>
          <w:szCs w:val="20"/>
        </w:rPr>
        <w:t>3,4</w:t>
      </w:r>
      <w:r w:rsidRPr="00FE7930">
        <w:rPr>
          <w:szCs w:val="20"/>
        </w:rPr>
        <w:t xml:space="preserve"> млн. лв., което е </w:t>
      </w:r>
      <w:r w:rsidR="00FE7930" w:rsidRPr="00FE7930">
        <w:rPr>
          <w:szCs w:val="20"/>
        </w:rPr>
        <w:t>51,5</w:t>
      </w:r>
      <w:r w:rsidRPr="00FE7930">
        <w:rPr>
          <w:szCs w:val="20"/>
        </w:rPr>
        <w:t xml:space="preserve"> % от годишния разчет по ЗДБРБ за 2017 г., в т.ч. разходи за персонал – </w:t>
      </w:r>
      <w:r w:rsidR="00FE7930" w:rsidRPr="00FE7930">
        <w:rPr>
          <w:szCs w:val="20"/>
        </w:rPr>
        <w:t>2,5</w:t>
      </w:r>
      <w:r w:rsidRPr="00FE7930">
        <w:rPr>
          <w:szCs w:val="20"/>
        </w:rPr>
        <w:t xml:space="preserve"> млн. лв. и разходи за издръжка – 0,</w:t>
      </w:r>
      <w:r w:rsidR="00FE7930" w:rsidRPr="00FE7930">
        <w:rPr>
          <w:szCs w:val="20"/>
        </w:rPr>
        <w:t>7</w:t>
      </w:r>
      <w:r w:rsidRPr="00FE7930">
        <w:rPr>
          <w:szCs w:val="20"/>
        </w:rPr>
        <w:t xml:space="preserve"> млн. лв. Общо утвърдените</w:t>
      </w:r>
      <w:r w:rsidRPr="00FE7930">
        <w:rPr>
          <w:b/>
          <w:i/>
        </w:rPr>
        <w:t xml:space="preserve"> бюджетни взаимоотношения на БТА с централния бюджет</w:t>
      </w:r>
      <w:r w:rsidRPr="00FE7930">
        <w:rPr>
          <w:szCs w:val="20"/>
        </w:rPr>
        <w:t xml:space="preserve"> за 2017 г. са в размер на 4,8 млн. лв. Отчетените трансфери са в размер</w:t>
      </w:r>
      <w:r w:rsidRPr="00FE7930">
        <w:rPr>
          <w:b/>
          <w:szCs w:val="20"/>
        </w:rPr>
        <w:t xml:space="preserve"> </w:t>
      </w:r>
      <w:r w:rsidRPr="00FE7930">
        <w:rPr>
          <w:szCs w:val="20"/>
        </w:rPr>
        <w:t xml:space="preserve">на </w:t>
      </w:r>
      <w:r w:rsidR="00FE7930" w:rsidRPr="00FE7930">
        <w:rPr>
          <w:szCs w:val="20"/>
        </w:rPr>
        <w:t>2,6</w:t>
      </w:r>
      <w:r w:rsidRPr="00FE7930">
        <w:rPr>
          <w:szCs w:val="20"/>
        </w:rPr>
        <w:t xml:space="preserve"> млн. лв. или </w:t>
      </w:r>
      <w:r w:rsidR="00FE7930" w:rsidRPr="00FE7930">
        <w:rPr>
          <w:szCs w:val="20"/>
        </w:rPr>
        <w:t>54,6</w:t>
      </w:r>
      <w:r w:rsidRPr="00FE7930">
        <w:rPr>
          <w:szCs w:val="20"/>
        </w:rPr>
        <w:t xml:space="preserve"> % от средствата, определени за БТА със ЗДБРБ за 2017 година.</w:t>
      </w:r>
    </w:p>
    <w:p w:rsidR="007F65FF" w:rsidRPr="0092537A" w:rsidRDefault="007F65FF" w:rsidP="00DB70EE">
      <w:pPr>
        <w:jc w:val="both"/>
        <w:rPr>
          <w:color w:val="0070C0"/>
          <w:lang w:val="en-US"/>
        </w:rPr>
      </w:pPr>
    </w:p>
    <w:p w:rsidR="002B3E0D" w:rsidRPr="0092537A" w:rsidRDefault="002B3E0D" w:rsidP="00BE52A7">
      <w:pPr>
        <w:pStyle w:val="Title"/>
        <w:jc w:val="both"/>
        <w:rPr>
          <w:color w:val="0070C0"/>
        </w:rPr>
      </w:pPr>
    </w:p>
    <w:p w:rsidR="008D0DFE" w:rsidRDefault="00BE52A7" w:rsidP="00BE52A7">
      <w:pPr>
        <w:pStyle w:val="Title"/>
        <w:jc w:val="both"/>
      </w:pPr>
      <w:r w:rsidRPr="0029768D">
        <w:t xml:space="preserve">Министерство на финансите, </w:t>
      </w:r>
      <w:r w:rsidR="0029768D" w:rsidRPr="0029768D">
        <w:t>авг</w:t>
      </w:r>
      <w:r w:rsidR="0029768D">
        <w:t>у</w:t>
      </w:r>
      <w:r w:rsidR="0029768D" w:rsidRPr="0029768D">
        <w:t>ст</w:t>
      </w:r>
      <w:r w:rsidR="0097264F" w:rsidRPr="0029768D">
        <w:t xml:space="preserve"> </w:t>
      </w:r>
      <w:r w:rsidRPr="0029768D">
        <w:t>201</w:t>
      </w:r>
      <w:r w:rsidR="00967BB9" w:rsidRPr="0029768D">
        <w:t>7</w:t>
      </w:r>
      <w:r w:rsidRPr="0029768D">
        <w:t xml:space="preserve"> г.</w:t>
      </w:r>
    </w:p>
    <w:p w:rsidR="009F7A80" w:rsidRDefault="009F7A80" w:rsidP="00BE52A7">
      <w:pPr>
        <w:pStyle w:val="Title"/>
        <w:jc w:val="both"/>
      </w:pPr>
    </w:p>
    <w:p w:rsidR="009F7A80" w:rsidRDefault="009F7A80" w:rsidP="00BE52A7">
      <w:pPr>
        <w:pStyle w:val="Title"/>
        <w:jc w:val="both"/>
      </w:pPr>
    </w:p>
    <w:p w:rsidR="009F7A80" w:rsidRPr="0029768D" w:rsidRDefault="009F7A80" w:rsidP="00BE52A7">
      <w:pPr>
        <w:pStyle w:val="Title"/>
        <w:jc w:val="both"/>
      </w:pPr>
    </w:p>
    <w:p w:rsidR="00CA7CA8" w:rsidRPr="0092537A" w:rsidRDefault="00CA7CA8" w:rsidP="00BE52A7">
      <w:pPr>
        <w:pStyle w:val="Title"/>
        <w:jc w:val="both"/>
        <w:rPr>
          <w:color w:val="0070C0"/>
        </w:rPr>
      </w:pPr>
    </w:p>
    <w:sectPr w:rsidR="00CA7CA8" w:rsidRPr="0092537A" w:rsidSect="002C24D7">
      <w:footerReference w:type="even" r:id="rId10"/>
      <w:footerReference w:type="default" r:id="rId11"/>
      <w:endnotePr>
        <w:numFmt w:val="decimal"/>
      </w:endnotePr>
      <w:type w:val="continuous"/>
      <w:pgSz w:w="11906" w:h="16838"/>
      <w:pgMar w:top="851" w:right="1106" w:bottom="567"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83" w:rsidRDefault="006E2383">
      <w:r>
        <w:separator/>
      </w:r>
    </w:p>
  </w:endnote>
  <w:endnote w:type="continuationSeparator" w:id="0">
    <w:p w:rsidR="006E2383" w:rsidRDefault="006E2383">
      <w:r>
        <w:continuationSeparator/>
      </w:r>
    </w:p>
  </w:endnote>
  <w:endnote w:type="continuationNotice" w:id="1">
    <w:p w:rsidR="006E2383" w:rsidRDefault="006E2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5B" w:rsidRDefault="00E0505B"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05B" w:rsidRDefault="00E0505B" w:rsidP="00A741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5B" w:rsidRDefault="00E0505B"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1907">
      <w:rPr>
        <w:rStyle w:val="PageNumber"/>
        <w:noProof/>
      </w:rPr>
      <w:t>23</w:t>
    </w:r>
    <w:r>
      <w:rPr>
        <w:rStyle w:val="PageNumber"/>
      </w:rPr>
      <w:fldChar w:fldCharType="end"/>
    </w:r>
  </w:p>
  <w:p w:rsidR="00E0505B" w:rsidRDefault="00E0505B" w:rsidP="00A741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83" w:rsidRDefault="006E2383">
      <w:r>
        <w:separator/>
      </w:r>
    </w:p>
  </w:footnote>
  <w:footnote w:type="continuationSeparator" w:id="0">
    <w:p w:rsidR="006E2383" w:rsidRDefault="006E2383">
      <w:r>
        <w:continuationSeparator/>
      </w:r>
    </w:p>
  </w:footnote>
  <w:footnote w:type="continuationNotice" w:id="1">
    <w:p w:rsidR="006E2383" w:rsidRDefault="006E2383"/>
  </w:footnote>
  <w:footnote w:id="2">
    <w:p w:rsidR="00E0505B" w:rsidRDefault="00E0505B" w:rsidP="00E74802">
      <w:pPr>
        <w:pStyle w:val="FootnoteText"/>
        <w:jc w:val="both"/>
      </w:pPr>
      <w:r>
        <w:rPr>
          <w:rStyle w:val="FootnoteReference"/>
        </w:rPr>
        <w:footnoteRef/>
      </w:r>
      <w:r>
        <w:t xml:space="preserve"> </w:t>
      </w:r>
      <w:r w:rsidRPr="00335B65">
        <w:rPr>
          <w:sz w:val="18"/>
          <w:szCs w:val="16"/>
          <w:lang w:val="bg-BG"/>
        </w:rPr>
        <w:t xml:space="preserve">Обхваща държавния бюджет и  бюджетите на общините, </w:t>
      </w:r>
      <w:proofErr w:type="spellStart"/>
      <w:r w:rsidRPr="00335B65">
        <w:rPr>
          <w:sz w:val="18"/>
          <w:szCs w:val="16"/>
          <w:lang w:val="bg-BG"/>
        </w:rPr>
        <w:t>социалноосигурителните</w:t>
      </w:r>
      <w:proofErr w:type="spellEnd"/>
      <w:r w:rsidRPr="00335B65">
        <w:rPr>
          <w:sz w:val="18"/>
          <w:szCs w:val="16"/>
          <w:lang w:val="bg-BG"/>
        </w:rPr>
        <w:t xml:space="preserve">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2016 г. са на база месечни отчети, а тези за 2015 г. - на база тримесечни отчети на ПРБ.</w:t>
      </w:r>
    </w:p>
  </w:footnote>
  <w:footnote w:id="3">
    <w:p w:rsidR="00E0505B" w:rsidRPr="00B70BD3" w:rsidRDefault="00E0505B" w:rsidP="00E74802">
      <w:pPr>
        <w:pStyle w:val="FootnoteText"/>
        <w:rPr>
          <w:sz w:val="18"/>
          <w:szCs w:val="18"/>
        </w:rPr>
      </w:pPr>
      <w:r w:rsidRPr="00B70BD3">
        <w:rPr>
          <w:rStyle w:val="FootnoteReference"/>
          <w:sz w:val="18"/>
          <w:szCs w:val="18"/>
        </w:rPr>
        <w:footnoteRef/>
      </w:r>
      <w:r w:rsidRPr="00B70BD3">
        <w:rPr>
          <w:sz w:val="18"/>
          <w:szCs w:val="18"/>
        </w:rPr>
        <w:t xml:space="preserve"> </w:t>
      </w:r>
      <w:r w:rsidRPr="00B70BD3">
        <w:rPr>
          <w:sz w:val="18"/>
          <w:szCs w:val="18"/>
          <w:lang w:val="bg-BG"/>
        </w:rPr>
        <w:t>Поради извършено закръгление в млн. лв., някои сумарни позиции в Таблица №1</w:t>
      </w:r>
      <w:r>
        <w:rPr>
          <w:sz w:val="18"/>
          <w:szCs w:val="18"/>
          <w:lang w:val="bg-BG"/>
        </w:rPr>
        <w:t>,</w:t>
      </w:r>
      <w:r w:rsidRPr="00B70BD3">
        <w:rPr>
          <w:sz w:val="18"/>
          <w:szCs w:val="18"/>
          <w:lang w:val="bg-BG"/>
        </w:rPr>
        <w:t xml:space="preserve"> Таблица  №2</w:t>
      </w:r>
      <w:r>
        <w:rPr>
          <w:sz w:val="18"/>
          <w:szCs w:val="18"/>
          <w:lang w:val="bg-BG"/>
        </w:rPr>
        <w:t xml:space="preserve"> и в текста </w:t>
      </w:r>
      <w:r w:rsidRPr="00B70BD3">
        <w:rPr>
          <w:sz w:val="18"/>
          <w:szCs w:val="18"/>
          <w:lang w:val="bg-BG"/>
        </w:rPr>
        <w:t xml:space="preserve"> не се изчерпват от съставните им числа.</w:t>
      </w:r>
    </w:p>
  </w:footnote>
  <w:footnote w:id="4">
    <w:p w:rsidR="00E0505B" w:rsidRPr="00E74802" w:rsidRDefault="00E0505B" w:rsidP="00E74802">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Обхватът на показателя фискален резерв е в съответствие с §1, т. 41 от Допълнителните разпоредби на Закона за публичните финанси. </w:t>
      </w:r>
    </w:p>
  </w:footnote>
  <w:footnote w:id="5">
    <w:p w:rsidR="00E0505B" w:rsidRPr="00DF79A3" w:rsidRDefault="00E0505B" w:rsidP="001E7EA4">
      <w:pPr>
        <w:pStyle w:val="FootnoteText"/>
        <w:rPr>
          <w:lang w:val="bg-BG"/>
        </w:rPr>
      </w:pPr>
      <w:r w:rsidRPr="00F97BCC">
        <w:rPr>
          <w:rStyle w:val="FootnoteReference"/>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6">
    <w:p w:rsidR="00E0505B" w:rsidRPr="00BA6AD2" w:rsidRDefault="00E0505B" w:rsidP="00F226B6">
      <w:pPr>
        <w:pStyle w:val="FootnoteText"/>
        <w:jc w:val="both"/>
        <w:rPr>
          <w:sz w:val="18"/>
          <w:szCs w:val="18"/>
          <w:lang w:val="bg-BG"/>
        </w:rPr>
      </w:pPr>
      <w:r w:rsidRPr="00182A94">
        <w:rPr>
          <w:rStyle w:val="FootnoteReference"/>
          <w:sz w:val="18"/>
          <w:szCs w:val="18"/>
          <w:lang w:val="bg-BG"/>
        </w:rPr>
        <w:footnoteRef/>
      </w:r>
      <w:r w:rsidRPr="00182A94">
        <w:rPr>
          <w:sz w:val="18"/>
          <w:szCs w:val="18"/>
          <w:lang w:val="bg-BG"/>
        </w:rPr>
        <w:t xml:space="preserve"> Поради извършено закръгление в млн. лв., някои сумарни позиции в Таблица №1</w:t>
      </w:r>
      <w:r>
        <w:rPr>
          <w:sz w:val="18"/>
          <w:szCs w:val="18"/>
          <w:lang w:val="bg-BG"/>
        </w:rPr>
        <w:t xml:space="preserve">, </w:t>
      </w:r>
      <w:r w:rsidRPr="00182A94">
        <w:rPr>
          <w:sz w:val="18"/>
          <w:szCs w:val="18"/>
          <w:lang w:val="bg-BG"/>
        </w:rPr>
        <w:t>Таблица №</w:t>
      </w:r>
      <w:r>
        <w:rPr>
          <w:sz w:val="18"/>
          <w:szCs w:val="18"/>
          <w:lang w:val="bg-BG"/>
        </w:rPr>
        <w:t>2</w:t>
      </w:r>
      <w:r w:rsidRPr="00182A94">
        <w:rPr>
          <w:sz w:val="18"/>
          <w:szCs w:val="18"/>
          <w:lang w:val="bg-BG"/>
        </w:rPr>
        <w:t xml:space="preserve"> и в текста не се изчерпват от </w:t>
      </w:r>
      <w:r w:rsidRPr="00BA6AD2">
        <w:rPr>
          <w:sz w:val="18"/>
          <w:szCs w:val="18"/>
          <w:lang w:val="bg-BG"/>
        </w:rPr>
        <w:t>съставните им числа.</w:t>
      </w:r>
    </w:p>
  </w:footnote>
  <w:footnote w:id="7">
    <w:p w:rsidR="00E0505B" w:rsidRPr="00AE031F" w:rsidRDefault="00E0505B" w:rsidP="00FE769B">
      <w:pPr>
        <w:pStyle w:val="FootnoteText"/>
        <w:jc w:val="both"/>
        <w:rPr>
          <w:sz w:val="18"/>
          <w:szCs w:val="18"/>
          <w:lang w:val="bg-BG"/>
        </w:rPr>
      </w:pPr>
      <w:r w:rsidRPr="00B94753">
        <w:rPr>
          <w:rStyle w:val="FootnoteReference"/>
          <w:sz w:val="18"/>
          <w:szCs w:val="18"/>
        </w:rPr>
        <w:footnoteRef/>
      </w:r>
      <w:r w:rsidRPr="00B94753">
        <w:rPr>
          <w:sz w:val="18"/>
          <w:szCs w:val="18"/>
        </w:rPr>
        <w:t xml:space="preserve"> </w:t>
      </w:r>
      <w:r w:rsidRPr="00AE031F">
        <w:rPr>
          <w:sz w:val="18"/>
          <w:szCs w:val="18"/>
          <w:lang w:val="bg-BG"/>
        </w:rPr>
        <w:t>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090"/>
    <w:multiLevelType w:val="hybridMultilevel"/>
    <w:tmpl w:val="92F660C8"/>
    <w:lvl w:ilvl="0" w:tplc="0402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194083D"/>
    <w:multiLevelType w:val="hybridMultilevel"/>
    <w:tmpl w:val="B434DC02"/>
    <w:lvl w:ilvl="0" w:tplc="54C466F6">
      <w:numFmt w:val="bullet"/>
      <w:lvlText w:val="-"/>
      <w:lvlJc w:val="left"/>
      <w:pPr>
        <w:tabs>
          <w:tab w:val="num" w:pos="1500"/>
        </w:tabs>
        <w:ind w:left="15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EE0108"/>
    <w:multiLevelType w:val="hybridMultilevel"/>
    <w:tmpl w:val="8222E77A"/>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25A20358"/>
    <w:multiLevelType w:val="hybridMultilevel"/>
    <w:tmpl w:val="E1D8CE2E"/>
    <w:lvl w:ilvl="0" w:tplc="B8369D36">
      <w:start w:val="1"/>
      <w:numFmt w:val="bullet"/>
      <w:lvlText w:val=""/>
      <w:lvlJc w:val="left"/>
      <w:pPr>
        <w:tabs>
          <w:tab w:val="num" w:pos="898"/>
        </w:tabs>
        <w:ind w:left="0" w:firstLine="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34706099"/>
    <w:multiLevelType w:val="hybridMultilevel"/>
    <w:tmpl w:val="517EAAC6"/>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nsid w:val="40506C4C"/>
    <w:multiLevelType w:val="hybridMultilevel"/>
    <w:tmpl w:val="8E46A080"/>
    <w:lvl w:ilvl="0" w:tplc="0402000B">
      <w:start w:val="1"/>
      <w:numFmt w:val="bullet"/>
      <w:lvlText w:val=""/>
      <w:lvlJc w:val="left"/>
      <w:pPr>
        <w:tabs>
          <w:tab w:val="num" w:pos="720"/>
        </w:tabs>
        <w:ind w:left="720"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2">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6">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8">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nsid w:val="643A5E75"/>
    <w:multiLevelType w:val="hybridMultilevel"/>
    <w:tmpl w:val="F88C976A"/>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4">
    <w:nsid w:val="6E544B1C"/>
    <w:multiLevelType w:val="hybridMultilevel"/>
    <w:tmpl w:val="F19A58DE"/>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5">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70676522"/>
    <w:multiLevelType w:val="hybridMultilevel"/>
    <w:tmpl w:val="4E68849A"/>
    <w:lvl w:ilvl="0" w:tplc="0402000D">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7">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8">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74896D38"/>
    <w:multiLevelType w:val="hybridMultilevel"/>
    <w:tmpl w:val="ADA8828A"/>
    <w:lvl w:ilvl="0" w:tplc="0402000D">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0">
    <w:nsid w:val="76A5689F"/>
    <w:multiLevelType w:val="hybridMultilevel"/>
    <w:tmpl w:val="AC2CA350"/>
    <w:lvl w:ilvl="0" w:tplc="EBA0D610">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1"/>
  </w:num>
  <w:num w:numId="3">
    <w:abstractNumId w:val="22"/>
  </w:num>
  <w:num w:numId="4">
    <w:abstractNumId w:val="8"/>
  </w:num>
  <w:num w:numId="5">
    <w:abstractNumId w:val="25"/>
  </w:num>
  <w:num w:numId="6">
    <w:abstractNumId w:val="16"/>
  </w:num>
  <w:num w:numId="7">
    <w:abstractNumId w:val="20"/>
  </w:num>
  <w:num w:numId="8">
    <w:abstractNumId w:val="10"/>
  </w:num>
  <w:num w:numId="9">
    <w:abstractNumId w:val="14"/>
  </w:num>
  <w:num w:numId="10">
    <w:abstractNumId w:val="27"/>
  </w:num>
  <w:num w:numId="11">
    <w:abstractNumId w:val="21"/>
  </w:num>
  <w:num w:numId="12">
    <w:abstractNumId w:val="19"/>
  </w:num>
  <w:num w:numId="13">
    <w:abstractNumId w:val="2"/>
  </w:num>
  <w:num w:numId="14">
    <w:abstractNumId w:val="31"/>
  </w:num>
  <w:num w:numId="15">
    <w:abstractNumId w:val="28"/>
  </w:num>
  <w:num w:numId="16">
    <w:abstractNumId w:val="1"/>
  </w:num>
  <w:num w:numId="17">
    <w:abstractNumId w:val="23"/>
  </w:num>
  <w:num w:numId="18">
    <w:abstractNumId w:val="12"/>
  </w:num>
  <w:num w:numId="19">
    <w:abstractNumId w:val="5"/>
  </w:num>
  <w:num w:numId="20">
    <w:abstractNumId w:val="15"/>
  </w:num>
  <w:num w:numId="21">
    <w:abstractNumId w:val="6"/>
  </w:num>
  <w:num w:numId="22">
    <w:abstractNumId w:val="7"/>
  </w:num>
  <w:num w:numId="23">
    <w:abstractNumId w:val="29"/>
  </w:num>
  <w:num w:numId="24">
    <w:abstractNumId w:val="13"/>
  </w:num>
  <w:num w:numId="25">
    <w:abstractNumId w:val="17"/>
  </w:num>
  <w:num w:numId="26">
    <w:abstractNumId w:val="4"/>
  </w:num>
  <w:num w:numId="27">
    <w:abstractNumId w:val="9"/>
  </w:num>
  <w:num w:numId="28">
    <w:abstractNumId w:val="24"/>
  </w:num>
  <w:num w:numId="29">
    <w:abstractNumId w:val="0"/>
  </w:num>
  <w:num w:numId="30">
    <w:abstractNumId w:val="18"/>
  </w:num>
  <w:num w:numId="31">
    <w:abstractNumId w:val="26"/>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2BD7"/>
    <w:rsid w:val="00002D9C"/>
    <w:rsid w:val="00004264"/>
    <w:rsid w:val="000063FC"/>
    <w:rsid w:val="0000691E"/>
    <w:rsid w:val="000111D3"/>
    <w:rsid w:val="00012AE6"/>
    <w:rsid w:val="00013B93"/>
    <w:rsid w:val="00013C59"/>
    <w:rsid w:val="000146EA"/>
    <w:rsid w:val="000150C2"/>
    <w:rsid w:val="000158A2"/>
    <w:rsid w:val="000175C7"/>
    <w:rsid w:val="00021A5F"/>
    <w:rsid w:val="000221B7"/>
    <w:rsid w:val="000229E1"/>
    <w:rsid w:val="00022D9E"/>
    <w:rsid w:val="000233A3"/>
    <w:rsid w:val="000234A5"/>
    <w:rsid w:val="0002351F"/>
    <w:rsid w:val="0002477E"/>
    <w:rsid w:val="000249B9"/>
    <w:rsid w:val="000256B4"/>
    <w:rsid w:val="00025953"/>
    <w:rsid w:val="00025F45"/>
    <w:rsid w:val="00026903"/>
    <w:rsid w:val="0002693A"/>
    <w:rsid w:val="00026AD5"/>
    <w:rsid w:val="00027951"/>
    <w:rsid w:val="000307D3"/>
    <w:rsid w:val="000311EA"/>
    <w:rsid w:val="00031377"/>
    <w:rsid w:val="00031593"/>
    <w:rsid w:val="00032966"/>
    <w:rsid w:val="00034135"/>
    <w:rsid w:val="00034FE3"/>
    <w:rsid w:val="000359FA"/>
    <w:rsid w:val="0003621F"/>
    <w:rsid w:val="00036A1B"/>
    <w:rsid w:val="000378DC"/>
    <w:rsid w:val="0004080C"/>
    <w:rsid w:val="0004098D"/>
    <w:rsid w:val="00040C20"/>
    <w:rsid w:val="000411D9"/>
    <w:rsid w:val="00041338"/>
    <w:rsid w:val="00042634"/>
    <w:rsid w:val="0004338F"/>
    <w:rsid w:val="000436DD"/>
    <w:rsid w:val="00043AA0"/>
    <w:rsid w:val="00043AB2"/>
    <w:rsid w:val="00043E35"/>
    <w:rsid w:val="0004426E"/>
    <w:rsid w:val="00044273"/>
    <w:rsid w:val="0004753C"/>
    <w:rsid w:val="00050A1B"/>
    <w:rsid w:val="00051E5E"/>
    <w:rsid w:val="00052C5C"/>
    <w:rsid w:val="00053209"/>
    <w:rsid w:val="000546BF"/>
    <w:rsid w:val="00054E02"/>
    <w:rsid w:val="00055007"/>
    <w:rsid w:val="00055A61"/>
    <w:rsid w:val="00056221"/>
    <w:rsid w:val="00056D9D"/>
    <w:rsid w:val="0005737D"/>
    <w:rsid w:val="00057886"/>
    <w:rsid w:val="00060A02"/>
    <w:rsid w:val="0006166E"/>
    <w:rsid w:val="00063235"/>
    <w:rsid w:val="00063E15"/>
    <w:rsid w:val="000642B9"/>
    <w:rsid w:val="0006477A"/>
    <w:rsid w:val="00064AF3"/>
    <w:rsid w:val="00064C44"/>
    <w:rsid w:val="00064E39"/>
    <w:rsid w:val="00065A46"/>
    <w:rsid w:val="000663D1"/>
    <w:rsid w:val="00066EED"/>
    <w:rsid w:val="00067283"/>
    <w:rsid w:val="00071F12"/>
    <w:rsid w:val="00072385"/>
    <w:rsid w:val="00072D22"/>
    <w:rsid w:val="00073DF5"/>
    <w:rsid w:val="000751C1"/>
    <w:rsid w:val="00075256"/>
    <w:rsid w:val="000768B3"/>
    <w:rsid w:val="00080AB2"/>
    <w:rsid w:val="00080EF5"/>
    <w:rsid w:val="0008155D"/>
    <w:rsid w:val="000819F9"/>
    <w:rsid w:val="00081AFD"/>
    <w:rsid w:val="00082BD9"/>
    <w:rsid w:val="0008327E"/>
    <w:rsid w:val="000832E5"/>
    <w:rsid w:val="0008357F"/>
    <w:rsid w:val="00085E01"/>
    <w:rsid w:val="00085E1A"/>
    <w:rsid w:val="00086FA7"/>
    <w:rsid w:val="00087295"/>
    <w:rsid w:val="000878C4"/>
    <w:rsid w:val="0009002F"/>
    <w:rsid w:val="000902B5"/>
    <w:rsid w:val="00090D1D"/>
    <w:rsid w:val="00091196"/>
    <w:rsid w:val="00091FFE"/>
    <w:rsid w:val="000937AB"/>
    <w:rsid w:val="000937E0"/>
    <w:rsid w:val="0009743A"/>
    <w:rsid w:val="000A09BA"/>
    <w:rsid w:val="000A373C"/>
    <w:rsid w:val="000A3F57"/>
    <w:rsid w:val="000A5B32"/>
    <w:rsid w:val="000A7943"/>
    <w:rsid w:val="000B09E5"/>
    <w:rsid w:val="000B0C30"/>
    <w:rsid w:val="000B11FB"/>
    <w:rsid w:val="000B175F"/>
    <w:rsid w:val="000B1A24"/>
    <w:rsid w:val="000B1E59"/>
    <w:rsid w:val="000B2CBE"/>
    <w:rsid w:val="000B5F1E"/>
    <w:rsid w:val="000B62C7"/>
    <w:rsid w:val="000B7234"/>
    <w:rsid w:val="000B7447"/>
    <w:rsid w:val="000B7C4F"/>
    <w:rsid w:val="000B7E66"/>
    <w:rsid w:val="000C06FE"/>
    <w:rsid w:val="000C0FA1"/>
    <w:rsid w:val="000C13A5"/>
    <w:rsid w:val="000C299E"/>
    <w:rsid w:val="000C2FAC"/>
    <w:rsid w:val="000C35F8"/>
    <w:rsid w:val="000C363F"/>
    <w:rsid w:val="000C5ACF"/>
    <w:rsid w:val="000C5C6D"/>
    <w:rsid w:val="000C69AE"/>
    <w:rsid w:val="000C6CB5"/>
    <w:rsid w:val="000C6CF3"/>
    <w:rsid w:val="000C7303"/>
    <w:rsid w:val="000C7BB6"/>
    <w:rsid w:val="000D0538"/>
    <w:rsid w:val="000D0AB1"/>
    <w:rsid w:val="000D2516"/>
    <w:rsid w:val="000D2B33"/>
    <w:rsid w:val="000D2BE7"/>
    <w:rsid w:val="000D3942"/>
    <w:rsid w:val="000D3FA7"/>
    <w:rsid w:val="000D49F5"/>
    <w:rsid w:val="000D4BEB"/>
    <w:rsid w:val="000D6D92"/>
    <w:rsid w:val="000D725A"/>
    <w:rsid w:val="000D740D"/>
    <w:rsid w:val="000D78E4"/>
    <w:rsid w:val="000E1529"/>
    <w:rsid w:val="000E1EAF"/>
    <w:rsid w:val="000E1FB5"/>
    <w:rsid w:val="000E234B"/>
    <w:rsid w:val="000E2894"/>
    <w:rsid w:val="000E39DF"/>
    <w:rsid w:val="000E5205"/>
    <w:rsid w:val="000E5295"/>
    <w:rsid w:val="000E5483"/>
    <w:rsid w:val="000E5EE9"/>
    <w:rsid w:val="000E632B"/>
    <w:rsid w:val="000F04F4"/>
    <w:rsid w:val="000F26DE"/>
    <w:rsid w:val="000F3534"/>
    <w:rsid w:val="000F3EA1"/>
    <w:rsid w:val="000F47A8"/>
    <w:rsid w:val="000F5080"/>
    <w:rsid w:val="000F5EF4"/>
    <w:rsid w:val="000F5F76"/>
    <w:rsid w:val="000F6B35"/>
    <w:rsid w:val="0010055E"/>
    <w:rsid w:val="001006E1"/>
    <w:rsid w:val="00100CE5"/>
    <w:rsid w:val="001011A4"/>
    <w:rsid w:val="001017B7"/>
    <w:rsid w:val="00102523"/>
    <w:rsid w:val="00102869"/>
    <w:rsid w:val="00102BA6"/>
    <w:rsid w:val="00103487"/>
    <w:rsid w:val="001046B0"/>
    <w:rsid w:val="00104BB5"/>
    <w:rsid w:val="001053A6"/>
    <w:rsid w:val="00106081"/>
    <w:rsid w:val="0010649F"/>
    <w:rsid w:val="0010683E"/>
    <w:rsid w:val="00107258"/>
    <w:rsid w:val="001077FA"/>
    <w:rsid w:val="00107F93"/>
    <w:rsid w:val="0011244D"/>
    <w:rsid w:val="001157F9"/>
    <w:rsid w:val="00116B20"/>
    <w:rsid w:val="00116D77"/>
    <w:rsid w:val="001179C1"/>
    <w:rsid w:val="00117C68"/>
    <w:rsid w:val="001202E6"/>
    <w:rsid w:val="00120CC7"/>
    <w:rsid w:val="00122FCA"/>
    <w:rsid w:val="00123862"/>
    <w:rsid w:val="00123B59"/>
    <w:rsid w:val="00124FB9"/>
    <w:rsid w:val="001260AA"/>
    <w:rsid w:val="001264C3"/>
    <w:rsid w:val="001269AE"/>
    <w:rsid w:val="00127D25"/>
    <w:rsid w:val="00131B05"/>
    <w:rsid w:val="00131B3E"/>
    <w:rsid w:val="00132AD1"/>
    <w:rsid w:val="00133033"/>
    <w:rsid w:val="00133644"/>
    <w:rsid w:val="0013522E"/>
    <w:rsid w:val="00135A23"/>
    <w:rsid w:val="001371FA"/>
    <w:rsid w:val="00141B03"/>
    <w:rsid w:val="00142979"/>
    <w:rsid w:val="00142EDB"/>
    <w:rsid w:val="00143814"/>
    <w:rsid w:val="001445AC"/>
    <w:rsid w:val="00144B67"/>
    <w:rsid w:val="00144B8D"/>
    <w:rsid w:val="00144BF2"/>
    <w:rsid w:val="0014585D"/>
    <w:rsid w:val="001462A0"/>
    <w:rsid w:val="00146C11"/>
    <w:rsid w:val="00147237"/>
    <w:rsid w:val="00150706"/>
    <w:rsid w:val="00151260"/>
    <w:rsid w:val="001514CB"/>
    <w:rsid w:val="001528EE"/>
    <w:rsid w:val="00152B9C"/>
    <w:rsid w:val="00153077"/>
    <w:rsid w:val="001535F3"/>
    <w:rsid w:val="00153DF3"/>
    <w:rsid w:val="00154FA1"/>
    <w:rsid w:val="00156B18"/>
    <w:rsid w:val="00156F40"/>
    <w:rsid w:val="00157673"/>
    <w:rsid w:val="00157B70"/>
    <w:rsid w:val="00157EC4"/>
    <w:rsid w:val="00157EF5"/>
    <w:rsid w:val="001606A4"/>
    <w:rsid w:val="00160C5B"/>
    <w:rsid w:val="0016116C"/>
    <w:rsid w:val="00161F90"/>
    <w:rsid w:val="00162F68"/>
    <w:rsid w:val="00163645"/>
    <w:rsid w:val="00165FF0"/>
    <w:rsid w:val="00166023"/>
    <w:rsid w:val="0017019D"/>
    <w:rsid w:val="00170EFE"/>
    <w:rsid w:val="0017216E"/>
    <w:rsid w:val="00172AEE"/>
    <w:rsid w:val="00175539"/>
    <w:rsid w:val="00175890"/>
    <w:rsid w:val="00176340"/>
    <w:rsid w:val="00176E98"/>
    <w:rsid w:val="00180811"/>
    <w:rsid w:val="0018154E"/>
    <w:rsid w:val="00181FCA"/>
    <w:rsid w:val="001820C4"/>
    <w:rsid w:val="00182A94"/>
    <w:rsid w:val="00182D63"/>
    <w:rsid w:val="00183392"/>
    <w:rsid w:val="0018398A"/>
    <w:rsid w:val="00183D5F"/>
    <w:rsid w:val="00183EA5"/>
    <w:rsid w:val="00184502"/>
    <w:rsid w:val="001845D5"/>
    <w:rsid w:val="001850C5"/>
    <w:rsid w:val="0018526D"/>
    <w:rsid w:val="00185A12"/>
    <w:rsid w:val="00185D08"/>
    <w:rsid w:val="00186C81"/>
    <w:rsid w:val="00186DF9"/>
    <w:rsid w:val="00190983"/>
    <w:rsid w:val="0019151C"/>
    <w:rsid w:val="00191AA6"/>
    <w:rsid w:val="00191F79"/>
    <w:rsid w:val="0019213B"/>
    <w:rsid w:val="0019232E"/>
    <w:rsid w:val="0019239F"/>
    <w:rsid w:val="001924F6"/>
    <w:rsid w:val="00192CFC"/>
    <w:rsid w:val="00193F20"/>
    <w:rsid w:val="00194166"/>
    <w:rsid w:val="001941E4"/>
    <w:rsid w:val="00195CF2"/>
    <w:rsid w:val="001965AA"/>
    <w:rsid w:val="001968E4"/>
    <w:rsid w:val="001971AE"/>
    <w:rsid w:val="00197392"/>
    <w:rsid w:val="00197EC3"/>
    <w:rsid w:val="001A0601"/>
    <w:rsid w:val="001A0BB0"/>
    <w:rsid w:val="001A1837"/>
    <w:rsid w:val="001A1C51"/>
    <w:rsid w:val="001A236F"/>
    <w:rsid w:val="001A28BA"/>
    <w:rsid w:val="001A3051"/>
    <w:rsid w:val="001A3387"/>
    <w:rsid w:val="001A5350"/>
    <w:rsid w:val="001A59AF"/>
    <w:rsid w:val="001A6777"/>
    <w:rsid w:val="001A718F"/>
    <w:rsid w:val="001B1217"/>
    <w:rsid w:val="001B20E4"/>
    <w:rsid w:val="001B2FCD"/>
    <w:rsid w:val="001B3285"/>
    <w:rsid w:val="001B370A"/>
    <w:rsid w:val="001B3E1C"/>
    <w:rsid w:val="001B44DB"/>
    <w:rsid w:val="001B5EA6"/>
    <w:rsid w:val="001B6F27"/>
    <w:rsid w:val="001C0F05"/>
    <w:rsid w:val="001C110F"/>
    <w:rsid w:val="001C1ACE"/>
    <w:rsid w:val="001C2EE5"/>
    <w:rsid w:val="001C4B35"/>
    <w:rsid w:val="001C4CCF"/>
    <w:rsid w:val="001C501A"/>
    <w:rsid w:val="001C6573"/>
    <w:rsid w:val="001C6BA6"/>
    <w:rsid w:val="001C726D"/>
    <w:rsid w:val="001C78CA"/>
    <w:rsid w:val="001D01FB"/>
    <w:rsid w:val="001D15E5"/>
    <w:rsid w:val="001D2381"/>
    <w:rsid w:val="001D2CE9"/>
    <w:rsid w:val="001D40DA"/>
    <w:rsid w:val="001D6081"/>
    <w:rsid w:val="001D755A"/>
    <w:rsid w:val="001E0367"/>
    <w:rsid w:val="001E11E2"/>
    <w:rsid w:val="001E2B1A"/>
    <w:rsid w:val="001E3753"/>
    <w:rsid w:val="001E383E"/>
    <w:rsid w:val="001E4456"/>
    <w:rsid w:val="001E44C8"/>
    <w:rsid w:val="001E4E88"/>
    <w:rsid w:val="001E4FFF"/>
    <w:rsid w:val="001E5BEE"/>
    <w:rsid w:val="001E68EE"/>
    <w:rsid w:val="001E751C"/>
    <w:rsid w:val="001E77C4"/>
    <w:rsid w:val="001E7EA4"/>
    <w:rsid w:val="001F00B7"/>
    <w:rsid w:val="001F1092"/>
    <w:rsid w:val="001F152C"/>
    <w:rsid w:val="001F2337"/>
    <w:rsid w:val="001F367C"/>
    <w:rsid w:val="001F4EB9"/>
    <w:rsid w:val="001F4FDB"/>
    <w:rsid w:val="001F540A"/>
    <w:rsid w:val="001F5D2F"/>
    <w:rsid w:val="001F5FA3"/>
    <w:rsid w:val="001F6F0C"/>
    <w:rsid w:val="001F74B9"/>
    <w:rsid w:val="002019D1"/>
    <w:rsid w:val="00201E8F"/>
    <w:rsid w:val="002023B3"/>
    <w:rsid w:val="00203052"/>
    <w:rsid w:val="00204779"/>
    <w:rsid w:val="00204799"/>
    <w:rsid w:val="0020498E"/>
    <w:rsid w:val="00204EBE"/>
    <w:rsid w:val="002051EA"/>
    <w:rsid w:val="002060C2"/>
    <w:rsid w:val="00207674"/>
    <w:rsid w:val="002076D5"/>
    <w:rsid w:val="002117F4"/>
    <w:rsid w:val="002118E8"/>
    <w:rsid w:val="00212116"/>
    <w:rsid w:val="00212798"/>
    <w:rsid w:val="00213180"/>
    <w:rsid w:val="00213298"/>
    <w:rsid w:val="002136EF"/>
    <w:rsid w:val="002137D4"/>
    <w:rsid w:val="00213D58"/>
    <w:rsid w:val="00213EB4"/>
    <w:rsid w:val="002142CA"/>
    <w:rsid w:val="0021481A"/>
    <w:rsid w:val="00214D1A"/>
    <w:rsid w:val="00214EEA"/>
    <w:rsid w:val="00215254"/>
    <w:rsid w:val="00215ADA"/>
    <w:rsid w:val="00216326"/>
    <w:rsid w:val="00216586"/>
    <w:rsid w:val="00216AAD"/>
    <w:rsid w:val="00217096"/>
    <w:rsid w:val="0022027B"/>
    <w:rsid w:val="00220699"/>
    <w:rsid w:val="00220CF8"/>
    <w:rsid w:val="00220D8D"/>
    <w:rsid w:val="002215FD"/>
    <w:rsid w:val="002216C7"/>
    <w:rsid w:val="00221E48"/>
    <w:rsid w:val="00222228"/>
    <w:rsid w:val="00223892"/>
    <w:rsid w:val="00223F09"/>
    <w:rsid w:val="002245C8"/>
    <w:rsid w:val="0022465E"/>
    <w:rsid w:val="00225168"/>
    <w:rsid w:val="0023041D"/>
    <w:rsid w:val="00231385"/>
    <w:rsid w:val="002316E9"/>
    <w:rsid w:val="002326C1"/>
    <w:rsid w:val="00232A8A"/>
    <w:rsid w:val="00233032"/>
    <w:rsid w:val="00233D50"/>
    <w:rsid w:val="00240C3D"/>
    <w:rsid w:val="00240D9B"/>
    <w:rsid w:val="00243641"/>
    <w:rsid w:val="00244642"/>
    <w:rsid w:val="00244D15"/>
    <w:rsid w:val="00244E1B"/>
    <w:rsid w:val="00245474"/>
    <w:rsid w:val="002462FC"/>
    <w:rsid w:val="00246417"/>
    <w:rsid w:val="0024752F"/>
    <w:rsid w:val="00247C3E"/>
    <w:rsid w:val="002500E6"/>
    <w:rsid w:val="00250302"/>
    <w:rsid w:val="00251005"/>
    <w:rsid w:val="0025173F"/>
    <w:rsid w:val="002529E3"/>
    <w:rsid w:val="00252E78"/>
    <w:rsid w:val="00254052"/>
    <w:rsid w:val="002545AB"/>
    <w:rsid w:val="00254667"/>
    <w:rsid w:val="0025469B"/>
    <w:rsid w:val="00255101"/>
    <w:rsid w:val="002553EF"/>
    <w:rsid w:val="0025556C"/>
    <w:rsid w:val="002555A1"/>
    <w:rsid w:val="002557F9"/>
    <w:rsid w:val="002559EF"/>
    <w:rsid w:val="0025637F"/>
    <w:rsid w:val="002567D3"/>
    <w:rsid w:val="00257669"/>
    <w:rsid w:val="00257837"/>
    <w:rsid w:val="002605A7"/>
    <w:rsid w:val="00261653"/>
    <w:rsid w:val="00262391"/>
    <w:rsid w:val="0026368D"/>
    <w:rsid w:val="00263A27"/>
    <w:rsid w:val="00266AF5"/>
    <w:rsid w:val="00266D04"/>
    <w:rsid w:val="00267867"/>
    <w:rsid w:val="0027076E"/>
    <w:rsid w:val="002715E5"/>
    <w:rsid w:val="00271642"/>
    <w:rsid w:val="00271AF4"/>
    <w:rsid w:val="00272747"/>
    <w:rsid w:val="00272812"/>
    <w:rsid w:val="00273AF1"/>
    <w:rsid w:val="00273EB1"/>
    <w:rsid w:val="002742C4"/>
    <w:rsid w:val="0027478C"/>
    <w:rsid w:val="002749F4"/>
    <w:rsid w:val="00275EE7"/>
    <w:rsid w:val="00280569"/>
    <w:rsid w:val="0028159B"/>
    <w:rsid w:val="00283343"/>
    <w:rsid w:val="00283475"/>
    <w:rsid w:val="002841B8"/>
    <w:rsid w:val="002843A3"/>
    <w:rsid w:val="00284488"/>
    <w:rsid w:val="00285044"/>
    <w:rsid w:val="00285594"/>
    <w:rsid w:val="00285654"/>
    <w:rsid w:val="00285BC7"/>
    <w:rsid w:val="00286740"/>
    <w:rsid w:val="00286AC4"/>
    <w:rsid w:val="00287F6C"/>
    <w:rsid w:val="00290876"/>
    <w:rsid w:val="00292884"/>
    <w:rsid w:val="00292971"/>
    <w:rsid w:val="00292EC1"/>
    <w:rsid w:val="00293051"/>
    <w:rsid w:val="00293D1E"/>
    <w:rsid w:val="00294022"/>
    <w:rsid w:val="00294B02"/>
    <w:rsid w:val="00294D83"/>
    <w:rsid w:val="0029593D"/>
    <w:rsid w:val="00295C97"/>
    <w:rsid w:val="002961BB"/>
    <w:rsid w:val="002968B1"/>
    <w:rsid w:val="002968FE"/>
    <w:rsid w:val="00296F46"/>
    <w:rsid w:val="00296F8F"/>
    <w:rsid w:val="0029717D"/>
    <w:rsid w:val="0029768D"/>
    <w:rsid w:val="00297C07"/>
    <w:rsid w:val="002A1EEB"/>
    <w:rsid w:val="002A29F2"/>
    <w:rsid w:val="002A3A9F"/>
    <w:rsid w:val="002A3C2E"/>
    <w:rsid w:val="002A50A9"/>
    <w:rsid w:val="002A5F57"/>
    <w:rsid w:val="002A6CBF"/>
    <w:rsid w:val="002A748F"/>
    <w:rsid w:val="002B02E8"/>
    <w:rsid w:val="002B0FBA"/>
    <w:rsid w:val="002B14CD"/>
    <w:rsid w:val="002B2304"/>
    <w:rsid w:val="002B25DE"/>
    <w:rsid w:val="002B2668"/>
    <w:rsid w:val="002B3E0D"/>
    <w:rsid w:val="002B3E89"/>
    <w:rsid w:val="002B484C"/>
    <w:rsid w:val="002B695A"/>
    <w:rsid w:val="002B7904"/>
    <w:rsid w:val="002B79DA"/>
    <w:rsid w:val="002B7F17"/>
    <w:rsid w:val="002B7F97"/>
    <w:rsid w:val="002C0110"/>
    <w:rsid w:val="002C14E6"/>
    <w:rsid w:val="002C1B26"/>
    <w:rsid w:val="002C23BF"/>
    <w:rsid w:val="002C24D7"/>
    <w:rsid w:val="002C286D"/>
    <w:rsid w:val="002C2F4E"/>
    <w:rsid w:val="002C33B7"/>
    <w:rsid w:val="002C418B"/>
    <w:rsid w:val="002C468E"/>
    <w:rsid w:val="002C4D33"/>
    <w:rsid w:val="002C6996"/>
    <w:rsid w:val="002C69F6"/>
    <w:rsid w:val="002C6C5B"/>
    <w:rsid w:val="002C7537"/>
    <w:rsid w:val="002D00C7"/>
    <w:rsid w:val="002D0399"/>
    <w:rsid w:val="002D0882"/>
    <w:rsid w:val="002D1067"/>
    <w:rsid w:val="002D11C6"/>
    <w:rsid w:val="002D1252"/>
    <w:rsid w:val="002D17E3"/>
    <w:rsid w:val="002D2B07"/>
    <w:rsid w:val="002D2FA5"/>
    <w:rsid w:val="002D3AE3"/>
    <w:rsid w:val="002D3F6E"/>
    <w:rsid w:val="002D516B"/>
    <w:rsid w:val="002D527A"/>
    <w:rsid w:val="002D5811"/>
    <w:rsid w:val="002D6701"/>
    <w:rsid w:val="002D6978"/>
    <w:rsid w:val="002D6A0C"/>
    <w:rsid w:val="002D6A9D"/>
    <w:rsid w:val="002D7651"/>
    <w:rsid w:val="002D7BAD"/>
    <w:rsid w:val="002E044D"/>
    <w:rsid w:val="002E130D"/>
    <w:rsid w:val="002E1ADD"/>
    <w:rsid w:val="002E1EDB"/>
    <w:rsid w:val="002E2255"/>
    <w:rsid w:val="002E4150"/>
    <w:rsid w:val="002E43D0"/>
    <w:rsid w:val="002E49A6"/>
    <w:rsid w:val="002E7506"/>
    <w:rsid w:val="002E7F57"/>
    <w:rsid w:val="002F013B"/>
    <w:rsid w:val="002F0511"/>
    <w:rsid w:val="002F094A"/>
    <w:rsid w:val="002F209C"/>
    <w:rsid w:val="002F2AA4"/>
    <w:rsid w:val="002F37A8"/>
    <w:rsid w:val="002F3E25"/>
    <w:rsid w:val="002F4E32"/>
    <w:rsid w:val="002F5021"/>
    <w:rsid w:val="002F50A5"/>
    <w:rsid w:val="002F511C"/>
    <w:rsid w:val="002F5497"/>
    <w:rsid w:val="002F56B6"/>
    <w:rsid w:val="002F58E4"/>
    <w:rsid w:val="002F6391"/>
    <w:rsid w:val="002F68BA"/>
    <w:rsid w:val="002F6AC3"/>
    <w:rsid w:val="002F781A"/>
    <w:rsid w:val="002F7EAC"/>
    <w:rsid w:val="00300566"/>
    <w:rsid w:val="00300DE1"/>
    <w:rsid w:val="00300E8B"/>
    <w:rsid w:val="0030108C"/>
    <w:rsid w:val="003015BA"/>
    <w:rsid w:val="00301E6A"/>
    <w:rsid w:val="00302CD2"/>
    <w:rsid w:val="00302DCB"/>
    <w:rsid w:val="00303208"/>
    <w:rsid w:val="00303427"/>
    <w:rsid w:val="0030350B"/>
    <w:rsid w:val="00303543"/>
    <w:rsid w:val="00304129"/>
    <w:rsid w:val="0030452A"/>
    <w:rsid w:val="00307E09"/>
    <w:rsid w:val="00307E4B"/>
    <w:rsid w:val="00307F21"/>
    <w:rsid w:val="003101B0"/>
    <w:rsid w:val="003114FA"/>
    <w:rsid w:val="00312B38"/>
    <w:rsid w:val="00313907"/>
    <w:rsid w:val="00313A44"/>
    <w:rsid w:val="00314D1E"/>
    <w:rsid w:val="00315241"/>
    <w:rsid w:val="0031729F"/>
    <w:rsid w:val="00320B2A"/>
    <w:rsid w:val="00321743"/>
    <w:rsid w:val="00322FA8"/>
    <w:rsid w:val="00325472"/>
    <w:rsid w:val="00325769"/>
    <w:rsid w:val="00325AC3"/>
    <w:rsid w:val="00326155"/>
    <w:rsid w:val="003308A9"/>
    <w:rsid w:val="0033105F"/>
    <w:rsid w:val="003311C5"/>
    <w:rsid w:val="00331492"/>
    <w:rsid w:val="00332972"/>
    <w:rsid w:val="0033309B"/>
    <w:rsid w:val="00333789"/>
    <w:rsid w:val="00333B5E"/>
    <w:rsid w:val="0033470F"/>
    <w:rsid w:val="00334766"/>
    <w:rsid w:val="00334E1E"/>
    <w:rsid w:val="00334EF9"/>
    <w:rsid w:val="00335F25"/>
    <w:rsid w:val="00336631"/>
    <w:rsid w:val="003368A9"/>
    <w:rsid w:val="00337793"/>
    <w:rsid w:val="00337863"/>
    <w:rsid w:val="00337CA7"/>
    <w:rsid w:val="003418A7"/>
    <w:rsid w:val="00342205"/>
    <w:rsid w:val="003423EB"/>
    <w:rsid w:val="003429F1"/>
    <w:rsid w:val="00342B71"/>
    <w:rsid w:val="00342EDD"/>
    <w:rsid w:val="0034309B"/>
    <w:rsid w:val="00343737"/>
    <w:rsid w:val="00344353"/>
    <w:rsid w:val="00344B38"/>
    <w:rsid w:val="003459AC"/>
    <w:rsid w:val="003464BD"/>
    <w:rsid w:val="00346E32"/>
    <w:rsid w:val="00347251"/>
    <w:rsid w:val="0034755B"/>
    <w:rsid w:val="00351513"/>
    <w:rsid w:val="00351BD9"/>
    <w:rsid w:val="00352F76"/>
    <w:rsid w:val="003533A4"/>
    <w:rsid w:val="0035368F"/>
    <w:rsid w:val="00354E8D"/>
    <w:rsid w:val="0035525B"/>
    <w:rsid w:val="003554A7"/>
    <w:rsid w:val="00355C2D"/>
    <w:rsid w:val="00356CE8"/>
    <w:rsid w:val="0035714E"/>
    <w:rsid w:val="00357974"/>
    <w:rsid w:val="003579F2"/>
    <w:rsid w:val="00360058"/>
    <w:rsid w:val="00360BE6"/>
    <w:rsid w:val="00361524"/>
    <w:rsid w:val="003619A0"/>
    <w:rsid w:val="00361EAF"/>
    <w:rsid w:val="00361FC7"/>
    <w:rsid w:val="00362463"/>
    <w:rsid w:val="0036257D"/>
    <w:rsid w:val="00363014"/>
    <w:rsid w:val="0036316C"/>
    <w:rsid w:val="00363315"/>
    <w:rsid w:val="003636BA"/>
    <w:rsid w:val="00363C1A"/>
    <w:rsid w:val="00363E99"/>
    <w:rsid w:val="00365690"/>
    <w:rsid w:val="0036577B"/>
    <w:rsid w:val="00365959"/>
    <w:rsid w:val="003674D9"/>
    <w:rsid w:val="0037017F"/>
    <w:rsid w:val="00370377"/>
    <w:rsid w:val="00371384"/>
    <w:rsid w:val="00371EEF"/>
    <w:rsid w:val="00372C6F"/>
    <w:rsid w:val="003748CB"/>
    <w:rsid w:val="00375C31"/>
    <w:rsid w:val="00376467"/>
    <w:rsid w:val="00377CDE"/>
    <w:rsid w:val="00380EF4"/>
    <w:rsid w:val="00380F3E"/>
    <w:rsid w:val="00380F49"/>
    <w:rsid w:val="003810AB"/>
    <w:rsid w:val="00381745"/>
    <w:rsid w:val="0038363F"/>
    <w:rsid w:val="00383E33"/>
    <w:rsid w:val="003849E0"/>
    <w:rsid w:val="0038577D"/>
    <w:rsid w:val="00385C8A"/>
    <w:rsid w:val="0038746F"/>
    <w:rsid w:val="00390575"/>
    <w:rsid w:val="003906CD"/>
    <w:rsid w:val="00391125"/>
    <w:rsid w:val="0039296F"/>
    <w:rsid w:val="00393468"/>
    <w:rsid w:val="00393585"/>
    <w:rsid w:val="003935B9"/>
    <w:rsid w:val="00395CCF"/>
    <w:rsid w:val="003967B0"/>
    <w:rsid w:val="00396958"/>
    <w:rsid w:val="003A06C5"/>
    <w:rsid w:val="003A0A29"/>
    <w:rsid w:val="003A1AF7"/>
    <w:rsid w:val="003A221F"/>
    <w:rsid w:val="003A295A"/>
    <w:rsid w:val="003A3159"/>
    <w:rsid w:val="003A39C7"/>
    <w:rsid w:val="003A3AC4"/>
    <w:rsid w:val="003A3D0E"/>
    <w:rsid w:val="003A3D9A"/>
    <w:rsid w:val="003A409D"/>
    <w:rsid w:val="003A4AAF"/>
    <w:rsid w:val="003A4DE8"/>
    <w:rsid w:val="003A54BC"/>
    <w:rsid w:val="003B01E4"/>
    <w:rsid w:val="003B088E"/>
    <w:rsid w:val="003B1F25"/>
    <w:rsid w:val="003B2E07"/>
    <w:rsid w:val="003B3BDF"/>
    <w:rsid w:val="003B4F0C"/>
    <w:rsid w:val="003B50BA"/>
    <w:rsid w:val="003B5452"/>
    <w:rsid w:val="003B5717"/>
    <w:rsid w:val="003B5B2E"/>
    <w:rsid w:val="003B5B6E"/>
    <w:rsid w:val="003B5CAF"/>
    <w:rsid w:val="003B6534"/>
    <w:rsid w:val="003B6C02"/>
    <w:rsid w:val="003B6D41"/>
    <w:rsid w:val="003C0E58"/>
    <w:rsid w:val="003C14B1"/>
    <w:rsid w:val="003C1591"/>
    <w:rsid w:val="003C2280"/>
    <w:rsid w:val="003C2AA7"/>
    <w:rsid w:val="003C2F47"/>
    <w:rsid w:val="003C44D1"/>
    <w:rsid w:val="003C4F06"/>
    <w:rsid w:val="003C5A14"/>
    <w:rsid w:val="003C5DE7"/>
    <w:rsid w:val="003C6080"/>
    <w:rsid w:val="003C6592"/>
    <w:rsid w:val="003C7CDF"/>
    <w:rsid w:val="003D067C"/>
    <w:rsid w:val="003D0906"/>
    <w:rsid w:val="003D15ED"/>
    <w:rsid w:val="003D2A35"/>
    <w:rsid w:val="003D35FA"/>
    <w:rsid w:val="003D39EF"/>
    <w:rsid w:val="003D41BA"/>
    <w:rsid w:val="003D41C7"/>
    <w:rsid w:val="003D4CC1"/>
    <w:rsid w:val="003D6474"/>
    <w:rsid w:val="003D71D5"/>
    <w:rsid w:val="003E1122"/>
    <w:rsid w:val="003E1604"/>
    <w:rsid w:val="003E1766"/>
    <w:rsid w:val="003E18F5"/>
    <w:rsid w:val="003E1A61"/>
    <w:rsid w:val="003E279B"/>
    <w:rsid w:val="003E2AB7"/>
    <w:rsid w:val="003E2F36"/>
    <w:rsid w:val="003E37A0"/>
    <w:rsid w:val="003E393E"/>
    <w:rsid w:val="003E507E"/>
    <w:rsid w:val="003E5394"/>
    <w:rsid w:val="003E678B"/>
    <w:rsid w:val="003E6D93"/>
    <w:rsid w:val="003E76C6"/>
    <w:rsid w:val="003F0186"/>
    <w:rsid w:val="003F038A"/>
    <w:rsid w:val="003F0555"/>
    <w:rsid w:val="003F09E9"/>
    <w:rsid w:val="003F0D0F"/>
    <w:rsid w:val="003F11D8"/>
    <w:rsid w:val="003F1AAC"/>
    <w:rsid w:val="003F1C6D"/>
    <w:rsid w:val="003F1D12"/>
    <w:rsid w:val="003F1E3F"/>
    <w:rsid w:val="003F1ECD"/>
    <w:rsid w:val="003F3195"/>
    <w:rsid w:val="003F32A8"/>
    <w:rsid w:val="003F3673"/>
    <w:rsid w:val="003F47AB"/>
    <w:rsid w:val="003F4B6C"/>
    <w:rsid w:val="003F5A39"/>
    <w:rsid w:val="003F6039"/>
    <w:rsid w:val="003F67D7"/>
    <w:rsid w:val="00400758"/>
    <w:rsid w:val="00401B6E"/>
    <w:rsid w:val="00402C2E"/>
    <w:rsid w:val="00404123"/>
    <w:rsid w:val="00404B91"/>
    <w:rsid w:val="00404BB2"/>
    <w:rsid w:val="0040541F"/>
    <w:rsid w:val="00405424"/>
    <w:rsid w:val="00405C8A"/>
    <w:rsid w:val="00406889"/>
    <w:rsid w:val="004072DC"/>
    <w:rsid w:val="00411C1D"/>
    <w:rsid w:val="0041242B"/>
    <w:rsid w:val="00412DB7"/>
    <w:rsid w:val="0041307A"/>
    <w:rsid w:val="00413397"/>
    <w:rsid w:val="00413D02"/>
    <w:rsid w:val="00413DF7"/>
    <w:rsid w:val="004150A8"/>
    <w:rsid w:val="00420473"/>
    <w:rsid w:val="00420694"/>
    <w:rsid w:val="0042081E"/>
    <w:rsid w:val="00420E0C"/>
    <w:rsid w:val="00421989"/>
    <w:rsid w:val="00421C02"/>
    <w:rsid w:val="00423479"/>
    <w:rsid w:val="00424B49"/>
    <w:rsid w:val="00424BC0"/>
    <w:rsid w:val="00424CD9"/>
    <w:rsid w:val="00424EE9"/>
    <w:rsid w:val="004267BD"/>
    <w:rsid w:val="00426D00"/>
    <w:rsid w:val="00427071"/>
    <w:rsid w:val="0043000A"/>
    <w:rsid w:val="0043033C"/>
    <w:rsid w:val="004307EE"/>
    <w:rsid w:val="00430A35"/>
    <w:rsid w:val="00432C14"/>
    <w:rsid w:val="00432D80"/>
    <w:rsid w:val="00432EC8"/>
    <w:rsid w:val="00433ACC"/>
    <w:rsid w:val="004341E9"/>
    <w:rsid w:val="00434323"/>
    <w:rsid w:val="00434720"/>
    <w:rsid w:val="00434C76"/>
    <w:rsid w:val="00434CA4"/>
    <w:rsid w:val="004379FE"/>
    <w:rsid w:val="00440C48"/>
    <w:rsid w:val="00440E3B"/>
    <w:rsid w:val="0044111B"/>
    <w:rsid w:val="00441F13"/>
    <w:rsid w:val="00441FF4"/>
    <w:rsid w:val="004437DC"/>
    <w:rsid w:val="004443AB"/>
    <w:rsid w:val="00444624"/>
    <w:rsid w:val="0044486A"/>
    <w:rsid w:val="004448DB"/>
    <w:rsid w:val="00445D17"/>
    <w:rsid w:val="00445F93"/>
    <w:rsid w:val="004473E1"/>
    <w:rsid w:val="00447467"/>
    <w:rsid w:val="00447BE4"/>
    <w:rsid w:val="00447CC7"/>
    <w:rsid w:val="0045342A"/>
    <w:rsid w:val="004539F3"/>
    <w:rsid w:val="00454F37"/>
    <w:rsid w:val="0045536D"/>
    <w:rsid w:val="0045563A"/>
    <w:rsid w:val="00455C0B"/>
    <w:rsid w:val="00460A2F"/>
    <w:rsid w:val="00462344"/>
    <w:rsid w:val="00462792"/>
    <w:rsid w:val="00462EC3"/>
    <w:rsid w:val="00464A54"/>
    <w:rsid w:val="00466917"/>
    <w:rsid w:val="00466A68"/>
    <w:rsid w:val="00467A07"/>
    <w:rsid w:val="00467DDF"/>
    <w:rsid w:val="00467E6F"/>
    <w:rsid w:val="0047087C"/>
    <w:rsid w:val="004709CF"/>
    <w:rsid w:val="00470D72"/>
    <w:rsid w:val="004712BA"/>
    <w:rsid w:val="004715DB"/>
    <w:rsid w:val="004717FC"/>
    <w:rsid w:val="0047319E"/>
    <w:rsid w:val="0047343D"/>
    <w:rsid w:val="004737AB"/>
    <w:rsid w:val="004756A4"/>
    <w:rsid w:val="004757DD"/>
    <w:rsid w:val="004765C1"/>
    <w:rsid w:val="00476839"/>
    <w:rsid w:val="00480836"/>
    <w:rsid w:val="0048093C"/>
    <w:rsid w:val="00480C6C"/>
    <w:rsid w:val="00483EBC"/>
    <w:rsid w:val="004842F9"/>
    <w:rsid w:val="0048633C"/>
    <w:rsid w:val="00487663"/>
    <w:rsid w:val="00487AA1"/>
    <w:rsid w:val="00490706"/>
    <w:rsid w:val="0049089F"/>
    <w:rsid w:val="0049099D"/>
    <w:rsid w:val="004913DD"/>
    <w:rsid w:val="00491AF2"/>
    <w:rsid w:val="00491FB0"/>
    <w:rsid w:val="00492077"/>
    <w:rsid w:val="004920BE"/>
    <w:rsid w:val="004923E3"/>
    <w:rsid w:val="00492847"/>
    <w:rsid w:val="004930C9"/>
    <w:rsid w:val="00495607"/>
    <w:rsid w:val="00495774"/>
    <w:rsid w:val="00495F75"/>
    <w:rsid w:val="00496151"/>
    <w:rsid w:val="004969CB"/>
    <w:rsid w:val="00496CB2"/>
    <w:rsid w:val="00497689"/>
    <w:rsid w:val="00497B8B"/>
    <w:rsid w:val="004A0111"/>
    <w:rsid w:val="004A0A58"/>
    <w:rsid w:val="004A0FBA"/>
    <w:rsid w:val="004A1B28"/>
    <w:rsid w:val="004A2BF9"/>
    <w:rsid w:val="004A39B3"/>
    <w:rsid w:val="004A3A16"/>
    <w:rsid w:val="004A73AA"/>
    <w:rsid w:val="004B014F"/>
    <w:rsid w:val="004B0A99"/>
    <w:rsid w:val="004B14D9"/>
    <w:rsid w:val="004B2450"/>
    <w:rsid w:val="004B32FC"/>
    <w:rsid w:val="004B3796"/>
    <w:rsid w:val="004B4071"/>
    <w:rsid w:val="004B41D3"/>
    <w:rsid w:val="004B4228"/>
    <w:rsid w:val="004B4A3D"/>
    <w:rsid w:val="004B5ADF"/>
    <w:rsid w:val="004B5DC2"/>
    <w:rsid w:val="004B66C4"/>
    <w:rsid w:val="004B67FA"/>
    <w:rsid w:val="004B702C"/>
    <w:rsid w:val="004B7411"/>
    <w:rsid w:val="004B74DA"/>
    <w:rsid w:val="004C009E"/>
    <w:rsid w:val="004C2707"/>
    <w:rsid w:val="004C4285"/>
    <w:rsid w:val="004C43B3"/>
    <w:rsid w:val="004C458A"/>
    <w:rsid w:val="004C4C7A"/>
    <w:rsid w:val="004C4F65"/>
    <w:rsid w:val="004C5F4E"/>
    <w:rsid w:val="004C60B8"/>
    <w:rsid w:val="004C60F8"/>
    <w:rsid w:val="004C665A"/>
    <w:rsid w:val="004C6BE5"/>
    <w:rsid w:val="004C6F08"/>
    <w:rsid w:val="004C75F6"/>
    <w:rsid w:val="004D0314"/>
    <w:rsid w:val="004D0892"/>
    <w:rsid w:val="004D311F"/>
    <w:rsid w:val="004D4B5F"/>
    <w:rsid w:val="004D4EF0"/>
    <w:rsid w:val="004D54BD"/>
    <w:rsid w:val="004D6BD9"/>
    <w:rsid w:val="004E0134"/>
    <w:rsid w:val="004E09DC"/>
    <w:rsid w:val="004E0ACD"/>
    <w:rsid w:val="004E1731"/>
    <w:rsid w:val="004E20A2"/>
    <w:rsid w:val="004E2A05"/>
    <w:rsid w:val="004E31BA"/>
    <w:rsid w:val="004E3966"/>
    <w:rsid w:val="004E43D2"/>
    <w:rsid w:val="004E45A3"/>
    <w:rsid w:val="004E46DA"/>
    <w:rsid w:val="004E59B2"/>
    <w:rsid w:val="004E5E56"/>
    <w:rsid w:val="004E604F"/>
    <w:rsid w:val="004E7034"/>
    <w:rsid w:val="004E73E8"/>
    <w:rsid w:val="004E74EC"/>
    <w:rsid w:val="004E7BF8"/>
    <w:rsid w:val="004F141F"/>
    <w:rsid w:val="004F24FB"/>
    <w:rsid w:val="004F2F68"/>
    <w:rsid w:val="004F3F2A"/>
    <w:rsid w:val="004F5B6B"/>
    <w:rsid w:val="004F5B94"/>
    <w:rsid w:val="004F63B9"/>
    <w:rsid w:val="004F709F"/>
    <w:rsid w:val="004F767C"/>
    <w:rsid w:val="005001BC"/>
    <w:rsid w:val="00500DD6"/>
    <w:rsid w:val="00501C83"/>
    <w:rsid w:val="0050271A"/>
    <w:rsid w:val="00502E71"/>
    <w:rsid w:val="00503A88"/>
    <w:rsid w:val="00504C80"/>
    <w:rsid w:val="005061E5"/>
    <w:rsid w:val="00506F08"/>
    <w:rsid w:val="005104CF"/>
    <w:rsid w:val="00510E7E"/>
    <w:rsid w:val="00511EE9"/>
    <w:rsid w:val="00513759"/>
    <w:rsid w:val="00514262"/>
    <w:rsid w:val="00514327"/>
    <w:rsid w:val="005159CD"/>
    <w:rsid w:val="00515B61"/>
    <w:rsid w:val="005160E2"/>
    <w:rsid w:val="00516CBD"/>
    <w:rsid w:val="00516EB9"/>
    <w:rsid w:val="00517FBF"/>
    <w:rsid w:val="00521371"/>
    <w:rsid w:val="00521477"/>
    <w:rsid w:val="00521617"/>
    <w:rsid w:val="00522945"/>
    <w:rsid w:val="00522B16"/>
    <w:rsid w:val="00523FAF"/>
    <w:rsid w:val="00524146"/>
    <w:rsid w:val="00524EA5"/>
    <w:rsid w:val="00525B7E"/>
    <w:rsid w:val="00525D95"/>
    <w:rsid w:val="005260E6"/>
    <w:rsid w:val="0052633F"/>
    <w:rsid w:val="00526DB4"/>
    <w:rsid w:val="00527901"/>
    <w:rsid w:val="00527EDB"/>
    <w:rsid w:val="00530B61"/>
    <w:rsid w:val="00530FDE"/>
    <w:rsid w:val="00531CF0"/>
    <w:rsid w:val="00531E6A"/>
    <w:rsid w:val="0053288C"/>
    <w:rsid w:val="00532B67"/>
    <w:rsid w:val="00532B8D"/>
    <w:rsid w:val="005342A1"/>
    <w:rsid w:val="005350DB"/>
    <w:rsid w:val="0053580A"/>
    <w:rsid w:val="00535D0B"/>
    <w:rsid w:val="00536119"/>
    <w:rsid w:val="0053646A"/>
    <w:rsid w:val="0053674A"/>
    <w:rsid w:val="00536EB8"/>
    <w:rsid w:val="0053709A"/>
    <w:rsid w:val="00537407"/>
    <w:rsid w:val="00540B24"/>
    <w:rsid w:val="005415DB"/>
    <w:rsid w:val="005418E2"/>
    <w:rsid w:val="00541A87"/>
    <w:rsid w:val="00541CC7"/>
    <w:rsid w:val="00541D3C"/>
    <w:rsid w:val="00541ED6"/>
    <w:rsid w:val="00542445"/>
    <w:rsid w:val="00543B10"/>
    <w:rsid w:val="00545235"/>
    <w:rsid w:val="005466DD"/>
    <w:rsid w:val="00546765"/>
    <w:rsid w:val="00546871"/>
    <w:rsid w:val="00546B8C"/>
    <w:rsid w:val="00547879"/>
    <w:rsid w:val="00547B59"/>
    <w:rsid w:val="00547E58"/>
    <w:rsid w:val="00550288"/>
    <w:rsid w:val="00550ED7"/>
    <w:rsid w:val="005517D2"/>
    <w:rsid w:val="00551840"/>
    <w:rsid w:val="005523C9"/>
    <w:rsid w:val="00552960"/>
    <w:rsid w:val="005529F1"/>
    <w:rsid w:val="00552DD1"/>
    <w:rsid w:val="00553279"/>
    <w:rsid w:val="0055332C"/>
    <w:rsid w:val="005536CF"/>
    <w:rsid w:val="0055394B"/>
    <w:rsid w:val="00553FA6"/>
    <w:rsid w:val="0055413D"/>
    <w:rsid w:val="005544B3"/>
    <w:rsid w:val="00554E40"/>
    <w:rsid w:val="00554F97"/>
    <w:rsid w:val="005554C2"/>
    <w:rsid w:val="00555ED2"/>
    <w:rsid w:val="00556C0A"/>
    <w:rsid w:val="0055775F"/>
    <w:rsid w:val="00562AE4"/>
    <w:rsid w:val="00564B27"/>
    <w:rsid w:val="00564C9B"/>
    <w:rsid w:val="00564DE4"/>
    <w:rsid w:val="00564FA7"/>
    <w:rsid w:val="00565386"/>
    <w:rsid w:val="00565A20"/>
    <w:rsid w:val="0056691D"/>
    <w:rsid w:val="005679D6"/>
    <w:rsid w:val="00567D22"/>
    <w:rsid w:val="00567FC1"/>
    <w:rsid w:val="00570A13"/>
    <w:rsid w:val="005710C0"/>
    <w:rsid w:val="00572297"/>
    <w:rsid w:val="00572482"/>
    <w:rsid w:val="005728D8"/>
    <w:rsid w:val="00572C96"/>
    <w:rsid w:val="005730AB"/>
    <w:rsid w:val="005730C8"/>
    <w:rsid w:val="00573774"/>
    <w:rsid w:val="00573EAB"/>
    <w:rsid w:val="005748E5"/>
    <w:rsid w:val="0057515A"/>
    <w:rsid w:val="00575BC1"/>
    <w:rsid w:val="00576B32"/>
    <w:rsid w:val="0058007A"/>
    <w:rsid w:val="00582E34"/>
    <w:rsid w:val="005843CD"/>
    <w:rsid w:val="00585ABE"/>
    <w:rsid w:val="00585DEE"/>
    <w:rsid w:val="0058649D"/>
    <w:rsid w:val="005868D0"/>
    <w:rsid w:val="005875DB"/>
    <w:rsid w:val="00587993"/>
    <w:rsid w:val="00587B01"/>
    <w:rsid w:val="0059095A"/>
    <w:rsid w:val="00590BA5"/>
    <w:rsid w:val="00590F0B"/>
    <w:rsid w:val="005914A0"/>
    <w:rsid w:val="00591C47"/>
    <w:rsid w:val="005923EC"/>
    <w:rsid w:val="005928C5"/>
    <w:rsid w:val="00593297"/>
    <w:rsid w:val="00594879"/>
    <w:rsid w:val="00595AB2"/>
    <w:rsid w:val="00596854"/>
    <w:rsid w:val="00596CBF"/>
    <w:rsid w:val="00597A30"/>
    <w:rsid w:val="00597A74"/>
    <w:rsid w:val="00597E5D"/>
    <w:rsid w:val="00597FA3"/>
    <w:rsid w:val="005A0129"/>
    <w:rsid w:val="005A0EFB"/>
    <w:rsid w:val="005A1885"/>
    <w:rsid w:val="005A21BC"/>
    <w:rsid w:val="005A2571"/>
    <w:rsid w:val="005A3963"/>
    <w:rsid w:val="005A4CCA"/>
    <w:rsid w:val="005A5C9B"/>
    <w:rsid w:val="005A6AE8"/>
    <w:rsid w:val="005A72D7"/>
    <w:rsid w:val="005A73B5"/>
    <w:rsid w:val="005A7911"/>
    <w:rsid w:val="005A7BE4"/>
    <w:rsid w:val="005B0468"/>
    <w:rsid w:val="005B0BCF"/>
    <w:rsid w:val="005B1C5D"/>
    <w:rsid w:val="005B32E1"/>
    <w:rsid w:val="005B3653"/>
    <w:rsid w:val="005B372F"/>
    <w:rsid w:val="005B4024"/>
    <w:rsid w:val="005B4374"/>
    <w:rsid w:val="005B4559"/>
    <w:rsid w:val="005B4689"/>
    <w:rsid w:val="005B5773"/>
    <w:rsid w:val="005B5CA3"/>
    <w:rsid w:val="005B77C7"/>
    <w:rsid w:val="005B79D1"/>
    <w:rsid w:val="005B7BF4"/>
    <w:rsid w:val="005C0F0A"/>
    <w:rsid w:val="005C2439"/>
    <w:rsid w:val="005C2746"/>
    <w:rsid w:val="005C2B9F"/>
    <w:rsid w:val="005C4796"/>
    <w:rsid w:val="005C4E3B"/>
    <w:rsid w:val="005C5AE4"/>
    <w:rsid w:val="005C5C59"/>
    <w:rsid w:val="005C73FB"/>
    <w:rsid w:val="005C7C55"/>
    <w:rsid w:val="005D0A1C"/>
    <w:rsid w:val="005D114B"/>
    <w:rsid w:val="005D2250"/>
    <w:rsid w:val="005D27C2"/>
    <w:rsid w:val="005D30DB"/>
    <w:rsid w:val="005D3712"/>
    <w:rsid w:val="005D6209"/>
    <w:rsid w:val="005D6312"/>
    <w:rsid w:val="005D707E"/>
    <w:rsid w:val="005D7867"/>
    <w:rsid w:val="005D7EEA"/>
    <w:rsid w:val="005E0989"/>
    <w:rsid w:val="005E0A3F"/>
    <w:rsid w:val="005E0F68"/>
    <w:rsid w:val="005E0FB0"/>
    <w:rsid w:val="005E1717"/>
    <w:rsid w:val="005E1A9F"/>
    <w:rsid w:val="005E1C2B"/>
    <w:rsid w:val="005E3375"/>
    <w:rsid w:val="005E3957"/>
    <w:rsid w:val="005E50DF"/>
    <w:rsid w:val="005E53B2"/>
    <w:rsid w:val="005E5D7B"/>
    <w:rsid w:val="005E6143"/>
    <w:rsid w:val="005E618A"/>
    <w:rsid w:val="005E6F26"/>
    <w:rsid w:val="005E7E1E"/>
    <w:rsid w:val="005F1247"/>
    <w:rsid w:val="005F32FC"/>
    <w:rsid w:val="005F374A"/>
    <w:rsid w:val="005F3C83"/>
    <w:rsid w:val="005F4066"/>
    <w:rsid w:val="005F5068"/>
    <w:rsid w:val="005F585D"/>
    <w:rsid w:val="005F6133"/>
    <w:rsid w:val="005F661F"/>
    <w:rsid w:val="005F6E29"/>
    <w:rsid w:val="005F7245"/>
    <w:rsid w:val="006006E5"/>
    <w:rsid w:val="00600C91"/>
    <w:rsid w:val="00601B4A"/>
    <w:rsid w:val="00601C6D"/>
    <w:rsid w:val="006029EF"/>
    <w:rsid w:val="006031AD"/>
    <w:rsid w:val="00603C32"/>
    <w:rsid w:val="006040AB"/>
    <w:rsid w:val="00604699"/>
    <w:rsid w:val="00604E8D"/>
    <w:rsid w:val="006055B1"/>
    <w:rsid w:val="00605D5C"/>
    <w:rsid w:val="00606840"/>
    <w:rsid w:val="006073CE"/>
    <w:rsid w:val="0060764B"/>
    <w:rsid w:val="00607658"/>
    <w:rsid w:val="00610BF6"/>
    <w:rsid w:val="00610E61"/>
    <w:rsid w:val="00611140"/>
    <w:rsid w:val="006114AE"/>
    <w:rsid w:val="006124DD"/>
    <w:rsid w:val="006127AB"/>
    <w:rsid w:val="0061290D"/>
    <w:rsid w:val="00612DE7"/>
    <w:rsid w:val="006130EE"/>
    <w:rsid w:val="006131CE"/>
    <w:rsid w:val="006138C0"/>
    <w:rsid w:val="0061441E"/>
    <w:rsid w:val="006147E5"/>
    <w:rsid w:val="006149DB"/>
    <w:rsid w:val="00615836"/>
    <w:rsid w:val="00615D2C"/>
    <w:rsid w:val="00616104"/>
    <w:rsid w:val="00616AAF"/>
    <w:rsid w:val="006173C1"/>
    <w:rsid w:val="006176D9"/>
    <w:rsid w:val="00617B03"/>
    <w:rsid w:val="00620605"/>
    <w:rsid w:val="00621247"/>
    <w:rsid w:val="006226A2"/>
    <w:rsid w:val="00622E44"/>
    <w:rsid w:val="00623C52"/>
    <w:rsid w:val="00624A65"/>
    <w:rsid w:val="00625445"/>
    <w:rsid w:val="0062612B"/>
    <w:rsid w:val="006262C8"/>
    <w:rsid w:val="006311F1"/>
    <w:rsid w:val="0063209E"/>
    <w:rsid w:val="006320EC"/>
    <w:rsid w:val="006326C5"/>
    <w:rsid w:val="00632AF3"/>
    <w:rsid w:val="00633754"/>
    <w:rsid w:val="0063405A"/>
    <w:rsid w:val="00635AD4"/>
    <w:rsid w:val="00636CD7"/>
    <w:rsid w:val="0063794E"/>
    <w:rsid w:val="00640454"/>
    <w:rsid w:val="00641023"/>
    <w:rsid w:val="00641482"/>
    <w:rsid w:val="0064274E"/>
    <w:rsid w:val="00642AF6"/>
    <w:rsid w:val="0064302D"/>
    <w:rsid w:val="006438FE"/>
    <w:rsid w:val="006459AD"/>
    <w:rsid w:val="006464AC"/>
    <w:rsid w:val="006469C2"/>
    <w:rsid w:val="00646A3A"/>
    <w:rsid w:val="00646F69"/>
    <w:rsid w:val="00647C7E"/>
    <w:rsid w:val="006502ED"/>
    <w:rsid w:val="006512F0"/>
    <w:rsid w:val="0065135E"/>
    <w:rsid w:val="00651ADF"/>
    <w:rsid w:val="00652861"/>
    <w:rsid w:val="00652B05"/>
    <w:rsid w:val="00652BF0"/>
    <w:rsid w:val="00652F60"/>
    <w:rsid w:val="00653F1C"/>
    <w:rsid w:val="0065423E"/>
    <w:rsid w:val="0065486D"/>
    <w:rsid w:val="00654CF7"/>
    <w:rsid w:val="00654D82"/>
    <w:rsid w:val="00656AE0"/>
    <w:rsid w:val="00656D31"/>
    <w:rsid w:val="00656DBF"/>
    <w:rsid w:val="00656EF6"/>
    <w:rsid w:val="00657160"/>
    <w:rsid w:val="006573F5"/>
    <w:rsid w:val="006577FA"/>
    <w:rsid w:val="00660629"/>
    <w:rsid w:val="00660C93"/>
    <w:rsid w:val="00661B4C"/>
    <w:rsid w:val="00662282"/>
    <w:rsid w:val="006629AB"/>
    <w:rsid w:val="0066339D"/>
    <w:rsid w:val="00664474"/>
    <w:rsid w:val="00664D95"/>
    <w:rsid w:val="00664FC5"/>
    <w:rsid w:val="00666DDF"/>
    <w:rsid w:val="006673D9"/>
    <w:rsid w:val="00667D51"/>
    <w:rsid w:val="00670491"/>
    <w:rsid w:val="006705D9"/>
    <w:rsid w:val="00670F08"/>
    <w:rsid w:val="00671274"/>
    <w:rsid w:val="006714CE"/>
    <w:rsid w:val="00672021"/>
    <w:rsid w:val="00672626"/>
    <w:rsid w:val="00672876"/>
    <w:rsid w:val="00672DD5"/>
    <w:rsid w:val="00672F78"/>
    <w:rsid w:val="006734BE"/>
    <w:rsid w:val="00673D32"/>
    <w:rsid w:val="006760DF"/>
    <w:rsid w:val="0067611A"/>
    <w:rsid w:val="00676A74"/>
    <w:rsid w:val="00676B58"/>
    <w:rsid w:val="00676D5D"/>
    <w:rsid w:val="006776F2"/>
    <w:rsid w:val="00680148"/>
    <w:rsid w:val="00680F5B"/>
    <w:rsid w:val="00682FA5"/>
    <w:rsid w:val="0068316A"/>
    <w:rsid w:val="006834D8"/>
    <w:rsid w:val="00683C47"/>
    <w:rsid w:val="00683DEA"/>
    <w:rsid w:val="00683F05"/>
    <w:rsid w:val="006843EE"/>
    <w:rsid w:val="00684B43"/>
    <w:rsid w:val="00684D70"/>
    <w:rsid w:val="006858F0"/>
    <w:rsid w:val="00685937"/>
    <w:rsid w:val="0068612F"/>
    <w:rsid w:val="00687B93"/>
    <w:rsid w:val="00687E4C"/>
    <w:rsid w:val="00690A36"/>
    <w:rsid w:val="00690C85"/>
    <w:rsid w:val="006914E7"/>
    <w:rsid w:val="006916AA"/>
    <w:rsid w:val="00691D6E"/>
    <w:rsid w:val="00692436"/>
    <w:rsid w:val="00692D16"/>
    <w:rsid w:val="00692FF7"/>
    <w:rsid w:val="006930BD"/>
    <w:rsid w:val="0069324C"/>
    <w:rsid w:val="0069509B"/>
    <w:rsid w:val="006951E2"/>
    <w:rsid w:val="006960FC"/>
    <w:rsid w:val="006964C6"/>
    <w:rsid w:val="00696852"/>
    <w:rsid w:val="006978ED"/>
    <w:rsid w:val="00697AF3"/>
    <w:rsid w:val="006A015F"/>
    <w:rsid w:val="006A184C"/>
    <w:rsid w:val="006A20F2"/>
    <w:rsid w:val="006A2A5E"/>
    <w:rsid w:val="006A3481"/>
    <w:rsid w:val="006A433E"/>
    <w:rsid w:val="006A4F97"/>
    <w:rsid w:val="006A6E5D"/>
    <w:rsid w:val="006B1158"/>
    <w:rsid w:val="006B4618"/>
    <w:rsid w:val="006B4F01"/>
    <w:rsid w:val="006B58A1"/>
    <w:rsid w:val="006B7867"/>
    <w:rsid w:val="006C09E4"/>
    <w:rsid w:val="006C102B"/>
    <w:rsid w:val="006C1144"/>
    <w:rsid w:val="006C16F4"/>
    <w:rsid w:val="006C1B63"/>
    <w:rsid w:val="006C1F97"/>
    <w:rsid w:val="006C2872"/>
    <w:rsid w:val="006C2DA6"/>
    <w:rsid w:val="006C3DDE"/>
    <w:rsid w:val="006C783F"/>
    <w:rsid w:val="006C7A48"/>
    <w:rsid w:val="006D05DB"/>
    <w:rsid w:val="006D09CC"/>
    <w:rsid w:val="006D179A"/>
    <w:rsid w:val="006D21E9"/>
    <w:rsid w:val="006D22F6"/>
    <w:rsid w:val="006D311A"/>
    <w:rsid w:val="006D3A1F"/>
    <w:rsid w:val="006D4403"/>
    <w:rsid w:val="006D4720"/>
    <w:rsid w:val="006D4DF2"/>
    <w:rsid w:val="006D5019"/>
    <w:rsid w:val="006D501E"/>
    <w:rsid w:val="006D5274"/>
    <w:rsid w:val="006D5B26"/>
    <w:rsid w:val="006D6D49"/>
    <w:rsid w:val="006D6DB7"/>
    <w:rsid w:val="006D70E0"/>
    <w:rsid w:val="006E0F71"/>
    <w:rsid w:val="006E13AE"/>
    <w:rsid w:val="006E2383"/>
    <w:rsid w:val="006E3498"/>
    <w:rsid w:val="006E3D8A"/>
    <w:rsid w:val="006E4199"/>
    <w:rsid w:val="006E43F6"/>
    <w:rsid w:val="006E450A"/>
    <w:rsid w:val="006E4E3E"/>
    <w:rsid w:val="006E532B"/>
    <w:rsid w:val="006E5464"/>
    <w:rsid w:val="006E5EE8"/>
    <w:rsid w:val="006E6D74"/>
    <w:rsid w:val="006E718A"/>
    <w:rsid w:val="006E71F1"/>
    <w:rsid w:val="006E78A2"/>
    <w:rsid w:val="006E7D1E"/>
    <w:rsid w:val="006F195F"/>
    <w:rsid w:val="006F1CEE"/>
    <w:rsid w:val="006F1F96"/>
    <w:rsid w:val="006F2870"/>
    <w:rsid w:val="006F28CA"/>
    <w:rsid w:val="006F2DD0"/>
    <w:rsid w:val="006F3AED"/>
    <w:rsid w:val="006F5A43"/>
    <w:rsid w:val="006F618D"/>
    <w:rsid w:val="006F61DF"/>
    <w:rsid w:val="006F67AF"/>
    <w:rsid w:val="006F70EF"/>
    <w:rsid w:val="007014EC"/>
    <w:rsid w:val="007019F6"/>
    <w:rsid w:val="007034C4"/>
    <w:rsid w:val="00703521"/>
    <w:rsid w:val="00704FF7"/>
    <w:rsid w:val="00705B86"/>
    <w:rsid w:val="00705E27"/>
    <w:rsid w:val="00705F5D"/>
    <w:rsid w:val="007103DD"/>
    <w:rsid w:val="007107DF"/>
    <w:rsid w:val="007108F1"/>
    <w:rsid w:val="00710FA6"/>
    <w:rsid w:val="00710FBC"/>
    <w:rsid w:val="00711275"/>
    <w:rsid w:val="007125DE"/>
    <w:rsid w:val="00713A52"/>
    <w:rsid w:val="00713ED4"/>
    <w:rsid w:val="00713EF8"/>
    <w:rsid w:val="00714741"/>
    <w:rsid w:val="00714C37"/>
    <w:rsid w:val="00714C8E"/>
    <w:rsid w:val="007156A6"/>
    <w:rsid w:val="0071574D"/>
    <w:rsid w:val="00716837"/>
    <w:rsid w:val="0071747F"/>
    <w:rsid w:val="00717754"/>
    <w:rsid w:val="00717B7A"/>
    <w:rsid w:val="00720BDD"/>
    <w:rsid w:val="0072101F"/>
    <w:rsid w:val="007212CB"/>
    <w:rsid w:val="00721EE9"/>
    <w:rsid w:val="0072369E"/>
    <w:rsid w:val="007243FC"/>
    <w:rsid w:val="00724E80"/>
    <w:rsid w:val="00724F48"/>
    <w:rsid w:val="0072520B"/>
    <w:rsid w:val="00725400"/>
    <w:rsid w:val="0072742F"/>
    <w:rsid w:val="0073154D"/>
    <w:rsid w:val="00731913"/>
    <w:rsid w:val="007321D1"/>
    <w:rsid w:val="0073226A"/>
    <w:rsid w:val="007326BB"/>
    <w:rsid w:val="00732B3D"/>
    <w:rsid w:val="0073326B"/>
    <w:rsid w:val="007337E1"/>
    <w:rsid w:val="00733FA3"/>
    <w:rsid w:val="00736743"/>
    <w:rsid w:val="007373FD"/>
    <w:rsid w:val="00737A7A"/>
    <w:rsid w:val="00737FE5"/>
    <w:rsid w:val="007401D9"/>
    <w:rsid w:val="00740460"/>
    <w:rsid w:val="0074051D"/>
    <w:rsid w:val="00741387"/>
    <w:rsid w:val="00741B45"/>
    <w:rsid w:val="00741E2F"/>
    <w:rsid w:val="00741EC9"/>
    <w:rsid w:val="0074246F"/>
    <w:rsid w:val="007429ED"/>
    <w:rsid w:val="00743DC3"/>
    <w:rsid w:val="00743F94"/>
    <w:rsid w:val="007450A7"/>
    <w:rsid w:val="00745692"/>
    <w:rsid w:val="007464FB"/>
    <w:rsid w:val="00747741"/>
    <w:rsid w:val="00750C6B"/>
    <w:rsid w:val="0075199F"/>
    <w:rsid w:val="00752066"/>
    <w:rsid w:val="007520AE"/>
    <w:rsid w:val="00753A52"/>
    <w:rsid w:val="00753B48"/>
    <w:rsid w:val="00753EB2"/>
    <w:rsid w:val="00754D0A"/>
    <w:rsid w:val="0075719C"/>
    <w:rsid w:val="007577CE"/>
    <w:rsid w:val="007579E1"/>
    <w:rsid w:val="00757B91"/>
    <w:rsid w:val="007607CE"/>
    <w:rsid w:val="0076087A"/>
    <w:rsid w:val="00760AD3"/>
    <w:rsid w:val="00760DF0"/>
    <w:rsid w:val="00760F06"/>
    <w:rsid w:val="0076186B"/>
    <w:rsid w:val="00761E0D"/>
    <w:rsid w:val="00762133"/>
    <w:rsid w:val="00762DD6"/>
    <w:rsid w:val="00763A62"/>
    <w:rsid w:val="007640A5"/>
    <w:rsid w:val="007648E6"/>
    <w:rsid w:val="00765995"/>
    <w:rsid w:val="00765E01"/>
    <w:rsid w:val="00765E98"/>
    <w:rsid w:val="00766416"/>
    <w:rsid w:val="00766422"/>
    <w:rsid w:val="00766B23"/>
    <w:rsid w:val="00766CA5"/>
    <w:rsid w:val="00767D7B"/>
    <w:rsid w:val="0077045B"/>
    <w:rsid w:val="00770887"/>
    <w:rsid w:val="007708DC"/>
    <w:rsid w:val="00771193"/>
    <w:rsid w:val="007727F1"/>
    <w:rsid w:val="00772CAA"/>
    <w:rsid w:val="007730CC"/>
    <w:rsid w:val="00774201"/>
    <w:rsid w:val="00774716"/>
    <w:rsid w:val="0077484D"/>
    <w:rsid w:val="007752F8"/>
    <w:rsid w:val="00775AF6"/>
    <w:rsid w:val="00776409"/>
    <w:rsid w:val="00776784"/>
    <w:rsid w:val="007767C5"/>
    <w:rsid w:val="0077785A"/>
    <w:rsid w:val="00777E17"/>
    <w:rsid w:val="00780319"/>
    <w:rsid w:val="00780ABC"/>
    <w:rsid w:val="007815EB"/>
    <w:rsid w:val="00781659"/>
    <w:rsid w:val="0078251F"/>
    <w:rsid w:val="00783029"/>
    <w:rsid w:val="007830F5"/>
    <w:rsid w:val="007841D6"/>
    <w:rsid w:val="0078462C"/>
    <w:rsid w:val="00784D35"/>
    <w:rsid w:val="00784E3D"/>
    <w:rsid w:val="007860AA"/>
    <w:rsid w:val="007863F6"/>
    <w:rsid w:val="007866E5"/>
    <w:rsid w:val="00790C39"/>
    <w:rsid w:val="0079130C"/>
    <w:rsid w:val="007919BA"/>
    <w:rsid w:val="00792348"/>
    <w:rsid w:val="00793281"/>
    <w:rsid w:val="007950CE"/>
    <w:rsid w:val="0079645D"/>
    <w:rsid w:val="00796C8D"/>
    <w:rsid w:val="007977B0"/>
    <w:rsid w:val="00797848"/>
    <w:rsid w:val="00797A1F"/>
    <w:rsid w:val="007A10A3"/>
    <w:rsid w:val="007A126F"/>
    <w:rsid w:val="007A12F9"/>
    <w:rsid w:val="007A1642"/>
    <w:rsid w:val="007A1EDC"/>
    <w:rsid w:val="007A23F5"/>
    <w:rsid w:val="007A2B3E"/>
    <w:rsid w:val="007A3376"/>
    <w:rsid w:val="007A34B2"/>
    <w:rsid w:val="007A4208"/>
    <w:rsid w:val="007A4EC2"/>
    <w:rsid w:val="007A50B2"/>
    <w:rsid w:val="007A62E3"/>
    <w:rsid w:val="007A6B37"/>
    <w:rsid w:val="007A7191"/>
    <w:rsid w:val="007A7314"/>
    <w:rsid w:val="007B04F5"/>
    <w:rsid w:val="007B3315"/>
    <w:rsid w:val="007B3549"/>
    <w:rsid w:val="007B3F41"/>
    <w:rsid w:val="007B4A82"/>
    <w:rsid w:val="007B52A7"/>
    <w:rsid w:val="007B5E84"/>
    <w:rsid w:val="007B7198"/>
    <w:rsid w:val="007C1790"/>
    <w:rsid w:val="007C18CB"/>
    <w:rsid w:val="007C24EE"/>
    <w:rsid w:val="007C2A25"/>
    <w:rsid w:val="007C3B8A"/>
    <w:rsid w:val="007C5910"/>
    <w:rsid w:val="007C5951"/>
    <w:rsid w:val="007C6DCF"/>
    <w:rsid w:val="007C7BB9"/>
    <w:rsid w:val="007C7C33"/>
    <w:rsid w:val="007D0044"/>
    <w:rsid w:val="007D06F4"/>
    <w:rsid w:val="007D2455"/>
    <w:rsid w:val="007D3AF7"/>
    <w:rsid w:val="007D434E"/>
    <w:rsid w:val="007D4BA8"/>
    <w:rsid w:val="007D4C28"/>
    <w:rsid w:val="007D4DEE"/>
    <w:rsid w:val="007D569F"/>
    <w:rsid w:val="007D79D5"/>
    <w:rsid w:val="007E00E9"/>
    <w:rsid w:val="007E0F97"/>
    <w:rsid w:val="007E100E"/>
    <w:rsid w:val="007E127A"/>
    <w:rsid w:val="007E1753"/>
    <w:rsid w:val="007E1904"/>
    <w:rsid w:val="007E1F9F"/>
    <w:rsid w:val="007E1FA2"/>
    <w:rsid w:val="007E2108"/>
    <w:rsid w:val="007E28C4"/>
    <w:rsid w:val="007E301B"/>
    <w:rsid w:val="007E323F"/>
    <w:rsid w:val="007E376B"/>
    <w:rsid w:val="007E3A9E"/>
    <w:rsid w:val="007E3CBB"/>
    <w:rsid w:val="007E413C"/>
    <w:rsid w:val="007E41FB"/>
    <w:rsid w:val="007E4CC0"/>
    <w:rsid w:val="007E4DD3"/>
    <w:rsid w:val="007E786E"/>
    <w:rsid w:val="007F07F3"/>
    <w:rsid w:val="007F1203"/>
    <w:rsid w:val="007F35DF"/>
    <w:rsid w:val="007F406A"/>
    <w:rsid w:val="007F45BC"/>
    <w:rsid w:val="007F54DE"/>
    <w:rsid w:val="007F65F9"/>
    <w:rsid w:val="007F65FF"/>
    <w:rsid w:val="007F68B7"/>
    <w:rsid w:val="007F6C61"/>
    <w:rsid w:val="00801265"/>
    <w:rsid w:val="00801843"/>
    <w:rsid w:val="008024AE"/>
    <w:rsid w:val="00803F6D"/>
    <w:rsid w:val="00803F9C"/>
    <w:rsid w:val="00805103"/>
    <w:rsid w:val="00805E97"/>
    <w:rsid w:val="00806131"/>
    <w:rsid w:val="008069A6"/>
    <w:rsid w:val="00807560"/>
    <w:rsid w:val="00807BB5"/>
    <w:rsid w:val="00810653"/>
    <w:rsid w:val="00810935"/>
    <w:rsid w:val="00810E3C"/>
    <w:rsid w:val="00812597"/>
    <w:rsid w:val="008138E4"/>
    <w:rsid w:val="00813BBB"/>
    <w:rsid w:val="00815198"/>
    <w:rsid w:val="00815CEC"/>
    <w:rsid w:val="00815FA4"/>
    <w:rsid w:val="00816D7C"/>
    <w:rsid w:val="00817036"/>
    <w:rsid w:val="00817C76"/>
    <w:rsid w:val="0082004A"/>
    <w:rsid w:val="008202F3"/>
    <w:rsid w:val="0082037E"/>
    <w:rsid w:val="0082079C"/>
    <w:rsid w:val="00820BE6"/>
    <w:rsid w:val="008210D3"/>
    <w:rsid w:val="00821444"/>
    <w:rsid w:val="00821747"/>
    <w:rsid w:val="00821B89"/>
    <w:rsid w:val="0082235A"/>
    <w:rsid w:val="00823976"/>
    <w:rsid w:val="00823C82"/>
    <w:rsid w:val="00823F07"/>
    <w:rsid w:val="008241D8"/>
    <w:rsid w:val="0082454A"/>
    <w:rsid w:val="00830423"/>
    <w:rsid w:val="008306CF"/>
    <w:rsid w:val="0083082F"/>
    <w:rsid w:val="008314D1"/>
    <w:rsid w:val="0083168F"/>
    <w:rsid w:val="00831EED"/>
    <w:rsid w:val="00832056"/>
    <w:rsid w:val="008326E7"/>
    <w:rsid w:val="008328E3"/>
    <w:rsid w:val="00834BCD"/>
    <w:rsid w:val="00834FB3"/>
    <w:rsid w:val="008354B6"/>
    <w:rsid w:val="00835CC8"/>
    <w:rsid w:val="00835DBD"/>
    <w:rsid w:val="008360FD"/>
    <w:rsid w:val="00836272"/>
    <w:rsid w:val="00836D0F"/>
    <w:rsid w:val="008374FC"/>
    <w:rsid w:val="00837BEB"/>
    <w:rsid w:val="00840198"/>
    <w:rsid w:val="00840441"/>
    <w:rsid w:val="00840862"/>
    <w:rsid w:val="00840BC5"/>
    <w:rsid w:val="00841150"/>
    <w:rsid w:val="00842ECE"/>
    <w:rsid w:val="00843CBA"/>
    <w:rsid w:val="00843EAC"/>
    <w:rsid w:val="008442D2"/>
    <w:rsid w:val="00844697"/>
    <w:rsid w:val="00844985"/>
    <w:rsid w:val="00844E9A"/>
    <w:rsid w:val="0084568A"/>
    <w:rsid w:val="00845BDB"/>
    <w:rsid w:val="008461C8"/>
    <w:rsid w:val="00846F2F"/>
    <w:rsid w:val="00847E54"/>
    <w:rsid w:val="00850E23"/>
    <w:rsid w:val="008519BC"/>
    <w:rsid w:val="00852638"/>
    <w:rsid w:val="00852F05"/>
    <w:rsid w:val="00853329"/>
    <w:rsid w:val="00853AF2"/>
    <w:rsid w:val="0085437C"/>
    <w:rsid w:val="0085580B"/>
    <w:rsid w:val="00855C1C"/>
    <w:rsid w:val="00856595"/>
    <w:rsid w:val="00860156"/>
    <w:rsid w:val="00860F01"/>
    <w:rsid w:val="00860F36"/>
    <w:rsid w:val="00863FA2"/>
    <w:rsid w:val="00864BAC"/>
    <w:rsid w:val="00865223"/>
    <w:rsid w:val="00865264"/>
    <w:rsid w:val="0086592B"/>
    <w:rsid w:val="00866142"/>
    <w:rsid w:val="00866972"/>
    <w:rsid w:val="00866CA9"/>
    <w:rsid w:val="00867198"/>
    <w:rsid w:val="0086751D"/>
    <w:rsid w:val="00867903"/>
    <w:rsid w:val="00867EE1"/>
    <w:rsid w:val="00870084"/>
    <w:rsid w:val="00870888"/>
    <w:rsid w:val="0087193A"/>
    <w:rsid w:val="00871B9F"/>
    <w:rsid w:val="008722DD"/>
    <w:rsid w:val="008734C1"/>
    <w:rsid w:val="00874B1E"/>
    <w:rsid w:val="00874BAA"/>
    <w:rsid w:val="008752EA"/>
    <w:rsid w:val="00875CB8"/>
    <w:rsid w:val="00876987"/>
    <w:rsid w:val="008777AC"/>
    <w:rsid w:val="00877A4E"/>
    <w:rsid w:val="00880721"/>
    <w:rsid w:val="00880CE6"/>
    <w:rsid w:val="00881AE5"/>
    <w:rsid w:val="00881DA0"/>
    <w:rsid w:val="00882DCD"/>
    <w:rsid w:val="00883399"/>
    <w:rsid w:val="00883A3D"/>
    <w:rsid w:val="00884394"/>
    <w:rsid w:val="00885C38"/>
    <w:rsid w:val="00886D08"/>
    <w:rsid w:val="00886F1B"/>
    <w:rsid w:val="00887157"/>
    <w:rsid w:val="00887FDF"/>
    <w:rsid w:val="00891B29"/>
    <w:rsid w:val="0089296D"/>
    <w:rsid w:val="008930F0"/>
    <w:rsid w:val="00893D2C"/>
    <w:rsid w:val="00893F6D"/>
    <w:rsid w:val="008947AD"/>
    <w:rsid w:val="00895408"/>
    <w:rsid w:val="00896D37"/>
    <w:rsid w:val="00897432"/>
    <w:rsid w:val="008A1FA2"/>
    <w:rsid w:val="008A3264"/>
    <w:rsid w:val="008A3859"/>
    <w:rsid w:val="008A443A"/>
    <w:rsid w:val="008A4C9D"/>
    <w:rsid w:val="008A4FD2"/>
    <w:rsid w:val="008A50AB"/>
    <w:rsid w:val="008A5DC0"/>
    <w:rsid w:val="008A7090"/>
    <w:rsid w:val="008B0629"/>
    <w:rsid w:val="008B1242"/>
    <w:rsid w:val="008B19FD"/>
    <w:rsid w:val="008B2795"/>
    <w:rsid w:val="008B2B3C"/>
    <w:rsid w:val="008B3C26"/>
    <w:rsid w:val="008B4705"/>
    <w:rsid w:val="008B5D4B"/>
    <w:rsid w:val="008B70EF"/>
    <w:rsid w:val="008C01D1"/>
    <w:rsid w:val="008C0A2D"/>
    <w:rsid w:val="008C298A"/>
    <w:rsid w:val="008C30EB"/>
    <w:rsid w:val="008C326F"/>
    <w:rsid w:val="008C34B2"/>
    <w:rsid w:val="008C3C39"/>
    <w:rsid w:val="008C541E"/>
    <w:rsid w:val="008C635B"/>
    <w:rsid w:val="008C6976"/>
    <w:rsid w:val="008C6B7D"/>
    <w:rsid w:val="008C7074"/>
    <w:rsid w:val="008C73F7"/>
    <w:rsid w:val="008C750D"/>
    <w:rsid w:val="008C7604"/>
    <w:rsid w:val="008C7A23"/>
    <w:rsid w:val="008D006B"/>
    <w:rsid w:val="008D0DFE"/>
    <w:rsid w:val="008D1F29"/>
    <w:rsid w:val="008D2835"/>
    <w:rsid w:val="008D520B"/>
    <w:rsid w:val="008D53C2"/>
    <w:rsid w:val="008D53D8"/>
    <w:rsid w:val="008D5C9C"/>
    <w:rsid w:val="008D60BA"/>
    <w:rsid w:val="008D73C3"/>
    <w:rsid w:val="008D73D2"/>
    <w:rsid w:val="008D78AA"/>
    <w:rsid w:val="008E09C3"/>
    <w:rsid w:val="008E0EFE"/>
    <w:rsid w:val="008E13BD"/>
    <w:rsid w:val="008E182C"/>
    <w:rsid w:val="008E3521"/>
    <w:rsid w:val="008E3A2F"/>
    <w:rsid w:val="008E4C75"/>
    <w:rsid w:val="008E513C"/>
    <w:rsid w:val="008E56F4"/>
    <w:rsid w:val="008E7038"/>
    <w:rsid w:val="008F1D9B"/>
    <w:rsid w:val="008F1EA8"/>
    <w:rsid w:val="008F1EB5"/>
    <w:rsid w:val="008F209F"/>
    <w:rsid w:val="008F2B13"/>
    <w:rsid w:val="008F3684"/>
    <w:rsid w:val="008F4D07"/>
    <w:rsid w:val="008F57F6"/>
    <w:rsid w:val="008F5E15"/>
    <w:rsid w:val="008F62EF"/>
    <w:rsid w:val="008F6D8B"/>
    <w:rsid w:val="009012FB"/>
    <w:rsid w:val="0090215C"/>
    <w:rsid w:val="0090310A"/>
    <w:rsid w:val="00904608"/>
    <w:rsid w:val="009051FB"/>
    <w:rsid w:val="0090557C"/>
    <w:rsid w:val="0090641A"/>
    <w:rsid w:val="00907E49"/>
    <w:rsid w:val="009108E1"/>
    <w:rsid w:val="00911411"/>
    <w:rsid w:val="00911B8C"/>
    <w:rsid w:val="00911DA0"/>
    <w:rsid w:val="00911FCF"/>
    <w:rsid w:val="0091226D"/>
    <w:rsid w:val="0091353B"/>
    <w:rsid w:val="00913E2B"/>
    <w:rsid w:val="00914399"/>
    <w:rsid w:val="0091562C"/>
    <w:rsid w:val="009160C9"/>
    <w:rsid w:val="0091667E"/>
    <w:rsid w:val="009167E2"/>
    <w:rsid w:val="0091680A"/>
    <w:rsid w:val="00917BC5"/>
    <w:rsid w:val="009211E2"/>
    <w:rsid w:val="00921262"/>
    <w:rsid w:val="009223FB"/>
    <w:rsid w:val="00922FE6"/>
    <w:rsid w:val="009231A5"/>
    <w:rsid w:val="009240F6"/>
    <w:rsid w:val="0092429A"/>
    <w:rsid w:val="0092459E"/>
    <w:rsid w:val="0092537A"/>
    <w:rsid w:val="00925C80"/>
    <w:rsid w:val="00926944"/>
    <w:rsid w:val="009269F4"/>
    <w:rsid w:val="009272C0"/>
    <w:rsid w:val="00927717"/>
    <w:rsid w:val="0093004F"/>
    <w:rsid w:val="0093040B"/>
    <w:rsid w:val="00930DB4"/>
    <w:rsid w:val="00930E6C"/>
    <w:rsid w:val="009316ED"/>
    <w:rsid w:val="0093211F"/>
    <w:rsid w:val="00932186"/>
    <w:rsid w:val="009325A8"/>
    <w:rsid w:val="0093296D"/>
    <w:rsid w:val="00933BBE"/>
    <w:rsid w:val="009343A4"/>
    <w:rsid w:val="00934F91"/>
    <w:rsid w:val="00935767"/>
    <w:rsid w:val="009366D4"/>
    <w:rsid w:val="009367C4"/>
    <w:rsid w:val="00937178"/>
    <w:rsid w:val="00937331"/>
    <w:rsid w:val="00937702"/>
    <w:rsid w:val="00937A89"/>
    <w:rsid w:val="00937F0C"/>
    <w:rsid w:val="00940328"/>
    <w:rsid w:val="00940EA8"/>
    <w:rsid w:val="00940FE5"/>
    <w:rsid w:val="00941E99"/>
    <w:rsid w:val="009420B2"/>
    <w:rsid w:val="009426F7"/>
    <w:rsid w:val="00944627"/>
    <w:rsid w:val="00944890"/>
    <w:rsid w:val="009448F8"/>
    <w:rsid w:val="00944B8F"/>
    <w:rsid w:val="00945FC6"/>
    <w:rsid w:val="00946883"/>
    <w:rsid w:val="009501B4"/>
    <w:rsid w:val="0095270C"/>
    <w:rsid w:val="00952D62"/>
    <w:rsid w:val="00953E5F"/>
    <w:rsid w:val="009544DF"/>
    <w:rsid w:val="00954CE2"/>
    <w:rsid w:val="009556AA"/>
    <w:rsid w:val="009557EA"/>
    <w:rsid w:val="00955A05"/>
    <w:rsid w:val="009567AC"/>
    <w:rsid w:val="00956E59"/>
    <w:rsid w:val="0096006A"/>
    <w:rsid w:val="009606FD"/>
    <w:rsid w:val="00960E05"/>
    <w:rsid w:val="00961073"/>
    <w:rsid w:val="00962004"/>
    <w:rsid w:val="00962749"/>
    <w:rsid w:val="00962F63"/>
    <w:rsid w:val="00962FD6"/>
    <w:rsid w:val="009639CE"/>
    <w:rsid w:val="00963E5A"/>
    <w:rsid w:val="0096612D"/>
    <w:rsid w:val="009661FC"/>
    <w:rsid w:val="0096631B"/>
    <w:rsid w:val="00966977"/>
    <w:rsid w:val="00967BB9"/>
    <w:rsid w:val="00967E84"/>
    <w:rsid w:val="00970FB3"/>
    <w:rsid w:val="00971857"/>
    <w:rsid w:val="0097264F"/>
    <w:rsid w:val="00973445"/>
    <w:rsid w:val="0097384D"/>
    <w:rsid w:val="0097519C"/>
    <w:rsid w:val="00975816"/>
    <w:rsid w:val="00976910"/>
    <w:rsid w:val="00976DCD"/>
    <w:rsid w:val="009772CA"/>
    <w:rsid w:val="009772D1"/>
    <w:rsid w:val="00977973"/>
    <w:rsid w:val="009810FB"/>
    <w:rsid w:val="00983265"/>
    <w:rsid w:val="00983505"/>
    <w:rsid w:val="009837A1"/>
    <w:rsid w:val="00985622"/>
    <w:rsid w:val="0098640A"/>
    <w:rsid w:val="00986786"/>
    <w:rsid w:val="00986FE2"/>
    <w:rsid w:val="009875A2"/>
    <w:rsid w:val="00987A25"/>
    <w:rsid w:val="00987A4B"/>
    <w:rsid w:val="00987CE4"/>
    <w:rsid w:val="00987D06"/>
    <w:rsid w:val="00987F6E"/>
    <w:rsid w:val="00990212"/>
    <w:rsid w:val="00990A2E"/>
    <w:rsid w:val="0099209A"/>
    <w:rsid w:val="009926DE"/>
    <w:rsid w:val="0099311B"/>
    <w:rsid w:val="00994293"/>
    <w:rsid w:val="009947C7"/>
    <w:rsid w:val="00995EA7"/>
    <w:rsid w:val="00996BA8"/>
    <w:rsid w:val="00996FC9"/>
    <w:rsid w:val="00997295"/>
    <w:rsid w:val="009973BB"/>
    <w:rsid w:val="009975EC"/>
    <w:rsid w:val="00997C45"/>
    <w:rsid w:val="009A067C"/>
    <w:rsid w:val="009A158A"/>
    <w:rsid w:val="009A2AD3"/>
    <w:rsid w:val="009A2D3C"/>
    <w:rsid w:val="009A3E8B"/>
    <w:rsid w:val="009A3FA1"/>
    <w:rsid w:val="009A4AC9"/>
    <w:rsid w:val="009A50B6"/>
    <w:rsid w:val="009A52F8"/>
    <w:rsid w:val="009A5BBF"/>
    <w:rsid w:val="009A6453"/>
    <w:rsid w:val="009A7350"/>
    <w:rsid w:val="009A7BBC"/>
    <w:rsid w:val="009B051D"/>
    <w:rsid w:val="009B0738"/>
    <w:rsid w:val="009B08E4"/>
    <w:rsid w:val="009B0977"/>
    <w:rsid w:val="009B1713"/>
    <w:rsid w:val="009B1E96"/>
    <w:rsid w:val="009B2E77"/>
    <w:rsid w:val="009B3F96"/>
    <w:rsid w:val="009B45A3"/>
    <w:rsid w:val="009B536C"/>
    <w:rsid w:val="009B62F2"/>
    <w:rsid w:val="009B6D9A"/>
    <w:rsid w:val="009B753E"/>
    <w:rsid w:val="009B78BC"/>
    <w:rsid w:val="009C24EB"/>
    <w:rsid w:val="009C2594"/>
    <w:rsid w:val="009C30A3"/>
    <w:rsid w:val="009C341D"/>
    <w:rsid w:val="009C3FD0"/>
    <w:rsid w:val="009C547C"/>
    <w:rsid w:val="009C6341"/>
    <w:rsid w:val="009C653D"/>
    <w:rsid w:val="009C721E"/>
    <w:rsid w:val="009D06E2"/>
    <w:rsid w:val="009D0ADA"/>
    <w:rsid w:val="009D0CF2"/>
    <w:rsid w:val="009D2C24"/>
    <w:rsid w:val="009D3E39"/>
    <w:rsid w:val="009D4399"/>
    <w:rsid w:val="009D4E74"/>
    <w:rsid w:val="009D4F20"/>
    <w:rsid w:val="009D4F9E"/>
    <w:rsid w:val="009D56E3"/>
    <w:rsid w:val="009D5B81"/>
    <w:rsid w:val="009D62F2"/>
    <w:rsid w:val="009E05D6"/>
    <w:rsid w:val="009E1E3D"/>
    <w:rsid w:val="009E202C"/>
    <w:rsid w:val="009E28B9"/>
    <w:rsid w:val="009E2E3B"/>
    <w:rsid w:val="009E3980"/>
    <w:rsid w:val="009E4599"/>
    <w:rsid w:val="009E5682"/>
    <w:rsid w:val="009E7C7C"/>
    <w:rsid w:val="009E7EDD"/>
    <w:rsid w:val="009F0AA2"/>
    <w:rsid w:val="009F1983"/>
    <w:rsid w:val="009F23BD"/>
    <w:rsid w:val="009F28DA"/>
    <w:rsid w:val="009F2913"/>
    <w:rsid w:val="009F38CE"/>
    <w:rsid w:val="009F3C50"/>
    <w:rsid w:val="009F3FDB"/>
    <w:rsid w:val="009F425D"/>
    <w:rsid w:val="009F42B3"/>
    <w:rsid w:val="009F465B"/>
    <w:rsid w:val="009F48AA"/>
    <w:rsid w:val="009F6253"/>
    <w:rsid w:val="009F659C"/>
    <w:rsid w:val="009F6ACC"/>
    <w:rsid w:val="009F7087"/>
    <w:rsid w:val="009F7A80"/>
    <w:rsid w:val="009F7DA5"/>
    <w:rsid w:val="00A00672"/>
    <w:rsid w:val="00A01594"/>
    <w:rsid w:val="00A01B11"/>
    <w:rsid w:val="00A0283A"/>
    <w:rsid w:val="00A02887"/>
    <w:rsid w:val="00A02FCC"/>
    <w:rsid w:val="00A044E6"/>
    <w:rsid w:val="00A04F4B"/>
    <w:rsid w:val="00A04FFB"/>
    <w:rsid w:val="00A0695D"/>
    <w:rsid w:val="00A07B0B"/>
    <w:rsid w:val="00A10AC7"/>
    <w:rsid w:val="00A11319"/>
    <w:rsid w:val="00A12A2D"/>
    <w:rsid w:val="00A13915"/>
    <w:rsid w:val="00A13C4E"/>
    <w:rsid w:val="00A14560"/>
    <w:rsid w:val="00A14D7C"/>
    <w:rsid w:val="00A16B7B"/>
    <w:rsid w:val="00A17F7B"/>
    <w:rsid w:val="00A20195"/>
    <w:rsid w:val="00A20303"/>
    <w:rsid w:val="00A2032E"/>
    <w:rsid w:val="00A23F13"/>
    <w:rsid w:val="00A24493"/>
    <w:rsid w:val="00A24643"/>
    <w:rsid w:val="00A249A0"/>
    <w:rsid w:val="00A249F7"/>
    <w:rsid w:val="00A24B24"/>
    <w:rsid w:val="00A24B51"/>
    <w:rsid w:val="00A24C80"/>
    <w:rsid w:val="00A24E4F"/>
    <w:rsid w:val="00A252C3"/>
    <w:rsid w:val="00A2728D"/>
    <w:rsid w:val="00A317E7"/>
    <w:rsid w:val="00A31AE1"/>
    <w:rsid w:val="00A32CAE"/>
    <w:rsid w:val="00A341C0"/>
    <w:rsid w:val="00A3523E"/>
    <w:rsid w:val="00A3698A"/>
    <w:rsid w:val="00A37C8C"/>
    <w:rsid w:val="00A37DB5"/>
    <w:rsid w:val="00A37E59"/>
    <w:rsid w:val="00A4079A"/>
    <w:rsid w:val="00A40A62"/>
    <w:rsid w:val="00A40C5B"/>
    <w:rsid w:val="00A40E17"/>
    <w:rsid w:val="00A415A9"/>
    <w:rsid w:val="00A41767"/>
    <w:rsid w:val="00A42538"/>
    <w:rsid w:val="00A43680"/>
    <w:rsid w:val="00A44286"/>
    <w:rsid w:val="00A446ED"/>
    <w:rsid w:val="00A44794"/>
    <w:rsid w:val="00A44E0A"/>
    <w:rsid w:val="00A44F16"/>
    <w:rsid w:val="00A4544B"/>
    <w:rsid w:val="00A45793"/>
    <w:rsid w:val="00A4612A"/>
    <w:rsid w:val="00A461A9"/>
    <w:rsid w:val="00A46541"/>
    <w:rsid w:val="00A473A0"/>
    <w:rsid w:val="00A47613"/>
    <w:rsid w:val="00A50017"/>
    <w:rsid w:val="00A50A2F"/>
    <w:rsid w:val="00A51A64"/>
    <w:rsid w:val="00A51A85"/>
    <w:rsid w:val="00A53E27"/>
    <w:rsid w:val="00A555A6"/>
    <w:rsid w:val="00A555DC"/>
    <w:rsid w:val="00A556DE"/>
    <w:rsid w:val="00A55DC7"/>
    <w:rsid w:val="00A57514"/>
    <w:rsid w:val="00A608D2"/>
    <w:rsid w:val="00A60A7C"/>
    <w:rsid w:val="00A6295B"/>
    <w:rsid w:val="00A63947"/>
    <w:rsid w:val="00A64063"/>
    <w:rsid w:val="00A64DD4"/>
    <w:rsid w:val="00A6526E"/>
    <w:rsid w:val="00A66962"/>
    <w:rsid w:val="00A70049"/>
    <w:rsid w:val="00A71831"/>
    <w:rsid w:val="00A72295"/>
    <w:rsid w:val="00A72310"/>
    <w:rsid w:val="00A72611"/>
    <w:rsid w:val="00A72FE5"/>
    <w:rsid w:val="00A73091"/>
    <w:rsid w:val="00A7328B"/>
    <w:rsid w:val="00A73DA1"/>
    <w:rsid w:val="00A73EF0"/>
    <w:rsid w:val="00A74112"/>
    <w:rsid w:val="00A74B3D"/>
    <w:rsid w:val="00A7504B"/>
    <w:rsid w:val="00A76160"/>
    <w:rsid w:val="00A77154"/>
    <w:rsid w:val="00A775F1"/>
    <w:rsid w:val="00A8034E"/>
    <w:rsid w:val="00A80774"/>
    <w:rsid w:val="00A81005"/>
    <w:rsid w:val="00A825FF"/>
    <w:rsid w:val="00A8294F"/>
    <w:rsid w:val="00A8297B"/>
    <w:rsid w:val="00A85602"/>
    <w:rsid w:val="00A85A19"/>
    <w:rsid w:val="00A90046"/>
    <w:rsid w:val="00A90A3E"/>
    <w:rsid w:val="00A9101B"/>
    <w:rsid w:val="00A91A5F"/>
    <w:rsid w:val="00A91FD2"/>
    <w:rsid w:val="00A941E6"/>
    <w:rsid w:val="00A94ED5"/>
    <w:rsid w:val="00A953AC"/>
    <w:rsid w:val="00A95437"/>
    <w:rsid w:val="00A95523"/>
    <w:rsid w:val="00A968C9"/>
    <w:rsid w:val="00A977B0"/>
    <w:rsid w:val="00AA07C3"/>
    <w:rsid w:val="00AA0987"/>
    <w:rsid w:val="00AA1E72"/>
    <w:rsid w:val="00AA3595"/>
    <w:rsid w:val="00AA5177"/>
    <w:rsid w:val="00AA54D3"/>
    <w:rsid w:val="00AA7215"/>
    <w:rsid w:val="00AA7CAF"/>
    <w:rsid w:val="00AB0046"/>
    <w:rsid w:val="00AB1750"/>
    <w:rsid w:val="00AB1C75"/>
    <w:rsid w:val="00AB24F1"/>
    <w:rsid w:val="00AB365E"/>
    <w:rsid w:val="00AB443B"/>
    <w:rsid w:val="00AB4E1B"/>
    <w:rsid w:val="00AB4EA7"/>
    <w:rsid w:val="00AB5AF3"/>
    <w:rsid w:val="00AB6B43"/>
    <w:rsid w:val="00AB6E51"/>
    <w:rsid w:val="00AB7A71"/>
    <w:rsid w:val="00AC0A98"/>
    <w:rsid w:val="00AC1729"/>
    <w:rsid w:val="00AC2007"/>
    <w:rsid w:val="00AC2954"/>
    <w:rsid w:val="00AC2E5B"/>
    <w:rsid w:val="00AC3200"/>
    <w:rsid w:val="00AC3300"/>
    <w:rsid w:val="00AC41AA"/>
    <w:rsid w:val="00AC50F2"/>
    <w:rsid w:val="00AC6147"/>
    <w:rsid w:val="00AC6261"/>
    <w:rsid w:val="00AC63A4"/>
    <w:rsid w:val="00AC779C"/>
    <w:rsid w:val="00AD12AC"/>
    <w:rsid w:val="00AD1536"/>
    <w:rsid w:val="00AD1C9E"/>
    <w:rsid w:val="00AD3A95"/>
    <w:rsid w:val="00AD3DB0"/>
    <w:rsid w:val="00AD4519"/>
    <w:rsid w:val="00AD584B"/>
    <w:rsid w:val="00AD5DC0"/>
    <w:rsid w:val="00AD5FD7"/>
    <w:rsid w:val="00AD63D3"/>
    <w:rsid w:val="00AD65BA"/>
    <w:rsid w:val="00AD6B5D"/>
    <w:rsid w:val="00AD7027"/>
    <w:rsid w:val="00AE031F"/>
    <w:rsid w:val="00AE120E"/>
    <w:rsid w:val="00AE17A1"/>
    <w:rsid w:val="00AE22BE"/>
    <w:rsid w:val="00AE5544"/>
    <w:rsid w:val="00AE6D16"/>
    <w:rsid w:val="00AE6E66"/>
    <w:rsid w:val="00AE70AA"/>
    <w:rsid w:val="00AE73F3"/>
    <w:rsid w:val="00AF0271"/>
    <w:rsid w:val="00AF099F"/>
    <w:rsid w:val="00AF1218"/>
    <w:rsid w:val="00AF12CD"/>
    <w:rsid w:val="00AF190A"/>
    <w:rsid w:val="00AF1BD5"/>
    <w:rsid w:val="00AF1FFD"/>
    <w:rsid w:val="00AF205D"/>
    <w:rsid w:val="00AF242C"/>
    <w:rsid w:val="00AF3022"/>
    <w:rsid w:val="00AF4235"/>
    <w:rsid w:val="00AF4993"/>
    <w:rsid w:val="00AF5ED0"/>
    <w:rsid w:val="00AF7542"/>
    <w:rsid w:val="00AF7DE7"/>
    <w:rsid w:val="00B00085"/>
    <w:rsid w:val="00B00966"/>
    <w:rsid w:val="00B02A41"/>
    <w:rsid w:val="00B03AF2"/>
    <w:rsid w:val="00B03E7D"/>
    <w:rsid w:val="00B049D7"/>
    <w:rsid w:val="00B04A6B"/>
    <w:rsid w:val="00B04F49"/>
    <w:rsid w:val="00B05191"/>
    <w:rsid w:val="00B0527D"/>
    <w:rsid w:val="00B0532B"/>
    <w:rsid w:val="00B05EF9"/>
    <w:rsid w:val="00B06E02"/>
    <w:rsid w:val="00B07348"/>
    <w:rsid w:val="00B100AC"/>
    <w:rsid w:val="00B103A6"/>
    <w:rsid w:val="00B1053E"/>
    <w:rsid w:val="00B10A61"/>
    <w:rsid w:val="00B129B7"/>
    <w:rsid w:val="00B12B2D"/>
    <w:rsid w:val="00B13721"/>
    <w:rsid w:val="00B16262"/>
    <w:rsid w:val="00B16A1D"/>
    <w:rsid w:val="00B170A3"/>
    <w:rsid w:val="00B17ADD"/>
    <w:rsid w:val="00B20173"/>
    <w:rsid w:val="00B201FA"/>
    <w:rsid w:val="00B20366"/>
    <w:rsid w:val="00B209F4"/>
    <w:rsid w:val="00B20BB9"/>
    <w:rsid w:val="00B20F01"/>
    <w:rsid w:val="00B2122C"/>
    <w:rsid w:val="00B2174E"/>
    <w:rsid w:val="00B22330"/>
    <w:rsid w:val="00B22D04"/>
    <w:rsid w:val="00B23068"/>
    <w:rsid w:val="00B237FA"/>
    <w:rsid w:val="00B2387C"/>
    <w:rsid w:val="00B23FEF"/>
    <w:rsid w:val="00B24250"/>
    <w:rsid w:val="00B2429A"/>
    <w:rsid w:val="00B24950"/>
    <w:rsid w:val="00B24D9B"/>
    <w:rsid w:val="00B24E45"/>
    <w:rsid w:val="00B24EA2"/>
    <w:rsid w:val="00B2623A"/>
    <w:rsid w:val="00B26519"/>
    <w:rsid w:val="00B26E23"/>
    <w:rsid w:val="00B27B66"/>
    <w:rsid w:val="00B3002A"/>
    <w:rsid w:val="00B30B56"/>
    <w:rsid w:val="00B30D6F"/>
    <w:rsid w:val="00B31322"/>
    <w:rsid w:val="00B31D49"/>
    <w:rsid w:val="00B329C7"/>
    <w:rsid w:val="00B33729"/>
    <w:rsid w:val="00B34F16"/>
    <w:rsid w:val="00B35F29"/>
    <w:rsid w:val="00B36A14"/>
    <w:rsid w:val="00B3738D"/>
    <w:rsid w:val="00B378BA"/>
    <w:rsid w:val="00B37E10"/>
    <w:rsid w:val="00B37F8A"/>
    <w:rsid w:val="00B40C9B"/>
    <w:rsid w:val="00B40E83"/>
    <w:rsid w:val="00B414B6"/>
    <w:rsid w:val="00B4152F"/>
    <w:rsid w:val="00B418FB"/>
    <w:rsid w:val="00B41A74"/>
    <w:rsid w:val="00B41DDD"/>
    <w:rsid w:val="00B42914"/>
    <w:rsid w:val="00B42F86"/>
    <w:rsid w:val="00B432B9"/>
    <w:rsid w:val="00B43A5C"/>
    <w:rsid w:val="00B44C1C"/>
    <w:rsid w:val="00B45C7E"/>
    <w:rsid w:val="00B4647C"/>
    <w:rsid w:val="00B51846"/>
    <w:rsid w:val="00B5197A"/>
    <w:rsid w:val="00B52123"/>
    <w:rsid w:val="00B529DF"/>
    <w:rsid w:val="00B5559A"/>
    <w:rsid w:val="00B566E2"/>
    <w:rsid w:val="00B57DC1"/>
    <w:rsid w:val="00B602EC"/>
    <w:rsid w:val="00B608A3"/>
    <w:rsid w:val="00B6108F"/>
    <w:rsid w:val="00B61869"/>
    <w:rsid w:val="00B62756"/>
    <w:rsid w:val="00B636C0"/>
    <w:rsid w:val="00B63CF6"/>
    <w:rsid w:val="00B63FEA"/>
    <w:rsid w:val="00B64205"/>
    <w:rsid w:val="00B646BF"/>
    <w:rsid w:val="00B654DB"/>
    <w:rsid w:val="00B657E8"/>
    <w:rsid w:val="00B65A2D"/>
    <w:rsid w:val="00B65BBE"/>
    <w:rsid w:val="00B66261"/>
    <w:rsid w:val="00B66672"/>
    <w:rsid w:val="00B669A6"/>
    <w:rsid w:val="00B67B77"/>
    <w:rsid w:val="00B703AF"/>
    <w:rsid w:val="00B708FB"/>
    <w:rsid w:val="00B711C3"/>
    <w:rsid w:val="00B716C8"/>
    <w:rsid w:val="00B72BCF"/>
    <w:rsid w:val="00B72E9D"/>
    <w:rsid w:val="00B73395"/>
    <w:rsid w:val="00B7424D"/>
    <w:rsid w:val="00B74475"/>
    <w:rsid w:val="00B74D9E"/>
    <w:rsid w:val="00B76064"/>
    <w:rsid w:val="00B77876"/>
    <w:rsid w:val="00B80307"/>
    <w:rsid w:val="00B809F2"/>
    <w:rsid w:val="00B81142"/>
    <w:rsid w:val="00B82272"/>
    <w:rsid w:val="00B832B4"/>
    <w:rsid w:val="00B834AF"/>
    <w:rsid w:val="00B83D67"/>
    <w:rsid w:val="00B843FE"/>
    <w:rsid w:val="00B84E02"/>
    <w:rsid w:val="00B85F9A"/>
    <w:rsid w:val="00B8608B"/>
    <w:rsid w:val="00B86B13"/>
    <w:rsid w:val="00B87435"/>
    <w:rsid w:val="00B87481"/>
    <w:rsid w:val="00B87995"/>
    <w:rsid w:val="00B905AC"/>
    <w:rsid w:val="00B906CA"/>
    <w:rsid w:val="00B907BB"/>
    <w:rsid w:val="00B90A20"/>
    <w:rsid w:val="00B9144F"/>
    <w:rsid w:val="00B924EC"/>
    <w:rsid w:val="00B93219"/>
    <w:rsid w:val="00B9351A"/>
    <w:rsid w:val="00B93839"/>
    <w:rsid w:val="00B976B5"/>
    <w:rsid w:val="00BA0C6C"/>
    <w:rsid w:val="00BA1B27"/>
    <w:rsid w:val="00BA2285"/>
    <w:rsid w:val="00BA288F"/>
    <w:rsid w:val="00BA28CC"/>
    <w:rsid w:val="00BA2FDE"/>
    <w:rsid w:val="00BA376D"/>
    <w:rsid w:val="00BA436B"/>
    <w:rsid w:val="00BA5399"/>
    <w:rsid w:val="00BA5E38"/>
    <w:rsid w:val="00BA5F4E"/>
    <w:rsid w:val="00BA5FDD"/>
    <w:rsid w:val="00BA6AD2"/>
    <w:rsid w:val="00BA6B11"/>
    <w:rsid w:val="00BA6D69"/>
    <w:rsid w:val="00BA6F24"/>
    <w:rsid w:val="00BA707E"/>
    <w:rsid w:val="00BA7B75"/>
    <w:rsid w:val="00BA7E6D"/>
    <w:rsid w:val="00BB059C"/>
    <w:rsid w:val="00BB0DAE"/>
    <w:rsid w:val="00BB0DBD"/>
    <w:rsid w:val="00BB0FA6"/>
    <w:rsid w:val="00BB106E"/>
    <w:rsid w:val="00BB11E9"/>
    <w:rsid w:val="00BB14D2"/>
    <w:rsid w:val="00BB1BC3"/>
    <w:rsid w:val="00BB1FF3"/>
    <w:rsid w:val="00BB27DB"/>
    <w:rsid w:val="00BB2AD2"/>
    <w:rsid w:val="00BB3D3C"/>
    <w:rsid w:val="00BB45A9"/>
    <w:rsid w:val="00BB47AC"/>
    <w:rsid w:val="00BB4F85"/>
    <w:rsid w:val="00BB66F8"/>
    <w:rsid w:val="00BB76BF"/>
    <w:rsid w:val="00BC280E"/>
    <w:rsid w:val="00BC376A"/>
    <w:rsid w:val="00BC392D"/>
    <w:rsid w:val="00BC4CB2"/>
    <w:rsid w:val="00BC6426"/>
    <w:rsid w:val="00BC6B51"/>
    <w:rsid w:val="00BC7265"/>
    <w:rsid w:val="00BD01E6"/>
    <w:rsid w:val="00BD0223"/>
    <w:rsid w:val="00BD0265"/>
    <w:rsid w:val="00BD0DFE"/>
    <w:rsid w:val="00BD174A"/>
    <w:rsid w:val="00BD1F2A"/>
    <w:rsid w:val="00BD209D"/>
    <w:rsid w:val="00BD25FB"/>
    <w:rsid w:val="00BD369D"/>
    <w:rsid w:val="00BD3B54"/>
    <w:rsid w:val="00BD3B97"/>
    <w:rsid w:val="00BD3E27"/>
    <w:rsid w:val="00BD462D"/>
    <w:rsid w:val="00BD4784"/>
    <w:rsid w:val="00BD4A93"/>
    <w:rsid w:val="00BD76D4"/>
    <w:rsid w:val="00BE16B2"/>
    <w:rsid w:val="00BE1C49"/>
    <w:rsid w:val="00BE1D66"/>
    <w:rsid w:val="00BE1F9B"/>
    <w:rsid w:val="00BE2100"/>
    <w:rsid w:val="00BE2721"/>
    <w:rsid w:val="00BE3398"/>
    <w:rsid w:val="00BE3676"/>
    <w:rsid w:val="00BE44BE"/>
    <w:rsid w:val="00BE52A7"/>
    <w:rsid w:val="00BE5A27"/>
    <w:rsid w:val="00BE5C73"/>
    <w:rsid w:val="00BE7049"/>
    <w:rsid w:val="00BE708F"/>
    <w:rsid w:val="00BE70F4"/>
    <w:rsid w:val="00BE7723"/>
    <w:rsid w:val="00BF0851"/>
    <w:rsid w:val="00BF10F5"/>
    <w:rsid w:val="00BF1593"/>
    <w:rsid w:val="00BF196E"/>
    <w:rsid w:val="00BF3625"/>
    <w:rsid w:val="00BF3966"/>
    <w:rsid w:val="00BF3A53"/>
    <w:rsid w:val="00BF3B6B"/>
    <w:rsid w:val="00BF41E2"/>
    <w:rsid w:val="00BF466D"/>
    <w:rsid w:val="00BF662F"/>
    <w:rsid w:val="00BF7215"/>
    <w:rsid w:val="00BF7316"/>
    <w:rsid w:val="00BF7DD9"/>
    <w:rsid w:val="00C0025C"/>
    <w:rsid w:val="00C0099A"/>
    <w:rsid w:val="00C00C3E"/>
    <w:rsid w:val="00C012E6"/>
    <w:rsid w:val="00C024A9"/>
    <w:rsid w:val="00C032BF"/>
    <w:rsid w:val="00C0334E"/>
    <w:rsid w:val="00C0398A"/>
    <w:rsid w:val="00C04181"/>
    <w:rsid w:val="00C04B0A"/>
    <w:rsid w:val="00C05184"/>
    <w:rsid w:val="00C06F91"/>
    <w:rsid w:val="00C07085"/>
    <w:rsid w:val="00C07293"/>
    <w:rsid w:val="00C07C2B"/>
    <w:rsid w:val="00C1022A"/>
    <w:rsid w:val="00C10F9E"/>
    <w:rsid w:val="00C12A73"/>
    <w:rsid w:val="00C14078"/>
    <w:rsid w:val="00C1444C"/>
    <w:rsid w:val="00C1476B"/>
    <w:rsid w:val="00C14CAF"/>
    <w:rsid w:val="00C1518C"/>
    <w:rsid w:val="00C156DF"/>
    <w:rsid w:val="00C15AEF"/>
    <w:rsid w:val="00C16110"/>
    <w:rsid w:val="00C1636B"/>
    <w:rsid w:val="00C17244"/>
    <w:rsid w:val="00C173DC"/>
    <w:rsid w:val="00C17491"/>
    <w:rsid w:val="00C20200"/>
    <w:rsid w:val="00C2042B"/>
    <w:rsid w:val="00C205BF"/>
    <w:rsid w:val="00C20868"/>
    <w:rsid w:val="00C22592"/>
    <w:rsid w:val="00C22672"/>
    <w:rsid w:val="00C22C28"/>
    <w:rsid w:val="00C23B2D"/>
    <w:rsid w:val="00C2406A"/>
    <w:rsid w:val="00C248F3"/>
    <w:rsid w:val="00C25FA5"/>
    <w:rsid w:val="00C26351"/>
    <w:rsid w:val="00C26FED"/>
    <w:rsid w:val="00C27DB0"/>
    <w:rsid w:val="00C30D70"/>
    <w:rsid w:val="00C30F29"/>
    <w:rsid w:val="00C31729"/>
    <w:rsid w:val="00C318F0"/>
    <w:rsid w:val="00C31A7B"/>
    <w:rsid w:val="00C31DA6"/>
    <w:rsid w:val="00C32154"/>
    <w:rsid w:val="00C331F6"/>
    <w:rsid w:val="00C3320C"/>
    <w:rsid w:val="00C33489"/>
    <w:rsid w:val="00C34BD6"/>
    <w:rsid w:val="00C34E44"/>
    <w:rsid w:val="00C35849"/>
    <w:rsid w:val="00C35C17"/>
    <w:rsid w:val="00C36431"/>
    <w:rsid w:val="00C3669A"/>
    <w:rsid w:val="00C370BE"/>
    <w:rsid w:val="00C370E6"/>
    <w:rsid w:val="00C3726E"/>
    <w:rsid w:val="00C3755D"/>
    <w:rsid w:val="00C3796D"/>
    <w:rsid w:val="00C40557"/>
    <w:rsid w:val="00C41F11"/>
    <w:rsid w:val="00C42992"/>
    <w:rsid w:val="00C42B66"/>
    <w:rsid w:val="00C4338C"/>
    <w:rsid w:val="00C4395A"/>
    <w:rsid w:val="00C44EEA"/>
    <w:rsid w:val="00C454D3"/>
    <w:rsid w:val="00C50227"/>
    <w:rsid w:val="00C50296"/>
    <w:rsid w:val="00C50631"/>
    <w:rsid w:val="00C50B51"/>
    <w:rsid w:val="00C50B99"/>
    <w:rsid w:val="00C514DD"/>
    <w:rsid w:val="00C522AE"/>
    <w:rsid w:val="00C52B8B"/>
    <w:rsid w:val="00C52C8E"/>
    <w:rsid w:val="00C53B42"/>
    <w:rsid w:val="00C53FE2"/>
    <w:rsid w:val="00C54440"/>
    <w:rsid w:val="00C544EB"/>
    <w:rsid w:val="00C54573"/>
    <w:rsid w:val="00C54FCA"/>
    <w:rsid w:val="00C5705A"/>
    <w:rsid w:val="00C570F8"/>
    <w:rsid w:val="00C5757B"/>
    <w:rsid w:val="00C60682"/>
    <w:rsid w:val="00C61620"/>
    <w:rsid w:val="00C6163A"/>
    <w:rsid w:val="00C61C61"/>
    <w:rsid w:val="00C62849"/>
    <w:rsid w:val="00C63B76"/>
    <w:rsid w:val="00C63BFF"/>
    <w:rsid w:val="00C652D4"/>
    <w:rsid w:val="00C65416"/>
    <w:rsid w:val="00C66B1D"/>
    <w:rsid w:val="00C66F48"/>
    <w:rsid w:val="00C66F7C"/>
    <w:rsid w:val="00C67DE6"/>
    <w:rsid w:val="00C70992"/>
    <w:rsid w:val="00C70DD2"/>
    <w:rsid w:val="00C70FB7"/>
    <w:rsid w:val="00C71ECC"/>
    <w:rsid w:val="00C72624"/>
    <w:rsid w:val="00C72B02"/>
    <w:rsid w:val="00C73808"/>
    <w:rsid w:val="00C73984"/>
    <w:rsid w:val="00C747F6"/>
    <w:rsid w:val="00C75F99"/>
    <w:rsid w:val="00C76712"/>
    <w:rsid w:val="00C77324"/>
    <w:rsid w:val="00C77A13"/>
    <w:rsid w:val="00C80BC1"/>
    <w:rsid w:val="00C80C93"/>
    <w:rsid w:val="00C818E7"/>
    <w:rsid w:val="00C828FC"/>
    <w:rsid w:val="00C83494"/>
    <w:rsid w:val="00C846DA"/>
    <w:rsid w:val="00C853E8"/>
    <w:rsid w:val="00C85452"/>
    <w:rsid w:val="00C860D0"/>
    <w:rsid w:val="00C8701E"/>
    <w:rsid w:val="00C87E68"/>
    <w:rsid w:val="00C87F8A"/>
    <w:rsid w:val="00C91166"/>
    <w:rsid w:val="00C9192D"/>
    <w:rsid w:val="00C93B71"/>
    <w:rsid w:val="00C95C27"/>
    <w:rsid w:val="00C96244"/>
    <w:rsid w:val="00C9678B"/>
    <w:rsid w:val="00C9680B"/>
    <w:rsid w:val="00C96FF7"/>
    <w:rsid w:val="00C977E8"/>
    <w:rsid w:val="00CA0F20"/>
    <w:rsid w:val="00CA17BD"/>
    <w:rsid w:val="00CA1DC5"/>
    <w:rsid w:val="00CA22C4"/>
    <w:rsid w:val="00CA2753"/>
    <w:rsid w:val="00CA2BE7"/>
    <w:rsid w:val="00CA2F18"/>
    <w:rsid w:val="00CA3F79"/>
    <w:rsid w:val="00CA4187"/>
    <w:rsid w:val="00CA46B8"/>
    <w:rsid w:val="00CA4B97"/>
    <w:rsid w:val="00CA4D46"/>
    <w:rsid w:val="00CA5E8D"/>
    <w:rsid w:val="00CA68C9"/>
    <w:rsid w:val="00CA69AE"/>
    <w:rsid w:val="00CA7CA8"/>
    <w:rsid w:val="00CA7EB4"/>
    <w:rsid w:val="00CB0ED7"/>
    <w:rsid w:val="00CB15CA"/>
    <w:rsid w:val="00CB1C7E"/>
    <w:rsid w:val="00CB2E15"/>
    <w:rsid w:val="00CB2E79"/>
    <w:rsid w:val="00CB2FA2"/>
    <w:rsid w:val="00CB318F"/>
    <w:rsid w:val="00CB39AF"/>
    <w:rsid w:val="00CB3AA1"/>
    <w:rsid w:val="00CB3CB9"/>
    <w:rsid w:val="00CB49E4"/>
    <w:rsid w:val="00CB54D4"/>
    <w:rsid w:val="00CB57A1"/>
    <w:rsid w:val="00CB57D8"/>
    <w:rsid w:val="00CB5A40"/>
    <w:rsid w:val="00CB7771"/>
    <w:rsid w:val="00CB7FEE"/>
    <w:rsid w:val="00CC0B06"/>
    <w:rsid w:val="00CC1E51"/>
    <w:rsid w:val="00CC3186"/>
    <w:rsid w:val="00CC4216"/>
    <w:rsid w:val="00CC449A"/>
    <w:rsid w:val="00CC4BE9"/>
    <w:rsid w:val="00CC5BFC"/>
    <w:rsid w:val="00CC5F6E"/>
    <w:rsid w:val="00CC75D4"/>
    <w:rsid w:val="00CC79D5"/>
    <w:rsid w:val="00CC7D7B"/>
    <w:rsid w:val="00CD03D6"/>
    <w:rsid w:val="00CD3064"/>
    <w:rsid w:val="00CD3441"/>
    <w:rsid w:val="00CD390B"/>
    <w:rsid w:val="00CD4152"/>
    <w:rsid w:val="00CD4B7F"/>
    <w:rsid w:val="00CD4C41"/>
    <w:rsid w:val="00CD5CE1"/>
    <w:rsid w:val="00CD766B"/>
    <w:rsid w:val="00CD7EB6"/>
    <w:rsid w:val="00CE04DE"/>
    <w:rsid w:val="00CE0E84"/>
    <w:rsid w:val="00CE153D"/>
    <w:rsid w:val="00CE1D7B"/>
    <w:rsid w:val="00CE1DD9"/>
    <w:rsid w:val="00CE2118"/>
    <w:rsid w:val="00CE243F"/>
    <w:rsid w:val="00CE3175"/>
    <w:rsid w:val="00CE3293"/>
    <w:rsid w:val="00CE3C6D"/>
    <w:rsid w:val="00CE3C82"/>
    <w:rsid w:val="00CE43B1"/>
    <w:rsid w:val="00CE45DB"/>
    <w:rsid w:val="00CE6D9E"/>
    <w:rsid w:val="00CE794B"/>
    <w:rsid w:val="00CE7C39"/>
    <w:rsid w:val="00CF05EA"/>
    <w:rsid w:val="00CF0FB9"/>
    <w:rsid w:val="00CF248F"/>
    <w:rsid w:val="00CF3DA0"/>
    <w:rsid w:val="00CF3F37"/>
    <w:rsid w:val="00CF4A46"/>
    <w:rsid w:val="00CF4BD8"/>
    <w:rsid w:val="00CF581A"/>
    <w:rsid w:val="00CF74C0"/>
    <w:rsid w:val="00D01E38"/>
    <w:rsid w:val="00D026AB"/>
    <w:rsid w:val="00D0283B"/>
    <w:rsid w:val="00D02ABB"/>
    <w:rsid w:val="00D03BB9"/>
    <w:rsid w:val="00D03D4D"/>
    <w:rsid w:val="00D03F6C"/>
    <w:rsid w:val="00D0415C"/>
    <w:rsid w:val="00D04983"/>
    <w:rsid w:val="00D05778"/>
    <w:rsid w:val="00D070FF"/>
    <w:rsid w:val="00D07D94"/>
    <w:rsid w:val="00D1058E"/>
    <w:rsid w:val="00D1174E"/>
    <w:rsid w:val="00D12059"/>
    <w:rsid w:val="00D1239D"/>
    <w:rsid w:val="00D13777"/>
    <w:rsid w:val="00D13BB6"/>
    <w:rsid w:val="00D13F8F"/>
    <w:rsid w:val="00D1459C"/>
    <w:rsid w:val="00D151F0"/>
    <w:rsid w:val="00D15F8E"/>
    <w:rsid w:val="00D1690E"/>
    <w:rsid w:val="00D1703B"/>
    <w:rsid w:val="00D17B3F"/>
    <w:rsid w:val="00D211C8"/>
    <w:rsid w:val="00D219D5"/>
    <w:rsid w:val="00D23513"/>
    <w:rsid w:val="00D24A53"/>
    <w:rsid w:val="00D252B8"/>
    <w:rsid w:val="00D25588"/>
    <w:rsid w:val="00D2729A"/>
    <w:rsid w:val="00D27506"/>
    <w:rsid w:val="00D27E6C"/>
    <w:rsid w:val="00D30F5A"/>
    <w:rsid w:val="00D3198D"/>
    <w:rsid w:val="00D32777"/>
    <w:rsid w:val="00D3357B"/>
    <w:rsid w:val="00D34338"/>
    <w:rsid w:val="00D35601"/>
    <w:rsid w:val="00D36027"/>
    <w:rsid w:val="00D36337"/>
    <w:rsid w:val="00D36522"/>
    <w:rsid w:val="00D367F5"/>
    <w:rsid w:val="00D36C23"/>
    <w:rsid w:val="00D36FB2"/>
    <w:rsid w:val="00D40EAF"/>
    <w:rsid w:val="00D411A8"/>
    <w:rsid w:val="00D41B99"/>
    <w:rsid w:val="00D4244A"/>
    <w:rsid w:val="00D44CC7"/>
    <w:rsid w:val="00D45867"/>
    <w:rsid w:val="00D45C31"/>
    <w:rsid w:val="00D45CE3"/>
    <w:rsid w:val="00D46157"/>
    <w:rsid w:val="00D46284"/>
    <w:rsid w:val="00D466A8"/>
    <w:rsid w:val="00D46A18"/>
    <w:rsid w:val="00D46BEF"/>
    <w:rsid w:val="00D47187"/>
    <w:rsid w:val="00D4751A"/>
    <w:rsid w:val="00D50011"/>
    <w:rsid w:val="00D500F2"/>
    <w:rsid w:val="00D5017E"/>
    <w:rsid w:val="00D52284"/>
    <w:rsid w:val="00D5322C"/>
    <w:rsid w:val="00D533BF"/>
    <w:rsid w:val="00D53841"/>
    <w:rsid w:val="00D53C05"/>
    <w:rsid w:val="00D546B8"/>
    <w:rsid w:val="00D55294"/>
    <w:rsid w:val="00D5660E"/>
    <w:rsid w:val="00D56ACF"/>
    <w:rsid w:val="00D57692"/>
    <w:rsid w:val="00D57AF1"/>
    <w:rsid w:val="00D60B43"/>
    <w:rsid w:val="00D614C7"/>
    <w:rsid w:val="00D61E9C"/>
    <w:rsid w:val="00D61F93"/>
    <w:rsid w:val="00D623A8"/>
    <w:rsid w:val="00D62EEF"/>
    <w:rsid w:val="00D6312F"/>
    <w:rsid w:val="00D63703"/>
    <w:rsid w:val="00D63D69"/>
    <w:rsid w:val="00D640F2"/>
    <w:rsid w:val="00D642AD"/>
    <w:rsid w:val="00D64A40"/>
    <w:rsid w:val="00D654E8"/>
    <w:rsid w:val="00D654FB"/>
    <w:rsid w:val="00D65619"/>
    <w:rsid w:val="00D661C5"/>
    <w:rsid w:val="00D67780"/>
    <w:rsid w:val="00D701C2"/>
    <w:rsid w:val="00D7055C"/>
    <w:rsid w:val="00D7160C"/>
    <w:rsid w:val="00D71C1F"/>
    <w:rsid w:val="00D71CE6"/>
    <w:rsid w:val="00D727B3"/>
    <w:rsid w:val="00D73210"/>
    <w:rsid w:val="00D73AD4"/>
    <w:rsid w:val="00D74862"/>
    <w:rsid w:val="00D75879"/>
    <w:rsid w:val="00D75908"/>
    <w:rsid w:val="00D75ECA"/>
    <w:rsid w:val="00D766A9"/>
    <w:rsid w:val="00D775CD"/>
    <w:rsid w:val="00D8005C"/>
    <w:rsid w:val="00D81003"/>
    <w:rsid w:val="00D81129"/>
    <w:rsid w:val="00D81A7D"/>
    <w:rsid w:val="00D8202C"/>
    <w:rsid w:val="00D82F39"/>
    <w:rsid w:val="00D846D9"/>
    <w:rsid w:val="00D84CF1"/>
    <w:rsid w:val="00D84F1E"/>
    <w:rsid w:val="00D853F2"/>
    <w:rsid w:val="00D859E0"/>
    <w:rsid w:val="00D85CF7"/>
    <w:rsid w:val="00D863F7"/>
    <w:rsid w:val="00D86BF0"/>
    <w:rsid w:val="00D87C8F"/>
    <w:rsid w:val="00D9076C"/>
    <w:rsid w:val="00D90F3C"/>
    <w:rsid w:val="00D91686"/>
    <w:rsid w:val="00D9181C"/>
    <w:rsid w:val="00D9191D"/>
    <w:rsid w:val="00D91D95"/>
    <w:rsid w:val="00D92454"/>
    <w:rsid w:val="00D9270B"/>
    <w:rsid w:val="00D927AB"/>
    <w:rsid w:val="00D93CB6"/>
    <w:rsid w:val="00D94506"/>
    <w:rsid w:val="00D94C19"/>
    <w:rsid w:val="00D94FA6"/>
    <w:rsid w:val="00D951D7"/>
    <w:rsid w:val="00D96A20"/>
    <w:rsid w:val="00D97020"/>
    <w:rsid w:val="00DA2813"/>
    <w:rsid w:val="00DA2C32"/>
    <w:rsid w:val="00DA31ED"/>
    <w:rsid w:val="00DA36B3"/>
    <w:rsid w:val="00DA467B"/>
    <w:rsid w:val="00DA4DDB"/>
    <w:rsid w:val="00DA53B9"/>
    <w:rsid w:val="00DA64C9"/>
    <w:rsid w:val="00DA6B67"/>
    <w:rsid w:val="00DA7371"/>
    <w:rsid w:val="00DA74CE"/>
    <w:rsid w:val="00DA7878"/>
    <w:rsid w:val="00DB0592"/>
    <w:rsid w:val="00DB0B44"/>
    <w:rsid w:val="00DB3613"/>
    <w:rsid w:val="00DB3DB1"/>
    <w:rsid w:val="00DB3E6A"/>
    <w:rsid w:val="00DB5712"/>
    <w:rsid w:val="00DB5C0E"/>
    <w:rsid w:val="00DB6379"/>
    <w:rsid w:val="00DB69EA"/>
    <w:rsid w:val="00DB70EE"/>
    <w:rsid w:val="00DB7827"/>
    <w:rsid w:val="00DC00C7"/>
    <w:rsid w:val="00DC0554"/>
    <w:rsid w:val="00DC07F1"/>
    <w:rsid w:val="00DC1A6F"/>
    <w:rsid w:val="00DC2DC5"/>
    <w:rsid w:val="00DC30EA"/>
    <w:rsid w:val="00DC33EC"/>
    <w:rsid w:val="00DC5B2D"/>
    <w:rsid w:val="00DC70CD"/>
    <w:rsid w:val="00DC7E6F"/>
    <w:rsid w:val="00DD00EA"/>
    <w:rsid w:val="00DD1BD3"/>
    <w:rsid w:val="00DD1EFE"/>
    <w:rsid w:val="00DD20DE"/>
    <w:rsid w:val="00DD2B5C"/>
    <w:rsid w:val="00DD405B"/>
    <w:rsid w:val="00DD4974"/>
    <w:rsid w:val="00DD6E0E"/>
    <w:rsid w:val="00DD7C13"/>
    <w:rsid w:val="00DD7C7A"/>
    <w:rsid w:val="00DE037E"/>
    <w:rsid w:val="00DE0DFB"/>
    <w:rsid w:val="00DE1550"/>
    <w:rsid w:val="00DE176E"/>
    <w:rsid w:val="00DE1EC9"/>
    <w:rsid w:val="00DE23F2"/>
    <w:rsid w:val="00DE28B1"/>
    <w:rsid w:val="00DE4CB8"/>
    <w:rsid w:val="00DE5A1E"/>
    <w:rsid w:val="00DE5EEE"/>
    <w:rsid w:val="00DE6F95"/>
    <w:rsid w:val="00DE7E8B"/>
    <w:rsid w:val="00DF0745"/>
    <w:rsid w:val="00DF15B6"/>
    <w:rsid w:val="00DF15EC"/>
    <w:rsid w:val="00DF1F85"/>
    <w:rsid w:val="00DF20CE"/>
    <w:rsid w:val="00DF3E3B"/>
    <w:rsid w:val="00DF45FF"/>
    <w:rsid w:val="00DF591B"/>
    <w:rsid w:val="00DF79A3"/>
    <w:rsid w:val="00E00282"/>
    <w:rsid w:val="00E0043E"/>
    <w:rsid w:val="00E00A75"/>
    <w:rsid w:val="00E0156F"/>
    <w:rsid w:val="00E01C97"/>
    <w:rsid w:val="00E027C2"/>
    <w:rsid w:val="00E0505B"/>
    <w:rsid w:val="00E05CBA"/>
    <w:rsid w:val="00E0621A"/>
    <w:rsid w:val="00E06561"/>
    <w:rsid w:val="00E06583"/>
    <w:rsid w:val="00E0766D"/>
    <w:rsid w:val="00E102DD"/>
    <w:rsid w:val="00E10935"/>
    <w:rsid w:val="00E10C1D"/>
    <w:rsid w:val="00E10D76"/>
    <w:rsid w:val="00E11907"/>
    <w:rsid w:val="00E12585"/>
    <w:rsid w:val="00E126E5"/>
    <w:rsid w:val="00E14A2C"/>
    <w:rsid w:val="00E15680"/>
    <w:rsid w:val="00E157D8"/>
    <w:rsid w:val="00E1644C"/>
    <w:rsid w:val="00E16730"/>
    <w:rsid w:val="00E16852"/>
    <w:rsid w:val="00E16DB7"/>
    <w:rsid w:val="00E203ED"/>
    <w:rsid w:val="00E2106E"/>
    <w:rsid w:val="00E21495"/>
    <w:rsid w:val="00E21AD7"/>
    <w:rsid w:val="00E22D0F"/>
    <w:rsid w:val="00E23557"/>
    <w:rsid w:val="00E24B81"/>
    <w:rsid w:val="00E24C2A"/>
    <w:rsid w:val="00E25EB1"/>
    <w:rsid w:val="00E264C0"/>
    <w:rsid w:val="00E267AA"/>
    <w:rsid w:val="00E26870"/>
    <w:rsid w:val="00E273E5"/>
    <w:rsid w:val="00E27FB8"/>
    <w:rsid w:val="00E30064"/>
    <w:rsid w:val="00E301E4"/>
    <w:rsid w:val="00E319E0"/>
    <w:rsid w:val="00E32209"/>
    <w:rsid w:val="00E3275C"/>
    <w:rsid w:val="00E331E4"/>
    <w:rsid w:val="00E3328F"/>
    <w:rsid w:val="00E3413D"/>
    <w:rsid w:val="00E34633"/>
    <w:rsid w:val="00E34CED"/>
    <w:rsid w:val="00E3549F"/>
    <w:rsid w:val="00E35CBE"/>
    <w:rsid w:val="00E35DC5"/>
    <w:rsid w:val="00E374E2"/>
    <w:rsid w:val="00E37830"/>
    <w:rsid w:val="00E37F55"/>
    <w:rsid w:val="00E401C6"/>
    <w:rsid w:val="00E40453"/>
    <w:rsid w:val="00E4059C"/>
    <w:rsid w:val="00E405F0"/>
    <w:rsid w:val="00E40680"/>
    <w:rsid w:val="00E40C1A"/>
    <w:rsid w:val="00E41014"/>
    <w:rsid w:val="00E421F2"/>
    <w:rsid w:val="00E4423D"/>
    <w:rsid w:val="00E449C3"/>
    <w:rsid w:val="00E45020"/>
    <w:rsid w:val="00E4528A"/>
    <w:rsid w:val="00E45C08"/>
    <w:rsid w:val="00E471E6"/>
    <w:rsid w:val="00E47DDE"/>
    <w:rsid w:val="00E50124"/>
    <w:rsid w:val="00E51DD3"/>
    <w:rsid w:val="00E5209E"/>
    <w:rsid w:val="00E5271E"/>
    <w:rsid w:val="00E52EE2"/>
    <w:rsid w:val="00E5364D"/>
    <w:rsid w:val="00E543EE"/>
    <w:rsid w:val="00E54D9C"/>
    <w:rsid w:val="00E55EA3"/>
    <w:rsid w:val="00E55FAC"/>
    <w:rsid w:val="00E56130"/>
    <w:rsid w:val="00E56574"/>
    <w:rsid w:val="00E56D19"/>
    <w:rsid w:val="00E5737A"/>
    <w:rsid w:val="00E57704"/>
    <w:rsid w:val="00E5776E"/>
    <w:rsid w:val="00E57954"/>
    <w:rsid w:val="00E57C07"/>
    <w:rsid w:val="00E57D82"/>
    <w:rsid w:val="00E60D04"/>
    <w:rsid w:val="00E612CC"/>
    <w:rsid w:val="00E62268"/>
    <w:rsid w:val="00E6294C"/>
    <w:rsid w:val="00E63504"/>
    <w:rsid w:val="00E638BA"/>
    <w:rsid w:val="00E64509"/>
    <w:rsid w:val="00E64AAF"/>
    <w:rsid w:val="00E65EFB"/>
    <w:rsid w:val="00E6668F"/>
    <w:rsid w:val="00E666DD"/>
    <w:rsid w:val="00E671F0"/>
    <w:rsid w:val="00E707EA"/>
    <w:rsid w:val="00E712EA"/>
    <w:rsid w:val="00E722A5"/>
    <w:rsid w:val="00E7292C"/>
    <w:rsid w:val="00E740DA"/>
    <w:rsid w:val="00E7455D"/>
    <w:rsid w:val="00E74802"/>
    <w:rsid w:val="00E74B06"/>
    <w:rsid w:val="00E74D9F"/>
    <w:rsid w:val="00E75D1F"/>
    <w:rsid w:val="00E76625"/>
    <w:rsid w:val="00E76F7A"/>
    <w:rsid w:val="00E775FB"/>
    <w:rsid w:val="00E77687"/>
    <w:rsid w:val="00E77B8F"/>
    <w:rsid w:val="00E77DAA"/>
    <w:rsid w:val="00E8086C"/>
    <w:rsid w:val="00E813F4"/>
    <w:rsid w:val="00E8152B"/>
    <w:rsid w:val="00E819A8"/>
    <w:rsid w:val="00E826D1"/>
    <w:rsid w:val="00E828CB"/>
    <w:rsid w:val="00E83E75"/>
    <w:rsid w:val="00E844C3"/>
    <w:rsid w:val="00E85157"/>
    <w:rsid w:val="00E86555"/>
    <w:rsid w:val="00E8695C"/>
    <w:rsid w:val="00E87559"/>
    <w:rsid w:val="00E9006C"/>
    <w:rsid w:val="00E9023B"/>
    <w:rsid w:val="00E9047A"/>
    <w:rsid w:val="00E90609"/>
    <w:rsid w:val="00E913B3"/>
    <w:rsid w:val="00E918B7"/>
    <w:rsid w:val="00E91C7B"/>
    <w:rsid w:val="00E9260C"/>
    <w:rsid w:val="00E9266C"/>
    <w:rsid w:val="00E93EB9"/>
    <w:rsid w:val="00E94DAA"/>
    <w:rsid w:val="00E9526E"/>
    <w:rsid w:val="00E96468"/>
    <w:rsid w:val="00E96F68"/>
    <w:rsid w:val="00E978CC"/>
    <w:rsid w:val="00E97B84"/>
    <w:rsid w:val="00EA0289"/>
    <w:rsid w:val="00EA0BED"/>
    <w:rsid w:val="00EA0FCE"/>
    <w:rsid w:val="00EA1411"/>
    <w:rsid w:val="00EA18A8"/>
    <w:rsid w:val="00EA2142"/>
    <w:rsid w:val="00EA3749"/>
    <w:rsid w:val="00EA3CF5"/>
    <w:rsid w:val="00EA4BB6"/>
    <w:rsid w:val="00EA59B0"/>
    <w:rsid w:val="00EA6138"/>
    <w:rsid w:val="00EA6224"/>
    <w:rsid w:val="00EA6BCC"/>
    <w:rsid w:val="00EA6D93"/>
    <w:rsid w:val="00EA70F7"/>
    <w:rsid w:val="00EA7446"/>
    <w:rsid w:val="00EB004D"/>
    <w:rsid w:val="00EB0146"/>
    <w:rsid w:val="00EB02C1"/>
    <w:rsid w:val="00EB05F5"/>
    <w:rsid w:val="00EB0ACA"/>
    <w:rsid w:val="00EB153B"/>
    <w:rsid w:val="00EB159C"/>
    <w:rsid w:val="00EB1BE8"/>
    <w:rsid w:val="00EB296C"/>
    <w:rsid w:val="00EB3802"/>
    <w:rsid w:val="00EB46FA"/>
    <w:rsid w:val="00EB48F6"/>
    <w:rsid w:val="00EB6587"/>
    <w:rsid w:val="00EB66AC"/>
    <w:rsid w:val="00EB69B4"/>
    <w:rsid w:val="00EB7059"/>
    <w:rsid w:val="00EB7E38"/>
    <w:rsid w:val="00EC05BA"/>
    <w:rsid w:val="00EC1D75"/>
    <w:rsid w:val="00EC20DA"/>
    <w:rsid w:val="00EC238B"/>
    <w:rsid w:val="00EC3117"/>
    <w:rsid w:val="00EC3329"/>
    <w:rsid w:val="00EC3C44"/>
    <w:rsid w:val="00EC478C"/>
    <w:rsid w:val="00EC54C1"/>
    <w:rsid w:val="00EC6EC0"/>
    <w:rsid w:val="00EC7DB0"/>
    <w:rsid w:val="00EC7EDB"/>
    <w:rsid w:val="00ED024A"/>
    <w:rsid w:val="00ED12B0"/>
    <w:rsid w:val="00ED1F83"/>
    <w:rsid w:val="00ED213F"/>
    <w:rsid w:val="00ED2540"/>
    <w:rsid w:val="00ED45E3"/>
    <w:rsid w:val="00ED4783"/>
    <w:rsid w:val="00ED49B3"/>
    <w:rsid w:val="00ED51DE"/>
    <w:rsid w:val="00ED54B4"/>
    <w:rsid w:val="00ED5993"/>
    <w:rsid w:val="00ED5A24"/>
    <w:rsid w:val="00ED6222"/>
    <w:rsid w:val="00ED6F3C"/>
    <w:rsid w:val="00ED74B3"/>
    <w:rsid w:val="00ED7E44"/>
    <w:rsid w:val="00EE0A57"/>
    <w:rsid w:val="00EE1C17"/>
    <w:rsid w:val="00EE1D56"/>
    <w:rsid w:val="00EE235A"/>
    <w:rsid w:val="00EE294E"/>
    <w:rsid w:val="00EE35B8"/>
    <w:rsid w:val="00EE3EC0"/>
    <w:rsid w:val="00EE427C"/>
    <w:rsid w:val="00EE4392"/>
    <w:rsid w:val="00EE4B3F"/>
    <w:rsid w:val="00EE4DCC"/>
    <w:rsid w:val="00EE5425"/>
    <w:rsid w:val="00EE74FC"/>
    <w:rsid w:val="00EE7916"/>
    <w:rsid w:val="00EE793A"/>
    <w:rsid w:val="00EE7C99"/>
    <w:rsid w:val="00EF1078"/>
    <w:rsid w:val="00EF19D9"/>
    <w:rsid w:val="00EF2467"/>
    <w:rsid w:val="00EF4844"/>
    <w:rsid w:val="00EF4853"/>
    <w:rsid w:val="00EF4A5A"/>
    <w:rsid w:val="00EF5667"/>
    <w:rsid w:val="00EF5D5A"/>
    <w:rsid w:val="00EF6786"/>
    <w:rsid w:val="00EF760F"/>
    <w:rsid w:val="00F00002"/>
    <w:rsid w:val="00F003C1"/>
    <w:rsid w:val="00F00918"/>
    <w:rsid w:val="00F009C1"/>
    <w:rsid w:val="00F00EA8"/>
    <w:rsid w:val="00F01A4D"/>
    <w:rsid w:val="00F01EB1"/>
    <w:rsid w:val="00F021AC"/>
    <w:rsid w:val="00F0223F"/>
    <w:rsid w:val="00F029BC"/>
    <w:rsid w:val="00F0373C"/>
    <w:rsid w:val="00F03B42"/>
    <w:rsid w:val="00F05D9F"/>
    <w:rsid w:val="00F06854"/>
    <w:rsid w:val="00F07604"/>
    <w:rsid w:val="00F07613"/>
    <w:rsid w:val="00F0767F"/>
    <w:rsid w:val="00F0785A"/>
    <w:rsid w:val="00F078EC"/>
    <w:rsid w:val="00F07B9B"/>
    <w:rsid w:val="00F07C18"/>
    <w:rsid w:val="00F11356"/>
    <w:rsid w:val="00F11778"/>
    <w:rsid w:val="00F12629"/>
    <w:rsid w:val="00F1308B"/>
    <w:rsid w:val="00F143DE"/>
    <w:rsid w:val="00F1440B"/>
    <w:rsid w:val="00F147E6"/>
    <w:rsid w:val="00F164DE"/>
    <w:rsid w:val="00F16634"/>
    <w:rsid w:val="00F178D2"/>
    <w:rsid w:val="00F17A79"/>
    <w:rsid w:val="00F17C66"/>
    <w:rsid w:val="00F17E5E"/>
    <w:rsid w:val="00F202DD"/>
    <w:rsid w:val="00F20C34"/>
    <w:rsid w:val="00F21609"/>
    <w:rsid w:val="00F21B53"/>
    <w:rsid w:val="00F22343"/>
    <w:rsid w:val="00F226B6"/>
    <w:rsid w:val="00F238EF"/>
    <w:rsid w:val="00F24B8E"/>
    <w:rsid w:val="00F2557F"/>
    <w:rsid w:val="00F25763"/>
    <w:rsid w:val="00F2594A"/>
    <w:rsid w:val="00F25CA3"/>
    <w:rsid w:val="00F25FC7"/>
    <w:rsid w:val="00F263AD"/>
    <w:rsid w:val="00F264B8"/>
    <w:rsid w:val="00F26D06"/>
    <w:rsid w:val="00F309CA"/>
    <w:rsid w:val="00F30F5D"/>
    <w:rsid w:val="00F31206"/>
    <w:rsid w:val="00F3173A"/>
    <w:rsid w:val="00F31861"/>
    <w:rsid w:val="00F32913"/>
    <w:rsid w:val="00F32A66"/>
    <w:rsid w:val="00F34875"/>
    <w:rsid w:val="00F350C6"/>
    <w:rsid w:val="00F378A6"/>
    <w:rsid w:val="00F3796D"/>
    <w:rsid w:val="00F40BE9"/>
    <w:rsid w:val="00F411C1"/>
    <w:rsid w:val="00F4123C"/>
    <w:rsid w:val="00F4131E"/>
    <w:rsid w:val="00F42AC0"/>
    <w:rsid w:val="00F445FF"/>
    <w:rsid w:val="00F451D4"/>
    <w:rsid w:val="00F4541A"/>
    <w:rsid w:val="00F45EDF"/>
    <w:rsid w:val="00F4625D"/>
    <w:rsid w:val="00F4638F"/>
    <w:rsid w:val="00F473D8"/>
    <w:rsid w:val="00F47849"/>
    <w:rsid w:val="00F51106"/>
    <w:rsid w:val="00F53B78"/>
    <w:rsid w:val="00F54251"/>
    <w:rsid w:val="00F547A4"/>
    <w:rsid w:val="00F54D38"/>
    <w:rsid w:val="00F55082"/>
    <w:rsid w:val="00F553BF"/>
    <w:rsid w:val="00F55EAA"/>
    <w:rsid w:val="00F5629A"/>
    <w:rsid w:val="00F562A2"/>
    <w:rsid w:val="00F56D72"/>
    <w:rsid w:val="00F571DB"/>
    <w:rsid w:val="00F572FE"/>
    <w:rsid w:val="00F579D5"/>
    <w:rsid w:val="00F57E50"/>
    <w:rsid w:val="00F57F20"/>
    <w:rsid w:val="00F60316"/>
    <w:rsid w:val="00F60639"/>
    <w:rsid w:val="00F62348"/>
    <w:rsid w:val="00F625E6"/>
    <w:rsid w:val="00F62FEE"/>
    <w:rsid w:val="00F6367D"/>
    <w:rsid w:val="00F6436A"/>
    <w:rsid w:val="00F6480B"/>
    <w:rsid w:val="00F64B26"/>
    <w:rsid w:val="00F64BC9"/>
    <w:rsid w:val="00F651FB"/>
    <w:rsid w:val="00F66042"/>
    <w:rsid w:val="00F663E4"/>
    <w:rsid w:val="00F66D44"/>
    <w:rsid w:val="00F674DA"/>
    <w:rsid w:val="00F67D3F"/>
    <w:rsid w:val="00F700D8"/>
    <w:rsid w:val="00F708F1"/>
    <w:rsid w:val="00F70FDD"/>
    <w:rsid w:val="00F715E5"/>
    <w:rsid w:val="00F729F1"/>
    <w:rsid w:val="00F72B73"/>
    <w:rsid w:val="00F752A2"/>
    <w:rsid w:val="00F75AC3"/>
    <w:rsid w:val="00F75EF5"/>
    <w:rsid w:val="00F76363"/>
    <w:rsid w:val="00F7685D"/>
    <w:rsid w:val="00F76D4A"/>
    <w:rsid w:val="00F77119"/>
    <w:rsid w:val="00F77E63"/>
    <w:rsid w:val="00F8037E"/>
    <w:rsid w:val="00F803B7"/>
    <w:rsid w:val="00F806C9"/>
    <w:rsid w:val="00F807F7"/>
    <w:rsid w:val="00F83A8A"/>
    <w:rsid w:val="00F84A5A"/>
    <w:rsid w:val="00F85B83"/>
    <w:rsid w:val="00F86B73"/>
    <w:rsid w:val="00F870BF"/>
    <w:rsid w:val="00F91D8E"/>
    <w:rsid w:val="00F923B9"/>
    <w:rsid w:val="00F927E3"/>
    <w:rsid w:val="00F934BB"/>
    <w:rsid w:val="00F9440D"/>
    <w:rsid w:val="00F94BC8"/>
    <w:rsid w:val="00F96913"/>
    <w:rsid w:val="00F97BCC"/>
    <w:rsid w:val="00FA057A"/>
    <w:rsid w:val="00FA1A50"/>
    <w:rsid w:val="00FA1D9A"/>
    <w:rsid w:val="00FA26F8"/>
    <w:rsid w:val="00FA276F"/>
    <w:rsid w:val="00FA3AE6"/>
    <w:rsid w:val="00FA3E60"/>
    <w:rsid w:val="00FA3EC1"/>
    <w:rsid w:val="00FA40E6"/>
    <w:rsid w:val="00FA49E0"/>
    <w:rsid w:val="00FA5C9E"/>
    <w:rsid w:val="00FB016A"/>
    <w:rsid w:val="00FB0D77"/>
    <w:rsid w:val="00FB0E86"/>
    <w:rsid w:val="00FB0F89"/>
    <w:rsid w:val="00FB39F2"/>
    <w:rsid w:val="00FB5B5B"/>
    <w:rsid w:val="00FB7A8F"/>
    <w:rsid w:val="00FC01EC"/>
    <w:rsid w:val="00FC1402"/>
    <w:rsid w:val="00FC1B18"/>
    <w:rsid w:val="00FC2295"/>
    <w:rsid w:val="00FC35FA"/>
    <w:rsid w:val="00FC4846"/>
    <w:rsid w:val="00FC7770"/>
    <w:rsid w:val="00FD0D3F"/>
    <w:rsid w:val="00FD277B"/>
    <w:rsid w:val="00FD30B0"/>
    <w:rsid w:val="00FD362E"/>
    <w:rsid w:val="00FD3AEE"/>
    <w:rsid w:val="00FD4281"/>
    <w:rsid w:val="00FD49E8"/>
    <w:rsid w:val="00FD6EA3"/>
    <w:rsid w:val="00FD7514"/>
    <w:rsid w:val="00FE0940"/>
    <w:rsid w:val="00FE28C4"/>
    <w:rsid w:val="00FE34DC"/>
    <w:rsid w:val="00FE37E9"/>
    <w:rsid w:val="00FE3D93"/>
    <w:rsid w:val="00FE45BD"/>
    <w:rsid w:val="00FE4D06"/>
    <w:rsid w:val="00FE6632"/>
    <w:rsid w:val="00FE66ED"/>
    <w:rsid w:val="00FE6C64"/>
    <w:rsid w:val="00FE769B"/>
    <w:rsid w:val="00FE76FA"/>
    <w:rsid w:val="00FE77D3"/>
    <w:rsid w:val="00FE7930"/>
    <w:rsid w:val="00FF02F7"/>
    <w:rsid w:val="00FF1329"/>
    <w:rsid w:val="00FF1CE1"/>
    <w:rsid w:val="00FF1E0B"/>
    <w:rsid w:val="00FF24A7"/>
    <w:rsid w:val="00FF352D"/>
    <w:rsid w:val="00FF396F"/>
    <w:rsid w:val="00FF3AA1"/>
    <w:rsid w:val="00FF537D"/>
    <w:rsid w:val="00FF64E9"/>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99"/>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99"/>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fshare\MF\&#1044;&#1066;&#1056;&#1046;&#1040;&#1042;&#1053;&#1054;%20&#1057;&#1066;&#1050;&#1056;&#1054;&#1042;&#1048;&#1065;&#1045;\&#1050;&#1041;&#1055;&#1040;\public\&#1048;&#1085;&#1092;&#1086;&#1088;&#1084;&#1072;&#1094;&#1080;&#1086;&#1085;&#1077;&#1085;%20&#1073;&#1102;&#1083;&#1077;&#1090;&#1080;&#1085;\2017\June\Reven%20CFP_expend%20ST%20BUD_16-17_trim.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479994878688933E-2"/>
          <c:y val="3.8889107611548554E-2"/>
          <c:w val="0.90758143498034061"/>
          <c:h val="0.74930220415996385"/>
        </c:manualLayout>
      </c:layout>
      <c:barChart>
        <c:barDir val="col"/>
        <c:grouping val="clustered"/>
        <c:varyColors val="0"/>
        <c:ser>
          <c:idx val="0"/>
          <c:order val="0"/>
          <c:tx>
            <c:strRef>
              <c:f>Sheet1!$E$85</c:f>
              <c:strCache>
                <c:ptCount val="1"/>
                <c:pt idx="0">
                  <c:v> юни 2016</c:v>
                </c:pt>
              </c:strCache>
            </c:strRef>
          </c:tx>
          <c:spPr>
            <a:pattFill prst="pct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0">
              <a:solidFill>
                <a:srgbClr val="000000"/>
              </a:solidFill>
              <a:prstDash val="solid"/>
            </a:ln>
          </c:spPr>
          <c:invertIfNegative val="0"/>
          <c:dLbls>
            <c:dLbl>
              <c:idx val="0"/>
              <c:layout>
                <c:manualLayout>
                  <c:x val="-1.1911016170326083E-3"/>
                  <c:y val="0.23855737166107335"/>
                </c:manualLayout>
              </c:layout>
              <c:dLblPos val="outEnd"/>
              <c:showLegendKey val="0"/>
              <c:showVal val="1"/>
              <c:showCatName val="0"/>
              <c:showSerName val="0"/>
              <c:showPercent val="0"/>
              <c:showBubbleSize val="0"/>
            </c:dLbl>
            <c:dLbl>
              <c:idx val="1"/>
              <c:layout>
                <c:manualLayout>
                  <c:x val="-6.9275459451693285E-3"/>
                  <c:y val="-2.0599331101372818E-2"/>
                </c:manualLayout>
              </c:layout>
              <c:dLblPos val="outEnd"/>
              <c:showLegendKey val="0"/>
              <c:showVal val="1"/>
              <c:showCatName val="0"/>
              <c:showSerName val="0"/>
              <c:showPercent val="0"/>
              <c:showBubbleSize val="0"/>
            </c:dLbl>
            <c:dLbl>
              <c:idx val="2"/>
              <c:layout>
                <c:manualLayout>
                  <c:x val="-4.1496745802676541E-4"/>
                  <c:y val="5.8782434384968693E-4"/>
                </c:manualLayout>
              </c:layout>
              <c:dLblPos val="outEnd"/>
              <c:showLegendKey val="0"/>
              <c:showVal val="1"/>
              <c:showCatName val="0"/>
              <c:showSerName val="0"/>
              <c:showPercent val="0"/>
              <c:showBubbleSize val="0"/>
            </c:dLbl>
            <c:dLbl>
              <c:idx val="3"/>
              <c:layout>
                <c:manualLayout>
                  <c:x val="1.6409388454247974E-3"/>
                  <c:y val="0.22401381122532682"/>
                </c:manualLayout>
              </c:layout>
              <c:dLblPos val="outEnd"/>
              <c:showLegendKey val="0"/>
              <c:showVal val="1"/>
              <c:showCatName val="0"/>
              <c:showSerName val="0"/>
              <c:showPercent val="0"/>
              <c:showBubbleSize val="0"/>
            </c:dLbl>
            <c:dLbl>
              <c:idx val="4"/>
              <c:layout>
                <c:manualLayout>
                  <c:x val="-1.5461362668217E-3"/>
                  <c:y val="-3.4528063316963771E-3"/>
                </c:manualLayout>
              </c:layout>
              <c:dLblPos val="outEnd"/>
              <c:showLegendKey val="0"/>
              <c:showVal val="1"/>
              <c:showCatName val="0"/>
              <c:showSerName val="0"/>
              <c:showPercent val="0"/>
              <c:showBubbleSize val="0"/>
            </c:dLbl>
            <c:dLbl>
              <c:idx val="5"/>
              <c:layout>
                <c:manualLayout>
                  <c:x val="-3.4847774323938261E-3"/>
                  <c:y val="-7.3031496062992123E-4"/>
                </c:manualLayout>
              </c:layout>
              <c:dLblPos val="outEnd"/>
              <c:showLegendKey val="0"/>
              <c:showVal val="1"/>
              <c:showCatName val="0"/>
              <c:showSerName val="0"/>
              <c:showPercent val="0"/>
              <c:showBubbleSize val="0"/>
            </c:dLbl>
            <c:spPr>
              <a:solidFill>
                <a:srgbClr val="FFFFFF"/>
              </a:solidFill>
              <a:ln w="6350">
                <a:noFill/>
              </a:ln>
            </c:spPr>
            <c:txPr>
              <a:bodyPr rot="-5400000" vert="horz"/>
              <a:lstStyle/>
              <a:p>
                <a:pPr algn="ctr">
                  <a:defRPr sz="900">
                    <a:latin typeface="Times New Roman" pitchFamily="18" charset="0"/>
                    <a:cs typeface="Times New Roman" pitchFamily="18" charset="0"/>
                  </a:defRPr>
                </a:pPr>
                <a:endParaRPr lang="bg-BG"/>
              </a:p>
            </c:txPr>
            <c:showLegendKey val="0"/>
            <c:showVal val="1"/>
            <c:showCatName val="0"/>
            <c:showSerName val="0"/>
            <c:showPercent val="0"/>
            <c:showBubbleSize val="0"/>
            <c:showLeaderLines val="0"/>
          </c:dLbls>
          <c:cat>
            <c:strRef>
              <c:f>Sheet1!$A$87:$A$91</c:f>
              <c:strCache>
                <c:ptCount val="5"/>
                <c:pt idx="0">
                  <c:v>Текущи нелихвени    р-ди</c:v>
                </c:pt>
                <c:pt idx="1">
                  <c:v>Капиталови р-ди и трансфери*</c:v>
                </c:pt>
                <c:pt idx="2">
                  <c:v>Лихвени р-ди</c:v>
                </c:pt>
                <c:pt idx="3">
                  <c:v>Нето предоставени трансфери за др. бюджети</c:v>
                </c:pt>
                <c:pt idx="4">
                  <c:v>Вноска в бюджета на ЕС</c:v>
                </c:pt>
              </c:strCache>
            </c:strRef>
          </c:cat>
          <c:val>
            <c:numRef>
              <c:f>Sheet1!$E$87:$E$91</c:f>
              <c:numCache>
                <c:formatCode>#,##0.0</c:formatCode>
                <c:ptCount val="5"/>
                <c:pt idx="0">
                  <c:v>3466.2529030000001</c:v>
                </c:pt>
                <c:pt idx="1">
                  <c:v>273.14676799999995</c:v>
                </c:pt>
                <c:pt idx="2">
                  <c:v>339.50000600000004</c:v>
                </c:pt>
                <c:pt idx="3">
                  <c:v>5069.3263210000005</c:v>
                </c:pt>
                <c:pt idx="4">
                  <c:v>397.35692700000004</c:v>
                </c:pt>
              </c:numCache>
            </c:numRef>
          </c:val>
        </c:ser>
        <c:ser>
          <c:idx val="1"/>
          <c:order val="1"/>
          <c:tx>
            <c:strRef>
              <c:f>Sheet1!$F$85</c:f>
              <c:strCache>
                <c:ptCount val="1"/>
                <c:pt idx="0">
                  <c:v> юни 2017</c:v>
                </c:pt>
              </c:strCache>
            </c:strRef>
          </c:tx>
          <c:spPr>
            <a:pattFill prst="smConfetti">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layout>
                <c:manualLayout>
                  <c:x val="-1.5958103957791347E-3"/>
                  <c:y val="0.22941395665805811"/>
                </c:manualLayout>
              </c:layout>
              <c:dLblPos val="outEnd"/>
              <c:showLegendKey val="0"/>
              <c:showVal val="1"/>
              <c:showCatName val="0"/>
              <c:showSerName val="0"/>
              <c:showPercent val="0"/>
              <c:showBubbleSize val="0"/>
            </c:dLbl>
            <c:dLbl>
              <c:idx val="1"/>
              <c:layout>
                <c:manualLayout>
                  <c:x val="-1.3777991973451314E-3"/>
                  <c:y val="-2.2769329955034223E-2"/>
                </c:manualLayout>
              </c:layout>
              <c:dLblPos val="outEnd"/>
              <c:showLegendKey val="0"/>
              <c:showVal val="1"/>
              <c:showCatName val="0"/>
              <c:showSerName val="0"/>
              <c:showPercent val="0"/>
              <c:showBubbleSize val="0"/>
            </c:dLbl>
            <c:dLbl>
              <c:idx val="2"/>
              <c:layout>
                <c:manualLayout>
                  <c:x val="-2.2494074954962839E-3"/>
                  <c:y val="3.9816272965879267E-3"/>
                </c:manualLayout>
              </c:layout>
              <c:dLblPos val="outEnd"/>
              <c:showLegendKey val="0"/>
              <c:showVal val="1"/>
              <c:showCatName val="0"/>
              <c:showSerName val="0"/>
              <c:showPercent val="0"/>
              <c:showBubbleSize val="0"/>
            </c:dLbl>
            <c:dLbl>
              <c:idx val="3"/>
              <c:layout>
                <c:manualLayout>
                  <c:x val="2.9036144467350753E-3"/>
                  <c:y val="0.21892481484045923"/>
                </c:manualLayout>
              </c:layout>
              <c:dLblPos val="outEnd"/>
              <c:showLegendKey val="0"/>
              <c:showVal val="1"/>
              <c:showCatName val="0"/>
              <c:showSerName val="0"/>
              <c:showPercent val="0"/>
              <c:showBubbleSize val="0"/>
            </c:dLbl>
            <c:dLbl>
              <c:idx val="4"/>
              <c:layout>
                <c:manualLayout>
                  <c:x val="2.1693060738962582E-3"/>
                  <c:y val="-6.5341300051398486E-3"/>
                </c:manualLayout>
              </c:layout>
              <c:dLblPos val="outEnd"/>
              <c:showLegendKey val="0"/>
              <c:showVal val="1"/>
              <c:showCatName val="0"/>
              <c:showSerName val="0"/>
              <c:showPercent val="0"/>
              <c:showBubbleSize val="0"/>
            </c:dLbl>
            <c:dLbl>
              <c:idx val="5"/>
              <c:layout>
                <c:manualLayout>
                  <c:x val="4.3037640568434959E-3"/>
                  <c:y val="-2.2890091863517061E-2"/>
                </c:manualLayout>
              </c:layout>
              <c:dLblPos val="outEnd"/>
              <c:showLegendKey val="0"/>
              <c:showVal val="1"/>
              <c:showCatName val="0"/>
              <c:showSerName val="0"/>
              <c:showPercent val="0"/>
              <c:showBubbleSize val="0"/>
            </c:dLbl>
            <c:spPr>
              <a:solidFill>
                <a:srgbClr val="FFFFFF"/>
              </a:solidFill>
              <a:ln w="6350">
                <a:noFill/>
              </a:ln>
            </c:spPr>
            <c:txPr>
              <a:bodyPr rot="-5400000" vert="horz"/>
              <a:lstStyle/>
              <a:p>
                <a:pPr algn="ctr">
                  <a:defRPr lang="bg-BG" sz="900" b="0" i="0" u="none" strike="noStrike" kern="1200" baseline="0">
                    <a:solidFill>
                      <a:srgbClr val="000000"/>
                    </a:solidFill>
                    <a:latin typeface="Times New Roman" pitchFamily="18" charset="0"/>
                    <a:ea typeface="Arial"/>
                    <a:cs typeface="Times New Roman" pitchFamily="18" charset="0"/>
                  </a:defRPr>
                </a:pPr>
                <a:endParaRPr lang="bg-BG"/>
              </a:p>
            </c:txPr>
            <c:showLegendKey val="0"/>
            <c:showVal val="1"/>
            <c:showCatName val="0"/>
            <c:showSerName val="0"/>
            <c:showPercent val="0"/>
            <c:showBubbleSize val="0"/>
            <c:showLeaderLines val="0"/>
          </c:dLbls>
          <c:cat>
            <c:strRef>
              <c:f>Sheet1!$A$87:$A$91</c:f>
              <c:strCache>
                <c:ptCount val="5"/>
                <c:pt idx="0">
                  <c:v>Текущи нелихвени    р-ди</c:v>
                </c:pt>
                <c:pt idx="1">
                  <c:v>Капиталови р-ди и трансфери*</c:v>
                </c:pt>
                <c:pt idx="2">
                  <c:v>Лихвени р-ди</c:v>
                </c:pt>
                <c:pt idx="3">
                  <c:v>Нето предоставени трансфери за др. бюджети</c:v>
                </c:pt>
                <c:pt idx="4">
                  <c:v>Вноска в бюджета на ЕС</c:v>
                </c:pt>
              </c:strCache>
            </c:strRef>
          </c:cat>
          <c:val>
            <c:numRef>
              <c:f>Sheet1!$F$87:$F$91</c:f>
              <c:numCache>
                <c:formatCode>#,##0.0</c:formatCode>
                <c:ptCount val="5"/>
                <c:pt idx="0">
                  <c:v>3637.1399710000001</c:v>
                </c:pt>
                <c:pt idx="1">
                  <c:v>177.34229699999997</c:v>
                </c:pt>
                <c:pt idx="2">
                  <c:v>339.50064899999995</c:v>
                </c:pt>
                <c:pt idx="3">
                  <c:v>5060.6417130000009</c:v>
                </c:pt>
                <c:pt idx="4">
                  <c:v>397.35692699999998</c:v>
                </c:pt>
              </c:numCache>
            </c:numRef>
          </c:val>
        </c:ser>
        <c:dLbls>
          <c:showLegendKey val="0"/>
          <c:showVal val="0"/>
          <c:showCatName val="0"/>
          <c:showSerName val="0"/>
          <c:showPercent val="0"/>
          <c:showBubbleSize val="0"/>
        </c:dLbls>
        <c:gapWidth val="150"/>
        <c:axId val="124615680"/>
        <c:axId val="160839168"/>
      </c:barChart>
      <c:catAx>
        <c:axId val="124615680"/>
        <c:scaling>
          <c:orientation val="minMax"/>
        </c:scaling>
        <c:delete val="0"/>
        <c:axPos val="b"/>
        <c:numFmt formatCode="General" sourceLinked="1"/>
        <c:majorTickMark val="out"/>
        <c:minorTickMark val="none"/>
        <c:tickLblPos val="low"/>
        <c:spPr>
          <a:ln w="9525">
            <a:noFill/>
          </a:ln>
        </c:spPr>
        <c:txPr>
          <a:bodyPr rot="0" vert="horz"/>
          <a:lstStyle/>
          <a:p>
            <a:pPr>
              <a:defRPr sz="900">
                <a:latin typeface="Times New Roman" pitchFamily="18" charset="0"/>
                <a:cs typeface="Times New Roman" pitchFamily="18" charset="0"/>
              </a:defRPr>
            </a:pPr>
            <a:endParaRPr lang="bg-BG"/>
          </a:p>
        </c:txPr>
        <c:crossAx val="160839168"/>
        <c:crosses val="autoZero"/>
        <c:auto val="1"/>
        <c:lblAlgn val="ctr"/>
        <c:lblOffset val="100"/>
        <c:tickLblSkip val="1"/>
        <c:tickMarkSkip val="1"/>
        <c:noMultiLvlLbl val="0"/>
      </c:catAx>
      <c:valAx>
        <c:axId val="160839168"/>
        <c:scaling>
          <c:orientation val="minMax"/>
        </c:scaling>
        <c:delete val="0"/>
        <c:axPos val="l"/>
        <c:majorGridlines>
          <c:spPr>
            <a:ln w="3175">
              <a:solidFill>
                <a:srgbClr val="000000"/>
              </a:solidFill>
              <a:prstDash val="solid"/>
            </a:ln>
          </c:spPr>
        </c:majorGridlines>
        <c:title>
          <c:tx>
            <c:rich>
              <a:bodyPr rot="0" vert="horz"/>
              <a:lstStyle/>
              <a:p>
                <a:pPr algn="ctr">
                  <a:defRPr sz="900">
                    <a:latin typeface="Times New Roman" pitchFamily="18" charset="0"/>
                    <a:cs typeface="Times New Roman" pitchFamily="18" charset="0"/>
                  </a:defRPr>
                </a:pPr>
                <a:r>
                  <a:rPr lang="bg-BG" sz="900">
                    <a:latin typeface="Times New Roman" pitchFamily="18" charset="0"/>
                    <a:cs typeface="Times New Roman" pitchFamily="18" charset="0"/>
                  </a:rPr>
                  <a:t>(млн. лв.)</a:t>
                </a:r>
              </a:p>
            </c:rich>
          </c:tx>
          <c:layout>
            <c:manualLayout>
              <c:xMode val="edge"/>
              <c:yMode val="edge"/>
              <c:x val="5.9544555265707236E-3"/>
              <c:y val="0.94613874949111476"/>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00">
                <a:latin typeface="Times New Roman" pitchFamily="18" charset="0"/>
                <a:cs typeface="Times New Roman" pitchFamily="18" charset="0"/>
              </a:defRPr>
            </a:pPr>
            <a:endParaRPr lang="bg-BG"/>
          </a:p>
        </c:txPr>
        <c:crossAx val="124615680"/>
        <c:crosses val="autoZero"/>
        <c:crossBetween val="between"/>
      </c:valAx>
      <c:spPr>
        <a:solidFill>
          <a:srgbClr val="FFFFFF"/>
        </a:solidFill>
        <a:ln w="25400">
          <a:solidFill>
            <a:srgbClr val="C0C0C0"/>
          </a:solidFill>
          <a:prstDash val="solid"/>
        </a:ln>
      </c:spPr>
    </c:plotArea>
    <c:legend>
      <c:legendPos val="r"/>
      <c:layout>
        <c:manualLayout>
          <c:xMode val="edge"/>
          <c:yMode val="edge"/>
          <c:x val="0.16770452713018719"/>
          <c:y val="0.93230533683289585"/>
          <c:w val="0.30852145763396266"/>
          <c:h val="5.2343122288285394E-2"/>
        </c:manualLayout>
      </c:layout>
      <c:overlay val="0"/>
      <c:spPr>
        <a:solidFill>
          <a:srgbClr val="FFFFFF"/>
        </a:solidFill>
        <a:ln w="3175">
          <a:solidFill>
            <a:srgbClr val="000000"/>
          </a:solidFill>
          <a:prstDash val="solid"/>
        </a:ln>
      </c:spPr>
      <c:txPr>
        <a:bodyPr/>
        <a:lstStyle/>
        <a:p>
          <a:pPr>
            <a:defRPr sz="900">
              <a:latin typeface="Times New Roman" pitchFamily="18" charset="0"/>
              <a:cs typeface="Times New Roman" pitchFamily="18" charset="0"/>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0.50542</cdr:x>
      <cdr:y>0.46649</cdr:y>
    </cdr:from>
    <cdr:to>
      <cdr:x>0.51871</cdr:x>
      <cdr:y>0.52316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0.50542</cdr:x>
      <cdr:y>0.46649</cdr:y>
    </cdr:from>
    <cdr:to>
      <cdr:x>0.61252</cdr:x>
      <cdr:y>0.52316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4AFE-C1B6-481D-A1AC-14C1CE69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23</Pages>
  <Words>12154</Words>
  <Characters>63149</Characters>
  <Application>Microsoft Office Word</Application>
  <DocSecurity>0</DocSecurity>
  <Lines>526</Lines>
  <Paragraphs>150</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75153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40</cp:revision>
  <cp:lastPrinted>2017-04-26T08:34:00Z</cp:lastPrinted>
  <dcterms:created xsi:type="dcterms:W3CDTF">2017-08-03T09:19:00Z</dcterms:created>
  <dcterms:modified xsi:type="dcterms:W3CDTF">2017-08-07T12:42:00Z</dcterms:modified>
</cp:coreProperties>
</file>