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15" w:rsidRPr="002B0332" w:rsidRDefault="00063E15" w:rsidP="008314D1">
      <w:pPr>
        <w:pStyle w:val="Title"/>
        <w:pBdr>
          <w:bottom w:val="double" w:sz="6" w:space="0" w:color="auto"/>
        </w:pBdr>
      </w:pPr>
      <w:r w:rsidRPr="002B0332">
        <w:t>М И Н И С Т Е Р С Т В О   Н А   Ф И Н А Н С И Т Е</w:t>
      </w:r>
    </w:p>
    <w:p w:rsidR="005F7245" w:rsidRPr="002B0332" w:rsidRDefault="005F7245" w:rsidP="00063E15">
      <w:pPr>
        <w:rPr>
          <w:sz w:val="16"/>
          <w:szCs w:val="16"/>
        </w:rPr>
      </w:pPr>
    </w:p>
    <w:p w:rsidR="0019151C" w:rsidRDefault="0019151C" w:rsidP="0019151C"/>
    <w:p w:rsidR="001A2BDB" w:rsidRPr="002B0332" w:rsidRDefault="001A2BDB" w:rsidP="0019151C"/>
    <w:p w:rsidR="00E9260C" w:rsidRPr="002B0332" w:rsidRDefault="00E9260C" w:rsidP="009B536C">
      <w:pPr>
        <w:pStyle w:val="Heading1"/>
        <w:rPr>
          <w:sz w:val="24"/>
        </w:rPr>
      </w:pPr>
      <w:r w:rsidRPr="002B0332">
        <w:rPr>
          <w:sz w:val="24"/>
        </w:rPr>
        <w:t>ИНФОРМАЦИЯ</w:t>
      </w:r>
    </w:p>
    <w:p w:rsidR="00E9260C" w:rsidRPr="002B0332" w:rsidRDefault="00E9260C" w:rsidP="009B536C">
      <w:pPr>
        <w:jc w:val="center"/>
        <w:rPr>
          <w:b/>
          <w:bCs/>
        </w:rPr>
      </w:pPr>
      <w:r w:rsidRPr="002B0332">
        <w:rPr>
          <w:b/>
          <w:bCs/>
        </w:rPr>
        <w:t xml:space="preserve">ЗА </w:t>
      </w:r>
      <w:r w:rsidR="004E7BF8" w:rsidRPr="002B0332">
        <w:rPr>
          <w:b/>
          <w:bCs/>
        </w:rPr>
        <w:t xml:space="preserve">КАСОВОТО </w:t>
      </w:r>
      <w:r w:rsidRPr="002B0332">
        <w:rPr>
          <w:b/>
          <w:bCs/>
        </w:rPr>
        <w:t xml:space="preserve">ИЗПЪЛНЕНИЕ НА </w:t>
      </w:r>
      <w:r w:rsidR="004E7BF8" w:rsidRPr="002B0332">
        <w:rPr>
          <w:b/>
          <w:bCs/>
        </w:rPr>
        <w:t>ДЪРЖАВНИЯ</w:t>
      </w:r>
      <w:r w:rsidRPr="002B0332">
        <w:rPr>
          <w:b/>
          <w:bCs/>
        </w:rPr>
        <w:t xml:space="preserve"> БЮДЖЕТ</w:t>
      </w:r>
      <w:r w:rsidR="004E7BF8" w:rsidRPr="002B0332">
        <w:rPr>
          <w:b/>
          <w:bCs/>
        </w:rPr>
        <w:t xml:space="preserve"> И НА ОСНОВНИТЕ ПОКАЗАТЕЛИ НА КОНСОЛИДИРАНАТА ФИСКАЛНА ПРОГРАМА </w:t>
      </w:r>
    </w:p>
    <w:p w:rsidR="003F47AB" w:rsidRDefault="003F47AB" w:rsidP="003F47AB">
      <w:pPr>
        <w:jc w:val="center"/>
        <w:rPr>
          <w:b/>
          <w:bCs/>
        </w:rPr>
      </w:pPr>
      <w:r w:rsidRPr="002B0332">
        <w:rPr>
          <w:b/>
          <w:bCs/>
        </w:rPr>
        <w:t>ЗА 2017 ГОДИНА</w:t>
      </w:r>
    </w:p>
    <w:p w:rsidR="001A2BDB" w:rsidRDefault="001A2BDB" w:rsidP="003F47AB">
      <w:pPr>
        <w:jc w:val="center"/>
        <w:rPr>
          <w:b/>
          <w:bCs/>
        </w:rPr>
      </w:pPr>
    </w:p>
    <w:p w:rsidR="001A2BDB" w:rsidRPr="002B0332" w:rsidRDefault="001A2BDB" w:rsidP="003F47AB">
      <w:pPr>
        <w:jc w:val="center"/>
        <w:rPr>
          <w:b/>
          <w:bCs/>
        </w:rPr>
      </w:pPr>
    </w:p>
    <w:p w:rsidR="0019151C" w:rsidRPr="0096051A" w:rsidRDefault="0019151C" w:rsidP="003A06C5">
      <w:pPr>
        <w:rPr>
          <w:b/>
          <w:bCs/>
          <w:color w:val="0070C0"/>
        </w:rPr>
      </w:pPr>
    </w:p>
    <w:p w:rsidR="002B0332" w:rsidRPr="005B13A1" w:rsidRDefault="002B0332" w:rsidP="002B0332">
      <w:pPr>
        <w:jc w:val="both"/>
        <w:rPr>
          <w:b/>
          <w:bCs/>
          <w:i/>
          <w:iCs/>
          <w:color w:val="000000"/>
          <w:u w:val="single"/>
        </w:rPr>
      </w:pPr>
      <w:r w:rsidRPr="005B13A1">
        <w:rPr>
          <w:b/>
          <w:bCs/>
          <w:i/>
          <w:iCs/>
          <w:color w:val="000000"/>
          <w:u w:val="single"/>
        </w:rPr>
        <w:t xml:space="preserve">Преглед на икономическата среда. </w:t>
      </w:r>
    </w:p>
    <w:p w:rsidR="002B0332" w:rsidRPr="005B13A1" w:rsidRDefault="002B0332" w:rsidP="002B0332">
      <w:pPr>
        <w:rPr>
          <w:b/>
          <w:bCs/>
          <w:sz w:val="22"/>
          <w:szCs w:val="22"/>
        </w:rPr>
      </w:pPr>
    </w:p>
    <w:p w:rsidR="002B0332" w:rsidRDefault="002B0332" w:rsidP="00277E9F">
      <w:pPr>
        <w:spacing w:after="120"/>
        <w:jc w:val="both"/>
      </w:pPr>
      <w:r w:rsidRPr="00C2600C">
        <w:t>За периода януари-септември 201</w:t>
      </w:r>
      <w:r w:rsidRPr="000532BB">
        <w:t>7</w:t>
      </w:r>
      <w:r w:rsidRPr="00C2600C">
        <w:t xml:space="preserve"> г. брутният вътрешен продукт</w:t>
      </w:r>
      <w:r>
        <w:t xml:space="preserve"> нарасна в реално изражение с 3</w:t>
      </w:r>
      <w:r w:rsidR="00D93626">
        <w:t>,</w:t>
      </w:r>
      <w:r w:rsidRPr="000532BB">
        <w:t>8</w:t>
      </w:r>
      <w:r w:rsidR="004C1354">
        <w:t xml:space="preserve"> </w:t>
      </w:r>
      <w:r w:rsidRPr="00C2600C">
        <w:t>%</w:t>
      </w:r>
      <w:r>
        <w:t>,</w:t>
      </w:r>
      <w:r w:rsidRPr="000532BB">
        <w:t xml:space="preserve"> </w:t>
      </w:r>
      <w:r w:rsidRPr="00C2600C">
        <w:t xml:space="preserve">като </w:t>
      </w:r>
      <w:r>
        <w:t>растежът бе движен от вътрешното търсене. Частното потребление се повиши с 4</w:t>
      </w:r>
      <w:r w:rsidR="00D93626">
        <w:t>,</w:t>
      </w:r>
      <w:r>
        <w:t>7</w:t>
      </w:r>
      <w:r w:rsidR="004C1354">
        <w:t xml:space="preserve"> </w:t>
      </w:r>
      <w:r>
        <w:t xml:space="preserve">% подкрепено от </w:t>
      </w:r>
      <w:r w:rsidRPr="00490611">
        <w:t>подобрението в доверието</w:t>
      </w:r>
      <w:r>
        <w:t xml:space="preserve"> на потребителите и благоприятната динамика на пазара на труда</w:t>
      </w:r>
      <w:r w:rsidRPr="000532BB">
        <w:t>.</w:t>
      </w:r>
      <w:r>
        <w:t xml:space="preserve"> </w:t>
      </w:r>
      <w:r w:rsidRPr="00E33424">
        <w:t>Разходите на правителството за потребление същ</w:t>
      </w:r>
      <w:r>
        <w:t>о се увеличиха, а инвестициите в основен капитал отбелязаха растеж от 3</w:t>
      </w:r>
      <w:r w:rsidR="00D93626">
        <w:t>,</w:t>
      </w:r>
      <w:r>
        <w:t>7</w:t>
      </w:r>
      <w:r w:rsidR="004C1354">
        <w:t xml:space="preserve"> </w:t>
      </w:r>
      <w:r>
        <w:t xml:space="preserve">% най-вече по линия на частната инвестиционна активност. </w:t>
      </w:r>
      <w:r w:rsidRPr="000532BB">
        <w:t xml:space="preserve">Износът на стоки </w:t>
      </w:r>
      <w:r>
        <w:t>и услуги за периода нарасна с 4</w:t>
      </w:r>
      <w:r w:rsidR="00D93626">
        <w:t>,</w:t>
      </w:r>
      <w:r w:rsidRPr="000532BB">
        <w:t>7</w:t>
      </w:r>
      <w:r w:rsidR="004C1354">
        <w:t xml:space="preserve"> </w:t>
      </w:r>
      <w:r w:rsidRPr="000532BB">
        <w:t>%, а по-високото вътрешно търсе</w:t>
      </w:r>
      <w:r>
        <w:t>не доведе до ръст на вноса с 6</w:t>
      </w:r>
      <w:r w:rsidR="00D93626">
        <w:t>,</w:t>
      </w:r>
      <w:r w:rsidRPr="000532BB">
        <w:t>8</w:t>
      </w:r>
      <w:r w:rsidR="004C1354">
        <w:t xml:space="preserve"> </w:t>
      </w:r>
      <w:r w:rsidRPr="000532BB">
        <w:t xml:space="preserve">%. </w:t>
      </w:r>
    </w:p>
    <w:p w:rsidR="002B0332" w:rsidRPr="007304C4" w:rsidRDefault="002B0332" w:rsidP="00277E9F">
      <w:pPr>
        <w:spacing w:after="120"/>
        <w:jc w:val="both"/>
        <w:rPr>
          <w:lang w:val="en-US"/>
        </w:rPr>
      </w:pPr>
      <w:r w:rsidRPr="00E33424">
        <w:t xml:space="preserve">Брутната добавена стойност в страната нарасна средно с </w:t>
      </w:r>
      <w:r>
        <w:t>3</w:t>
      </w:r>
      <w:r w:rsidR="00D93626">
        <w:t>,</w:t>
      </w:r>
      <w:r>
        <w:t>9</w:t>
      </w:r>
      <w:r w:rsidR="004C1354">
        <w:t xml:space="preserve"> </w:t>
      </w:r>
      <w:r w:rsidRPr="00E33424">
        <w:t xml:space="preserve">% за </w:t>
      </w:r>
      <w:r>
        <w:t>първите девет месеца на годината</w:t>
      </w:r>
      <w:r w:rsidRPr="00E33424">
        <w:t xml:space="preserve">, като </w:t>
      </w:r>
      <w:r>
        <w:t xml:space="preserve">с положителен принос бяха услугите, промишлеността и строителството. Индикаторът за бизнес климата се повиши във всеки един от тези сектори през 2017 г. </w:t>
      </w:r>
      <w:r w:rsidRPr="00836B77">
        <w:t>Промишленото производство нарасна средно с 3</w:t>
      </w:r>
      <w:r w:rsidR="00D93626">
        <w:t>,</w:t>
      </w:r>
      <w:r w:rsidRPr="00836B77">
        <w:t>9</w:t>
      </w:r>
      <w:r w:rsidR="004C1354">
        <w:t xml:space="preserve"> </w:t>
      </w:r>
      <w:r w:rsidRPr="00836B77">
        <w:t xml:space="preserve">% </w:t>
      </w:r>
      <w:r>
        <w:t>на годишна база за</w:t>
      </w:r>
      <w:r w:rsidRPr="00836B77">
        <w:t xml:space="preserve"> януари-ноември, а растежът при промишлените продажби достигна 10</w:t>
      </w:r>
      <w:r w:rsidR="004C1354">
        <w:t xml:space="preserve"> </w:t>
      </w:r>
      <w:r w:rsidRPr="00836B77">
        <w:t xml:space="preserve">%, като </w:t>
      </w:r>
      <w:r>
        <w:t xml:space="preserve">положителен </w:t>
      </w:r>
      <w:r w:rsidRPr="00836B77">
        <w:t xml:space="preserve">принос за нарастването имаха </w:t>
      </w:r>
      <w:r>
        <w:t>както</w:t>
      </w:r>
      <w:r w:rsidRPr="00836B77">
        <w:t xml:space="preserve"> продажбите за външния</w:t>
      </w:r>
      <w:r>
        <w:t>,</w:t>
      </w:r>
      <w:r w:rsidRPr="00836B77">
        <w:t xml:space="preserve"> </w:t>
      </w:r>
      <w:r>
        <w:t xml:space="preserve">така </w:t>
      </w:r>
      <w:r w:rsidRPr="00836B77">
        <w:t xml:space="preserve">и </w:t>
      </w:r>
      <w:r>
        <w:t xml:space="preserve">тези </w:t>
      </w:r>
      <w:r w:rsidRPr="00836B77">
        <w:t>за вътрешния пазар. Търговията на дребно също отчете повишение от 3</w:t>
      </w:r>
      <w:r w:rsidR="00D93626">
        <w:t>,</w:t>
      </w:r>
      <w:r w:rsidRPr="00836B77">
        <w:t>6</w:t>
      </w:r>
      <w:r w:rsidR="004C1354">
        <w:t xml:space="preserve"> </w:t>
      </w:r>
      <w:r w:rsidRPr="00836B77">
        <w:t xml:space="preserve">%, </w:t>
      </w:r>
      <w:r>
        <w:t>а</w:t>
      </w:r>
      <w:r w:rsidRPr="00836B77">
        <w:t xml:space="preserve"> индексът на строителната продукция нарасна с 5</w:t>
      </w:r>
      <w:r w:rsidR="00D93626">
        <w:t>,</w:t>
      </w:r>
      <w:r w:rsidRPr="00836B77">
        <w:t>7</w:t>
      </w:r>
      <w:r w:rsidR="004C1354">
        <w:t xml:space="preserve"> </w:t>
      </w:r>
      <w:r w:rsidRPr="00836B77">
        <w:t xml:space="preserve">%, в резултат на благоприятната динамика при </w:t>
      </w:r>
      <w:proofErr w:type="spellStart"/>
      <w:r w:rsidRPr="00836B77">
        <w:t>сградното</w:t>
      </w:r>
      <w:proofErr w:type="spellEnd"/>
      <w:r w:rsidRPr="00836B77">
        <w:t xml:space="preserve"> строителство.</w:t>
      </w:r>
    </w:p>
    <w:p w:rsidR="002B0332" w:rsidRDefault="002B0332" w:rsidP="00277E9F">
      <w:pPr>
        <w:spacing w:after="120"/>
        <w:jc w:val="both"/>
        <w:rPr>
          <w:lang w:eastAsia="bg-BG"/>
        </w:rPr>
      </w:pPr>
      <w:r>
        <w:rPr>
          <w:lang w:eastAsia="bg-BG"/>
        </w:rPr>
        <w:t>От началото на</w:t>
      </w:r>
      <w:r w:rsidRPr="00836B77">
        <w:rPr>
          <w:lang w:eastAsia="bg-BG"/>
        </w:rPr>
        <w:t xml:space="preserve"> 2017 г.</w:t>
      </w:r>
      <w:r>
        <w:rPr>
          <w:lang w:eastAsia="bg-BG"/>
        </w:rPr>
        <w:t xml:space="preserve"> до септември</w:t>
      </w:r>
      <w:r w:rsidRPr="00836B77">
        <w:rPr>
          <w:lang w:eastAsia="bg-BG"/>
        </w:rPr>
        <w:t xml:space="preserve"> броят на за</w:t>
      </w:r>
      <w:r>
        <w:rPr>
          <w:lang w:eastAsia="bg-BG"/>
        </w:rPr>
        <w:t>етите (ЕСС 2010) се увеличи с 1</w:t>
      </w:r>
      <w:r w:rsidR="00F71CF7">
        <w:rPr>
          <w:lang w:eastAsia="bg-BG"/>
        </w:rPr>
        <w:t>,</w:t>
      </w:r>
      <w:r w:rsidRPr="00836B77">
        <w:rPr>
          <w:lang w:eastAsia="bg-BG"/>
        </w:rPr>
        <w:t>6</w:t>
      </w:r>
      <w:r w:rsidR="004C1354">
        <w:rPr>
          <w:lang w:eastAsia="bg-BG"/>
        </w:rPr>
        <w:t xml:space="preserve"> </w:t>
      </w:r>
      <w:r w:rsidRPr="00836B77">
        <w:rPr>
          <w:lang w:eastAsia="bg-BG"/>
        </w:rPr>
        <w:t xml:space="preserve">% на годишна база, което бе най-високият растеж на показателя в периода от 2014 г. насам. По-доброто развитие спрямо предходната година беше свързано с нарастването на заетостта в селското стопанство и повишеното търсене на труд в индустрията, докато в сектора на услугите </w:t>
      </w:r>
      <w:r>
        <w:rPr>
          <w:lang w:eastAsia="bg-BG"/>
        </w:rPr>
        <w:t>б</w:t>
      </w:r>
      <w:r w:rsidRPr="00836B77">
        <w:rPr>
          <w:lang w:eastAsia="bg-BG"/>
        </w:rPr>
        <w:t>е наблюдава</w:t>
      </w:r>
      <w:r>
        <w:rPr>
          <w:lang w:eastAsia="bg-BG"/>
        </w:rPr>
        <w:t>но</w:t>
      </w:r>
      <w:r w:rsidRPr="00836B77">
        <w:rPr>
          <w:lang w:eastAsia="bg-BG"/>
        </w:rPr>
        <w:t xml:space="preserve"> забавяне в темпа на разкриване на работни места. Създаването на заетост в икономиката допринесе за по-нататъшния спад в коефициента на безработица до</w:t>
      </w:r>
      <w:r>
        <w:rPr>
          <w:lang w:eastAsia="bg-BG"/>
        </w:rPr>
        <w:t xml:space="preserve"> 6</w:t>
      </w:r>
      <w:r w:rsidR="00F71CF7">
        <w:rPr>
          <w:lang w:eastAsia="bg-BG"/>
        </w:rPr>
        <w:t>,</w:t>
      </w:r>
      <w:r w:rsidRPr="00836B77">
        <w:rPr>
          <w:lang w:eastAsia="bg-BG"/>
        </w:rPr>
        <w:t>3</w:t>
      </w:r>
      <w:r w:rsidR="004C1354">
        <w:rPr>
          <w:lang w:eastAsia="bg-BG"/>
        </w:rPr>
        <w:t xml:space="preserve"> </w:t>
      </w:r>
      <w:r w:rsidRPr="00836B77">
        <w:rPr>
          <w:lang w:eastAsia="bg-BG"/>
        </w:rPr>
        <w:t>% (НРС),</w:t>
      </w:r>
      <w:r>
        <w:rPr>
          <w:lang w:val="en-US" w:eastAsia="bg-BG"/>
        </w:rPr>
        <w:t xml:space="preserve"> </w:t>
      </w:r>
      <w:r w:rsidRPr="00836B77">
        <w:rPr>
          <w:lang w:eastAsia="bg-BG"/>
        </w:rPr>
        <w:t>както и за повишаване на коефициента на икономическа активност на населението (15-64 г</w:t>
      </w:r>
      <w:r w:rsidR="004C1354">
        <w:rPr>
          <w:lang w:eastAsia="bg-BG"/>
        </w:rPr>
        <w:t>.</w:t>
      </w:r>
      <w:r w:rsidRPr="00836B77">
        <w:rPr>
          <w:lang w:eastAsia="bg-BG"/>
        </w:rPr>
        <w:t xml:space="preserve">) до исторически най-високата </w:t>
      </w:r>
      <w:r>
        <w:rPr>
          <w:lang w:eastAsia="bg-BG"/>
        </w:rPr>
        <w:t>си средногодишна стойност от 71</w:t>
      </w:r>
      <w:r w:rsidR="00F71CF7">
        <w:rPr>
          <w:lang w:eastAsia="bg-BG"/>
        </w:rPr>
        <w:t>,</w:t>
      </w:r>
      <w:r w:rsidRPr="00836B77">
        <w:rPr>
          <w:lang w:eastAsia="bg-BG"/>
        </w:rPr>
        <w:t>2</w:t>
      </w:r>
      <w:r w:rsidR="004C1354">
        <w:rPr>
          <w:lang w:eastAsia="bg-BG"/>
        </w:rPr>
        <w:t xml:space="preserve"> </w:t>
      </w:r>
      <w:r w:rsidRPr="00836B77">
        <w:rPr>
          <w:lang w:eastAsia="bg-BG"/>
        </w:rPr>
        <w:t xml:space="preserve">% за деветмесечието на 2017 г. </w:t>
      </w:r>
    </w:p>
    <w:p w:rsidR="002B0332" w:rsidRPr="00836B77" w:rsidRDefault="002B0332" w:rsidP="00277E9F">
      <w:pPr>
        <w:spacing w:after="120"/>
        <w:jc w:val="both"/>
        <w:rPr>
          <w:lang w:val="en-US"/>
        </w:rPr>
      </w:pPr>
      <w:r w:rsidRPr="00836B77">
        <w:t xml:space="preserve">Повишеното търсене на труд в икономиката бе съчетано с ускорен растеж на средната работна заплата, </w:t>
      </w:r>
      <w:r>
        <w:t>който възлезе на 9</w:t>
      </w:r>
      <w:r w:rsidR="00F71CF7">
        <w:t>,</w:t>
      </w:r>
      <w:r w:rsidRPr="00836B77">
        <w:t>7</w:t>
      </w:r>
      <w:r w:rsidR="00974174">
        <w:t xml:space="preserve"> </w:t>
      </w:r>
      <w:r w:rsidRPr="00836B77">
        <w:t xml:space="preserve">% </w:t>
      </w:r>
      <w:r>
        <w:t xml:space="preserve">на годишна база </w:t>
      </w:r>
      <w:r w:rsidRPr="00836B77">
        <w:t xml:space="preserve">в номинално изражение </w:t>
      </w:r>
      <w:r>
        <w:t>за</w:t>
      </w:r>
      <w:r w:rsidRPr="00836B77">
        <w:t xml:space="preserve"> първите девет месеца на 2017 г. </w:t>
      </w:r>
      <w:r>
        <w:t>Р</w:t>
      </w:r>
      <w:r w:rsidRPr="00836B77">
        <w:t xml:space="preserve">еалният ѝ растеж, </w:t>
      </w:r>
      <w:proofErr w:type="spellStart"/>
      <w:r>
        <w:t>дефлиран</w:t>
      </w:r>
      <w:proofErr w:type="spellEnd"/>
      <w:r>
        <w:t xml:space="preserve"> с ХИПЦ, се забави до 8</w:t>
      </w:r>
      <w:r w:rsidR="00F71CF7">
        <w:t>,</w:t>
      </w:r>
      <w:r w:rsidRPr="00836B77">
        <w:t>6</w:t>
      </w:r>
      <w:r w:rsidR="004C1354">
        <w:t xml:space="preserve"> </w:t>
      </w:r>
      <w:r w:rsidRPr="00836B77">
        <w:t>%. Текущото развитие на заплатите се обуславяше от ча</w:t>
      </w:r>
      <w:r>
        <w:t>стния сектор на икономиката (10</w:t>
      </w:r>
      <w:r w:rsidR="00F71CF7">
        <w:t>,</w:t>
      </w:r>
      <w:r w:rsidRPr="00836B77">
        <w:t>4</w:t>
      </w:r>
      <w:r w:rsidR="004C1354">
        <w:t xml:space="preserve"> </w:t>
      </w:r>
      <w:r w:rsidRPr="00836B77">
        <w:t>%), но повишено влияние беше наблюдавано и по</w:t>
      </w:r>
      <w:r>
        <w:t xml:space="preserve"> линия на обществения сектор (7</w:t>
      </w:r>
      <w:r w:rsidR="00F71CF7">
        <w:t>,</w:t>
      </w:r>
      <w:r w:rsidRPr="00836B77">
        <w:t>8</w:t>
      </w:r>
      <w:r w:rsidR="00974174">
        <w:t xml:space="preserve"> </w:t>
      </w:r>
      <w:r w:rsidRPr="00836B77">
        <w:t xml:space="preserve">%). </w:t>
      </w:r>
      <w:r>
        <w:t>Р</w:t>
      </w:r>
      <w:r w:rsidRPr="00836B77">
        <w:t xml:space="preserve">еалният растеж на </w:t>
      </w:r>
      <w:r>
        <w:t>производителността на труда</w:t>
      </w:r>
      <w:r>
        <w:rPr>
          <w:rStyle w:val="FootnoteReference"/>
        </w:rPr>
        <w:footnoteReference w:id="2"/>
      </w:r>
      <w:r w:rsidRPr="00836B77">
        <w:rPr>
          <w:vertAlign w:val="superscript"/>
        </w:rPr>
        <w:t xml:space="preserve"> </w:t>
      </w:r>
      <w:r w:rsidRPr="00836B77">
        <w:t xml:space="preserve">се </w:t>
      </w:r>
      <w:r>
        <w:t>забави спрямо година по-рано до 2</w:t>
      </w:r>
      <w:r w:rsidR="00F71CF7">
        <w:t>,</w:t>
      </w:r>
      <w:r>
        <w:t>1</w:t>
      </w:r>
      <w:r w:rsidR="004C1354">
        <w:t xml:space="preserve"> </w:t>
      </w:r>
      <w:r>
        <w:t>% средно за деветмесечието</w:t>
      </w:r>
      <w:r w:rsidRPr="00836B77">
        <w:t xml:space="preserve">, </w:t>
      </w:r>
      <w:r>
        <w:t>поради</w:t>
      </w:r>
      <w:r w:rsidRPr="00836B77">
        <w:t xml:space="preserve"> спада на показателя в сектор селско стопанство. Това, заедно с ускоряването на растежа на доходите в икономиката</w:t>
      </w:r>
      <w:r>
        <w:t>,</w:t>
      </w:r>
      <w:r w:rsidRPr="00836B77">
        <w:t xml:space="preserve"> доведе до нарастване на номина</w:t>
      </w:r>
      <w:r>
        <w:t>лните разходи за труд на единица</w:t>
      </w:r>
      <w:r>
        <w:rPr>
          <w:rStyle w:val="FootnoteReference"/>
        </w:rPr>
        <w:footnoteReference w:id="3"/>
      </w:r>
      <w:r>
        <w:t xml:space="preserve"> продукция с 4</w:t>
      </w:r>
      <w:r w:rsidR="00F71CF7">
        <w:t>,</w:t>
      </w:r>
      <w:r w:rsidRPr="00836B77">
        <w:t>7</w:t>
      </w:r>
      <w:r w:rsidR="004C1354">
        <w:t xml:space="preserve"> </w:t>
      </w:r>
      <w:r w:rsidRPr="00836B77">
        <w:t>%</w:t>
      </w:r>
      <w:r>
        <w:t xml:space="preserve"> за разглеждания период</w:t>
      </w:r>
      <w:r w:rsidRPr="00836B77">
        <w:t xml:space="preserve">. </w:t>
      </w:r>
    </w:p>
    <w:p w:rsidR="002B0332" w:rsidRPr="00836B77" w:rsidRDefault="002B0332" w:rsidP="00277E9F">
      <w:pPr>
        <w:spacing w:after="120"/>
        <w:jc w:val="both"/>
        <w:rPr>
          <w:sz w:val="22"/>
          <w:szCs w:val="22"/>
        </w:rPr>
      </w:pPr>
      <w:r w:rsidRPr="00836B77">
        <w:t>Средногодишната инфлация през 2017 г.</w:t>
      </w:r>
      <w:r>
        <w:t>,</w:t>
      </w:r>
      <w:r w:rsidRPr="00836B77">
        <w:t xml:space="preserve"> според ХИПЦ</w:t>
      </w:r>
      <w:r>
        <w:t>,</w:t>
      </w:r>
      <w:r w:rsidRPr="00836B77">
        <w:t xml:space="preserve"> възлезе на 1</w:t>
      </w:r>
      <w:r w:rsidR="00F71CF7">
        <w:t>,</w:t>
      </w:r>
      <w:r w:rsidRPr="00836B77">
        <w:t>2</w:t>
      </w:r>
      <w:r w:rsidR="004C1354">
        <w:t xml:space="preserve"> </w:t>
      </w:r>
      <w:r w:rsidRPr="00836B77">
        <w:t xml:space="preserve">%, след като бе отрицателна в периода 2014-2016 г. </w:t>
      </w:r>
      <w:r>
        <w:t>Нарастването</w:t>
      </w:r>
      <w:r w:rsidRPr="00836B77">
        <w:t xml:space="preserve"> на цените </w:t>
      </w:r>
      <w:r>
        <w:t>бе</w:t>
      </w:r>
      <w:r w:rsidRPr="00836B77">
        <w:t xml:space="preserve"> 1</w:t>
      </w:r>
      <w:r w:rsidR="00F71CF7">
        <w:t>,</w:t>
      </w:r>
      <w:r w:rsidRPr="00836B77">
        <w:t>8</w:t>
      </w:r>
      <w:r w:rsidR="004C1354">
        <w:t xml:space="preserve"> </w:t>
      </w:r>
      <w:r w:rsidRPr="00836B77">
        <w:t xml:space="preserve">% в края на годината, като всички основни компоненти на общия индекс, с изключение на неенергийните </w:t>
      </w:r>
      <w:r w:rsidRPr="00836B77">
        <w:lastRenderedPageBreak/>
        <w:t>нехранителни стоки, отчетоха поскъпване спрямо декември 2016 г. Водещ положителен принос имаше групата хранителни продукти и безалкохолни напитки, следван</w:t>
      </w:r>
      <w:r>
        <w:rPr>
          <w:lang w:val="en-US"/>
        </w:rPr>
        <w:t>a</w:t>
      </w:r>
      <w:r w:rsidRPr="00836B77">
        <w:t xml:space="preserve"> от енергийните стоки и услуги</w:t>
      </w:r>
      <w:r>
        <w:t>те</w:t>
      </w:r>
      <w:r w:rsidRPr="00836B77">
        <w:t xml:space="preserve">. </w:t>
      </w:r>
      <w:r>
        <w:t>П</w:t>
      </w:r>
      <w:r w:rsidRPr="00836B77">
        <w:t xml:space="preserve">озициите с административни цени </w:t>
      </w:r>
      <w:r>
        <w:t>поскъпнаха средно с 2</w:t>
      </w:r>
      <w:r w:rsidR="00F71CF7">
        <w:t>,</w:t>
      </w:r>
      <w:r>
        <w:t>6</w:t>
      </w:r>
      <w:r w:rsidR="00CA25E3">
        <w:t> </w:t>
      </w:r>
      <w:r>
        <w:t>% на годишна база в края на годината</w:t>
      </w:r>
      <w:r w:rsidRPr="00836B77">
        <w:t>.</w:t>
      </w:r>
    </w:p>
    <w:p w:rsidR="002B0332" w:rsidRDefault="002B0332" w:rsidP="00277E9F">
      <w:pPr>
        <w:spacing w:after="120"/>
        <w:jc w:val="both"/>
      </w:pPr>
      <w:r w:rsidRPr="00836B77">
        <w:t>Салдото по текущата сметка остана положително, като за десетте месеца на 2017 г. беше регис</w:t>
      </w:r>
      <w:r>
        <w:t>триран излишък в размер на 2</w:t>
      </w:r>
      <w:r w:rsidR="00F71CF7">
        <w:t>,</w:t>
      </w:r>
      <w:r w:rsidRPr="00836B77">
        <w:rPr>
          <w:lang w:val="en-US"/>
        </w:rPr>
        <w:t>7</w:t>
      </w:r>
      <w:r>
        <w:t xml:space="preserve"> </w:t>
      </w:r>
      <w:r w:rsidRPr="00836B77">
        <w:t>млрд.</w:t>
      </w:r>
      <w:r>
        <w:t xml:space="preserve"> </w:t>
      </w:r>
      <w:r w:rsidRPr="00836B77">
        <w:t xml:space="preserve">евро или </w:t>
      </w:r>
      <w:r w:rsidRPr="00836B77">
        <w:rPr>
          <w:lang w:val="en-US"/>
        </w:rPr>
        <w:t>5</w:t>
      </w:r>
      <w:r w:rsidR="00F71CF7">
        <w:t>,</w:t>
      </w:r>
      <w:r w:rsidRPr="00836B77">
        <w:rPr>
          <w:lang w:val="en-US"/>
        </w:rPr>
        <w:t>3</w:t>
      </w:r>
      <w:r w:rsidR="004C1354">
        <w:t xml:space="preserve"> </w:t>
      </w:r>
      <w:r w:rsidRPr="00836B77">
        <w:t xml:space="preserve">% от прогнозния БВП, при отчетен излишък от </w:t>
      </w:r>
      <w:r w:rsidRPr="00836B77">
        <w:rPr>
          <w:lang w:val="en-US"/>
        </w:rPr>
        <w:t>5</w:t>
      </w:r>
      <w:r w:rsidR="00F71CF7">
        <w:t>,</w:t>
      </w:r>
      <w:r w:rsidRPr="00836B77">
        <w:rPr>
          <w:lang w:val="en-US"/>
        </w:rPr>
        <w:t>6</w:t>
      </w:r>
      <w:r w:rsidR="004C1354">
        <w:t xml:space="preserve"> </w:t>
      </w:r>
      <w:r w:rsidRPr="00836B77">
        <w:t>% от БВП година по-рано. Повишението на международните цени от началото на годината и същественото ускорение на вътрешното търсене доведоха до нарастване на дефицита по търговския баланс. При търговията със стоки, в периода януари-октомври</w:t>
      </w:r>
      <w:r>
        <w:t>,</w:t>
      </w:r>
      <w:r w:rsidRPr="00836B77">
        <w:t xml:space="preserve"> износът нарасна с 1</w:t>
      </w:r>
      <w:r>
        <w:rPr>
          <w:lang w:val="en-US"/>
        </w:rPr>
        <w:t>3</w:t>
      </w:r>
      <w:r w:rsidR="00F71CF7">
        <w:t>,</w:t>
      </w:r>
      <w:r w:rsidRPr="00836B77">
        <w:rPr>
          <w:lang w:val="en-US"/>
        </w:rPr>
        <w:t>7</w:t>
      </w:r>
      <w:r w:rsidR="004C1354">
        <w:t xml:space="preserve"> </w:t>
      </w:r>
      <w:r w:rsidRPr="00836B77">
        <w:t>% на годишна база, докато вносът се увеличи с 1</w:t>
      </w:r>
      <w:r w:rsidRPr="00836B77">
        <w:rPr>
          <w:lang w:val="en-US"/>
        </w:rPr>
        <w:t>5</w:t>
      </w:r>
      <w:r w:rsidR="00F71CF7">
        <w:t>,</w:t>
      </w:r>
      <w:r w:rsidRPr="00836B77">
        <w:rPr>
          <w:lang w:val="en-US"/>
        </w:rPr>
        <w:t>8</w:t>
      </w:r>
      <w:r w:rsidR="004C1354">
        <w:t xml:space="preserve"> </w:t>
      </w:r>
      <w:r w:rsidRPr="00836B77">
        <w:t>%. Под влияние на номиналното нарастване на БВП, отношението на салдото на услугите към БВП се пониж</w:t>
      </w:r>
      <w:r>
        <w:t xml:space="preserve">и </w:t>
      </w:r>
      <w:r w:rsidRPr="00836B77">
        <w:t>до 5</w:t>
      </w:r>
      <w:r w:rsidR="00F71CF7">
        <w:t>,</w:t>
      </w:r>
      <w:r w:rsidRPr="00836B77">
        <w:t>7</w:t>
      </w:r>
      <w:r w:rsidR="004C1354">
        <w:t xml:space="preserve"> </w:t>
      </w:r>
      <w:r w:rsidRPr="00836B77">
        <w:t>% за същия период</w:t>
      </w:r>
      <w:r>
        <w:t>,</w:t>
      </w:r>
      <w:r w:rsidRPr="00836B77">
        <w:t xml:space="preserve"> </w:t>
      </w:r>
      <w:r>
        <w:t>при 6</w:t>
      </w:r>
      <w:r w:rsidR="00F71CF7">
        <w:t>,</w:t>
      </w:r>
      <w:r>
        <w:t>1</w:t>
      </w:r>
      <w:r w:rsidR="004C1354">
        <w:t xml:space="preserve"> </w:t>
      </w:r>
      <w:r w:rsidRPr="00836B77">
        <w:t xml:space="preserve">% за януари-октомври 2016 г., въпреки това в абсолютна стойност излишъкът остана непроменен. </w:t>
      </w:r>
    </w:p>
    <w:p w:rsidR="002B0332" w:rsidRPr="00494D97" w:rsidRDefault="002B0332" w:rsidP="00277E9F">
      <w:pPr>
        <w:spacing w:after="120"/>
        <w:jc w:val="both"/>
      </w:pPr>
      <w:r w:rsidRPr="00836B77">
        <w:t xml:space="preserve">За първите десет месеца на 2017 г. привлечените преки чуждестранни </w:t>
      </w:r>
      <w:r>
        <w:t>инвестиции бяха в размер на 939</w:t>
      </w:r>
      <w:r w:rsidR="00F71CF7">
        <w:t>,</w:t>
      </w:r>
      <w:r>
        <w:t>1 млн. евро или 1</w:t>
      </w:r>
      <w:r w:rsidR="00F71CF7">
        <w:t>,</w:t>
      </w:r>
      <w:r>
        <w:t>8</w:t>
      </w:r>
      <w:r w:rsidR="004C1354">
        <w:t xml:space="preserve"> </w:t>
      </w:r>
      <w:r w:rsidRPr="00836B77">
        <w:t>% от БВП. Средствата са основно в секторите преработваща промишленост, търговия</w:t>
      </w:r>
      <w:r>
        <w:t>,</w:t>
      </w:r>
      <w:r w:rsidRPr="00836B77">
        <w:t xml:space="preserve"> ремонт на автомобили и мотоциклети, операции с недвижими имоти и строителство</w:t>
      </w:r>
      <w:r w:rsidRPr="004B5159">
        <w:t>.</w:t>
      </w:r>
    </w:p>
    <w:p w:rsidR="002B0332" w:rsidRPr="00494D97" w:rsidRDefault="002B0332" w:rsidP="00277E9F">
      <w:pPr>
        <w:spacing w:after="120"/>
        <w:jc w:val="both"/>
      </w:pPr>
      <w:r w:rsidRPr="00494D97">
        <w:t>Международните валутни резерви достигнаха 23</w:t>
      </w:r>
      <w:r w:rsidR="00F71CF7">
        <w:t>,</w:t>
      </w:r>
      <w:r w:rsidRPr="00494D97">
        <w:t>7 млрд. евро в края на декември 2017</w:t>
      </w:r>
      <w:r w:rsidR="004C1354">
        <w:t> </w:t>
      </w:r>
      <w:r w:rsidRPr="00494D97">
        <w:t>г., като отбелязаха спад на годишна база от 1</w:t>
      </w:r>
      <w:r w:rsidR="00F71CF7">
        <w:t>,</w:t>
      </w:r>
      <w:proofErr w:type="spellStart"/>
      <w:r w:rsidRPr="00494D97">
        <w:t>1</w:t>
      </w:r>
      <w:proofErr w:type="spellEnd"/>
      <w:r w:rsidR="004C1354">
        <w:t xml:space="preserve"> </w:t>
      </w:r>
      <w:r w:rsidRPr="00494D97">
        <w:t>%. Понижението се дължеше основно на свиването на депозит</w:t>
      </w:r>
      <w:r>
        <w:t>а</w:t>
      </w:r>
      <w:r w:rsidRPr="00494D97">
        <w:t xml:space="preserve"> на правителството </w:t>
      </w:r>
      <w:r>
        <w:t>във връзка с</w:t>
      </w:r>
      <w:r w:rsidRPr="00494D97">
        <w:t xml:space="preserve"> погашението на емисия 5-годишни </w:t>
      </w:r>
      <w:proofErr w:type="spellStart"/>
      <w:r w:rsidRPr="00494D97">
        <w:t>еврооблигации</w:t>
      </w:r>
      <w:proofErr w:type="spellEnd"/>
      <w:r w:rsidRPr="00494D97">
        <w:t xml:space="preserve"> през юли и трансфери към първостепенни разпоредители през декември. </w:t>
      </w:r>
    </w:p>
    <w:p w:rsidR="002B0332" w:rsidRPr="00494D97" w:rsidRDefault="002B0332" w:rsidP="00277E9F">
      <w:pPr>
        <w:spacing w:after="120"/>
        <w:jc w:val="both"/>
      </w:pPr>
      <w:r w:rsidRPr="00494D97">
        <w:t>През 2017 г. банковата система в България остана стабилна и продължи да поддържа високи нива на ликвидност и обща капиталова адекватност. Коефициентът на ликвидните активи към края на ноември беше 37</w:t>
      </w:r>
      <w:r w:rsidR="00F71CF7">
        <w:t>,</w:t>
      </w:r>
      <w:r w:rsidRPr="00494D97">
        <w:t>1</w:t>
      </w:r>
      <w:r w:rsidR="004C1354">
        <w:t xml:space="preserve"> </w:t>
      </w:r>
      <w:r>
        <w:t>%</w:t>
      </w:r>
      <w:r w:rsidRPr="00494D97">
        <w:rPr>
          <w:vertAlign w:val="superscript"/>
        </w:rPr>
        <w:footnoteReference w:id="4"/>
      </w:r>
      <w:r>
        <w:t>,</w:t>
      </w:r>
      <w:r w:rsidR="00974174">
        <w:t xml:space="preserve"> </w:t>
      </w:r>
      <w:r w:rsidRPr="00494D97">
        <w:t>а в края на третото тримесечие на годината коефициентът на обща капиталова адекватност достигна 22</w:t>
      </w:r>
      <w:r w:rsidR="00F71CF7">
        <w:t>,</w:t>
      </w:r>
      <w:r w:rsidRPr="00494D97">
        <w:t>2</w:t>
      </w:r>
      <w:r w:rsidR="004C1354">
        <w:t xml:space="preserve"> </w:t>
      </w:r>
      <w:r w:rsidRPr="00494D97">
        <w:t>%. Нетният финансов резултат на системата в края на ноември достигна 1</w:t>
      </w:r>
      <w:r w:rsidR="00F71CF7">
        <w:t>,</w:t>
      </w:r>
      <w:proofErr w:type="spellStart"/>
      <w:r w:rsidRPr="00494D97">
        <w:t>1</w:t>
      </w:r>
      <w:proofErr w:type="spellEnd"/>
      <w:r w:rsidRPr="00494D97">
        <w:t xml:space="preserve"> млрд. л</w:t>
      </w:r>
      <w:r w:rsidR="00974174">
        <w:t>е</w:t>
      </w:r>
      <w:r w:rsidRPr="00494D97">
        <w:t>в</w:t>
      </w:r>
      <w:r w:rsidR="00974174">
        <w:t>а</w:t>
      </w:r>
      <w:r w:rsidRPr="00494D97">
        <w:t xml:space="preserve">. </w:t>
      </w:r>
    </w:p>
    <w:p w:rsidR="002B0332" w:rsidRPr="007D1188" w:rsidRDefault="002B0332" w:rsidP="00277E9F">
      <w:pPr>
        <w:spacing w:after="120"/>
        <w:jc w:val="both"/>
      </w:pPr>
      <w:r w:rsidRPr="00494D97">
        <w:t xml:space="preserve">Годишният темп на </w:t>
      </w:r>
      <w:r>
        <w:t>повишение</w:t>
      </w:r>
      <w:r w:rsidRPr="00494D97">
        <w:t xml:space="preserve"> на кредита за частния сектор достигна 4</w:t>
      </w:r>
      <w:r w:rsidR="00032694">
        <w:t>,</w:t>
      </w:r>
      <w:r w:rsidRPr="00494D97">
        <w:t>2</w:t>
      </w:r>
      <w:r w:rsidR="004C1354">
        <w:t xml:space="preserve"> </w:t>
      </w:r>
      <w:r w:rsidRPr="00494D97">
        <w:t>% към края на ноември</w:t>
      </w:r>
      <w:r>
        <w:t>, като с</w:t>
      </w:r>
      <w:r w:rsidRPr="00494D97">
        <w:t xml:space="preserve"> по-голям принос за положителната динамика бяха вземанията от домакинствата</w:t>
      </w:r>
      <w:r>
        <w:t>. Р</w:t>
      </w:r>
      <w:r w:rsidRPr="00494D97">
        <w:t>азмер</w:t>
      </w:r>
      <w:r>
        <w:t>ът</w:t>
      </w:r>
      <w:r w:rsidRPr="00494D97">
        <w:t xml:space="preserve"> на депозитите в банковата система нарасна с 6</w:t>
      </w:r>
      <w:r w:rsidR="00032694">
        <w:t>,</w:t>
      </w:r>
      <w:r w:rsidRPr="00494D97">
        <w:t>3</w:t>
      </w:r>
      <w:r w:rsidR="004C1354">
        <w:t xml:space="preserve"> </w:t>
      </w:r>
      <w:r w:rsidRPr="00494D97">
        <w:t>% на годишна база.</w:t>
      </w:r>
    </w:p>
    <w:p w:rsidR="002B0332" w:rsidRPr="005B13A1" w:rsidRDefault="002B0332" w:rsidP="002B0332">
      <w:pPr>
        <w:jc w:val="both"/>
        <w:rPr>
          <w:b/>
          <w:i/>
          <w:color w:val="000000"/>
          <w:u w:val="single"/>
        </w:rPr>
      </w:pPr>
      <w:r w:rsidRPr="005B13A1">
        <w:rPr>
          <w:b/>
          <w:i/>
          <w:color w:val="000000"/>
          <w:u w:val="single"/>
        </w:rPr>
        <w:t>Бюджетна позиция</w:t>
      </w:r>
    </w:p>
    <w:p w:rsidR="002B0332" w:rsidRDefault="002B0332" w:rsidP="00277E9F">
      <w:pPr>
        <w:spacing w:before="120" w:after="120"/>
        <w:jc w:val="both"/>
        <w:rPr>
          <w:lang w:val="en-US"/>
        </w:rPr>
      </w:pPr>
      <w:r w:rsidRPr="005B13A1">
        <w:rPr>
          <w:iCs/>
          <w:color w:val="000000"/>
        </w:rPr>
        <w:t>На база на данните от месечните отчети за касовото изпълнение на бюджетите на първостепенните разпоредители с бюджет салдото по консолидираната фискална програма (КФП) за 201</w:t>
      </w:r>
      <w:r>
        <w:rPr>
          <w:iCs/>
          <w:color w:val="000000"/>
          <w:lang w:val="en-US"/>
        </w:rPr>
        <w:t>7</w:t>
      </w:r>
      <w:r w:rsidRPr="005B13A1">
        <w:rPr>
          <w:iCs/>
          <w:color w:val="000000"/>
        </w:rPr>
        <w:t xml:space="preserve"> г. е излишък в размер </w:t>
      </w:r>
      <w:r w:rsidRPr="002B51E3">
        <w:rPr>
          <w:iCs/>
          <w:color w:val="000000"/>
        </w:rPr>
        <w:t xml:space="preserve">на </w:t>
      </w:r>
      <w:r w:rsidRPr="002B51E3">
        <w:rPr>
          <w:iCs/>
          <w:color w:val="000000"/>
          <w:lang w:val="en-US"/>
        </w:rPr>
        <w:t>845</w:t>
      </w:r>
      <w:r w:rsidR="00032694">
        <w:rPr>
          <w:iCs/>
          <w:color w:val="000000"/>
        </w:rPr>
        <w:t>,</w:t>
      </w:r>
      <w:r w:rsidRPr="002B51E3">
        <w:rPr>
          <w:iCs/>
          <w:color w:val="000000"/>
          <w:lang w:val="en-US"/>
        </w:rPr>
        <w:t>2</w:t>
      </w:r>
      <w:r w:rsidRPr="002B51E3">
        <w:rPr>
          <w:iCs/>
          <w:color w:val="000000"/>
        </w:rPr>
        <w:t xml:space="preserve"> млн. лв. (</w:t>
      </w:r>
      <w:r w:rsidRPr="002B51E3">
        <w:rPr>
          <w:iCs/>
          <w:color w:val="000000"/>
          <w:lang w:val="en-US"/>
        </w:rPr>
        <w:t>0</w:t>
      </w:r>
      <w:r w:rsidR="00032694">
        <w:rPr>
          <w:iCs/>
          <w:color w:val="000000"/>
        </w:rPr>
        <w:t>,</w:t>
      </w:r>
      <w:r w:rsidRPr="002B51E3">
        <w:rPr>
          <w:iCs/>
          <w:color w:val="000000"/>
          <w:lang w:val="en-US"/>
        </w:rPr>
        <w:t>8</w:t>
      </w:r>
      <w:r w:rsidR="00F5168B">
        <w:rPr>
          <w:iCs/>
          <w:color w:val="000000"/>
        </w:rPr>
        <w:t xml:space="preserve"> </w:t>
      </w:r>
      <w:r w:rsidRPr="002B51E3">
        <w:rPr>
          <w:iCs/>
          <w:color w:val="000000"/>
        </w:rPr>
        <w:t xml:space="preserve">% от прогнозния БВП). </w:t>
      </w:r>
      <w:r w:rsidRPr="005A34FF">
        <w:rPr>
          <w:iCs/>
          <w:color w:val="000000"/>
        </w:rPr>
        <w:t>За сравнение в разчетите към Закона за държавния бюджет на Република България за 201</w:t>
      </w:r>
      <w:r w:rsidRPr="005A34FF">
        <w:rPr>
          <w:iCs/>
          <w:color w:val="000000"/>
          <w:lang w:val="en-US"/>
        </w:rPr>
        <w:t>7</w:t>
      </w:r>
      <w:r w:rsidRPr="005A34FF">
        <w:rPr>
          <w:iCs/>
          <w:color w:val="000000"/>
        </w:rPr>
        <w:t xml:space="preserve">  г. (ЗДБРБ за 201</w:t>
      </w:r>
      <w:r w:rsidRPr="005A34FF">
        <w:rPr>
          <w:iCs/>
          <w:color w:val="000000"/>
          <w:lang w:val="en-US"/>
        </w:rPr>
        <w:t>7</w:t>
      </w:r>
      <w:r w:rsidRPr="005A34FF">
        <w:rPr>
          <w:iCs/>
          <w:color w:val="000000"/>
        </w:rPr>
        <w:t xml:space="preserve"> г.) е заложен дефицит за годината в размер на 1</w:t>
      </w:r>
      <w:r w:rsidR="00F5168B">
        <w:rPr>
          <w:iCs/>
          <w:color w:val="000000"/>
        </w:rPr>
        <w:t> </w:t>
      </w:r>
      <w:r w:rsidRPr="005A34FF">
        <w:rPr>
          <w:iCs/>
          <w:color w:val="000000"/>
          <w:lang w:val="en-US"/>
        </w:rPr>
        <w:t>330</w:t>
      </w:r>
      <w:r w:rsidR="00F5168B">
        <w:rPr>
          <w:iCs/>
          <w:color w:val="000000"/>
        </w:rPr>
        <w:t>,0</w:t>
      </w:r>
      <w:r w:rsidRPr="005A34FF">
        <w:rPr>
          <w:iCs/>
          <w:color w:val="000000"/>
        </w:rPr>
        <w:t xml:space="preserve"> млн. лв., което означава, че спрямо заложеното в програмата за годината се отчита номинално подобрение на бюджетното салдо с близо </w:t>
      </w:r>
      <w:r w:rsidRPr="00C77C60">
        <w:rPr>
          <w:iCs/>
          <w:color w:val="000000"/>
        </w:rPr>
        <w:t>2</w:t>
      </w:r>
      <w:r w:rsidR="00032694">
        <w:rPr>
          <w:iCs/>
          <w:color w:val="000000"/>
        </w:rPr>
        <w:t>,</w:t>
      </w:r>
      <w:proofErr w:type="spellStart"/>
      <w:r w:rsidRPr="00C77C60">
        <w:rPr>
          <w:iCs/>
          <w:color w:val="000000"/>
        </w:rPr>
        <w:t>2</w:t>
      </w:r>
      <w:proofErr w:type="spellEnd"/>
      <w:r w:rsidRPr="005A34FF">
        <w:rPr>
          <w:iCs/>
          <w:color w:val="000000"/>
        </w:rPr>
        <w:t xml:space="preserve"> млрд. лв., </w:t>
      </w:r>
      <w:r w:rsidRPr="00C77C60">
        <w:rPr>
          <w:iCs/>
          <w:color w:val="000000"/>
        </w:rPr>
        <w:t>което спомага за запазването на натрупаните значителни фискални буфери на разположение във фискалния резерв. Наличието на фискален буфер дава възможност за гъвкава политика по управлението на държавния дълг, съобразена с конкретните пазарни условия при минимизиране на ликвидните</w:t>
      </w:r>
      <w:r>
        <w:t xml:space="preserve"> рискове. </w:t>
      </w:r>
    </w:p>
    <w:p w:rsidR="002B0332" w:rsidRPr="00085E3A" w:rsidRDefault="002B0332" w:rsidP="00277E9F">
      <w:pPr>
        <w:spacing w:before="120" w:after="120"/>
        <w:jc w:val="both"/>
        <w:rPr>
          <w:iCs/>
          <w:color w:val="000000"/>
        </w:rPr>
      </w:pPr>
      <w:r w:rsidRPr="00085E3A">
        <w:rPr>
          <w:iCs/>
          <w:color w:val="000000"/>
        </w:rPr>
        <w:t>Салдото по държавния бюджет е близко до балансирано, като съпоставено с предходната година се отчита номинално подобрение с над 1 млрд. л</w:t>
      </w:r>
      <w:r w:rsidR="00F5168B">
        <w:rPr>
          <w:iCs/>
          <w:color w:val="000000"/>
        </w:rPr>
        <w:t>е</w:t>
      </w:r>
      <w:r w:rsidRPr="00085E3A">
        <w:rPr>
          <w:iCs/>
          <w:color w:val="000000"/>
        </w:rPr>
        <w:t>в</w:t>
      </w:r>
      <w:r w:rsidR="00F5168B">
        <w:rPr>
          <w:iCs/>
          <w:color w:val="000000"/>
        </w:rPr>
        <w:t>а</w:t>
      </w:r>
      <w:r w:rsidRPr="00085E3A">
        <w:rPr>
          <w:iCs/>
          <w:color w:val="000000"/>
        </w:rPr>
        <w:t>.</w:t>
      </w:r>
      <w:r>
        <w:rPr>
          <w:iCs/>
          <w:color w:val="000000"/>
        </w:rPr>
        <w:t xml:space="preserve"> Параметрите по държавния дълг също се развиха положително през 2017 г., като в номинално </w:t>
      </w:r>
      <w:r w:rsidRPr="007A6ECA">
        <w:rPr>
          <w:iCs/>
          <w:color w:val="000000"/>
        </w:rPr>
        <w:t>изражение спрямо предходната година размерът на дълга отчита намаление с близо 2,</w:t>
      </w:r>
      <w:r w:rsidR="007A6ECA" w:rsidRPr="007A6ECA">
        <w:rPr>
          <w:iCs/>
          <w:color w:val="000000"/>
        </w:rPr>
        <w:t>3</w:t>
      </w:r>
      <w:r w:rsidRPr="007A6ECA">
        <w:rPr>
          <w:iCs/>
          <w:color w:val="000000"/>
        </w:rPr>
        <w:t xml:space="preserve"> млрд. лв. - от 25,8 на 23,</w:t>
      </w:r>
      <w:r w:rsidR="007A6ECA" w:rsidRPr="007A6ECA">
        <w:rPr>
          <w:iCs/>
          <w:color w:val="000000"/>
        </w:rPr>
        <w:t>5</w:t>
      </w:r>
      <w:r w:rsidRPr="00085E3A">
        <w:rPr>
          <w:iCs/>
          <w:color w:val="000000"/>
        </w:rPr>
        <w:t xml:space="preserve"> млрд. </w:t>
      </w:r>
      <w:r>
        <w:rPr>
          <w:iCs/>
          <w:color w:val="000000"/>
        </w:rPr>
        <w:t>лева</w:t>
      </w:r>
      <w:r w:rsidRPr="00085E3A">
        <w:rPr>
          <w:iCs/>
          <w:color w:val="000000"/>
        </w:rPr>
        <w:t xml:space="preserve">. Това представлява спад в съотношението дълг към брутен вътрешен продукт с </w:t>
      </w:r>
      <w:r>
        <w:rPr>
          <w:iCs/>
          <w:color w:val="000000"/>
        </w:rPr>
        <w:t>3,</w:t>
      </w:r>
      <w:r w:rsidR="007A6ECA">
        <w:rPr>
          <w:iCs/>
          <w:color w:val="000000"/>
        </w:rPr>
        <w:t>8</w:t>
      </w:r>
      <w:r w:rsidRPr="00085E3A">
        <w:rPr>
          <w:iCs/>
          <w:color w:val="000000"/>
        </w:rPr>
        <w:t xml:space="preserve"> процентни пункта </w:t>
      </w:r>
      <w:r w:rsidRPr="007A6ECA">
        <w:rPr>
          <w:iCs/>
          <w:color w:val="000000"/>
        </w:rPr>
        <w:t>съответно от 27,4 % на 23,</w:t>
      </w:r>
      <w:r w:rsidR="007A6ECA" w:rsidRPr="007A6ECA">
        <w:rPr>
          <w:iCs/>
          <w:color w:val="000000"/>
        </w:rPr>
        <w:t>6</w:t>
      </w:r>
      <w:r w:rsidR="009824A9" w:rsidRPr="007A6ECA">
        <w:rPr>
          <w:iCs/>
          <w:color w:val="000000"/>
        </w:rPr>
        <w:t> </w:t>
      </w:r>
      <w:r w:rsidRPr="007A6ECA">
        <w:rPr>
          <w:iCs/>
          <w:color w:val="000000"/>
        </w:rPr>
        <w:t>%. За това благоприятно развитие допринесе основно извършеното през месец</w:t>
      </w:r>
      <w:r>
        <w:rPr>
          <w:iCs/>
          <w:color w:val="000000"/>
        </w:rPr>
        <w:t xml:space="preserve"> юли 2017 г. погашение по </w:t>
      </w:r>
      <w:proofErr w:type="spellStart"/>
      <w:r>
        <w:rPr>
          <w:iCs/>
          <w:color w:val="000000"/>
        </w:rPr>
        <w:lastRenderedPageBreak/>
        <w:t>падежиращи</w:t>
      </w:r>
      <w:proofErr w:type="spellEnd"/>
      <w:r>
        <w:rPr>
          <w:iCs/>
          <w:color w:val="000000"/>
        </w:rPr>
        <w:t xml:space="preserve"> петгодишни </w:t>
      </w:r>
      <w:proofErr w:type="spellStart"/>
      <w:r>
        <w:rPr>
          <w:iCs/>
          <w:color w:val="000000"/>
        </w:rPr>
        <w:t>еврооблигации</w:t>
      </w:r>
      <w:proofErr w:type="spellEnd"/>
      <w:r>
        <w:rPr>
          <w:iCs/>
          <w:color w:val="000000"/>
        </w:rPr>
        <w:t xml:space="preserve"> </w:t>
      </w:r>
      <w:r w:rsidR="00BC2BA4">
        <w:rPr>
          <w:iCs/>
          <w:color w:val="000000"/>
        </w:rPr>
        <w:t>в общ размер на близо 1 млрд. евро</w:t>
      </w:r>
      <w:r>
        <w:rPr>
          <w:iCs/>
          <w:color w:val="000000"/>
        </w:rPr>
        <w:t xml:space="preserve"> главница и лихви, средствата за което не бяха набрани чрез емисии нов дълг а бяха осигурени за сметка на натрупания във фискалния резерв буфер през 2016 г</w:t>
      </w:r>
      <w:r w:rsidR="00CB702B">
        <w:rPr>
          <w:iCs/>
          <w:color w:val="000000"/>
        </w:rPr>
        <w:t>одина</w:t>
      </w:r>
      <w:r>
        <w:rPr>
          <w:iCs/>
          <w:color w:val="000000"/>
        </w:rPr>
        <w:t>. По този начин държавния</w:t>
      </w:r>
      <w:r w:rsidR="00CB702B">
        <w:rPr>
          <w:iCs/>
          <w:color w:val="000000"/>
        </w:rPr>
        <w:t>т</w:t>
      </w:r>
      <w:r>
        <w:rPr>
          <w:iCs/>
          <w:color w:val="000000"/>
        </w:rPr>
        <w:t xml:space="preserve"> дълг отчете намаление </w:t>
      </w:r>
      <w:r w:rsidR="00CB702B">
        <w:rPr>
          <w:iCs/>
          <w:color w:val="000000"/>
        </w:rPr>
        <w:t>(</w:t>
      </w:r>
      <w:r>
        <w:rPr>
          <w:iCs/>
          <w:color w:val="000000"/>
        </w:rPr>
        <w:t>в номинално изражение и като относителен дял в БВП</w:t>
      </w:r>
      <w:r w:rsidR="00CB702B">
        <w:rPr>
          <w:iCs/>
          <w:color w:val="000000"/>
        </w:rPr>
        <w:t>)</w:t>
      </w:r>
      <w:r>
        <w:rPr>
          <w:iCs/>
          <w:color w:val="000000"/>
        </w:rPr>
        <w:t xml:space="preserve"> с най-бърз темп от последните години. В Актуализираната средносрочна бюджетна програма е предвидено държавния дълг да продължи да се свива като относителен дял в БВП и към 2020 г. да възлезе на около 20 на сто от БВП.</w:t>
      </w:r>
    </w:p>
    <w:p w:rsidR="002B0332" w:rsidRPr="00BF47EE" w:rsidRDefault="002B0332" w:rsidP="008D2385">
      <w:pPr>
        <w:spacing w:before="120" w:after="120"/>
        <w:jc w:val="both"/>
        <w:rPr>
          <w:iCs/>
          <w:color w:val="000000"/>
          <w:lang w:val="en-US"/>
        </w:rPr>
      </w:pPr>
      <w:r w:rsidRPr="00B27AD9">
        <w:rPr>
          <w:iCs/>
          <w:color w:val="000000"/>
        </w:rPr>
        <w:t xml:space="preserve">Силното фискално представяне на България намери отражение и в годишните доклади на международните рейтингови агенции, като S&amp;P </w:t>
      </w:r>
      <w:proofErr w:type="spellStart"/>
      <w:r w:rsidRPr="00B27AD9">
        <w:rPr>
          <w:iCs/>
          <w:color w:val="000000"/>
        </w:rPr>
        <w:t>Ratings</w:t>
      </w:r>
      <w:proofErr w:type="spellEnd"/>
      <w:r w:rsidRPr="00B27AD9">
        <w:rPr>
          <w:iCs/>
          <w:color w:val="000000"/>
        </w:rPr>
        <w:t xml:space="preserve"> и </w:t>
      </w:r>
      <w:proofErr w:type="spellStart"/>
      <w:r w:rsidRPr="00B27AD9">
        <w:rPr>
          <w:iCs/>
          <w:color w:val="000000"/>
        </w:rPr>
        <w:t>Fitch</w:t>
      </w:r>
      <w:proofErr w:type="spellEnd"/>
      <w:r w:rsidRPr="00B27AD9">
        <w:rPr>
          <w:iCs/>
          <w:color w:val="000000"/>
        </w:rPr>
        <w:t xml:space="preserve"> </w:t>
      </w:r>
      <w:proofErr w:type="spellStart"/>
      <w:r w:rsidRPr="00B27AD9">
        <w:rPr>
          <w:iCs/>
          <w:color w:val="000000"/>
        </w:rPr>
        <w:t>Ratings</w:t>
      </w:r>
      <w:proofErr w:type="spellEnd"/>
      <w:r w:rsidRPr="00B27AD9">
        <w:rPr>
          <w:iCs/>
          <w:color w:val="000000"/>
        </w:rPr>
        <w:t xml:space="preserve"> повишиха кредитния рейтинг на страната.</w:t>
      </w:r>
      <w:r>
        <w:rPr>
          <w:iCs/>
          <w:color w:val="000000"/>
          <w:lang w:val="en-US"/>
        </w:rPr>
        <w:t xml:space="preserve"> </w:t>
      </w:r>
    </w:p>
    <w:p w:rsidR="002B0332" w:rsidRPr="00A02971" w:rsidRDefault="002B0332" w:rsidP="002B0332">
      <w:pPr>
        <w:spacing w:before="120" w:after="120"/>
        <w:jc w:val="both"/>
        <w:rPr>
          <w:b/>
          <w:color w:val="000000" w:themeColor="text1"/>
          <w:u w:val="single"/>
        </w:rPr>
      </w:pPr>
      <w:r w:rsidRPr="00392069">
        <w:rPr>
          <w:b/>
          <w:u w:val="single"/>
        </w:rPr>
        <w:t xml:space="preserve">Основни акценти във връзка с текущото наблюдение на </w:t>
      </w:r>
      <w:r w:rsidRPr="00A02971">
        <w:rPr>
          <w:b/>
          <w:color w:val="000000" w:themeColor="text1"/>
          <w:u w:val="single"/>
        </w:rPr>
        <w:t xml:space="preserve">изпълнението на консолидираната фискална програма </w:t>
      </w:r>
      <w:r>
        <w:rPr>
          <w:b/>
          <w:color w:val="000000" w:themeColor="text1"/>
          <w:u w:val="single"/>
        </w:rPr>
        <w:t>за</w:t>
      </w:r>
      <w:r w:rsidRPr="00A02971">
        <w:rPr>
          <w:b/>
          <w:color w:val="000000" w:themeColor="text1"/>
          <w:u w:val="single"/>
        </w:rPr>
        <w:t xml:space="preserve"> 201</w:t>
      </w:r>
      <w:r w:rsidRPr="00A02971">
        <w:rPr>
          <w:b/>
          <w:color w:val="000000" w:themeColor="text1"/>
          <w:u w:val="single"/>
          <w:lang w:val="en-US"/>
        </w:rPr>
        <w:t>7</w:t>
      </w:r>
      <w:r w:rsidRPr="00A02971">
        <w:rPr>
          <w:b/>
          <w:color w:val="000000" w:themeColor="text1"/>
          <w:u w:val="single"/>
        </w:rPr>
        <w:t xml:space="preserve"> г.</w:t>
      </w:r>
    </w:p>
    <w:p w:rsidR="002B0332" w:rsidRPr="00DA3524" w:rsidRDefault="002B0332" w:rsidP="00277E9F">
      <w:pPr>
        <w:spacing w:after="120"/>
        <w:jc w:val="both"/>
        <w:rPr>
          <w:rFonts w:eastAsia="Batang"/>
          <w:sz w:val="8"/>
          <w:szCs w:val="8"/>
          <w:lang w:val="en-US"/>
        </w:rPr>
      </w:pPr>
    </w:p>
    <w:p w:rsidR="002B0332" w:rsidRPr="004E282D" w:rsidRDefault="002B0332" w:rsidP="008D2385">
      <w:pPr>
        <w:spacing w:after="120"/>
        <w:jc w:val="both"/>
        <w:rPr>
          <w:rFonts w:eastAsia="Calibri"/>
          <w:color w:val="000000" w:themeColor="text1"/>
        </w:rPr>
      </w:pPr>
      <w:r w:rsidRPr="004E282D">
        <w:rPr>
          <w:rFonts w:eastAsia="Batang"/>
          <w:color w:val="000000" w:themeColor="text1"/>
        </w:rPr>
        <w:t xml:space="preserve">Основните акценти, които се откроиха в хода на бюджетното изпълнение са свързани, от една страна, с продължилото за поредна година подобрение на параметрите по изпълнението на данъчните и осигурителните приходи по националния бюджет, и от друга – с по-ниското от планираното с програмата за годината усвояване на разходите. Положителните тенденции в приходната част на бюджета се проявиха още от самото начало на годината, като през следващите месеци те бяха затвърдени и в годишен план данъчните и осигурителните приходи </w:t>
      </w:r>
      <w:r w:rsidRPr="004E282D">
        <w:rPr>
          <w:rFonts w:eastAsia="Batang"/>
          <w:b/>
          <w:color w:val="000000" w:themeColor="text1"/>
        </w:rPr>
        <w:t>превишават плана за годината с над 1,5 млрд. лв. (изпълнение на разче</w:t>
      </w:r>
      <w:r>
        <w:rPr>
          <w:rFonts w:eastAsia="Batang"/>
          <w:b/>
          <w:color w:val="000000" w:themeColor="text1"/>
        </w:rPr>
        <w:t>та за годината в размер на 105,5</w:t>
      </w:r>
      <w:r w:rsidRPr="004E282D">
        <w:rPr>
          <w:rFonts w:eastAsia="Batang"/>
          <w:b/>
          <w:color w:val="000000" w:themeColor="text1"/>
        </w:rPr>
        <w:t xml:space="preserve"> на сто).</w:t>
      </w:r>
      <w:r w:rsidRPr="004E282D">
        <w:rPr>
          <w:rFonts w:eastAsia="Batang"/>
          <w:color w:val="000000" w:themeColor="text1"/>
        </w:rPr>
        <w:t xml:space="preserve"> </w:t>
      </w:r>
      <w:r w:rsidRPr="004E282D">
        <w:rPr>
          <w:rFonts w:eastAsia="Calibri"/>
          <w:color w:val="000000" w:themeColor="text1"/>
        </w:rPr>
        <w:t>Съпоставено с 2016 г. те</w:t>
      </w:r>
      <w:r>
        <w:rPr>
          <w:rFonts w:eastAsia="Calibri"/>
          <w:b/>
          <w:color w:val="000000" w:themeColor="text1"/>
        </w:rPr>
        <w:t xml:space="preserve"> нарастват с 2,7 млрд. лв. (10,0</w:t>
      </w:r>
      <w:r w:rsidRPr="004E282D">
        <w:rPr>
          <w:rFonts w:eastAsia="Calibri"/>
          <w:b/>
          <w:color w:val="000000" w:themeColor="text1"/>
        </w:rPr>
        <w:t> %),</w:t>
      </w:r>
      <w:r w:rsidRPr="004E282D">
        <w:rPr>
          <w:rFonts w:eastAsia="Calibri"/>
          <w:color w:val="000000" w:themeColor="text1"/>
        </w:rPr>
        <w:t xml:space="preserve"> като приходи</w:t>
      </w:r>
      <w:r>
        <w:rPr>
          <w:rFonts w:eastAsia="Calibri"/>
          <w:color w:val="000000" w:themeColor="text1"/>
        </w:rPr>
        <w:t>те от основните данъци</w:t>
      </w:r>
      <w:r w:rsidRPr="004E282D">
        <w:rPr>
          <w:rFonts w:eastAsia="Calibri"/>
          <w:color w:val="000000" w:themeColor="text1"/>
        </w:rPr>
        <w:t xml:space="preserve"> нарастват с над 1,6</w:t>
      </w:r>
      <w:r>
        <w:rPr>
          <w:rFonts w:eastAsia="Calibri"/>
          <w:color w:val="000000" w:themeColor="text1"/>
        </w:rPr>
        <w:t xml:space="preserve"> млрд. лв. (8,3</w:t>
      </w:r>
      <w:r w:rsidR="009824A9">
        <w:rPr>
          <w:rFonts w:eastAsia="Calibri"/>
          <w:color w:val="000000" w:themeColor="text1"/>
        </w:rPr>
        <w:t> </w:t>
      </w:r>
      <w:r w:rsidRPr="004E282D">
        <w:rPr>
          <w:rFonts w:eastAsia="Calibri"/>
          <w:color w:val="000000" w:themeColor="text1"/>
        </w:rPr>
        <w:t>%), а приходите от социални и здравноосигурителни вноски отчитат ръст от над 1,0 млрд</w:t>
      </w:r>
      <w:r>
        <w:rPr>
          <w:rFonts w:eastAsia="Calibri"/>
          <w:color w:val="000000" w:themeColor="text1"/>
        </w:rPr>
        <w:t>. лв. (14,</w:t>
      </w:r>
      <w:r w:rsidR="00C578A0">
        <w:rPr>
          <w:rFonts w:eastAsia="Calibri"/>
          <w:color w:val="000000" w:themeColor="text1"/>
        </w:rPr>
        <w:t>3</w:t>
      </w:r>
      <w:r>
        <w:rPr>
          <w:rFonts w:eastAsia="Calibri"/>
          <w:color w:val="000000" w:themeColor="text1"/>
        </w:rPr>
        <w:t> </w:t>
      </w:r>
      <w:r w:rsidRPr="004E282D">
        <w:rPr>
          <w:rFonts w:eastAsia="Calibri"/>
          <w:color w:val="000000" w:themeColor="text1"/>
        </w:rPr>
        <w:t xml:space="preserve">%). При анализа на приходите следва да отбележим, че </w:t>
      </w:r>
      <w:r w:rsidRPr="004E282D">
        <w:rPr>
          <w:color w:val="000000" w:themeColor="text1"/>
        </w:rPr>
        <w:t>приходите от помощи, където постъпват основно средствата по оперативните програми и фондовете на ЕС</w:t>
      </w:r>
      <w:r>
        <w:rPr>
          <w:color w:val="000000" w:themeColor="text1"/>
          <w:lang w:val="en-US"/>
        </w:rPr>
        <w:t>,</w:t>
      </w:r>
      <w:r w:rsidRPr="004E282D">
        <w:rPr>
          <w:color w:val="000000" w:themeColor="text1"/>
        </w:rPr>
        <w:t xml:space="preserve"> са по-ниски от планираните с разчетите към ЗДБРБ за 201</w:t>
      </w:r>
      <w:r>
        <w:rPr>
          <w:color w:val="000000" w:themeColor="text1"/>
          <w:lang w:val="en-US"/>
        </w:rPr>
        <w:t>7</w:t>
      </w:r>
      <w:r w:rsidRPr="004E282D">
        <w:rPr>
          <w:color w:val="000000" w:themeColor="text1"/>
        </w:rPr>
        <w:t xml:space="preserve"> г., което се дължи на по-ниско от планираното усвояване на разходите по сметките за средства от ЕС (което респективно води до по-ниски </w:t>
      </w:r>
      <w:proofErr w:type="spellStart"/>
      <w:r w:rsidRPr="004E282D">
        <w:rPr>
          <w:color w:val="000000" w:themeColor="text1"/>
        </w:rPr>
        <w:t>грантове</w:t>
      </w:r>
      <w:proofErr w:type="spellEnd"/>
      <w:r w:rsidRPr="004E282D">
        <w:rPr>
          <w:color w:val="000000" w:themeColor="text1"/>
        </w:rPr>
        <w:t xml:space="preserve"> от ЕК за възстановени сертифицирани разходи). Въпреки това</w:t>
      </w:r>
      <w:r>
        <w:rPr>
          <w:color w:val="000000" w:themeColor="text1"/>
        </w:rPr>
        <w:t>,</w:t>
      </w:r>
      <w:r w:rsidRPr="004E282D">
        <w:rPr>
          <w:color w:val="000000" w:themeColor="text1"/>
        </w:rPr>
        <w:t xml:space="preserve"> преизпълнението на данъчните и осигурителните приходи компенсира почти изцяло неизпълнението на разчетите в частта на помощите, с което общо приходи</w:t>
      </w:r>
      <w:r w:rsidR="00D73CA7">
        <w:rPr>
          <w:color w:val="000000" w:themeColor="text1"/>
        </w:rPr>
        <w:t>те, помощите</w:t>
      </w:r>
      <w:r w:rsidRPr="004E282D">
        <w:rPr>
          <w:color w:val="000000" w:themeColor="text1"/>
        </w:rPr>
        <w:t xml:space="preserve"> и</w:t>
      </w:r>
      <w:r w:rsidR="00D73CA7">
        <w:rPr>
          <w:color w:val="000000" w:themeColor="text1"/>
        </w:rPr>
        <w:t xml:space="preserve"> даренията</w:t>
      </w:r>
      <w:r w:rsidRPr="004E282D">
        <w:rPr>
          <w:color w:val="000000" w:themeColor="text1"/>
        </w:rPr>
        <w:t xml:space="preserve"> по КФП са близки до планираните с разчетите към ЗДБРБ за 2017 г.</w:t>
      </w:r>
      <w:r>
        <w:rPr>
          <w:color w:val="000000" w:themeColor="text1"/>
        </w:rPr>
        <w:t xml:space="preserve"> – </w:t>
      </w:r>
      <w:r w:rsidRPr="004E282D">
        <w:rPr>
          <w:b/>
          <w:color w:val="000000" w:themeColor="text1"/>
        </w:rPr>
        <w:t>изпълнението на годишните разчети за приходите</w:t>
      </w:r>
      <w:r w:rsidR="00C578A0">
        <w:rPr>
          <w:b/>
          <w:color w:val="000000" w:themeColor="text1"/>
        </w:rPr>
        <w:t>,</w:t>
      </w:r>
      <w:r w:rsidRPr="004E282D">
        <w:rPr>
          <w:b/>
          <w:color w:val="000000" w:themeColor="text1"/>
        </w:rPr>
        <w:t xml:space="preserve"> помощите</w:t>
      </w:r>
      <w:r w:rsidR="00C578A0">
        <w:rPr>
          <w:b/>
          <w:color w:val="000000" w:themeColor="text1"/>
        </w:rPr>
        <w:t xml:space="preserve"> и даренията</w:t>
      </w:r>
      <w:r w:rsidRPr="004E282D">
        <w:rPr>
          <w:b/>
          <w:color w:val="000000" w:themeColor="text1"/>
        </w:rPr>
        <w:t xml:space="preserve"> по КФП е 99,</w:t>
      </w:r>
      <w:r w:rsidR="00C578A0">
        <w:rPr>
          <w:b/>
          <w:color w:val="000000" w:themeColor="text1"/>
        </w:rPr>
        <w:t>6</w:t>
      </w:r>
      <w:r w:rsidRPr="004E282D">
        <w:rPr>
          <w:b/>
          <w:color w:val="000000" w:themeColor="text1"/>
        </w:rPr>
        <w:t xml:space="preserve"> на сто</w:t>
      </w:r>
      <w:r>
        <w:rPr>
          <w:color w:val="000000" w:themeColor="text1"/>
        </w:rPr>
        <w:t xml:space="preserve">. </w:t>
      </w:r>
      <w:r w:rsidRPr="004E282D">
        <w:rPr>
          <w:color w:val="000000" w:themeColor="text1"/>
        </w:rPr>
        <w:t xml:space="preserve"> </w:t>
      </w:r>
    </w:p>
    <w:p w:rsidR="002B0332" w:rsidRPr="004E282D" w:rsidRDefault="002B0332" w:rsidP="008D2385">
      <w:pPr>
        <w:spacing w:after="120"/>
        <w:jc w:val="both"/>
        <w:rPr>
          <w:rFonts w:eastAsia="Batang"/>
          <w:color w:val="000000" w:themeColor="text1"/>
        </w:rPr>
      </w:pPr>
      <w:r w:rsidRPr="004E282D">
        <w:rPr>
          <w:rFonts w:eastAsia="Batang"/>
          <w:color w:val="000000" w:themeColor="text1"/>
        </w:rPr>
        <w:t xml:space="preserve">Факторите, допринесли за подобрението в приходната част, са свързани основно с ускоряването на икономическия растеж през 2017 г., а също така и с предприетите мерки от приходните администрации във връзка с повишаване на събираемостта на приходите, борбата с контрабандата и избягването на данъчно облагане, включително и съвместните действия от страна на НАП и Агенция „Митници“ с Министерството на вътрешните работи, ДАНС и прокуратурата. </w:t>
      </w:r>
      <w:r w:rsidRPr="004E282D">
        <w:rPr>
          <w:color w:val="000000" w:themeColor="text1"/>
        </w:rPr>
        <w:t xml:space="preserve">Активните мерки за </w:t>
      </w:r>
      <w:r w:rsidRPr="005459EA">
        <w:rPr>
          <w:color w:val="000000" w:themeColor="text1"/>
        </w:rPr>
        <w:t>изтласкване на светло на оборотите от сивия сектор на икономиката чрез засилен фискален контрол, включително и контрол в реално време на фискалните устройства на търговците в страната, мерките за засилване на контрола при търговията със стоки с висок фискален риск, борбата с контрабандния внос, както и противодействието на опитите за данъчни нарушения и измами са само част от тези усилия. Приходните администрации продължиха активно да работят и за реализирането на</w:t>
      </w:r>
      <w:r w:rsidRPr="005459EA">
        <w:rPr>
          <w:bCs/>
        </w:rPr>
        <w:t xml:space="preserve"> мерки, с цел подобряване на обслужването на гражданите, стимулиране на доброволното изпълнение, подобряване </w:t>
      </w:r>
      <w:r w:rsidR="008825FC">
        <w:rPr>
          <w:bCs/>
        </w:rPr>
        <w:t xml:space="preserve">на </w:t>
      </w:r>
      <w:r w:rsidRPr="005459EA">
        <w:rPr>
          <w:bCs/>
        </w:rPr>
        <w:t xml:space="preserve">данъчно-осигурителната култура на клиентите и намаляване на разходите, както на клиентите, така и на </w:t>
      </w:r>
      <w:r w:rsidRPr="0002253E">
        <w:rPr>
          <w:bCs/>
        </w:rPr>
        <w:t>администрацията. Тези усилия и благоприятните развития</w:t>
      </w:r>
      <w:r w:rsidRPr="0002253E">
        <w:rPr>
          <w:rFonts w:eastAsia="Batang"/>
          <w:color w:val="000000" w:themeColor="text1"/>
        </w:rPr>
        <w:t xml:space="preserve"> при повечето макроикономически индикатори, свързани основно с ускорението при вътрешното потребление</w:t>
      </w:r>
      <w:r w:rsidR="009824A9">
        <w:rPr>
          <w:rFonts w:eastAsia="Batang"/>
          <w:color w:val="000000" w:themeColor="text1"/>
        </w:rPr>
        <w:t xml:space="preserve"> и</w:t>
      </w:r>
      <w:r w:rsidRPr="0002253E">
        <w:rPr>
          <w:rFonts w:eastAsia="Batang"/>
          <w:color w:val="000000" w:themeColor="text1"/>
        </w:rPr>
        <w:t xml:space="preserve"> по-благоприятната от очакваното външна среда, са в основата на отчетеното подобрение в параметрите по изпълнението на основните данъчни и осигурителни приходи. </w:t>
      </w:r>
    </w:p>
    <w:p w:rsidR="002B0332" w:rsidRPr="00BD3AF0" w:rsidRDefault="002B0332" w:rsidP="008D2385">
      <w:pPr>
        <w:jc w:val="both"/>
      </w:pPr>
      <w:r w:rsidRPr="00D87295">
        <w:rPr>
          <w:color w:val="000000" w:themeColor="text1"/>
        </w:rPr>
        <w:lastRenderedPageBreak/>
        <w:t xml:space="preserve">Параметрите по разходите </w:t>
      </w:r>
      <w:proofErr w:type="spellStart"/>
      <w:r w:rsidRPr="00D87295">
        <w:rPr>
          <w:color w:val="000000" w:themeColor="text1"/>
        </w:rPr>
        <w:t>индикират</w:t>
      </w:r>
      <w:proofErr w:type="spellEnd"/>
      <w:r w:rsidRPr="00D87295">
        <w:rPr>
          <w:color w:val="000000" w:themeColor="text1"/>
        </w:rPr>
        <w:t xml:space="preserve"> за по-ниското им изпълнение през 2017</w:t>
      </w:r>
      <w:r w:rsidR="004633FF">
        <w:rPr>
          <w:color w:val="000000" w:themeColor="text1"/>
        </w:rPr>
        <w:t xml:space="preserve"> </w:t>
      </w:r>
      <w:r w:rsidRPr="00D87295">
        <w:rPr>
          <w:color w:val="000000" w:themeColor="text1"/>
        </w:rPr>
        <w:t xml:space="preserve">г. в сравнение с предходни години. Съпоставено с годишните разчети общо разходите и вноската в бюджета на ЕС </w:t>
      </w:r>
      <w:r>
        <w:rPr>
          <w:color w:val="000000" w:themeColor="text1"/>
        </w:rPr>
        <w:t xml:space="preserve">по консолидираната фискална програма </w:t>
      </w:r>
      <w:r w:rsidRPr="00D87295">
        <w:rPr>
          <w:color w:val="000000" w:themeColor="text1"/>
        </w:rPr>
        <w:t>представляват 93,</w:t>
      </w:r>
      <w:r w:rsidR="009824A9">
        <w:rPr>
          <w:color w:val="000000" w:themeColor="text1"/>
        </w:rPr>
        <w:t>7</w:t>
      </w:r>
      <w:r w:rsidRPr="00D87295">
        <w:rPr>
          <w:color w:val="000000" w:themeColor="text1"/>
        </w:rPr>
        <w:t xml:space="preserve"> на сто от плана, като това е свързано основно с по-ниското усвояване на планираните капиталови разходи и трансфери. Забавяне </w:t>
      </w:r>
      <w:r>
        <w:t>има преди всичко</w:t>
      </w:r>
      <w:r w:rsidRPr="00FE2C33">
        <w:t xml:space="preserve"> при някои капиталови разходи (основно по сметките за средства от ЕС), което е свързано от една страна със забавяне при стартиране на процедурите за кандидатстване и при изпълнението на проектите по новия програмен период 2014-2020 г., административни т</w:t>
      </w:r>
      <w:r>
        <w:t>рудности и други, и от друга</w:t>
      </w:r>
      <w:r w:rsidR="00A42368">
        <w:t xml:space="preserve"> - </w:t>
      </w:r>
      <w:r>
        <w:t>на амбициозните цели, заложени в разчетите за годината, които не можаха да бъдат реализирани в пълен размер</w:t>
      </w:r>
      <w:r w:rsidRPr="00FE2C33">
        <w:t xml:space="preserve">. </w:t>
      </w:r>
      <w:r>
        <w:t>Очакванията са, че с навлизането на проектите в по-напреднала фаза разходите по сметките за средства от ЕС ще нараснат значително и забавяне</w:t>
      </w:r>
      <w:r w:rsidR="00A42368">
        <w:t>то</w:t>
      </w:r>
      <w:r>
        <w:t xml:space="preserve"> ще бъде преодоляно. В частта на капиталовите разходи също така не бяха реализирани някои от планираните инвестиционни проекти, свързани с покупката на ново въоръжение за българската армия, които бяха отложени поради обективни обстоятелства за реализиране през следващи години.</w:t>
      </w:r>
    </w:p>
    <w:p w:rsidR="002B0332" w:rsidRPr="00D87295" w:rsidRDefault="002B0332" w:rsidP="008D2385">
      <w:pPr>
        <w:jc w:val="both"/>
        <w:rPr>
          <w:sz w:val="12"/>
          <w:szCs w:val="12"/>
        </w:rPr>
      </w:pPr>
    </w:p>
    <w:p w:rsidR="002B0332" w:rsidRDefault="002B0332" w:rsidP="008D2385">
      <w:pPr>
        <w:jc w:val="both"/>
        <w:rPr>
          <w:color w:val="1F497D" w:themeColor="text2"/>
        </w:rPr>
      </w:pPr>
      <w:r w:rsidRPr="006A4047">
        <w:rPr>
          <w:color w:val="000000" w:themeColor="text1"/>
        </w:rPr>
        <w:t>Друг важен приоритет в социалната сфера бе осигуряването на ресурс за изплащане на станалите вече традиционни добавки към пенсиите на хората с най-ниски пенсии. През месец</w:t>
      </w:r>
      <w:r w:rsidR="00F21FF5">
        <w:rPr>
          <w:color w:val="000000" w:themeColor="text1"/>
        </w:rPr>
        <w:t>ите</w:t>
      </w:r>
      <w:r w:rsidRPr="006A4047">
        <w:rPr>
          <w:color w:val="000000" w:themeColor="text1"/>
        </w:rPr>
        <w:t xml:space="preserve"> април и декември на пенсионерите с най-ниски пенсии бяха изплатени </w:t>
      </w:r>
      <w:r w:rsidR="00F21FF5">
        <w:rPr>
          <w:color w:val="000000" w:themeColor="text1"/>
        </w:rPr>
        <w:t xml:space="preserve">съответно </w:t>
      </w:r>
      <w:r w:rsidRPr="006A4047">
        <w:rPr>
          <w:color w:val="000000" w:themeColor="text1"/>
        </w:rPr>
        <w:t xml:space="preserve">великденска и коледна добавка, като необходимият ресурс в размер на </w:t>
      </w:r>
      <w:r>
        <w:rPr>
          <w:color w:val="000000" w:themeColor="text1"/>
        </w:rPr>
        <w:t>100,7</w:t>
      </w:r>
      <w:r w:rsidRPr="006A4047">
        <w:rPr>
          <w:color w:val="000000" w:themeColor="text1"/>
        </w:rPr>
        <w:t xml:space="preserve"> млн. лв. бе осигурен от държавния бюджет, без да се влошава одобреното бюджетно салдо. По-високите приходи от здравноосигурителни вноски позволиха да бъде финансиран недостиг</w:t>
      </w:r>
      <w:r w:rsidR="00504295">
        <w:rPr>
          <w:color w:val="000000" w:themeColor="text1"/>
        </w:rPr>
        <w:t>а</w:t>
      </w:r>
      <w:r w:rsidRPr="006A4047">
        <w:rPr>
          <w:color w:val="000000" w:themeColor="text1"/>
        </w:rPr>
        <w:t xml:space="preserve"> в края на годината по бюджета на НЗОК. </w:t>
      </w:r>
    </w:p>
    <w:p w:rsidR="002B0332" w:rsidRPr="00DB51E2" w:rsidRDefault="002B0332" w:rsidP="008D2385">
      <w:pPr>
        <w:autoSpaceDE w:val="0"/>
        <w:autoSpaceDN w:val="0"/>
        <w:adjustRightInd w:val="0"/>
        <w:jc w:val="both"/>
        <w:rPr>
          <w:rFonts w:ascii="BookAntiqua,Bold" w:hAnsi="BookAntiqua,Bold" w:cs="BookAntiqua,Bold"/>
          <w:bCs/>
          <w:color w:val="1F497D" w:themeColor="text2"/>
          <w:sz w:val="12"/>
          <w:szCs w:val="12"/>
        </w:rPr>
      </w:pPr>
    </w:p>
    <w:p w:rsidR="00CA25E3" w:rsidRDefault="002B0332" w:rsidP="008D2385">
      <w:pPr>
        <w:spacing w:after="240"/>
        <w:jc w:val="both"/>
        <w:rPr>
          <w:color w:val="000000" w:themeColor="text1"/>
        </w:rPr>
      </w:pPr>
      <w:r w:rsidRPr="003D6E0D">
        <w:rPr>
          <w:bCs/>
          <w:color w:val="000000" w:themeColor="text1"/>
        </w:rPr>
        <w:t>В следствие на отчетените добри параметри по изпълнението на приходите по националния бюджет и по-ниското от планираното изпълнение на разходите бюджетното салдо по консолидираната фискална програма към 31.12.2017 г. е излишък в размер на 845,2 млн. лв. (0,8 % от прогнозния БВП)</w:t>
      </w:r>
      <w:r w:rsidRPr="003D6E0D">
        <w:rPr>
          <w:color w:val="000000" w:themeColor="text1"/>
        </w:rPr>
        <w:t>.</w:t>
      </w:r>
    </w:p>
    <w:p w:rsidR="00CA25E3" w:rsidRDefault="00CA25E3" w:rsidP="008D2385">
      <w:pPr>
        <w:spacing w:after="240"/>
        <w:jc w:val="both"/>
        <w:rPr>
          <w:color w:val="000000" w:themeColor="text1"/>
        </w:rPr>
      </w:pPr>
    </w:p>
    <w:p w:rsidR="00CA25E3" w:rsidRDefault="00CA25E3" w:rsidP="008D2385">
      <w:pPr>
        <w:spacing w:after="240"/>
        <w:jc w:val="both"/>
        <w:rPr>
          <w:color w:val="000000" w:themeColor="text1"/>
        </w:rPr>
      </w:pPr>
    </w:p>
    <w:p w:rsidR="00CA25E3" w:rsidRDefault="00CA25E3" w:rsidP="008D2385">
      <w:pPr>
        <w:spacing w:after="240"/>
        <w:jc w:val="both"/>
        <w:rPr>
          <w:color w:val="000000" w:themeColor="text1"/>
        </w:rPr>
      </w:pPr>
    </w:p>
    <w:p w:rsidR="00CA25E3" w:rsidRDefault="00CA25E3" w:rsidP="008D2385">
      <w:pPr>
        <w:spacing w:after="240"/>
        <w:jc w:val="both"/>
        <w:rPr>
          <w:color w:val="000000" w:themeColor="text1"/>
        </w:rPr>
      </w:pPr>
    </w:p>
    <w:p w:rsidR="00CA25E3" w:rsidRDefault="00CA25E3" w:rsidP="008D2385">
      <w:pPr>
        <w:spacing w:after="240"/>
        <w:jc w:val="both"/>
        <w:rPr>
          <w:color w:val="000000" w:themeColor="text1"/>
        </w:rPr>
      </w:pPr>
    </w:p>
    <w:p w:rsidR="00CA25E3" w:rsidRDefault="00CA25E3" w:rsidP="008D2385">
      <w:pPr>
        <w:spacing w:after="240"/>
        <w:jc w:val="both"/>
        <w:rPr>
          <w:color w:val="000000" w:themeColor="text1"/>
        </w:rPr>
      </w:pPr>
    </w:p>
    <w:p w:rsidR="00CA25E3" w:rsidRDefault="00CA25E3" w:rsidP="008D2385">
      <w:pPr>
        <w:spacing w:after="240"/>
        <w:jc w:val="both"/>
        <w:rPr>
          <w:color w:val="000000" w:themeColor="text1"/>
        </w:rPr>
      </w:pPr>
    </w:p>
    <w:p w:rsidR="00CA25E3" w:rsidRDefault="00CA25E3" w:rsidP="008D2385">
      <w:pPr>
        <w:spacing w:after="240"/>
        <w:jc w:val="both"/>
        <w:rPr>
          <w:color w:val="000000" w:themeColor="text1"/>
        </w:rPr>
      </w:pPr>
    </w:p>
    <w:p w:rsidR="00CA25E3" w:rsidRDefault="00CA25E3" w:rsidP="008D2385">
      <w:pPr>
        <w:spacing w:after="240"/>
        <w:jc w:val="both"/>
        <w:rPr>
          <w:color w:val="000000" w:themeColor="text1"/>
        </w:rPr>
      </w:pPr>
    </w:p>
    <w:p w:rsidR="00CA25E3" w:rsidRDefault="00CA25E3" w:rsidP="008D2385">
      <w:pPr>
        <w:spacing w:after="240"/>
        <w:jc w:val="both"/>
        <w:rPr>
          <w:color w:val="000000" w:themeColor="text1"/>
        </w:rPr>
      </w:pPr>
    </w:p>
    <w:p w:rsidR="00CA25E3" w:rsidRDefault="00CA25E3" w:rsidP="008D2385">
      <w:pPr>
        <w:spacing w:after="240"/>
        <w:jc w:val="both"/>
        <w:rPr>
          <w:color w:val="000000" w:themeColor="text1"/>
        </w:rPr>
      </w:pPr>
    </w:p>
    <w:p w:rsidR="00CA25E3" w:rsidRDefault="00CA25E3" w:rsidP="008D2385">
      <w:pPr>
        <w:spacing w:after="240"/>
        <w:jc w:val="both"/>
        <w:rPr>
          <w:color w:val="000000" w:themeColor="text1"/>
        </w:rPr>
      </w:pPr>
    </w:p>
    <w:p w:rsidR="00E74802" w:rsidRPr="008163E8" w:rsidRDefault="00E74802" w:rsidP="00E74802">
      <w:pPr>
        <w:pStyle w:val="Heading1"/>
        <w:numPr>
          <w:ilvl w:val="0"/>
          <w:numId w:val="10"/>
        </w:numPr>
        <w:ind w:right="-108"/>
        <w:jc w:val="both"/>
        <w:rPr>
          <w:sz w:val="24"/>
        </w:rPr>
      </w:pPr>
      <w:r w:rsidRPr="008163E8">
        <w:rPr>
          <w:sz w:val="24"/>
        </w:rPr>
        <w:lastRenderedPageBreak/>
        <w:t>Основни показатели по консолидираната фискална програма</w:t>
      </w:r>
      <w:r w:rsidRPr="008163E8">
        <w:rPr>
          <w:rStyle w:val="FootnoteReference"/>
          <w:sz w:val="24"/>
        </w:rPr>
        <w:footnoteReference w:id="5"/>
      </w:r>
      <w:r w:rsidRPr="008163E8">
        <w:rPr>
          <w:sz w:val="24"/>
        </w:rPr>
        <w:t xml:space="preserve"> за 2017 г.</w:t>
      </w:r>
    </w:p>
    <w:p w:rsidR="00430A35" w:rsidRPr="0096051A" w:rsidRDefault="00430A35" w:rsidP="00430A35">
      <w:pPr>
        <w:rPr>
          <w:color w:val="0070C0"/>
          <w:sz w:val="12"/>
          <w:szCs w:val="12"/>
        </w:rPr>
      </w:pPr>
    </w:p>
    <w:p w:rsidR="009302F9" w:rsidRPr="00A73577" w:rsidRDefault="009302F9" w:rsidP="00E878C3">
      <w:pPr>
        <w:pStyle w:val="BodyText"/>
        <w:rPr>
          <w:bCs/>
        </w:rPr>
      </w:pPr>
      <w:r w:rsidRPr="00A73577">
        <w:rPr>
          <w:b/>
        </w:rPr>
        <w:t>Постъпилите приходи</w:t>
      </w:r>
      <w:r w:rsidR="001A6788" w:rsidRPr="00A73577">
        <w:rPr>
          <w:b/>
        </w:rPr>
        <w:t>,</w:t>
      </w:r>
      <w:r w:rsidRPr="00A73577">
        <w:rPr>
          <w:b/>
        </w:rPr>
        <w:t xml:space="preserve"> помощи </w:t>
      </w:r>
      <w:r w:rsidR="001A6788" w:rsidRPr="00A73577">
        <w:rPr>
          <w:b/>
        </w:rPr>
        <w:t xml:space="preserve">и дарения </w:t>
      </w:r>
      <w:r w:rsidRPr="00A73577">
        <w:rPr>
          <w:b/>
        </w:rPr>
        <w:t>по</w:t>
      </w:r>
      <w:r w:rsidRPr="00A73577">
        <w:t xml:space="preserve"> </w:t>
      </w:r>
      <w:r w:rsidRPr="00A73577">
        <w:rPr>
          <w:b/>
        </w:rPr>
        <w:t>КФП за 201</w:t>
      </w:r>
      <w:r w:rsidR="008163E8" w:rsidRPr="00A73577">
        <w:rPr>
          <w:b/>
          <w:lang w:val="en-US"/>
        </w:rPr>
        <w:t>7</w:t>
      </w:r>
      <w:r w:rsidRPr="00A73577">
        <w:rPr>
          <w:b/>
        </w:rPr>
        <w:t xml:space="preserve"> г. </w:t>
      </w:r>
      <w:r w:rsidR="007375A7" w:rsidRPr="00A73577">
        <w:t>представляват</w:t>
      </w:r>
      <w:r w:rsidR="001A6788" w:rsidRPr="00A73577">
        <w:t xml:space="preserve"> </w:t>
      </w:r>
      <w:r w:rsidR="00412265" w:rsidRPr="00A73577">
        <w:rPr>
          <w:b/>
        </w:rPr>
        <w:t>35,4</w:t>
      </w:r>
      <w:r w:rsidRPr="00A73577">
        <w:rPr>
          <w:b/>
        </w:rPr>
        <w:t xml:space="preserve"> % от прогнозния БВП. </w:t>
      </w:r>
      <w:r w:rsidRPr="00A73577">
        <w:t>За сравнение</w:t>
      </w:r>
      <w:r w:rsidRPr="00A73577">
        <w:rPr>
          <w:b/>
        </w:rPr>
        <w:t xml:space="preserve">  </w:t>
      </w:r>
      <w:r w:rsidRPr="00A73577">
        <w:t xml:space="preserve">през предходната </w:t>
      </w:r>
      <w:r w:rsidR="00953B27" w:rsidRPr="00A73577">
        <w:t>година</w:t>
      </w:r>
      <w:r w:rsidRPr="00A73577">
        <w:t xml:space="preserve"> приходите и помощите</w:t>
      </w:r>
      <w:r w:rsidRPr="00A73577">
        <w:rPr>
          <w:b/>
        </w:rPr>
        <w:t xml:space="preserve"> </w:t>
      </w:r>
      <w:r w:rsidRPr="00A73577">
        <w:t xml:space="preserve">са </w:t>
      </w:r>
      <w:r w:rsidRPr="00A73577">
        <w:rPr>
          <w:b/>
        </w:rPr>
        <w:t>36,</w:t>
      </w:r>
      <w:r w:rsidR="00412265" w:rsidRPr="00A73577">
        <w:rPr>
          <w:b/>
        </w:rPr>
        <w:t>1</w:t>
      </w:r>
      <w:r w:rsidRPr="00A73577">
        <w:rPr>
          <w:b/>
        </w:rPr>
        <w:t xml:space="preserve"> % от БВП</w:t>
      </w:r>
      <w:r w:rsidR="00C262FF" w:rsidRPr="00A73577">
        <w:rPr>
          <w:b/>
        </w:rPr>
        <w:t xml:space="preserve">, </w:t>
      </w:r>
      <w:r w:rsidR="00953B27" w:rsidRPr="00A73577">
        <w:t>но при съпоставката с 2016 г</w:t>
      </w:r>
      <w:r w:rsidR="00D73CA7">
        <w:t>.</w:t>
      </w:r>
      <w:r w:rsidR="00953B27" w:rsidRPr="00A73577">
        <w:t xml:space="preserve"> следва да се вземе предвид базовия ефект при постъпленията в частта на помощите от ЕС, свързан с възстановени в началото на 2016 г. разходи по програмите и фондовете на ЕС</w:t>
      </w:r>
      <w:r w:rsidR="007375A7" w:rsidRPr="00A73577">
        <w:t>,</w:t>
      </w:r>
      <w:r w:rsidR="00953B27" w:rsidRPr="00A73577">
        <w:t xml:space="preserve"> извършени през последните месеци на 2015 г., когато бе пикът на плащанията за предходния програмен период 2007-2013 г</w:t>
      </w:r>
      <w:r w:rsidRPr="00A73577">
        <w:t>.</w:t>
      </w:r>
      <w:r w:rsidR="00953B27" w:rsidRPr="00A73577">
        <w:t xml:space="preserve"> При всички останали елементи на приходите като относителен дял в БВП съпоставено с предходната година се от</w:t>
      </w:r>
      <w:r w:rsidR="00D73CA7">
        <w:t>ч</w:t>
      </w:r>
      <w:r w:rsidR="00953B27" w:rsidRPr="00A73577">
        <w:t>ита ръст, който е най-висок при данъчните приходи – 1</w:t>
      </w:r>
      <w:r w:rsidR="001A6788" w:rsidRPr="00A73577">
        <w:t>,</w:t>
      </w:r>
      <w:proofErr w:type="spellStart"/>
      <w:r w:rsidR="00953B27" w:rsidRPr="00A73577">
        <w:t>1</w:t>
      </w:r>
      <w:proofErr w:type="spellEnd"/>
      <w:r w:rsidR="00953B27" w:rsidRPr="00A73577">
        <w:t xml:space="preserve"> пр. пункта.</w:t>
      </w:r>
    </w:p>
    <w:tbl>
      <w:tblPr>
        <w:tblW w:w="10357" w:type="dxa"/>
        <w:tblLook w:val="04A0" w:firstRow="1" w:lastRow="0" w:firstColumn="1" w:lastColumn="0" w:noHBand="0" w:noVBand="1"/>
      </w:tblPr>
      <w:tblGrid>
        <w:gridCol w:w="10357"/>
      </w:tblGrid>
      <w:tr w:rsidR="009302F9" w:rsidRPr="00FE7F50" w:rsidTr="009302F9">
        <w:tc>
          <w:tcPr>
            <w:tcW w:w="10357" w:type="dxa"/>
            <w:shd w:val="clear" w:color="auto" w:fill="auto"/>
          </w:tcPr>
          <w:p w:rsidR="009302F9" w:rsidRPr="00564156" w:rsidRDefault="002A649D" w:rsidP="004E3057">
            <w:pPr>
              <w:jc w:val="both"/>
              <w:rPr>
                <w:color w:val="4F81BD" w:themeColor="accent1"/>
                <w:sz w:val="4"/>
                <w:szCs w:val="4"/>
              </w:rPr>
            </w:pPr>
            <w:r>
              <w:rPr>
                <w:bCs/>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15pt;margin-top:7.15pt;width:466.4pt;height:184.85pt;z-index:251658240">
                  <v:imagedata r:id="rId9" o:title=""/>
                  <w10:wrap type="square" side="right"/>
                </v:shape>
                <o:OLEObject Type="Embed" ProgID="MSGraph.Chart.8" ShapeID="_x0000_s1028" DrawAspect="Content" ObjectID="_1579097686" r:id="rId10">
                  <o:FieldCodes>\s</o:FieldCodes>
                </o:OLEObject>
              </w:pict>
            </w:r>
          </w:p>
        </w:tc>
      </w:tr>
    </w:tbl>
    <w:p w:rsidR="009302F9" w:rsidRPr="00495A47" w:rsidRDefault="009302F9" w:rsidP="009302F9">
      <w:pPr>
        <w:ind w:left="360"/>
        <w:jc w:val="both"/>
        <w:rPr>
          <w:sz w:val="18"/>
          <w:szCs w:val="18"/>
          <w:lang w:val="en-US"/>
        </w:rPr>
      </w:pPr>
      <w:r w:rsidRPr="00495A47">
        <w:rPr>
          <w:sz w:val="18"/>
          <w:szCs w:val="18"/>
        </w:rPr>
        <w:t>*В частта на преките данъци са включени и други данъци</w:t>
      </w:r>
    </w:p>
    <w:p w:rsidR="00E878C3" w:rsidRDefault="00E878C3" w:rsidP="00564156">
      <w:pPr>
        <w:jc w:val="both"/>
        <w:rPr>
          <w:b/>
          <w:highlight w:val="yellow"/>
        </w:rPr>
      </w:pPr>
    </w:p>
    <w:p w:rsidR="00DB267E" w:rsidRDefault="00E007E4" w:rsidP="00564156">
      <w:pPr>
        <w:jc w:val="both"/>
      </w:pPr>
      <w:r w:rsidRPr="00A73577">
        <w:rPr>
          <w:b/>
        </w:rPr>
        <w:t xml:space="preserve">Разходите по КФП за 2017 г. </w:t>
      </w:r>
      <w:r w:rsidRPr="00A73577">
        <w:t>(включително вноската на Република България в общия бюджет на ЕС)</w:t>
      </w:r>
      <w:r w:rsidRPr="00A73577">
        <w:rPr>
          <w:b/>
        </w:rPr>
        <w:t xml:space="preserve"> </w:t>
      </w:r>
      <w:r w:rsidRPr="00A73577">
        <w:t xml:space="preserve">представляват </w:t>
      </w:r>
      <w:r w:rsidRPr="00A73577">
        <w:rPr>
          <w:b/>
        </w:rPr>
        <w:t xml:space="preserve">34,6 % от прогнозния БВП, </w:t>
      </w:r>
      <w:r w:rsidRPr="00A73577">
        <w:t>и отбелязват минимално увеличение с 0,1 пр. п. спрямо отчетените за 2016 г. (34,5 % от БВП). По отделни елементи на разходите се отчита нарастване при разходите за субсидии и разходите за</w:t>
      </w:r>
      <w:r>
        <w:t xml:space="preserve"> персонал, докато относителният дял в БВП на капиталовите разходи и социалните разходи и разходите за стипендии</w:t>
      </w:r>
      <w:r w:rsidR="00EC06A6">
        <w:t xml:space="preserve"> се свива спрямо предходната година. Относителният дял в БВП на разходите за лихви, вноската на Република България в общия бюджет на ЕС и разходите за издръжка остава близък до отчетените за 2016 г.</w:t>
      </w:r>
    </w:p>
    <w:p w:rsidR="00CA25E3" w:rsidRDefault="00CA25E3" w:rsidP="00564156">
      <w:pPr>
        <w:jc w:val="both"/>
      </w:pPr>
    </w:p>
    <w:p w:rsidR="00DB267E" w:rsidRPr="00564156" w:rsidRDefault="00DB267E" w:rsidP="00953B27">
      <w:pPr>
        <w:ind w:firstLine="709"/>
        <w:jc w:val="both"/>
        <w:rPr>
          <w:sz w:val="8"/>
          <w:szCs w:val="8"/>
        </w:rPr>
      </w:pPr>
    </w:p>
    <w:p w:rsidR="00DB267E" w:rsidRDefault="00DB267E" w:rsidP="00564156">
      <w:pPr>
        <w:jc w:val="both"/>
      </w:pPr>
      <w:r w:rsidRPr="00564156">
        <w:rPr>
          <w:noProof/>
          <w:color w:val="4F81BD"/>
          <w:sz w:val="8"/>
          <w:szCs w:val="8"/>
          <w:lang w:eastAsia="bg-BG"/>
        </w:rPr>
        <w:drawing>
          <wp:inline distT="0" distB="0" distL="0" distR="0" wp14:anchorId="45179C46" wp14:editId="35D2F2EF">
            <wp:extent cx="5686425" cy="2371725"/>
            <wp:effectExtent l="0" t="0" r="9525" b="9525"/>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B267E" w:rsidRPr="00786619" w:rsidRDefault="00DB267E" w:rsidP="00DB267E">
      <w:pPr>
        <w:ind w:left="360"/>
        <w:jc w:val="both"/>
        <w:rPr>
          <w:sz w:val="16"/>
          <w:szCs w:val="16"/>
        </w:rPr>
      </w:pPr>
      <w:r w:rsidRPr="00786619">
        <w:rPr>
          <w:sz w:val="18"/>
          <w:szCs w:val="16"/>
          <w:lang w:val="en-US"/>
        </w:rPr>
        <w:t>*</w:t>
      </w:r>
      <w:r w:rsidRPr="00786619">
        <w:rPr>
          <w:sz w:val="16"/>
          <w:szCs w:val="16"/>
          <w:lang w:val="en-US"/>
        </w:rPr>
        <w:t xml:space="preserve"> </w:t>
      </w:r>
      <w:r w:rsidRPr="00786619">
        <w:rPr>
          <w:sz w:val="18"/>
          <w:szCs w:val="16"/>
        </w:rPr>
        <w:t>Вкл. нетния прираст на държавния резерв</w:t>
      </w:r>
    </w:p>
    <w:p w:rsidR="00DB267E" w:rsidRDefault="00DB267E" w:rsidP="00953B27">
      <w:pPr>
        <w:ind w:firstLine="709"/>
        <w:jc w:val="both"/>
      </w:pPr>
    </w:p>
    <w:p w:rsidR="004923E3" w:rsidRPr="00E007E4" w:rsidRDefault="00E007E4" w:rsidP="00E007E4">
      <w:pPr>
        <w:pStyle w:val="Heading1"/>
        <w:ind w:left="142" w:right="-108"/>
        <w:jc w:val="both"/>
        <w:rPr>
          <w:b w:val="0"/>
          <w:sz w:val="24"/>
        </w:rPr>
      </w:pPr>
      <w:r>
        <w:rPr>
          <w:b w:val="0"/>
          <w:sz w:val="24"/>
        </w:rPr>
        <w:lastRenderedPageBreak/>
        <w:t>Изпълнението на основните показатели по КФП, съпоставено с разчета към ЗДБРБ</w:t>
      </w:r>
      <w:r w:rsidRPr="00E007E4">
        <w:rPr>
          <w:b w:val="0"/>
          <w:sz w:val="24"/>
        </w:rPr>
        <w:t xml:space="preserve"> </w:t>
      </w:r>
      <w:r w:rsidR="00987CE4" w:rsidRPr="00E007E4">
        <w:rPr>
          <w:b w:val="0"/>
          <w:sz w:val="24"/>
        </w:rPr>
        <w:t>е представено на следната таблица</w:t>
      </w:r>
      <w:r>
        <w:rPr>
          <w:b w:val="0"/>
          <w:sz w:val="24"/>
        </w:rPr>
        <w:t>:</w:t>
      </w:r>
    </w:p>
    <w:p w:rsidR="00987CE4" w:rsidRPr="00E007E4" w:rsidRDefault="00987CE4" w:rsidP="00987CE4">
      <w:pPr>
        <w:jc w:val="both"/>
        <w:rPr>
          <w:color w:val="0070C0"/>
          <w:sz w:val="4"/>
          <w:szCs w:val="4"/>
        </w:rPr>
      </w:pPr>
    </w:p>
    <w:p w:rsidR="00987CE4" w:rsidRPr="0096051A" w:rsidRDefault="00987CE4" w:rsidP="00987CE4">
      <w:pPr>
        <w:jc w:val="both"/>
        <w:rPr>
          <w:color w:val="0070C0"/>
          <w:sz w:val="4"/>
          <w:szCs w:val="4"/>
        </w:rPr>
      </w:pPr>
    </w:p>
    <w:p w:rsidR="00987CE4" w:rsidRPr="00AA42D8" w:rsidRDefault="00987CE4" w:rsidP="00987CE4">
      <w:pPr>
        <w:rPr>
          <w:b/>
          <w:i/>
          <w:sz w:val="18"/>
          <w:szCs w:val="18"/>
        </w:rPr>
      </w:pPr>
      <w:r w:rsidRPr="00AA42D8">
        <w:rPr>
          <w:b/>
          <w:i/>
          <w:sz w:val="22"/>
          <w:szCs w:val="22"/>
        </w:rPr>
        <w:t>Таблица</w:t>
      </w:r>
      <w:r w:rsidR="00E74802" w:rsidRPr="00AA42D8">
        <w:rPr>
          <w:b/>
          <w:i/>
          <w:sz w:val="22"/>
          <w:szCs w:val="22"/>
          <w:vertAlign w:val="superscript"/>
        </w:rPr>
        <w:footnoteReference w:id="6"/>
      </w:r>
      <w:r w:rsidRPr="00AA42D8">
        <w:rPr>
          <w:b/>
          <w:i/>
          <w:sz w:val="22"/>
          <w:szCs w:val="22"/>
        </w:rPr>
        <w:t xml:space="preserve"> №1</w:t>
      </w:r>
      <w:r w:rsidRPr="00AA42D8">
        <w:rPr>
          <w:b/>
          <w:i/>
          <w:sz w:val="22"/>
          <w:szCs w:val="22"/>
        </w:rPr>
        <w:tab/>
      </w:r>
      <w:r w:rsidRPr="00AA42D8">
        <w:rPr>
          <w:b/>
          <w:i/>
          <w:sz w:val="22"/>
          <w:szCs w:val="22"/>
        </w:rPr>
        <w:tab/>
      </w:r>
      <w:r w:rsidRPr="00AA42D8">
        <w:rPr>
          <w:b/>
          <w:i/>
          <w:sz w:val="22"/>
          <w:szCs w:val="22"/>
        </w:rPr>
        <w:tab/>
      </w:r>
      <w:r w:rsidRPr="00AA42D8">
        <w:rPr>
          <w:b/>
          <w:i/>
          <w:sz w:val="22"/>
          <w:szCs w:val="22"/>
        </w:rPr>
        <w:tab/>
      </w:r>
      <w:r w:rsidRPr="00AA42D8">
        <w:rPr>
          <w:b/>
          <w:i/>
          <w:sz w:val="22"/>
          <w:szCs w:val="22"/>
        </w:rPr>
        <w:tab/>
      </w:r>
      <w:r w:rsidRPr="00AA42D8">
        <w:rPr>
          <w:b/>
          <w:i/>
          <w:sz w:val="22"/>
          <w:szCs w:val="22"/>
        </w:rPr>
        <w:tab/>
      </w:r>
      <w:r w:rsidRPr="00AA42D8">
        <w:rPr>
          <w:b/>
          <w:i/>
          <w:sz w:val="22"/>
          <w:szCs w:val="22"/>
        </w:rPr>
        <w:tab/>
      </w:r>
      <w:r w:rsidRPr="00AA42D8">
        <w:rPr>
          <w:b/>
          <w:i/>
          <w:sz w:val="22"/>
          <w:szCs w:val="22"/>
        </w:rPr>
        <w:tab/>
      </w:r>
      <w:r w:rsidRPr="00AA42D8">
        <w:rPr>
          <w:b/>
          <w:i/>
          <w:sz w:val="22"/>
          <w:szCs w:val="22"/>
        </w:rPr>
        <w:tab/>
      </w:r>
      <w:r w:rsidRPr="00AA42D8">
        <w:rPr>
          <w:b/>
          <w:i/>
          <w:sz w:val="22"/>
          <w:szCs w:val="22"/>
        </w:rPr>
        <w:tab/>
      </w:r>
      <w:r w:rsidRPr="00AA42D8">
        <w:rPr>
          <w:b/>
          <w:i/>
          <w:sz w:val="18"/>
          <w:szCs w:val="18"/>
        </w:rPr>
        <w:t>(млн. лв.)</w:t>
      </w:r>
    </w:p>
    <w:tbl>
      <w:tblPr>
        <w:tblW w:w="9072" w:type="dxa"/>
        <w:tblInd w:w="108" w:type="dxa"/>
        <w:tblLook w:val="04A0" w:firstRow="1" w:lastRow="0" w:firstColumn="1" w:lastColumn="0" w:noHBand="0" w:noVBand="1"/>
      </w:tblPr>
      <w:tblGrid>
        <w:gridCol w:w="3686"/>
        <w:gridCol w:w="993"/>
        <w:gridCol w:w="1087"/>
        <w:gridCol w:w="1252"/>
        <w:gridCol w:w="1199"/>
        <w:gridCol w:w="1209"/>
      </w:tblGrid>
      <w:tr w:rsidR="0096051A" w:rsidRPr="0096051A" w:rsidTr="00E878C3">
        <w:trPr>
          <w:trHeight w:val="311"/>
        </w:trPr>
        <w:tc>
          <w:tcPr>
            <w:tcW w:w="3686"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rsidR="00500DD6" w:rsidRPr="00AA42D8" w:rsidRDefault="00500DD6">
            <w:pPr>
              <w:jc w:val="center"/>
              <w:rPr>
                <w:b/>
                <w:bCs/>
                <w:sz w:val="18"/>
                <w:szCs w:val="18"/>
              </w:rPr>
            </w:pPr>
            <w:r w:rsidRPr="00AA42D8">
              <w:rPr>
                <w:b/>
                <w:bCs/>
                <w:sz w:val="18"/>
                <w:szCs w:val="18"/>
              </w:rPr>
              <w:t>ПОКАЗАТЕЛ</w:t>
            </w:r>
          </w:p>
        </w:tc>
        <w:tc>
          <w:tcPr>
            <w:tcW w:w="993" w:type="dxa"/>
            <w:tcBorders>
              <w:top w:val="single" w:sz="8" w:space="0" w:color="auto"/>
              <w:left w:val="single" w:sz="4" w:space="0" w:color="auto"/>
              <w:bottom w:val="nil"/>
              <w:right w:val="single" w:sz="4" w:space="0" w:color="auto"/>
            </w:tcBorders>
            <w:shd w:val="clear" w:color="000000" w:fill="D9D9D9"/>
            <w:noWrap/>
            <w:vAlign w:val="bottom"/>
            <w:hideMark/>
          </w:tcPr>
          <w:p w:rsidR="00500DD6" w:rsidRPr="00AA42D8" w:rsidRDefault="00500DD6" w:rsidP="00EF4853">
            <w:pPr>
              <w:jc w:val="center"/>
              <w:rPr>
                <w:b/>
                <w:bCs/>
                <w:sz w:val="18"/>
                <w:szCs w:val="18"/>
              </w:rPr>
            </w:pPr>
            <w:r w:rsidRPr="00AA42D8">
              <w:rPr>
                <w:b/>
                <w:bCs/>
                <w:sz w:val="18"/>
                <w:szCs w:val="18"/>
              </w:rPr>
              <w:t>Разчет 201</w:t>
            </w:r>
            <w:r w:rsidR="00EF4853" w:rsidRPr="00AA42D8">
              <w:rPr>
                <w:b/>
                <w:bCs/>
                <w:sz w:val="18"/>
                <w:szCs w:val="18"/>
              </w:rPr>
              <w:t>7</w:t>
            </w:r>
            <w:r w:rsidRPr="00AA42D8">
              <w:rPr>
                <w:b/>
                <w:bCs/>
                <w:sz w:val="18"/>
                <w:szCs w:val="18"/>
              </w:rPr>
              <w:t xml:space="preserve"> г.</w:t>
            </w:r>
          </w:p>
        </w:tc>
        <w:tc>
          <w:tcPr>
            <w:tcW w:w="3538" w:type="dxa"/>
            <w:gridSpan w:val="3"/>
            <w:tcBorders>
              <w:top w:val="single" w:sz="8" w:space="0" w:color="auto"/>
              <w:left w:val="nil"/>
              <w:bottom w:val="single" w:sz="4" w:space="0" w:color="auto"/>
              <w:right w:val="single" w:sz="4" w:space="0" w:color="auto"/>
            </w:tcBorders>
            <w:shd w:val="clear" w:color="000000" w:fill="D9D9D9"/>
            <w:noWrap/>
            <w:vAlign w:val="center"/>
            <w:hideMark/>
          </w:tcPr>
          <w:p w:rsidR="00500DD6" w:rsidRPr="00AA42D8" w:rsidRDefault="00500DD6" w:rsidP="000746F0">
            <w:pPr>
              <w:jc w:val="center"/>
              <w:rPr>
                <w:b/>
                <w:bCs/>
                <w:sz w:val="18"/>
                <w:szCs w:val="18"/>
              </w:rPr>
            </w:pPr>
            <w:r w:rsidRPr="00AA42D8">
              <w:rPr>
                <w:b/>
                <w:bCs/>
                <w:sz w:val="18"/>
                <w:szCs w:val="18"/>
              </w:rPr>
              <w:t xml:space="preserve">Отчет към </w:t>
            </w:r>
            <w:r w:rsidR="0075199F" w:rsidRPr="00AA42D8">
              <w:rPr>
                <w:b/>
                <w:bCs/>
                <w:sz w:val="18"/>
                <w:szCs w:val="18"/>
              </w:rPr>
              <w:t>3</w:t>
            </w:r>
            <w:r w:rsidR="000746F0" w:rsidRPr="00AA42D8">
              <w:rPr>
                <w:b/>
                <w:bCs/>
                <w:sz w:val="18"/>
                <w:szCs w:val="18"/>
              </w:rPr>
              <w:t>1</w:t>
            </w:r>
            <w:r w:rsidRPr="00AA42D8">
              <w:rPr>
                <w:b/>
                <w:bCs/>
                <w:sz w:val="18"/>
                <w:szCs w:val="18"/>
              </w:rPr>
              <w:t>.</w:t>
            </w:r>
            <w:r w:rsidR="000746F0" w:rsidRPr="00AA42D8">
              <w:rPr>
                <w:b/>
                <w:bCs/>
                <w:sz w:val="18"/>
                <w:szCs w:val="18"/>
              </w:rPr>
              <w:t>12</w:t>
            </w:r>
            <w:r w:rsidRPr="00AA42D8">
              <w:rPr>
                <w:b/>
                <w:bCs/>
                <w:sz w:val="18"/>
                <w:szCs w:val="18"/>
              </w:rPr>
              <w:t>.201</w:t>
            </w:r>
            <w:r w:rsidR="00EF4853" w:rsidRPr="00AA42D8">
              <w:rPr>
                <w:b/>
                <w:bCs/>
                <w:sz w:val="18"/>
                <w:szCs w:val="18"/>
              </w:rPr>
              <w:t>7</w:t>
            </w:r>
            <w:r w:rsidRPr="00AA42D8">
              <w:rPr>
                <w:b/>
                <w:bCs/>
                <w:sz w:val="18"/>
                <w:szCs w:val="18"/>
              </w:rPr>
              <w:t xml:space="preserve"> г.</w:t>
            </w:r>
          </w:p>
        </w:tc>
        <w:tc>
          <w:tcPr>
            <w:tcW w:w="855" w:type="dxa"/>
            <w:tcBorders>
              <w:top w:val="single" w:sz="8" w:space="0" w:color="auto"/>
              <w:left w:val="nil"/>
              <w:bottom w:val="nil"/>
              <w:right w:val="single" w:sz="8" w:space="0" w:color="auto"/>
            </w:tcBorders>
            <w:shd w:val="clear" w:color="000000" w:fill="D9D9D9"/>
            <w:noWrap/>
            <w:vAlign w:val="bottom"/>
            <w:hideMark/>
          </w:tcPr>
          <w:p w:rsidR="00500DD6" w:rsidRPr="00AA42D8" w:rsidRDefault="00500DD6">
            <w:pPr>
              <w:jc w:val="center"/>
              <w:rPr>
                <w:b/>
                <w:bCs/>
                <w:sz w:val="18"/>
                <w:szCs w:val="18"/>
              </w:rPr>
            </w:pPr>
            <w:r w:rsidRPr="00AA42D8">
              <w:rPr>
                <w:b/>
                <w:bCs/>
                <w:sz w:val="18"/>
                <w:szCs w:val="18"/>
              </w:rPr>
              <w:t>Изпълнение</w:t>
            </w:r>
          </w:p>
        </w:tc>
      </w:tr>
      <w:tr w:rsidR="0096051A" w:rsidRPr="0096051A" w:rsidTr="00E878C3">
        <w:trPr>
          <w:trHeight w:val="255"/>
        </w:trPr>
        <w:tc>
          <w:tcPr>
            <w:tcW w:w="3686" w:type="dxa"/>
            <w:vMerge/>
            <w:tcBorders>
              <w:top w:val="single" w:sz="8" w:space="0" w:color="auto"/>
              <w:left w:val="single" w:sz="8" w:space="0" w:color="auto"/>
              <w:bottom w:val="single" w:sz="4" w:space="0" w:color="000000"/>
              <w:right w:val="nil"/>
            </w:tcBorders>
            <w:vAlign w:val="center"/>
            <w:hideMark/>
          </w:tcPr>
          <w:p w:rsidR="00500DD6" w:rsidRPr="00AA42D8" w:rsidRDefault="00500DD6">
            <w:pPr>
              <w:rPr>
                <w:b/>
                <w:bCs/>
                <w:sz w:val="18"/>
                <w:szCs w:val="18"/>
              </w:rPr>
            </w:pPr>
          </w:p>
        </w:tc>
        <w:tc>
          <w:tcPr>
            <w:tcW w:w="993" w:type="dxa"/>
            <w:tcBorders>
              <w:top w:val="nil"/>
              <w:left w:val="single" w:sz="4" w:space="0" w:color="auto"/>
              <w:bottom w:val="single" w:sz="4" w:space="0" w:color="auto"/>
              <w:right w:val="single" w:sz="4" w:space="0" w:color="auto"/>
            </w:tcBorders>
            <w:shd w:val="clear" w:color="000000" w:fill="D9D9D9"/>
            <w:noWrap/>
            <w:vAlign w:val="bottom"/>
            <w:hideMark/>
          </w:tcPr>
          <w:p w:rsidR="00500DD6" w:rsidRPr="00AA42D8" w:rsidRDefault="00500DD6">
            <w:pPr>
              <w:jc w:val="center"/>
              <w:rPr>
                <w:b/>
                <w:bCs/>
                <w:sz w:val="18"/>
                <w:szCs w:val="18"/>
              </w:rPr>
            </w:pPr>
            <w:r w:rsidRPr="00AA42D8">
              <w:rPr>
                <w:b/>
                <w:bCs/>
                <w:sz w:val="18"/>
                <w:szCs w:val="18"/>
              </w:rPr>
              <w:t xml:space="preserve"> КФП</w:t>
            </w:r>
          </w:p>
        </w:tc>
        <w:tc>
          <w:tcPr>
            <w:tcW w:w="1087" w:type="dxa"/>
            <w:tcBorders>
              <w:top w:val="nil"/>
              <w:left w:val="nil"/>
              <w:bottom w:val="single" w:sz="4" w:space="0" w:color="auto"/>
              <w:right w:val="single" w:sz="4" w:space="0" w:color="auto"/>
            </w:tcBorders>
            <w:shd w:val="clear" w:color="000000" w:fill="D9D9D9"/>
            <w:noWrap/>
            <w:vAlign w:val="bottom"/>
            <w:hideMark/>
          </w:tcPr>
          <w:p w:rsidR="00500DD6" w:rsidRPr="00AA42D8" w:rsidRDefault="00500DD6">
            <w:pPr>
              <w:jc w:val="center"/>
              <w:rPr>
                <w:b/>
                <w:bCs/>
                <w:sz w:val="18"/>
                <w:szCs w:val="18"/>
              </w:rPr>
            </w:pPr>
            <w:r w:rsidRPr="00AA42D8">
              <w:rPr>
                <w:b/>
                <w:bCs/>
                <w:sz w:val="18"/>
                <w:szCs w:val="18"/>
              </w:rPr>
              <w:t xml:space="preserve"> КФП</w:t>
            </w:r>
          </w:p>
        </w:tc>
        <w:tc>
          <w:tcPr>
            <w:tcW w:w="1252" w:type="dxa"/>
            <w:tcBorders>
              <w:top w:val="nil"/>
              <w:left w:val="nil"/>
              <w:bottom w:val="single" w:sz="4" w:space="0" w:color="auto"/>
              <w:right w:val="single" w:sz="4" w:space="0" w:color="auto"/>
            </w:tcBorders>
            <w:shd w:val="clear" w:color="000000" w:fill="D9D9D9"/>
            <w:noWrap/>
            <w:vAlign w:val="bottom"/>
            <w:hideMark/>
          </w:tcPr>
          <w:p w:rsidR="00500DD6" w:rsidRPr="00AA42D8" w:rsidRDefault="00500DD6">
            <w:pPr>
              <w:jc w:val="center"/>
              <w:rPr>
                <w:b/>
                <w:bCs/>
                <w:sz w:val="18"/>
                <w:szCs w:val="18"/>
              </w:rPr>
            </w:pPr>
            <w:r w:rsidRPr="00AA42D8">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rsidR="00500DD6" w:rsidRPr="00AA42D8" w:rsidRDefault="00500DD6">
            <w:pPr>
              <w:jc w:val="center"/>
              <w:rPr>
                <w:b/>
                <w:bCs/>
                <w:sz w:val="18"/>
                <w:szCs w:val="18"/>
              </w:rPr>
            </w:pPr>
            <w:r w:rsidRPr="00AA42D8">
              <w:rPr>
                <w:b/>
                <w:bCs/>
                <w:sz w:val="18"/>
                <w:szCs w:val="18"/>
              </w:rPr>
              <w:t>Европейски средства</w:t>
            </w:r>
          </w:p>
        </w:tc>
        <w:tc>
          <w:tcPr>
            <w:tcW w:w="855" w:type="dxa"/>
            <w:tcBorders>
              <w:top w:val="nil"/>
              <w:left w:val="nil"/>
              <w:bottom w:val="single" w:sz="4" w:space="0" w:color="auto"/>
              <w:right w:val="single" w:sz="8" w:space="0" w:color="auto"/>
            </w:tcBorders>
            <w:shd w:val="clear" w:color="000000" w:fill="D9D9D9"/>
            <w:noWrap/>
            <w:vAlign w:val="bottom"/>
            <w:hideMark/>
          </w:tcPr>
          <w:p w:rsidR="00500DD6" w:rsidRPr="00AA42D8" w:rsidRDefault="00500DD6">
            <w:pPr>
              <w:jc w:val="center"/>
              <w:rPr>
                <w:b/>
                <w:bCs/>
                <w:sz w:val="18"/>
                <w:szCs w:val="18"/>
              </w:rPr>
            </w:pPr>
            <w:r w:rsidRPr="00AA42D8">
              <w:rPr>
                <w:b/>
                <w:bCs/>
                <w:sz w:val="18"/>
                <w:szCs w:val="18"/>
              </w:rPr>
              <w:t>спрямо разчет</w:t>
            </w:r>
          </w:p>
        </w:tc>
      </w:tr>
      <w:tr w:rsidR="0096051A" w:rsidRPr="0096051A" w:rsidTr="00E878C3">
        <w:trPr>
          <w:trHeight w:val="270"/>
        </w:trPr>
        <w:tc>
          <w:tcPr>
            <w:tcW w:w="3686" w:type="dxa"/>
            <w:tcBorders>
              <w:top w:val="nil"/>
              <w:left w:val="single" w:sz="8" w:space="0" w:color="auto"/>
              <w:bottom w:val="single" w:sz="8" w:space="0" w:color="auto"/>
              <w:right w:val="nil"/>
            </w:tcBorders>
            <w:shd w:val="clear" w:color="000000" w:fill="D9D9D9"/>
            <w:noWrap/>
            <w:vAlign w:val="bottom"/>
            <w:hideMark/>
          </w:tcPr>
          <w:p w:rsidR="00500DD6" w:rsidRPr="00AA42D8" w:rsidRDefault="00500DD6">
            <w:pPr>
              <w:jc w:val="center"/>
              <w:rPr>
                <w:sz w:val="18"/>
                <w:szCs w:val="18"/>
              </w:rPr>
            </w:pPr>
            <w:r w:rsidRPr="00AA42D8">
              <w:rPr>
                <w:sz w:val="18"/>
                <w:szCs w:val="18"/>
              </w:rPr>
              <w:t>к.1</w:t>
            </w:r>
          </w:p>
        </w:tc>
        <w:tc>
          <w:tcPr>
            <w:tcW w:w="993" w:type="dxa"/>
            <w:tcBorders>
              <w:top w:val="nil"/>
              <w:left w:val="single" w:sz="4" w:space="0" w:color="auto"/>
              <w:bottom w:val="single" w:sz="8" w:space="0" w:color="auto"/>
              <w:right w:val="single" w:sz="4" w:space="0" w:color="auto"/>
            </w:tcBorders>
            <w:shd w:val="clear" w:color="000000" w:fill="D9D9D9"/>
            <w:noWrap/>
            <w:vAlign w:val="bottom"/>
            <w:hideMark/>
          </w:tcPr>
          <w:p w:rsidR="00500DD6" w:rsidRPr="00AA42D8" w:rsidRDefault="00500DD6">
            <w:pPr>
              <w:jc w:val="center"/>
              <w:rPr>
                <w:sz w:val="18"/>
                <w:szCs w:val="18"/>
              </w:rPr>
            </w:pPr>
            <w:r w:rsidRPr="00AA42D8">
              <w:rPr>
                <w:sz w:val="18"/>
                <w:szCs w:val="18"/>
              </w:rPr>
              <w:t>к.2</w:t>
            </w:r>
          </w:p>
        </w:tc>
        <w:tc>
          <w:tcPr>
            <w:tcW w:w="1087" w:type="dxa"/>
            <w:tcBorders>
              <w:top w:val="nil"/>
              <w:left w:val="nil"/>
              <w:bottom w:val="single" w:sz="8" w:space="0" w:color="auto"/>
              <w:right w:val="single" w:sz="4" w:space="0" w:color="auto"/>
            </w:tcBorders>
            <w:shd w:val="clear" w:color="000000" w:fill="D9D9D9"/>
            <w:noWrap/>
            <w:vAlign w:val="bottom"/>
            <w:hideMark/>
          </w:tcPr>
          <w:p w:rsidR="00500DD6" w:rsidRPr="00AA42D8" w:rsidRDefault="00500DD6">
            <w:pPr>
              <w:jc w:val="center"/>
              <w:rPr>
                <w:sz w:val="18"/>
                <w:szCs w:val="18"/>
              </w:rPr>
            </w:pPr>
            <w:r w:rsidRPr="00AA42D8">
              <w:rPr>
                <w:sz w:val="18"/>
                <w:szCs w:val="18"/>
              </w:rPr>
              <w:t>к.3=к.4+к.5</w:t>
            </w:r>
          </w:p>
        </w:tc>
        <w:tc>
          <w:tcPr>
            <w:tcW w:w="1252" w:type="dxa"/>
            <w:tcBorders>
              <w:top w:val="nil"/>
              <w:left w:val="nil"/>
              <w:bottom w:val="single" w:sz="8" w:space="0" w:color="auto"/>
              <w:right w:val="single" w:sz="4" w:space="0" w:color="auto"/>
            </w:tcBorders>
            <w:shd w:val="clear" w:color="000000" w:fill="D9D9D9"/>
            <w:noWrap/>
            <w:vAlign w:val="bottom"/>
            <w:hideMark/>
          </w:tcPr>
          <w:p w:rsidR="00500DD6" w:rsidRPr="00AA42D8" w:rsidRDefault="00500DD6">
            <w:pPr>
              <w:jc w:val="center"/>
              <w:rPr>
                <w:sz w:val="18"/>
                <w:szCs w:val="18"/>
              </w:rPr>
            </w:pPr>
            <w:r w:rsidRPr="00AA42D8">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rsidR="00500DD6" w:rsidRPr="00AA42D8" w:rsidRDefault="00500DD6">
            <w:pPr>
              <w:jc w:val="center"/>
              <w:rPr>
                <w:sz w:val="18"/>
                <w:szCs w:val="18"/>
              </w:rPr>
            </w:pPr>
            <w:r w:rsidRPr="00AA42D8">
              <w:rPr>
                <w:sz w:val="18"/>
                <w:szCs w:val="18"/>
              </w:rPr>
              <w:t>к.5</w:t>
            </w:r>
          </w:p>
        </w:tc>
        <w:tc>
          <w:tcPr>
            <w:tcW w:w="855" w:type="dxa"/>
            <w:tcBorders>
              <w:top w:val="nil"/>
              <w:left w:val="nil"/>
              <w:bottom w:val="single" w:sz="8" w:space="0" w:color="auto"/>
              <w:right w:val="single" w:sz="8" w:space="0" w:color="auto"/>
            </w:tcBorders>
            <w:shd w:val="clear" w:color="000000" w:fill="D9D9D9"/>
            <w:noWrap/>
            <w:vAlign w:val="bottom"/>
            <w:hideMark/>
          </w:tcPr>
          <w:p w:rsidR="00500DD6" w:rsidRPr="00AA42D8" w:rsidRDefault="00500DD6">
            <w:pPr>
              <w:jc w:val="center"/>
              <w:rPr>
                <w:sz w:val="18"/>
                <w:szCs w:val="18"/>
              </w:rPr>
            </w:pPr>
            <w:r w:rsidRPr="00AA42D8">
              <w:rPr>
                <w:sz w:val="18"/>
                <w:szCs w:val="18"/>
              </w:rPr>
              <w:t>к.6=к.3:к.2</w:t>
            </w:r>
          </w:p>
        </w:tc>
      </w:tr>
      <w:tr w:rsidR="0096051A" w:rsidRPr="0096051A" w:rsidTr="00E878C3">
        <w:trPr>
          <w:trHeight w:val="255"/>
        </w:trPr>
        <w:tc>
          <w:tcPr>
            <w:tcW w:w="3686" w:type="dxa"/>
            <w:tcBorders>
              <w:top w:val="nil"/>
              <w:left w:val="single" w:sz="8" w:space="0" w:color="auto"/>
              <w:bottom w:val="nil"/>
              <w:right w:val="nil"/>
            </w:tcBorders>
            <w:shd w:val="clear" w:color="auto" w:fill="auto"/>
            <w:noWrap/>
            <w:vAlign w:val="bottom"/>
            <w:hideMark/>
          </w:tcPr>
          <w:p w:rsidR="00B3337C" w:rsidRPr="00AA42D8" w:rsidRDefault="00B3337C" w:rsidP="00B3337C">
            <w:pPr>
              <w:rPr>
                <w:b/>
                <w:bCs/>
                <w:sz w:val="18"/>
                <w:szCs w:val="18"/>
              </w:rPr>
            </w:pPr>
            <w:r w:rsidRPr="00AA42D8">
              <w:rPr>
                <w:b/>
                <w:bCs/>
                <w:sz w:val="18"/>
                <w:szCs w:val="18"/>
              </w:rPr>
              <w:t xml:space="preserve">ПРИХОДИ, ПОМОЩИ И ДАРЕНИЯ </w:t>
            </w:r>
          </w:p>
        </w:tc>
        <w:tc>
          <w:tcPr>
            <w:tcW w:w="993" w:type="dxa"/>
            <w:tcBorders>
              <w:top w:val="nil"/>
              <w:left w:val="nil"/>
              <w:bottom w:val="nil"/>
              <w:right w:val="nil"/>
            </w:tcBorders>
            <w:shd w:val="clear" w:color="auto" w:fill="auto"/>
            <w:noWrap/>
            <w:vAlign w:val="bottom"/>
            <w:hideMark/>
          </w:tcPr>
          <w:p w:rsidR="00B3337C" w:rsidRPr="00AA42D8" w:rsidRDefault="00B3337C">
            <w:pPr>
              <w:jc w:val="right"/>
              <w:rPr>
                <w:b/>
                <w:bCs/>
                <w:sz w:val="18"/>
                <w:szCs w:val="18"/>
              </w:rPr>
            </w:pPr>
            <w:r w:rsidRPr="00AA42D8">
              <w:rPr>
                <w:b/>
                <w:bCs/>
                <w:sz w:val="18"/>
                <w:szCs w:val="18"/>
              </w:rPr>
              <w:t>35 439,6</w:t>
            </w:r>
          </w:p>
        </w:tc>
        <w:tc>
          <w:tcPr>
            <w:tcW w:w="1087" w:type="dxa"/>
            <w:tcBorders>
              <w:top w:val="nil"/>
              <w:left w:val="nil"/>
              <w:bottom w:val="nil"/>
              <w:right w:val="nil"/>
            </w:tcBorders>
            <w:shd w:val="clear" w:color="auto" w:fill="auto"/>
            <w:noWrap/>
            <w:vAlign w:val="bottom"/>
            <w:hideMark/>
          </w:tcPr>
          <w:p w:rsidR="00B3337C" w:rsidRPr="00AA42D8" w:rsidRDefault="000746F0" w:rsidP="000746F0">
            <w:pPr>
              <w:jc w:val="right"/>
              <w:rPr>
                <w:b/>
                <w:bCs/>
                <w:sz w:val="18"/>
                <w:szCs w:val="18"/>
              </w:rPr>
            </w:pPr>
            <w:r w:rsidRPr="00AA42D8">
              <w:rPr>
                <w:b/>
                <w:bCs/>
                <w:sz w:val="18"/>
                <w:szCs w:val="18"/>
              </w:rPr>
              <w:t>35</w:t>
            </w:r>
            <w:r w:rsidR="00B3337C" w:rsidRPr="00AA42D8">
              <w:rPr>
                <w:b/>
                <w:bCs/>
                <w:sz w:val="18"/>
                <w:szCs w:val="18"/>
              </w:rPr>
              <w:t xml:space="preserve"> </w:t>
            </w:r>
            <w:r w:rsidRPr="00AA42D8">
              <w:rPr>
                <w:b/>
                <w:bCs/>
                <w:sz w:val="18"/>
                <w:szCs w:val="18"/>
              </w:rPr>
              <w:t>3</w:t>
            </w:r>
            <w:r w:rsidR="00B3337C" w:rsidRPr="00AA42D8">
              <w:rPr>
                <w:b/>
                <w:bCs/>
                <w:sz w:val="18"/>
                <w:szCs w:val="18"/>
              </w:rPr>
              <w:t>1</w:t>
            </w:r>
            <w:r w:rsidRPr="00AA42D8">
              <w:rPr>
                <w:b/>
                <w:bCs/>
                <w:sz w:val="18"/>
                <w:szCs w:val="18"/>
              </w:rPr>
              <w:t>5</w:t>
            </w:r>
            <w:r w:rsidR="00B3337C" w:rsidRPr="00AA42D8">
              <w:rPr>
                <w:b/>
                <w:bCs/>
                <w:sz w:val="18"/>
                <w:szCs w:val="18"/>
              </w:rPr>
              <w:t>,</w:t>
            </w:r>
            <w:r w:rsidRPr="00AA42D8">
              <w:rPr>
                <w:b/>
                <w:bCs/>
                <w:sz w:val="18"/>
                <w:szCs w:val="18"/>
              </w:rPr>
              <w:t>2</w:t>
            </w:r>
          </w:p>
        </w:tc>
        <w:tc>
          <w:tcPr>
            <w:tcW w:w="1252" w:type="dxa"/>
            <w:tcBorders>
              <w:top w:val="nil"/>
              <w:left w:val="nil"/>
              <w:bottom w:val="nil"/>
              <w:right w:val="nil"/>
            </w:tcBorders>
            <w:shd w:val="clear" w:color="auto" w:fill="auto"/>
            <w:noWrap/>
            <w:vAlign w:val="bottom"/>
            <w:hideMark/>
          </w:tcPr>
          <w:p w:rsidR="00B3337C" w:rsidRPr="00AA42D8" w:rsidRDefault="000746F0" w:rsidP="000746F0">
            <w:pPr>
              <w:jc w:val="right"/>
              <w:rPr>
                <w:b/>
                <w:bCs/>
                <w:sz w:val="18"/>
                <w:szCs w:val="18"/>
              </w:rPr>
            </w:pPr>
            <w:r w:rsidRPr="00AA42D8">
              <w:rPr>
                <w:b/>
                <w:bCs/>
                <w:sz w:val="18"/>
                <w:szCs w:val="18"/>
              </w:rPr>
              <w:t>33</w:t>
            </w:r>
            <w:r w:rsidR="00B3337C" w:rsidRPr="00AA42D8">
              <w:rPr>
                <w:b/>
                <w:bCs/>
                <w:sz w:val="18"/>
                <w:szCs w:val="18"/>
              </w:rPr>
              <w:t xml:space="preserve"> </w:t>
            </w:r>
            <w:r w:rsidRPr="00AA42D8">
              <w:rPr>
                <w:b/>
                <w:bCs/>
                <w:sz w:val="18"/>
                <w:szCs w:val="18"/>
              </w:rPr>
              <w:t>8</w:t>
            </w:r>
            <w:r w:rsidR="00B3337C" w:rsidRPr="00AA42D8">
              <w:rPr>
                <w:b/>
                <w:bCs/>
                <w:sz w:val="18"/>
                <w:szCs w:val="18"/>
              </w:rPr>
              <w:t>5</w:t>
            </w:r>
            <w:r w:rsidRPr="00AA42D8">
              <w:rPr>
                <w:b/>
                <w:bCs/>
                <w:sz w:val="18"/>
                <w:szCs w:val="18"/>
              </w:rPr>
              <w:t>8</w:t>
            </w:r>
            <w:r w:rsidR="00B3337C" w:rsidRPr="00AA42D8">
              <w:rPr>
                <w:b/>
                <w:bCs/>
                <w:sz w:val="18"/>
                <w:szCs w:val="18"/>
              </w:rPr>
              <w:t>,</w:t>
            </w:r>
            <w:r w:rsidRPr="00AA42D8">
              <w:rPr>
                <w:b/>
                <w:bCs/>
                <w:sz w:val="18"/>
                <w:szCs w:val="18"/>
              </w:rPr>
              <w:t>2</w:t>
            </w:r>
          </w:p>
        </w:tc>
        <w:tc>
          <w:tcPr>
            <w:tcW w:w="1199" w:type="dxa"/>
            <w:tcBorders>
              <w:top w:val="nil"/>
              <w:left w:val="nil"/>
              <w:bottom w:val="nil"/>
              <w:right w:val="nil"/>
            </w:tcBorders>
            <w:shd w:val="clear" w:color="auto" w:fill="auto"/>
            <w:noWrap/>
            <w:vAlign w:val="bottom"/>
            <w:hideMark/>
          </w:tcPr>
          <w:p w:rsidR="00B3337C" w:rsidRPr="00AA42D8" w:rsidRDefault="000746F0" w:rsidP="000746F0">
            <w:pPr>
              <w:jc w:val="right"/>
              <w:rPr>
                <w:b/>
                <w:bCs/>
                <w:sz w:val="18"/>
                <w:szCs w:val="18"/>
              </w:rPr>
            </w:pPr>
            <w:r w:rsidRPr="00AA42D8">
              <w:rPr>
                <w:b/>
                <w:bCs/>
                <w:sz w:val="18"/>
                <w:szCs w:val="18"/>
              </w:rPr>
              <w:t>1 45</w:t>
            </w:r>
            <w:r w:rsidR="00B3337C" w:rsidRPr="00AA42D8">
              <w:rPr>
                <w:b/>
                <w:bCs/>
                <w:sz w:val="18"/>
                <w:szCs w:val="18"/>
              </w:rPr>
              <w:t>7,</w:t>
            </w:r>
            <w:r w:rsidRPr="00AA42D8">
              <w:rPr>
                <w:b/>
                <w:bCs/>
                <w:sz w:val="18"/>
                <w:szCs w:val="18"/>
              </w:rPr>
              <w:t>0</w:t>
            </w:r>
          </w:p>
        </w:tc>
        <w:tc>
          <w:tcPr>
            <w:tcW w:w="855" w:type="dxa"/>
            <w:tcBorders>
              <w:top w:val="nil"/>
              <w:left w:val="nil"/>
              <w:bottom w:val="nil"/>
              <w:right w:val="single" w:sz="8" w:space="0" w:color="auto"/>
            </w:tcBorders>
            <w:shd w:val="clear" w:color="auto" w:fill="auto"/>
            <w:noWrap/>
            <w:vAlign w:val="bottom"/>
            <w:hideMark/>
          </w:tcPr>
          <w:p w:rsidR="00B3337C" w:rsidRPr="00AA42D8" w:rsidRDefault="000746F0" w:rsidP="000746F0">
            <w:pPr>
              <w:jc w:val="right"/>
              <w:rPr>
                <w:b/>
                <w:bCs/>
                <w:sz w:val="18"/>
                <w:szCs w:val="18"/>
              </w:rPr>
            </w:pPr>
            <w:r w:rsidRPr="00AA42D8">
              <w:rPr>
                <w:b/>
                <w:bCs/>
                <w:sz w:val="18"/>
                <w:szCs w:val="18"/>
              </w:rPr>
              <w:t>99</w:t>
            </w:r>
            <w:r w:rsidR="00B3337C" w:rsidRPr="00AA42D8">
              <w:rPr>
                <w:b/>
                <w:bCs/>
                <w:sz w:val="18"/>
                <w:szCs w:val="18"/>
              </w:rPr>
              <w:t>,</w:t>
            </w:r>
            <w:r w:rsidRPr="00AA42D8">
              <w:rPr>
                <w:b/>
                <w:bCs/>
                <w:sz w:val="18"/>
                <w:szCs w:val="18"/>
              </w:rPr>
              <w:t>6</w:t>
            </w:r>
            <w:r w:rsidR="00B3337C" w:rsidRPr="00AA42D8">
              <w:rPr>
                <w:b/>
                <w:bCs/>
                <w:sz w:val="18"/>
                <w:szCs w:val="18"/>
              </w:rPr>
              <w:t>%</w:t>
            </w:r>
          </w:p>
        </w:tc>
      </w:tr>
      <w:tr w:rsidR="0096051A" w:rsidRPr="0096051A" w:rsidTr="00E878C3">
        <w:trPr>
          <w:trHeight w:val="255"/>
        </w:trPr>
        <w:tc>
          <w:tcPr>
            <w:tcW w:w="3686" w:type="dxa"/>
            <w:tcBorders>
              <w:top w:val="nil"/>
              <w:left w:val="single" w:sz="8" w:space="0" w:color="auto"/>
              <w:bottom w:val="nil"/>
              <w:right w:val="nil"/>
            </w:tcBorders>
            <w:shd w:val="clear" w:color="auto" w:fill="auto"/>
            <w:noWrap/>
            <w:vAlign w:val="bottom"/>
            <w:hideMark/>
          </w:tcPr>
          <w:p w:rsidR="00B3337C" w:rsidRPr="00AA42D8" w:rsidRDefault="00B3337C">
            <w:pPr>
              <w:rPr>
                <w:sz w:val="18"/>
                <w:szCs w:val="18"/>
              </w:rPr>
            </w:pPr>
            <w:r w:rsidRPr="00AA42D8">
              <w:rPr>
                <w:sz w:val="18"/>
                <w:szCs w:val="18"/>
              </w:rPr>
              <w:t xml:space="preserve">  Данъчни приходи</w:t>
            </w:r>
          </w:p>
        </w:tc>
        <w:tc>
          <w:tcPr>
            <w:tcW w:w="993" w:type="dxa"/>
            <w:tcBorders>
              <w:top w:val="nil"/>
              <w:left w:val="nil"/>
              <w:bottom w:val="nil"/>
              <w:right w:val="nil"/>
            </w:tcBorders>
            <w:shd w:val="clear" w:color="auto" w:fill="auto"/>
            <w:noWrap/>
            <w:vAlign w:val="bottom"/>
            <w:hideMark/>
          </w:tcPr>
          <w:p w:rsidR="00B3337C" w:rsidRPr="00AA42D8" w:rsidRDefault="00B3337C">
            <w:pPr>
              <w:jc w:val="right"/>
              <w:rPr>
                <w:sz w:val="18"/>
                <w:szCs w:val="18"/>
              </w:rPr>
            </w:pPr>
            <w:r w:rsidRPr="00AA42D8">
              <w:rPr>
                <w:sz w:val="18"/>
                <w:szCs w:val="18"/>
              </w:rPr>
              <w:t>28 037,1</w:t>
            </w:r>
          </w:p>
        </w:tc>
        <w:tc>
          <w:tcPr>
            <w:tcW w:w="1087" w:type="dxa"/>
            <w:tcBorders>
              <w:top w:val="nil"/>
              <w:left w:val="nil"/>
              <w:bottom w:val="nil"/>
              <w:right w:val="nil"/>
            </w:tcBorders>
            <w:shd w:val="clear" w:color="auto" w:fill="auto"/>
            <w:noWrap/>
            <w:vAlign w:val="bottom"/>
            <w:hideMark/>
          </w:tcPr>
          <w:p w:rsidR="00B3337C" w:rsidRPr="00AA42D8" w:rsidRDefault="00B3337C" w:rsidP="000746F0">
            <w:pPr>
              <w:jc w:val="right"/>
              <w:rPr>
                <w:sz w:val="18"/>
                <w:szCs w:val="18"/>
              </w:rPr>
            </w:pPr>
            <w:r w:rsidRPr="00AA42D8">
              <w:rPr>
                <w:sz w:val="18"/>
                <w:szCs w:val="18"/>
              </w:rPr>
              <w:t>2</w:t>
            </w:r>
            <w:r w:rsidR="000746F0" w:rsidRPr="00AA42D8">
              <w:rPr>
                <w:sz w:val="18"/>
                <w:szCs w:val="18"/>
              </w:rPr>
              <w:t>9</w:t>
            </w:r>
            <w:r w:rsidRPr="00AA42D8">
              <w:rPr>
                <w:sz w:val="18"/>
                <w:szCs w:val="18"/>
              </w:rPr>
              <w:t xml:space="preserve"> 5</w:t>
            </w:r>
            <w:r w:rsidR="000746F0" w:rsidRPr="00AA42D8">
              <w:rPr>
                <w:sz w:val="18"/>
                <w:szCs w:val="18"/>
              </w:rPr>
              <w:t>81</w:t>
            </w:r>
            <w:r w:rsidRPr="00AA42D8">
              <w:rPr>
                <w:sz w:val="18"/>
                <w:szCs w:val="18"/>
              </w:rPr>
              <w:t>,</w:t>
            </w:r>
            <w:r w:rsidR="000746F0" w:rsidRPr="00AA42D8">
              <w:rPr>
                <w:sz w:val="18"/>
                <w:szCs w:val="18"/>
              </w:rPr>
              <w:t>3</w:t>
            </w:r>
          </w:p>
        </w:tc>
        <w:tc>
          <w:tcPr>
            <w:tcW w:w="1252" w:type="dxa"/>
            <w:tcBorders>
              <w:top w:val="nil"/>
              <w:left w:val="nil"/>
              <w:bottom w:val="nil"/>
              <w:right w:val="nil"/>
            </w:tcBorders>
            <w:shd w:val="clear" w:color="auto" w:fill="auto"/>
            <w:noWrap/>
            <w:vAlign w:val="bottom"/>
            <w:hideMark/>
          </w:tcPr>
          <w:p w:rsidR="00B3337C" w:rsidRPr="00AA42D8" w:rsidRDefault="00B3337C" w:rsidP="000746F0">
            <w:pPr>
              <w:jc w:val="right"/>
              <w:rPr>
                <w:sz w:val="18"/>
                <w:szCs w:val="18"/>
              </w:rPr>
            </w:pPr>
            <w:r w:rsidRPr="00AA42D8">
              <w:rPr>
                <w:sz w:val="18"/>
                <w:szCs w:val="18"/>
              </w:rPr>
              <w:t>2</w:t>
            </w:r>
            <w:r w:rsidR="000746F0" w:rsidRPr="00AA42D8">
              <w:rPr>
                <w:sz w:val="18"/>
                <w:szCs w:val="18"/>
              </w:rPr>
              <w:t>9</w:t>
            </w:r>
            <w:r w:rsidRPr="00AA42D8">
              <w:rPr>
                <w:sz w:val="18"/>
                <w:szCs w:val="18"/>
              </w:rPr>
              <w:t xml:space="preserve"> 5</w:t>
            </w:r>
            <w:r w:rsidR="000746F0" w:rsidRPr="00AA42D8">
              <w:rPr>
                <w:sz w:val="18"/>
                <w:szCs w:val="18"/>
              </w:rPr>
              <w:t>81</w:t>
            </w:r>
            <w:r w:rsidRPr="00AA42D8">
              <w:rPr>
                <w:sz w:val="18"/>
                <w:szCs w:val="18"/>
              </w:rPr>
              <w:t>,</w:t>
            </w:r>
            <w:r w:rsidR="000746F0" w:rsidRPr="00AA42D8">
              <w:rPr>
                <w:sz w:val="18"/>
                <w:szCs w:val="18"/>
              </w:rPr>
              <w:t>3</w:t>
            </w:r>
          </w:p>
        </w:tc>
        <w:tc>
          <w:tcPr>
            <w:tcW w:w="1199" w:type="dxa"/>
            <w:tcBorders>
              <w:top w:val="nil"/>
              <w:left w:val="nil"/>
              <w:bottom w:val="nil"/>
              <w:right w:val="nil"/>
            </w:tcBorders>
            <w:shd w:val="clear" w:color="auto" w:fill="auto"/>
            <w:noWrap/>
            <w:vAlign w:val="bottom"/>
            <w:hideMark/>
          </w:tcPr>
          <w:p w:rsidR="00B3337C" w:rsidRPr="00AA42D8" w:rsidRDefault="00B3337C">
            <w:pPr>
              <w:jc w:val="right"/>
              <w:rPr>
                <w:sz w:val="18"/>
                <w:szCs w:val="18"/>
              </w:rPr>
            </w:pPr>
            <w:r w:rsidRPr="00AA42D8">
              <w:rPr>
                <w:sz w:val="18"/>
                <w:szCs w:val="18"/>
              </w:rPr>
              <w:t>0,</w:t>
            </w:r>
            <w:proofErr w:type="spellStart"/>
            <w:r w:rsidRPr="00AA42D8">
              <w:rPr>
                <w:sz w:val="18"/>
                <w:szCs w:val="18"/>
              </w:rPr>
              <w:t>0</w:t>
            </w:r>
            <w:proofErr w:type="spellEnd"/>
          </w:p>
        </w:tc>
        <w:tc>
          <w:tcPr>
            <w:tcW w:w="855" w:type="dxa"/>
            <w:tcBorders>
              <w:top w:val="nil"/>
              <w:left w:val="nil"/>
              <w:bottom w:val="nil"/>
              <w:right w:val="single" w:sz="8" w:space="0" w:color="auto"/>
            </w:tcBorders>
            <w:shd w:val="clear" w:color="auto" w:fill="auto"/>
            <w:noWrap/>
            <w:vAlign w:val="bottom"/>
            <w:hideMark/>
          </w:tcPr>
          <w:p w:rsidR="00B3337C" w:rsidRPr="00AA42D8" w:rsidRDefault="000746F0" w:rsidP="000746F0">
            <w:pPr>
              <w:jc w:val="right"/>
              <w:rPr>
                <w:sz w:val="18"/>
                <w:szCs w:val="18"/>
              </w:rPr>
            </w:pPr>
            <w:r w:rsidRPr="00AA42D8">
              <w:rPr>
                <w:sz w:val="18"/>
                <w:szCs w:val="18"/>
              </w:rPr>
              <w:t>105</w:t>
            </w:r>
            <w:r w:rsidR="00B3337C" w:rsidRPr="00AA42D8">
              <w:rPr>
                <w:sz w:val="18"/>
                <w:szCs w:val="18"/>
              </w:rPr>
              <w:t>,</w:t>
            </w:r>
            <w:r w:rsidRPr="00AA42D8">
              <w:rPr>
                <w:sz w:val="18"/>
                <w:szCs w:val="18"/>
              </w:rPr>
              <w:t>5</w:t>
            </w:r>
            <w:r w:rsidR="00B3337C" w:rsidRPr="00AA42D8">
              <w:rPr>
                <w:sz w:val="18"/>
                <w:szCs w:val="18"/>
              </w:rPr>
              <w:t>%</w:t>
            </w:r>
          </w:p>
        </w:tc>
      </w:tr>
      <w:tr w:rsidR="0096051A" w:rsidRPr="0096051A" w:rsidTr="00E878C3">
        <w:trPr>
          <w:trHeight w:val="255"/>
        </w:trPr>
        <w:tc>
          <w:tcPr>
            <w:tcW w:w="3686" w:type="dxa"/>
            <w:tcBorders>
              <w:top w:val="nil"/>
              <w:left w:val="single" w:sz="8" w:space="0" w:color="auto"/>
              <w:bottom w:val="nil"/>
              <w:right w:val="nil"/>
            </w:tcBorders>
            <w:shd w:val="clear" w:color="auto" w:fill="auto"/>
            <w:noWrap/>
            <w:vAlign w:val="bottom"/>
            <w:hideMark/>
          </w:tcPr>
          <w:p w:rsidR="00B3337C" w:rsidRPr="00AA42D8" w:rsidRDefault="00B3337C">
            <w:pPr>
              <w:rPr>
                <w:sz w:val="18"/>
                <w:szCs w:val="18"/>
              </w:rPr>
            </w:pPr>
            <w:r w:rsidRPr="00AA42D8">
              <w:rPr>
                <w:sz w:val="18"/>
                <w:szCs w:val="18"/>
              </w:rPr>
              <w:t xml:space="preserve">  Неданъчни приходи</w:t>
            </w:r>
          </w:p>
        </w:tc>
        <w:tc>
          <w:tcPr>
            <w:tcW w:w="993" w:type="dxa"/>
            <w:tcBorders>
              <w:top w:val="nil"/>
              <w:left w:val="nil"/>
              <w:bottom w:val="nil"/>
              <w:right w:val="nil"/>
            </w:tcBorders>
            <w:shd w:val="clear" w:color="auto" w:fill="auto"/>
            <w:noWrap/>
            <w:vAlign w:val="bottom"/>
            <w:hideMark/>
          </w:tcPr>
          <w:p w:rsidR="00B3337C" w:rsidRPr="00AA42D8" w:rsidRDefault="00B3337C">
            <w:pPr>
              <w:jc w:val="right"/>
              <w:rPr>
                <w:sz w:val="18"/>
                <w:szCs w:val="18"/>
              </w:rPr>
            </w:pPr>
            <w:r w:rsidRPr="00AA42D8">
              <w:rPr>
                <w:sz w:val="18"/>
                <w:szCs w:val="18"/>
              </w:rPr>
              <w:t>4 758,0</w:t>
            </w:r>
          </w:p>
        </w:tc>
        <w:tc>
          <w:tcPr>
            <w:tcW w:w="1087" w:type="dxa"/>
            <w:tcBorders>
              <w:top w:val="nil"/>
              <w:left w:val="nil"/>
              <w:bottom w:val="nil"/>
              <w:right w:val="nil"/>
            </w:tcBorders>
            <w:shd w:val="clear" w:color="auto" w:fill="auto"/>
            <w:noWrap/>
            <w:vAlign w:val="bottom"/>
            <w:hideMark/>
          </w:tcPr>
          <w:p w:rsidR="00B3337C" w:rsidRPr="00AA42D8" w:rsidRDefault="000746F0" w:rsidP="000746F0">
            <w:pPr>
              <w:jc w:val="right"/>
              <w:rPr>
                <w:sz w:val="18"/>
                <w:szCs w:val="18"/>
              </w:rPr>
            </w:pPr>
            <w:r w:rsidRPr="00AA42D8">
              <w:rPr>
                <w:sz w:val="18"/>
                <w:szCs w:val="18"/>
              </w:rPr>
              <w:t>4</w:t>
            </w:r>
            <w:r w:rsidR="00B3337C" w:rsidRPr="00AA42D8">
              <w:rPr>
                <w:sz w:val="18"/>
                <w:szCs w:val="18"/>
              </w:rPr>
              <w:t xml:space="preserve"> </w:t>
            </w:r>
            <w:r w:rsidRPr="00AA42D8">
              <w:rPr>
                <w:sz w:val="18"/>
                <w:szCs w:val="18"/>
              </w:rPr>
              <w:t>213</w:t>
            </w:r>
            <w:r w:rsidR="00B3337C" w:rsidRPr="00AA42D8">
              <w:rPr>
                <w:sz w:val="18"/>
                <w:szCs w:val="18"/>
              </w:rPr>
              <w:t>,</w:t>
            </w:r>
            <w:r w:rsidRPr="00AA42D8">
              <w:rPr>
                <w:sz w:val="18"/>
                <w:szCs w:val="18"/>
              </w:rPr>
              <w:t>2</w:t>
            </w:r>
          </w:p>
        </w:tc>
        <w:tc>
          <w:tcPr>
            <w:tcW w:w="1252" w:type="dxa"/>
            <w:tcBorders>
              <w:top w:val="nil"/>
              <w:left w:val="nil"/>
              <w:bottom w:val="nil"/>
              <w:right w:val="nil"/>
            </w:tcBorders>
            <w:shd w:val="clear" w:color="auto" w:fill="auto"/>
            <w:noWrap/>
            <w:vAlign w:val="bottom"/>
            <w:hideMark/>
          </w:tcPr>
          <w:p w:rsidR="00B3337C" w:rsidRPr="00AA42D8" w:rsidRDefault="000746F0" w:rsidP="000746F0">
            <w:pPr>
              <w:jc w:val="right"/>
              <w:rPr>
                <w:sz w:val="18"/>
                <w:szCs w:val="18"/>
              </w:rPr>
            </w:pPr>
            <w:r w:rsidRPr="00AA42D8">
              <w:rPr>
                <w:sz w:val="18"/>
                <w:szCs w:val="18"/>
              </w:rPr>
              <w:t>4</w:t>
            </w:r>
            <w:r w:rsidR="00B3337C" w:rsidRPr="00AA42D8">
              <w:rPr>
                <w:sz w:val="18"/>
                <w:szCs w:val="18"/>
              </w:rPr>
              <w:t xml:space="preserve"> 2</w:t>
            </w:r>
            <w:r w:rsidRPr="00AA42D8">
              <w:rPr>
                <w:sz w:val="18"/>
                <w:szCs w:val="18"/>
              </w:rPr>
              <w:t>08</w:t>
            </w:r>
            <w:r w:rsidR="00B3337C" w:rsidRPr="00AA42D8">
              <w:rPr>
                <w:sz w:val="18"/>
                <w:szCs w:val="18"/>
              </w:rPr>
              <w:t>,</w:t>
            </w:r>
            <w:r w:rsidRPr="00AA42D8">
              <w:rPr>
                <w:sz w:val="18"/>
                <w:szCs w:val="18"/>
              </w:rPr>
              <w:t>5</w:t>
            </w:r>
          </w:p>
        </w:tc>
        <w:tc>
          <w:tcPr>
            <w:tcW w:w="1199" w:type="dxa"/>
            <w:tcBorders>
              <w:top w:val="nil"/>
              <w:left w:val="nil"/>
              <w:bottom w:val="nil"/>
              <w:right w:val="nil"/>
            </w:tcBorders>
            <w:shd w:val="clear" w:color="auto" w:fill="auto"/>
            <w:noWrap/>
            <w:vAlign w:val="bottom"/>
            <w:hideMark/>
          </w:tcPr>
          <w:p w:rsidR="00B3337C" w:rsidRPr="00AA42D8" w:rsidRDefault="000746F0" w:rsidP="000746F0">
            <w:pPr>
              <w:jc w:val="right"/>
              <w:rPr>
                <w:sz w:val="18"/>
                <w:szCs w:val="18"/>
              </w:rPr>
            </w:pPr>
            <w:r w:rsidRPr="00AA42D8">
              <w:rPr>
                <w:sz w:val="18"/>
                <w:szCs w:val="18"/>
              </w:rPr>
              <w:t>4</w:t>
            </w:r>
            <w:r w:rsidR="00B3337C" w:rsidRPr="00AA42D8">
              <w:rPr>
                <w:sz w:val="18"/>
                <w:szCs w:val="18"/>
              </w:rPr>
              <w:t>,</w:t>
            </w:r>
            <w:r w:rsidRPr="00AA42D8">
              <w:rPr>
                <w:sz w:val="18"/>
                <w:szCs w:val="18"/>
              </w:rPr>
              <w:t>7</w:t>
            </w:r>
          </w:p>
        </w:tc>
        <w:tc>
          <w:tcPr>
            <w:tcW w:w="855" w:type="dxa"/>
            <w:tcBorders>
              <w:top w:val="nil"/>
              <w:left w:val="nil"/>
              <w:bottom w:val="nil"/>
              <w:right w:val="single" w:sz="8" w:space="0" w:color="auto"/>
            </w:tcBorders>
            <w:shd w:val="clear" w:color="auto" w:fill="auto"/>
            <w:noWrap/>
            <w:vAlign w:val="bottom"/>
            <w:hideMark/>
          </w:tcPr>
          <w:p w:rsidR="00B3337C" w:rsidRPr="00AA42D8" w:rsidRDefault="000746F0" w:rsidP="000746F0">
            <w:pPr>
              <w:jc w:val="right"/>
              <w:rPr>
                <w:sz w:val="18"/>
                <w:szCs w:val="18"/>
              </w:rPr>
            </w:pPr>
            <w:r w:rsidRPr="00AA42D8">
              <w:rPr>
                <w:sz w:val="18"/>
                <w:szCs w:val="18"/>
              </w:rPr>
              <w:t>8</w:t>
            </w:r>
            <w:r w:rsidR="00B3337C" w:rsidRPr="00AA42D8">
              <w:rPr>
                <w:sz w:val="18"/>
                <w:szCs w:val="18"/>
              </w:rPr>
              <w:t>8,</w:t>
            </w:r>
            <w:r w:rsidRPr="00AA42D8">
              <w:rPr>
                <w:sz w:val="18"/>
                <w:szCs w:val="18"/>
              </w:rPr>
              <w:t>5</w:t>
            </w:r>
            <w:r w:rsidR="00B3337C" w:rsidRPr="00AA42D8">
              <w:rPr>
                <w:sz w:val="18"/>
                <w:szCs w:val="18"/>
              </w:rPr>
              <w:t>%</w:t>
            </w:r>
          </w:p>
        </w:tc>
      </w:tr>
      <w:tr w:rsidR="0096051A" w:rsidRPr="0096051A" w:rsidTr="00E878C3">
        <w:trPr>
          <w:trHeight w:val="255"/>
        </w:trPr>
        <w:tc>
          <w:tcPr>
            <w:tcW w:w="3686" w:type="dxa"/>
            <w:tcBorders>
              <w:top w:val="nil"/>
              <w:left w:val="single" w:sz="8" w:space="0" w:color="auto"/>
              <w:bottom w:val="nil"/>
              <w:right w:val="nil"/>
            </w:tcBorders>
            <w:shd w:val="clear" w:color="auto" w:fill="auto"/>
            <w:noWrap/>
            <w:vAlign w:val="bottom"/>
            <w:hideMark/>
          </w:tcPr>
          <w:p w:rsidR="00B3337C" w:rsidRPr="00AA42D8" w:rsidRDefault="00B3337C">
            <w:pPr>
              <w:rPr>
                <w:sz w:val="18"/>
                <w:szCs w:val="18"/>
              </w:rPr>
            </w:pPr>
            <w:r w:rsidRPr="00AA42D8">
              <w:rPr>
                <w:sz w:val="18"/>
                <w:szCs w:val="18"/>
              </w:rPr>
              <w:t xml:space="preserve">  Помощи и дарения</w:t>
            </w:r>
          </w:p>
        </w:tc>
        <w:tc>
          <w:tcPr>
            <w:tcW w:w="993" w:type="dxa"/>
            <w:tcBorders>
              <w:top w:val="nil"/>
              <w:left w:val="nil"/>
              <w:bottom w:val="nil"/>
              <w:right w:val="nil"/>
            </w:tcBorders>
            <w:shd w:val="clear" w:color="auto" w:fill="auto"/>
            <w:noWrap/>
            <w:vAlign w:val="bottom"/>
            <w:hideMark/>
          </w:tcPr>
          <w:p w:rsidR="00B3337C" w:rsidRPr="00AA42D8" w:rsidRDefault="00B3337C">
            <w:pPr>
              <w:jc w:val="right"/>
              <w:rPr>
                <w:sz w:val="18"/>
                <w:szCs w:val="18"/>
              </w:rPr>
            </w:pPr>
            <w:r w:rsidRPr="00AA42D8">
              <w:rPr>
                <w:sz w:val="18"/>
                <w:szCs w:val="18"/>
              </w:rPr>
              <w:t>2 644,4</w:t>
            </w:r>
          </w:p>
        </w:tc>
        <w:tc>
          <w:tcPr>
            <w:tcW w:w="1087" w:type="dxa"/>
            <w:tcBorders>
              <w:top w:val="nil"/>
              <w:left w:val="nil"/>
              <w:bottom w:val="nil"/>
              <w:right w:val="nil"/>
            </w:tcBorders>
            <w:shd w:val="clear" w:color="auto" w:fill="auto"/>
            <w:noWrap/>
            <w:vAlign w:val="bottom"/>
            <w:hideMark/>
          </w:tcPr>
          <w:p w:rsidR="00B3337C" w:rsidRPr="00AA42D8" w:rsidRDefault="00B3337C" w:rsidP="000746F0">
            <w:pPr>
              <w:jc w:val="right"/>
              <w:rPr>
                <w:sz w:val="18"/>
                <w:szCs w:val="18"/>
              </w:rPr>
            </w:pPr>
            <w:r w:rsidRPr="00AA42D8">
              <w:rPr>
                <w:sz w:val="18"/>
                <w:szCs w:val="18"/>
              </w:rPr>
              <w:t xml:space="preserve">1 </w:t>
            </w:r>
            <w:r w:rsidR="000746F0" w:rsidRPr="00AA42D8">
              <w:rPr>
                <w:sz w:val="18"/>
                <w:szCs w:val="18"/>
              </w:rPr>
              <w:t>520</w:t>
            </w:r>
            <w:r w:rsidRPr="00AA42D8">
              <w:rPr>
                <w:sz w:val="18"/>
                <w:szCs w:val="18"/>
              </w:rPr>
              <w:t>,</w:t>
            </w:r>
            <w:r w:rsidR="000746F0" w:rsidRPr="00AA42D8">
              <w:rPr>
                <w:sz w:val="18"/>
                <w:szCs w:val="18"/>
              </w:rPr>
              <w:t>7</w:t>
            </w:r>
          </w:p>
        </w:tc>
        <w:tc>
          <w:tcPr>
            <w:tcW w:w="1252" w:type="dxa"/>
            <w:tcBorders>
              <w:top w:val="nil"/>
              <w:left w:val="nil"/>
              <w:bottom w:val="nil"/>
              <w:right w:val="nil"/>
            </w:tcBorders>
            <w:shd w:val="clear" w:color="auto" w:fill="auto"/>
            <w:noWrap/>
            <w:vAlign w:val="bottom"/>
            <w:hideMark/>
          </w:tcPr>
          <w:p w:rsidR="00B3337C" w:rsidRPr="00AA42D8" w:rsidRDefault="000746F0" w:rsidP="000746F0">
            <w:pPr>
              <w:jc w:val="right"/>
              <w:rPr>
                <w:sz w:val="18"/>
                <w:szCs w:val="18"/>
              </w:rPr>
            </w:pPr>
            <w:r w:rsidRPr="00AA42D8">
              <w:rPr>
                <w:sz w:val="18"/>
                <w:szCs w:val="18"/>
              </w:rPr>
              <w:t>68</w:t>
            </w:r>
            <w:r w:rsidR="00B3337C" w:rsidRPr="00AA42D8">
              <w:rPr>
                <w:sz w:val="18"/>
                <w:szCs w:val="18"/>
              </w:rPr>
              <w:t>,</w:t>
            </w:r>
            <w:r w:rsidRPr="00AA42D8">
              <w:rPr>
                <w:sz w:val="18"/>
                <w:szCs w:val="18"/>
              </w:rPr>
              <w:t>3</w:t>
            </w:r>
          </w:p>
        </w:tc>
        <w:tc>
          <w:tcPr>
            <w:tcW w:w="1199" w:type="dxa"/>
            <w:tcBorders>
              <w:top w:val="nil"/>
              <w:left w:val="nil"/>
              <w:bottom w:val="single" w:sz="4" w:space="0" w:color="auto"/>
              <w:right w:val="nil"/>
            </w:tcBorders>
            <w:shd w:val="clear" w:color="auto" w:fill="auto"/>
            <w:noWrap/>
            <w:vAlign w:val="bottom"/>
            <w:hideMark/>
          </w:tcPr>
          <w:p w:rsidR="00B3337C" w:rsidRPr="00AA42D8" w:rsidRDefault="000746F0" w:rsidP="000746F0">
            <w:pPr>
              <w:jc w:val="right"/>
              <w:rPr>
                <w:sz w:val="18"/>
                <w:szCs w:val="18"/>
              </w:rPr>
            </w:pPr>
            <w:r w:rsidRPr="00AA42D8">
              <w:rPr>
                <w:sz w:val="18"/>
                <w:szCs w:val="18"/>
              </w:rPr>
              <w:t>1 452</w:t>
            </w:r>
            <w:r w:rsidR="00B3337C" w:rsidRPr="00AA42D8">
              <w:rPr>
                <w:sz w:val="18"/>
                <w:szCs w:val="18"/>
              </w:rPr>
              <w:t>,</w:t>
            </w:r>
            <w:r w:rsidRPr="00AA42D8">
              <w:rPr>
                <w:sz w:val="18"/>
                <w:szCs w:val="18"/>
              </w:rPr>
              <w:t>3</w:t>
            </w:r>
          </w:p>
        </w:tc>
        <w:tc>
          <w:tcPr>
            <w:tcW w:w="855" w:type="dxa"/>
            <w:tcBorders>
              <w:top w:val="nil"/>
              <w:left w:val="nil"/>
              <w:bottom w:val="nil"/>
              <w:right w:val="single" w:sz="8" w:space="0" w:color="auto"/>
            </w:tcBorders>
            <w:shd w:val="clear" w:color="auto" w:fill="auto"/>
            <w:noWrap/>
            <w:vAlign w:val="bottom"/>
            <w:hideMark/>
          </w:tcPr>
          <w:p w:rsidR="00B3337C" w:rsidRPr="00AA42D8" w:rsidRDefault="000746F0" w:rsidP="000746F0">
            <w:pPr>
              <w:jc w:val="right"/>
              <w:rPr>
                <w:sz w:val="18"/>
                <w:szCs w:val="18"/>
              </w:rPr>
            </w:pPr>
            <w:r w:rsidRPr="00AA42D8">
              <w:rPr>
                <w:sz w:val="18"/>
                <w:szCs w:val="18"/>
              </w:rPr>
              <w:t>57</w:t>
            </w:r>
            <w:r w:rsidR="00B3337C" w:rsidRPr="00AA42D8">
              <w:rPr>
                <w:sz w:val="18"/>
                <w:szCs w:val="18"/>
              </w:rPr>
              <w:t>,</w:t>
            </w:r>
            <w:r w:rsidRPr="00AA42D8">
              <w:rPr>
                <w:sz w:val="18"/>
                <w:szCs w:val="18"/>
              </w:rPr>
              <w:t>5</w:t>
            </w:r>
            <w:r w:rsidR="00B3337C" w:rsidRPr="00AA42D8">
              <w:rPr>
                <w:sz w:val="18"/>
                <w:szCs w:val="18"/>
              </w:rPr>
              <w:t>%</w:t>
            </w:r>
          </w:p>
        </w:tc>
      </w:tr>
      <w:tr w:rsidR="0096051A" w:rsidRPr="0096051A" w:rsidTr="00E878C3">
        <w:trPr>
          <w:trHeight w:val="480"/>
        </w:trPr>
        <w:tc>
          <w:tcPr>
            <w:tcW w:w="3686" w:type="dxa"/>
            <w:tcBorders>
              <w:top w:val="single" w:sz="4" w:space="0" w:color="auto"/>
              <w:left w:val="single" w:sz="8" w:space="0" w:color="auto"/>
              <w:bottom w:val="nil"/>
              <w:right w:val="nil"/>
            </w:tcBorders>
            <w:shd w:val="clear" w:color="auto" w:fill="auto"/>
            <w:vAlign w:val="bottom"/>
            <w:hideMark/>
          </w:tcPr>
          <w:p w:rsidR="00B3337C" w:rsidRPr="00AA42D8" w:rsidRDefault="00B3337C">
            <w:pPr>
              <w:rPr>
                <w:b/>
                <w:bCs/>
                <w:sz w:val="18"/>
                <w:szCs w:val="18"/>
              </w:rPr>
            </w:pPr>
            <w:r w:rsidRPr="00AA42D8">
              <w:rPr>
                <w:b/>
                <w:bCs/>
                <w:sz w:val="18"/>
                <w:szCs w:val="18"/>
              </w:rPr>
              <w:t>РАЗХОДИ И ВНОСКА ЗА ОБЩИЯ БЮДЖЕТ НА ЕС</w:t>
            </w:r>
          </w:p>
        </w:tc>
        <w:tc>
          <w:tcPr>
            <w:tcW w:w="993" w:type="dxa"/>
            <w:tcBorders>
              <w:top w:val="single" w:sz="4" w:space="0" w:color="auto"/>
              <w:left w:val="nil"/>
              <w:bottom w:val="nil"/>
              <w:right w:val="nil"/>
            </w:tcBorders>
            <w:shd w:val="clear" w:color="auto" w:fill="auto"/>
            <w:noWrap/>
            <w:vAlign w:val="bottom"/>
            <w:hideMark/>
          </w:tcPr>
          <w:p w:rsidR="00B3337C" w:rsidRPr="00AA42D8" w:rsidRDefault="00B3337C">
            <w:pPr>
              <w:jc w:val="right"/>
              <w:rPr>
                <w:b/>
                <w:bCs/>
                <w:sz w:val="18"/>
                <w:szCs w:val="18"/>
              </w:rPr>
            </w:pPr>
            <w:r w:rsidRPr="00AA42D8">
              <w:rPr>
                <w:b/>
                <w:bCs/>
                <w:sz w:val="18"/>
                <w:szCs w:val="18"/>
              </w:rPr>
              <w:t>36 769,6</w:t>
            </w:r>
          </w:p>
        </w:tc>
        <w:tc>
          <w:tcPr>
            <w:tcW w:w="1087" w:type="dxa"/>
            <w:tcBorders>
              <w:top w:val="single" w:sz="4" w:space="0" w:color="auto"/>
              <w:left w:val="nil"/>
              <w:bottom w:val="nil"/>
              <w:right w:val="nil"/>
            </w:tcBorders>
            <w:shd w:val="clear" w:color="auto" w:fill="auto"/>
            <w:noWrap/>
            <w:vAlign w:val="bottom"/>
            <w:hideMark/>
          </w:tcPr>
          <w:p w:rsidR="00B3337C" w:rsidRPr="001E31E7" w:rsidRDefault="00B3337C" w:rsidP="00AA42D8">
            <w:pPr>
              <w:jc w:val="right"/>
              <w:rPr>
                <w:b/>
                <w:bCs/>
                <w:sz w:val="18"/>
                <w:szCs w:val="18"/>
              </w:rPr>
            </w:pPr>
            <w:r w:rsidRPr="001E31E7">
              <w:rPr>
                <w:b/>
                <w:bCs/>
                <w:sz w:val="18"/>
                <w:szCs w:val="18"/>
              </w:rPr>
              <w:t>3</w:t>
            </w:r>
            <w:r w:rsidR="00AA42D8" w:rsidRPr="001E31E7">
              <w:rPr>
                <w:b/>
                <w:bCs/>
                <w:sz w:val="18"/>
                <w:szCs w:val="18"/>
              </w:rPr>
              <w:t>4</w:t>
            </w:r>
            <w:r w:rsidRPr="001E31E7">
              <w:rPr>
                <w:b/>
                <w:bCs/>
                <w:sz w:val="18"/>
                <w:szCs w:val="18"/>
              </w:rPr>
              <w:t xml:space="preserve"> </w:t>
            </w:r>
            <w:r w:rsidR="00AA42D8" w:rsidRPr="001E31E7">
              <w:rPr>
                <w:b/>
                <w:bCs/>
                <w:sz w:val="18"/>
                <w:szCs w:val="18"/>
              </w:rPr>
              <w:t>469</w:t>
            </w:r>
            <w:r w:rsidRPr="001E31E7">
              <w:rPr>
                <w:b/>
                <w:bCs/>
                <w:sz w:val="18"/>
                <w:szCs w:val="18"/>
              </w:rPr>
              <w:t>,</w:t>
            </w:r>
            <w:r w:rsidR="00AA42D8" w:rsidRPr="001E31E7">
              <w:rPr>
                <w:b/>
                <w:bCs/>
                <w:sz w:val="18"/>
                <w:szCs w:val="18"/>
              </w:rPr>
              <w:t>9</w:t>
            </w:r>
          </w:p>
        </w:tc>
        <w:tc>
          <w:tcPr>
            <w:tcW w:w="1252" w:type="dxa"/>
            <w:tcBorders>
              <w:top w:val="single" w:sz="4" w:space="0" w:color="auto"/>
              <w:left w:val="nil"/>
              <w:bottom w:val="nil"/>
              <w:right w:val="nil"/>
            </w:tcBorders>
            <w:shd w:val="clear" w:color="auto" w:fill="auto"/>
            <w:noWrap/>
            <w:vAlign w:val="bottom"/>
            <w:hideMark/>
          </w:tcPr>
          <w:p w:rsidR="00B3337C" w:rsidRPr="001E31E7" w:rsidRDefault="00AA42D8" w:rsidP="00E34B0F">
            <w:pPr>
              <w:jc w:val="right"/>
              <w:rPr>
                <w:b/>
                <w:bCs/>
                <w:sz w:val="18"/>
                <w:szCs w:val="18"/>
              </w:rPr>
            </w:pPr>
            <w:r w:rsidRPr="001E31E7">
              <w:rPr>
                <w:b/>
                <w:bCs/>
                <w:sz w:val="18"/>
                <w:szCs w:val="18"/>
              </w:rPr>
              <w:t>3</w:t>
            </w:r>
            <w:r w:rsidR="00B3337C" w:rsidRPr="001E31E7">
              <w:rPr>
                <w:b/>
                <w:bCs/>
                <w:sz w:val="18"/>
                <w:szCs w:val="18"/>
              </w:rPr>
              <w:t>2 3</w:t>
            </w:r>
            <w:r w:rsidR="00E34B0F" w:rsidRPr="001E31E7">
              <w:rPr>
                <w:b/>
                <w:bCs/>
                <w:sz w:val="18"/>
                <w:szCs w:val="18"/>
              </w:rPr>
              <w:t>35</w:t>
            </w:r>
            <w:r w:rsidR="00B3337C" w:rsidRPr="001E31E7">
              <w:rPr>
                <w:b/>
                <w:bCs/>
                <w:sz w:val="18"/>
                <w:szCs w:val="18"/>
              </w:rPr>
              <w:t>,</w:t>
            </w:r>
            <w:r w:rsidR="00E34B0F" w:rsidRPr="001E31E7">
              <w:rPr>
                <w:b/>
                <w:bCs/>
                <w:sz w:val="18"/>
                <w:szCs w:val="18"/>
              </w:rPr>
              <w:t>8</w:t>
            </w:r>
          </w:p>
        </w:tc>
        <w:tc>
          <w:tcPr>
            <w:tcW w:w="1199" w:type="dxa"/>
            <w:tcBorders>
              <w:top w:val="nil"/>
              <w:left w:val="nil"/>
              <w:bottom w:val="nil"/>
              <w:right w:val="nil"/>
            </w:tcBorders>
            <w:shd w:val="clear" w:color="auto" w:fill="auto"/>
            <w:noWrap/>
            <w:vAlign w:val="bottom"/>
            <w:hideMark/>
          </w:tcPr>
          <w:p w:rsidR="00B3337C" w:rsidRPr="001E31E7" w:rsidRDefault="001E31E7" w:rsidP="001E31E7">
            <w:pPr>
              <w:jc w:val="right"/>
              <w:rPr>
                <w:b/>
                <w:bCs/>
                <w:sz w:val="18"/>
                <w:szCs w:val="18"/>
              </w:rPr>
            </w:pPr>
            <w:r w:rsidRPr="001E31E7">
              <w:rPr>
                <w:b/>
                <w:bCs/>
                <w:sz w:val="18"/>
                <w:szCs w:val="18"/>
              </w:rPr>
              <w:t>2</w:t>
            </w:r>
            <w:r w:rsidR="00B3337C" w:rsidRPr="001E31E7">
              <w:rPr>
                <w:b/>
                <w:bCs/>
                <w:sz w:val="18"/>
                <w:szCs w:val="18"/>
              </w:rPr>
              <w:t xml:space="preserve"> </w:t>
            </w:r>
            <w:r w:rsidRPr="001E31E7">
              <w:rPr>
                <w:b/>
                <w:bCs/>
                <w:sz w:val="18"/>
                <w:szCs w:val="18"/>
              </w:rPr>
              <w:t>134</w:t>
            </w:r>
            <w:r w:rsidR="00B3337C" w:rsidRPr="001E31E7">
              <w:rPr>
                <w:b/>
                <w:bCs/>
                <w:sz w:val="18"/>
                <w:szCs w:val="18"/>
              </w:rPr>
              <w:t>,</w:t>
            </w:r>
            <w:r w:rsidRPr="001E31E7">
              <w:rPr>
                <w:b/>
                <w:bCs/>
                <w:sz w:val="18"/>
                <w:szCs w:val="18"/>
              </w:rPr>
              <w:t>1</w:t>
            </w:r>
          </w:p>
        </w:tc>
        <w:tc>
          <w:tcPr>
            <w:tcW w:w="855" w:type="dxa"/>
            <w:tcBorders>
              <w:top w:val="single" w:sz="4" w:space="0" w:color="auto"/>
              <w:left w:val="nil"/>
              <w:bottom w:val="nil"/>
              <w:right w:val="single" w:sz="8" w:space="0" w:color="auto"/>
            </w:tcBorders>
            <w:shd w:val="clear" w:color="auto" w:fill="auto"/>
            <w:noWrap/>
            <w:vAlign w:val="bottom"/>
            <w:hideMark/>
          </w:tcPr>
          <w:p w:rsidR="00B3337C" w:rsidRPr="007B64EB" w:rsidRDefault="001E31E7" w:rsidP="001E31E7">
            <w:pPr>
              <w:jc w:val="right"/>
              <w:rPr>
                <w:b/>
                <w:bCs/>
                <w:sz w:val="18"/>
                <w:szCs w:val="18"/>
              </w:rPr>
            </w:pPr>
            <w:r w:rsidRPr="007B64EB">
              <w:rPr>
                <w:b/>
                <w:bCs/>
                <w:sz w:val="18"/>
                <w:szCs w:val="18"/>
              </w:rPr>
              <w:t>93</w:t>
            </w:r>
            <w:r w:rsidR="00B3337C" w:rsidRPr="007B64EB">
              <w:rPr>
                <w:b/>
                <w:bCs/>
                <w:sz w:val="18"/>
                <w:szCs w:val="18"/>
              </w:rPr>
              <w:t>,</w:t>
            </w:r>
            <w:r w:rsidRPr="007B64EB">
              <w:rPr>
                <w:b/>
                <w:bCs/>
                <w:sz w:val="18"/>
                <w:szCs w:val="18"/>
              </w:rPr>
              <w:t>7</w:t>
            </w:r>
            <w:r w:rsidR="00B3337C" w:rsidRPr="007B64EB">
              <w:rPr>
                <w:b/>
                <w:bCs/>
                <w:sz w:val="18"/>
                <w:szCs w:val="18"/>
              </w:rPr>
              <w:t>%</w:t>
            </w:r>
          </w:p>
        </w:tc>
      </w:tr>
      <w:tr w:rsidR="0096051A" w:rsidRPr="0096051A" w:rsidTr="00E878C3">
        <w:trPr>
          <w:trHeight w:val="255"/>
        </w:trPr>
        <w:tc>
          <w:tcPr>
            <w:tcW w:w="3686" w:type="dxa"/>
            <w:tcBorders>
              <w:top w:val="nil"/>
              <w:left w:val="single" w:sz="8" w:space="0" w:color="auto"/>
              <w:bottom w:val="nil"/>
              <w:right w:val="nil"/>
            </w:tcBorders>
            <w:shd w:val="clear" w:color="auto" w:fill="auto"/>
            <w:noWrap/>
            <w:vAlign w:val="bottom"/>
            <w:hideMark/>
          </w:tcPr>
          <w:p w:rsidR="00B3337C" w:rsidRPr="00AA42D8" w:rsidRDefault="00B3337C">
            <w:pPr>
              <w:rPr>
                <w:sz w:val="18"/>
                <w:szCs w:val="18"/>
              </w:rPr>
            </w:pPr>
            <w:r w:rsidRPr="00AA42D8">
              <w:rPr>
                <w:sz w:val="18"/>
                <w:szCs w:val="18"/>
              </w:rPr>
              <w:t xml:space="preserve">  Нелихвени</w:t>
            </w:r>
          </w:p>
        </w:tc>
        <w:tc>
          <w:tcPr>
            <w:tcW w:w="993" w:type="dxa"/>
            <w:tcBorders>
              <w:top w:val="nil"/>
              <w:left w:val="nil"/>
              <w:bottom w:val="nil"/>
              <w:right w:val="nil"/>
            </w:tcBorders>
            <w:shd w:val="clear" w:color="auto" w:fill="auto"/>
            <w:noWrap/>
            <w:vAlign w:val="bottom"/>
            <w:hideMark/>
          </w:tcPr>
          <w:p w:rsidR="00B3337C" w:rsidRPr="00AA42D8" w:rsidRDefault="00B3337C">
            <w:pPr>
              <w:jc w:val="right"/>
              <w:rPr>
                <w:sz w:val="18"/>
                <w:szCs w:val="18"/>
              </w:rPr>
            </w:pPr>
            <w:r w:rsidRPr="00AA42D8">
              <w:rPr>
                <w:sz w:val="18"/>
                <w:szCs w:val="18"/>
              </w:rPr>
              <w:t>34 537,8</w:t>
            </w:r>
          </w:p>
        </w:tc>
        <w:tc>
          <w:tcPr>
            <w:tcW w:w="1087" w:type="dxa"/>
            <w:tcBorders>
              <w:top w:val="nil"/>
              <w:left w:val="nil"/>
              <w:bottom w:val="nil"/>
              <w:right w:val="nil"/>
            </w:tcBorders>
            <w:shd w:val="clear" w:color="auto" w:fill="auto"/>
            <w:noWrap/>
            <w:vAlign w:val="bottom"/>
            <w:hideMark/>
          </w:tcPr>
          <w:p w:rsidR="00B3337C" w:rsidRPr="001E31E7" w:rsidRDefault="001E31E7" w:rsidP="001E31E7">
            <w:pPr>
              <w:jc w:val="right"/>
              <w:rPr>
                <w:sz w:val="18"/>
                <w:szCs w:val="18"/>
              </w:rPr>
            </w:pPr>
            <w:r w:rsidRPr="001E31E7">
              <w:rPr>
                <w:sz w:val="18"/>
                <w:szCs w:val="18"/>
              </w:rPr>
              <w:t>3</w:t>
            </w:r>
            <w:r w:rsidR="00B3337C" w:rsidRPr="001E31E7">
              <w:rPr>
                <w:sz w:val="18"/>
                <w:szCs w:val="18"/>
              </w:rPr>
              <w:t>2 7</w:t>
            </w:r>
            <w:r w:rsidRPr="001E31E7">
              <w:rPr>
                <w:sz w:val="18"/>
                <w:szCs w:val="18"/>
              </w:rPr>
              <w:t>89</w:t>
            </w:r>
            <w:r w:rsidR="00B3337C" w:rsidRPr="001E31E7">
              <w:rPr>
                <w:sz w:val="18"/>
                <w:szCs w:val="18"/>
              </w:rPr>
              <w:t>,</w:t>
            </w:r>
            <w:r w:rsidRPr="001E31E7">
              <w:rPr>
                <w:sz w:val="18"/>
                <w:szCs w:val="18"/>
              </w:rPr>
              <w:t>6</w:t>
            </w:r>
          </w:p>
        </w:tc>
        <w:tc>
          <w:tcPr>
            <w:tcW w:w="1252" w:type="dxa"/>
            <w:tcBorders>
              <w:top w:val="nil"/>
              <w:left w:val="nil"/>
              <w:bottom w:val="nil"/>
              <w:right w:val="nil"/>
            </w:tcBorders>
            <w:shd w:val="clear" w:color="auto" w:fill="auto"/>
            <w:noWrap/>
            <w:vAlign w:val="bottom"/>
            <w:hideMark/>
          </w:tcPr>
          <w:p w:rsidR="00B3337C" w:rsidRPr="001E31E7" w:rsidRDefault="00E34B0F" w:rsidP="00E34B0F">
            <w:pPr>
              <w:jc w:val="right"/>
              <w:rPr>
                <w:sz w:val="18"/>
                <w:szCs w:val="18"/>
              </w:rPr>
            </w:pPr>
            <w:r w:rsidRPr="001E31E7">
              <w:rPr>
                <w:sz w:val="18"/>
                <w:szCs w:val="18"/>
              </w:rPr>
              <w:t>3</w:t>
            </w:r>
            <w:r w:rsidR="00B3337C" w:rsidRPr="001E31E7">
              <w:rPr>
                <w:sz w:val="18"/>
                <w:szCs w:val="18"/>
              </w:rPr>
              <w:t xml:space="preserve">0 </w:t>
            </w:r>
            <w:r w:rsidRPr="001E31E7">
              <w:rPr>
                <w:sz w:val="18"/>
                <w:szCs w:val="18"/>
              </w:rPr>
              <w:t>655</w:t>
            </w:r>
            <w:r w:rsidR="00B3337C" w:rsidRPr="001E31E7">
              <w:rPr>
                <w:sz w:val="18"/>
                <w:szCs w:val="18"/>
              </w:rPr>
              <w:t>,</w:t>
            </w:r>
            <w:r w:rsidRPr="001E31E7">
              <w:rPr>
                <w:sz w:val="18"/>
                <w:szCs w:val="18"/>
              </w:rPr>
              <w:t>5</w:t>
            </w:r>
          </w:p>
        </w:tc>
        <w:tc>
          <w:tcPr>
            <w:tcW w:w="1199" w:type="dxa"/>
            <w:tcBorders>
              <w:top w:val="nil"/>
              <w:left w:val="nil"/>
              <w:bottom w:val="nil"/>
              <w:right w:val="nil"/>
            </w:tcBorders>
            <w:shd w:val="clear" w:color="auto" w:fill="auto"/>
            <w:noWrap/>
            <w:vAlign w:val="bottom"/>
            <w:hideMark/>
          </w:tcPr>
          <w:p w:rsidR="00B3337C" w:rsidRPr="001E31E7" w:rsidRDefault="001E31E7" w:rsidP="001E31E7">
            <w:pPr>
              <w:jc w:val="right"/>
              <w:rPr>
                <w:sz w:val="18"/>
                <w:szCs w:val="18"/>
              </w:rPr>
            </w:pPr>
            <w:r w:rsidRPr="001E31E7">
              <w:rPr>
                <w:sz w:val="18"/>
                <w:szCs w:val="18"/>
              </w:rPr>
              <w:t>2</w:t>
            </w:r>
            <w:r w:rsidR="00B3337C" w:rsidRPr="001E31E7">
              <w:rPr>
                <w:sz w:val="18"/>
                <w:szCs w:val="18"/>
              </w:rPr>
              <w:t xml:space="preserve"> </w:t>
            </w:r>
            <w:r w:rsidRPr="001E31E7">
              <w:rPr>
                <w:sz w:val="18"/>
                <w:szCs w:val="18"/>
              </w:rPr>
              <w:t>134</w:t>
            </w:r>
            <w:r w:rsidR="00B3337C" w:rsidRPr="001E31E7">
              <w:rPr>
                <w:sz w:val="18"/>
                <w:szCs w:val="18"/>
              </w:rPr>
              <w:t>,</w:t>
            </w:r>
            <w:r w:rsidRPr="001E31E7">
              <w:rPr>
                <w:sz w:val="18"/>
                <w:szCs w:val="18"/>
              </w:rPr>
              <w:t>1</w:t>
            </w:r>
          </w:p>
        </w:tc>
        <w:tc>
          <w:tcPr>
            <w:tcW w:w="855" w:type="dxa"/>
            <w:tcBorders>
              <w:top w:val="nil"/>
              <w:left w:val="nil"/>
              <w:bottom w:val="nil"/>
              <w:right w:val="single" w:sz="8" w:space="0" w:color="auto"/>
            </w:tcBorders>
            <w:shd w:val="clear" w:color="auto" w:fill="auto"/>
            <w:noWrap/>
            <w:vAlign w:val="bottom"/>
            <w:hideMark/>
          </w:tcPr>
          <w:p w:rsidR="00B3337C" w:rsidRPr="007B64EB" w:rsidRDefault="001E31E7" w:rsidP="001E31E7">
            <w:pPr>
              <w:jc w:val="right"/>
              <w:rPr>
                <w:sz w:val="18"/>
                <w:szCs w:val="18"/>
              </w:rPr>
            </w:pPr>
            <w:r w:rsidRPr="007B64EB">
              <w:rPr>
                <w:sz w:val="18"/>
                <w:szCs w:val="18"/>
              </w:rPr>
              <w:t>9</w:t>
            </w:r>
            <w:r w:rsidR="00B3337C" w:rsidRPr="007B64EB">
              <w:rPr>
                <w:sz w:val="18"/>
                <w:szCs w:val="18"/>
              </w:rPr>
              <w:t>4,</w:t>
            </w:r>
            <w:r w:rsidRPr="007B64EB">
              <w:rPr>
                <w:sz w:val="18"/>
                <w:szCs w:val="18"/>
              </w:rPr>
              <w:t>9</w:t>
            </w:r>
            <w:r w:rsidR="00B3337C" w:rsidRPr="007B64EB">
              <w:rPr>
                <w:sz w:val="18"/>
                <w:szCs w:val="18"/>
              </w:rPr>
              <w:t>%</w:t>
            </w:r>
          </w:p>
        </w:tc>
      </w:tr>
      <w:tr w:rsidR="0096051A" w:rsidRPr="0096051A" w:rsidTr="00E878C3">
        <w:trPr>
          <w:trHeight w:val="255"/>
        </w:trPr>
        <w:tc>
          <w:tcPr>
            <w:tcW w:w="3686" w:type="dxa"/>
            <w:tcBorders>
              <w:top w:val="nil"/>
              <w:left w:val="single" w:sz="8" w:space="0" w:color="auto"/>
              <w:bottom w:val="nil"/>
              <w:right w:val="nil"/>
            </w:tcBorders>
            <w:shd w:val="clear" w:color="auto" w:fill="auto"/>
            <w:noWrap/>
            <w:vAlign w:val="bottom"/>
            <w:hideMark/>
          </w:tcPr>
          <w:p w:rsidR="00B3337C" w:rsidRPr="00AA42D8" w:rsidRDefault="00B3337C">
            <w:pPr>
              <w:rPr>
                <w:sz w:val="18"/>
                <w:szCs w:val="18"/>
              </w:rPr>
            </w:pPr>
            <w:r w:rsidRPr="00AA42D8">
              <w:rPr>
                <w:sz w:val="18"/>
                <w:szCs w:val="18"/>
              </w:rPr>
              <w:t xml:space="preserve">    Текущи</w:t>
            </w:r>
          </w:p>
        </w:tc>
        <w:tc>
          <w:tcPr>
            <w:tcW w:w="993" w:type="dxa"/>
            <w:tcBorders>
              <w:top w:val="nil"/>
              <w:left w:val="nil"/>
              <w:bottom w:val="nil"/>
              <w:right w:val="nil"/>
            </w:tcBorders>
            <w:shd w:val="clear" w:color="auto" w:fill="auto"/>
            <w:noWrap/>
            <w:vAlign w:val="bottom"/>
            <w:hideMark/>
          </w:tcPr>
          <w:p w:rsidR="00B3337C" w:rsidRPr="00AA42D8" w:rsidRDefault="00B3337C">
            <w:pPr>
              <w:jc w:val="right"/>
              <w:rPr>
                <w:sz w:val="18"/>
                <w:szCs w:val="18"/>
              </w:rPr>
            </w:pPr>
            <w:r w:rsidRPr="00AA42D8">
              <w:rPr>
                <w:sz w:val="18"/>
                <w:szCs w:val="18"/>
              </w:rPr>
              <w:t>28 334,5</w:t>
            </w:r>
          </w:p>
        </w:tc>
        <w:tc>
          <w:tcPr>
            <w:tcW w:w="1087" w:type="dxa"/>
            <w:tcBorders>
              <w:top w:val="nil"/>
              <w:left w:val="nil"/>
              <w:bottom w:val="nil"/>
              <w:right w:val="nil"/>
            </w:tcBorders>
            <w:shd w:val="clear" w:color="auto" w:fill="auto"/>
            <w:noWrap/>
            <w:vAlign w:val="bottom"/>
            <w:hideMark/>
          </w:tcPr>
          <w:p w:rsidR="00B3337C" w:rsidRPr="001E31E7" w:rsidRDefault="00B3337C" w:rsidP="001E31E7">
            <w:pPr>
              <w:jc w:val="right"/>
              <w:rPr>
                <w:sz w:val="18"/>
                <w:szCs w:val="18"/>
              </w:rPr>
            </w:pPr>
            <w:r w:rsidRPr="001E31E7">
              <w:rPr>
                <w:sz w:val="18"/>
                <w:szCs w:val="18"/>
              </w:rPr>
              <w:t>2</w:t>
            </w:r>
            <w:r w:rsidR="001E31E7" w:rsidRPr="001E31E7">
              <w:rPr>
                <w:sz w:val="18"/>
                <w:szCs w:val="18"/>
              </w:rPr>
              <w:t>9</w:t>
            </w:r>
            <w:r w:rsidRPr="001E31E7">
              <w:rPr>
                <w:sz w:val="18"/>
                <w:szCs w:val="18"/>
              </w:rPr>
              <w:t xml:space="preserve"> </w:t>
            </w:r>
            <w:r w:rsidR="001E31E7" w:rsidRPr="001E31E7">
              <w:rPr>
                <w:sz w:val="18"/>
                <w:szCs w:val="18"/>
              </w:rPr>
              <w:t>033</w:t>
            </w:r>
            <w:r w:rsidRPr="001E31E7">
              <w:rPr>
                <w:sz w:val="18"/>
                <w:szCs w:val="18"/>
              </w:rPr>
              <w:t>,7</w:t>
            </w:r>
          </w:p>
        </w:tc>
        <w:tc>
          <w:tcPr>
            <w:tcW w:w="1252" w:type="dxa"/>
            <w:tcBorders>
              <w:top w:val="nil"/>
              <w:left w:val="nil"/>
              <w:bottom w:val="nil"/>
              <w:right w:val="nil"/>
            </w:tcBorders>
            <w:shd w:val="clear" w:color="auto" w:fill="auto"/>
            <w:noWrap/>
            <w:vAlign w:val="bottom"/>
            <w:hideMark/>
          </w:tcPr>
          <w:p w:rsidR="00B3337C" w:rsidRPr="001E31E7" w:rsidRDefault="00B3337C" w:rsidP="00E34B0F">
            <w:pPr>
              <w:jc w:val="right"/>
              <w:rPr>
                <w:sz w:val="18"/>
                <w:szCs w:val="18"/>
              </w:rPr>
            </w:pPr>
            <w:r w:rsidRPr="001E31E7">
              <w:rPr>
                <w:sz w:val="18"/>
                <w:szCs w:val="18"/>
              </w:rPr>
              <w:t>2</w:t>
            </w:r>
            <w:r w:rsidR="00E34B0F" w:rsidRPr="001E31E7">
              <w:rPr>
                <w:sz w:val="18"/>
                <w:szCs w:val="18"/>
              </w:rPr>
              <w:t>8</w:t>
            </w:r>
            <w:r w:rsidRPr="001E31E7">
              <w:rPr>
                <w:sz w:val="18"/>
                <w:szCs w:val="18"/>
              </w:rPr>
              <w:t xml:space="preserve"> </w:t>
            </w:r>
            <w:r w:rsidR="00E34B0F" w:rsidRPr="001E31E7">
              <w:rPr>
                <w:sz w:val="18"/>
                <w:szCs w:val="18"/>
              </w:rPr>
              <w:t>134</w:t>
            </w:r>
            <w:r w:rsidRPr="001E31E7">
              <w:rPr>
                <w:sz w:val="18"/>
                <w:szCs w:val="18"/>
              </w:rPr>
              <w:t>,</w:t>
            </w:r>
            <w:r w:rsidR="00E34B0F" w:rsidRPr="001E31E7">
              <w:rPr>
                <w:sz w:val="18"/>
                <w:szCs w:val="18"/>
              </w:rPr>
              <w:t>9</w:t>
            </w:r>
          </w:p>
        </w:tc>
        <w:tc>
          <w:tcPr>
            <w:tcW w:w="1199" w:type="dxa"/>
            <w:tcBorders>
              <w:top w:val="nil"/>
              <w:left w:val="nil"/>
              <w:bottom w:val="nil"/>
              <w:right w:val="nil"/>
            </w:tcBorders>
            <w:shd w:val="clear" w:color="auto" w:fill="auto"/>
            <w:noWrap/>
            <w:vAlign w:val="bottom"/>
            <w:hideMark/>
          </w:tcPr>
          <w:p w:rsidR="00B3337C" w:rsidRPr="001E31E7" w:rsidRDefault="001E31E7" w:rsidP="001E31E7">
            <w:pPr>
              <w:jc w:val="right"/>
              <w:rPr>
                <w:sz w:val="18"/>
                <w:szCs w:val="18"/>
              </w:rPr>
            </w:pPr>
            <w:r w:rsidRPr="001E31E7">
              <w:rPr>
                <w:sz w:val="18"/>
                <w:szCs w:val="18"/>
              </w:rPr>
              <w:t>8</w:t>
            </w:r>
            <w:r w:rsidR="00B3337C" w:rsidRPr="001E31E7">
              <w:rPr>
                <w:sz w:val="18"/>
                <w:szCs w:val="18"/>
              </w:rPr>
              <w:t>9</w:t>
            </w:r>
            <w:r w:rsidRPr="001E31E7">
              <w:rPr>
                <w:sz w:val="18"/>
                <w:szCs w:val="18"/>
              </w:rPr>
              <w:t>8</w:t>
            </w:r>
            <w:r w:rsidR="00B3337C" w:rsidRPr="001E31E7">
              <w:rPr>
                <w:sz w:val="18"/>
                <w:szCs w:val="18"/>
              </w:rPr>
              <w:t>,</w:t>
            </w:r>
            <w:r w:rsidRPr="001E31E7">
              <w:rPr>
                <w:sz w:val="18"/>
                <w:szCs w:val="18"/>
              </w:rPr>
              <w:t>8</w:t>
            </w:r>
          </w:p>
        </w:tc>
        <w:tc>
          <w:tcPr>
            <w:tcW w:w="855" w:type="dxa"/>
            <w:tcBorders>
              <w:top w:val="nil"/>
              <w:left w:val="nil"/>
              <w:bottom w:val="nil"/>
              <w:right w:val="single" w:sz="8" w:space="0" w:color="auto"/>
            </w:tcBorders>
            <w:shd w:val="clear" w:color="auto" w:fill="auto"/>
            <w:noWrap/>
            <w:vAlign w:val="bottom"/>
            <w:hideMark/>
          </w:tcPr>
          <w:p w:rsidR="00B3337C" w:rsidRPr="007B64EB" w:rsidRDefault="001E31E7" w:rsidP="001E31E7">
            <w:pPr>
              <w:jc w:val="right"/>
              <w:rPr>
                <w:sz w:val="18"/>
                <w:szCs w:val="18"/>
              </w:rPr>
            </w:pPr>
            <w:r w:rsidRPr="007B64EB">
              <w:rPr>
                <w:sz w:val="18"/>
                <w:szCs w:val="18"/>
              </w:rPr>
              <w:t>102</w:t>
            </w:r>
            <w:r w:rsidR="00B3337C" w:rsidRPr="007B64EB">
              <w:rPr>
                <w:sz w:val="18"/>
                <w:szCs w:val="18"/>
              </w:rPr>
              <w:t>,</w:t>
            </w:r>
            <w:r w:rsidRPr="007B64EB">
              <w:rPr>
                <w:sz w:val="18"/>
                <w:szCs w:val="18"/>
              </w:rPr>
              <w:t>5</w:t>
            </w:r>
            <w:r w:rsidR="00B3337C" w:rsidRPr="007B64EB">
              <w:rPr>
                <w:sz w:val="18"/>
                <w:szCs w:val="18"/>
              </w:rPr>
              <w:t>%</w:t>
            </w:r>
          </w:p>
        </w:tc>
      </w:tr>
      <w:tr w:rsidR="0096051A" w:rsidRPr="0096051A" w:rsidTr="00E878C3">
        <w:trPr>
          <w:trHeight w:val="255"/>
        </w:trPr>
        <w:tc>
          <w:tcPr>
            <w:tcW w:w="3686" w:type="dxa"/>
            <w:tcBorders>
              <w:top w:val="nil"/>
              <w:left w:val="single" w:sz="8" w:space="0" w:color="auto"/>
              <w:bottom w:val="nil"/>
              <w:right w:val="nil"/>
            </w:tcBorders>
            <w:shd w:val="clear" w:color="auto" w:fill="auto"/>
            <w:noWrap/>
            <w:vAlign w:val="bottom"/>
            <w:hideMark/>
          </w:tcPr>
          <w:p w:rsidR="00B3337C" w:rsidRPr="00AA42D8" w:rsidRDefault="00B3337C">
            <w:pPr>
              <w:rPr>
                <w:sz w:val="18"/>
                <w:szCs w:val="18"/>
              </w:rPr>
            </w:pPr>
            <w:r w:rsidRPr="00AA42D8">
              <w:rPr>
                <w:sz w:val="18"/>
                <w:szCs w:val="18"/>
              </w:rPr>
              <w:t xml:space="preserve">    Капиталови</w:t>
            </w:r>
          </w:p>
        </w:tc>
        <w:tc>
          <w:tcPr>
            <w:tcW w:w="993" w:type="dxa"/>
            <w:tcBorders>
              <w:top w:val="nil"/>
              <w:left w:val="nil"/>
              <w:bottom w:val="nil"/>
              <w:right w:val="nil"/>
            </w:tcBorders>
            <w:shd w:val="clear" w:color="auto" w:fill="auto"/>
            <w:noWrap/>
            <w:vAlign w:val="bottom"/>
            <w:hideMark/>
          </w:tcPr>
          <w:p w:rsidR="00B3337C" w:rsidRPr="00AA42D8" w:rsidRDefault="00B3337C">
            <w:pPr>
              <w:jc w:val="right"/>
              <w:rPr>
                <w:sz w:val="18"/>
                <w:szCs w:val="18"/>
              </w:rPr>
            </w:pPr>
            <w:r w:rsidRPr="00AA42D8">
              <w:rPr>
                <w:sz w:val="18"/>
                <w:szCs w:val="18"/>
              </w:rPr>
              <w:t>6 203,3</w:t>
            </w:r>
          </w:p>
        </w:tc>
        <w:tc>
          <w:tcPr>
            <w:tcW w:w="1087" w:type="dxa"/>
            <w:tcBorders>
              <w:top w:val="nil"/>
              <w:left w:val="nil"/>
              <w:bottom w:val="nil"/>
              <w:right w:val="nil"/>
            </w:tcBorders>
            <w:shd w:val="clear" w:color="auto" w:fill="auto"/>
            <w:noWrap/>
            <w:vAlign w:val="bottom"/>
            <w:hideMark/>
          </w:tcPr>
          <w:p w:rsidR="00B3337C" w:rsidRPr="001E31E7" w:rsidRDefault="001E31E7" w:rsidP="001E31E7">
            <w:pPr>
              <w:jc w:val="right"/>
              <w:rPr>
                <w:sz w:val="18"/>
                <w:szCs w:val="18"/>
              </w:rPr>
            </w:pPr>
            <w:r w:rsidRPr="001E31E7">
              <w:rPr>
                <w:sz w:val="18"/>
                <w:szCs w:val="18"/>
              </w:rPr>
              <w:t>3</w:t>
            </w:r>
            <w:r w:rsidR="00B3337C" w:rsidRPr="001E31E7">
              <w:rPr>
                <w:sz w:val="18"/>
                <w:szCs w:val="18"/>
              </w:rPr>
              <w:t xml:space="preserve"> 7</w:t>
            </w:r>
            <w:r w:rsidRPr="001E31E7">
              <w:rPr>
                <w:sz w:val="18"/>
                <w:szCs w:val="18"/>
              </w:rPr>
              <w:t>5</w:t>
            </w:r>
            <w:r w:rsidR="00B3337C" w:rsidRPr="001E31E7">
              <w:rPr>
                <w:sz w:val="18"/>
                <w:szCs w:val="18"/>
              </w:rPr>
              <w:t>5,</w:t>
            </w:r>
            <w:r w:rsidRPr="001E31E7">
              <w:rPr>
                <w:sz w:val="18"/>
                <w:szCs w:val="18"/>
              </w:rPr>
              <w:t>9</w:t>
            </w:r>
          </w:p>
        </w:tc>
        <w:tc>
          <w:tcPr>
            <w:tcW w:w="1252" w:type="dxa"/>
            <w:tcBorders>
              <w:top w:val="nil"/>
              <w:left w:val="nil"/>
              <w:bottom w:val="nil"/>
              <w:right w:val="nil"/>
            </w:tcBorders>
            <w:shd w:val="clear" w:color="auto" w:fill="auto"/>
            <w:noWrap/>
            <w:vAlign w:val="bottom"/>
            <w:hideMark/>
          </w:tcPr>
          <w:p w:rsidR="00B3337C" w:rsidRPr="001E31E7" w:rsidRDefault="00E34B0F" w:rsidP="00E34B0F">
            <w:pPr>
              <w:jc w:val="right"/>
              <w:rPr>
                <w:sz w:val="18"/>
                <w:szCs w:val="18"/>
              </w:rPr>
            </w:pPr>
            <w:r w:rsidRPr="001E31E7">
              <w:rPr>
                <w:sz w:val="18"/>
                <w:szCs w:val="18"/>
              </w:rPr>
              <w:t>2 520</w:t>
            </w:r>
            <w:r w:rsidR="00B3337C" w:rsidRPr="001E31E7">
              <w:rPr>
                <w:sz w:val="18"/>
                <w:szCs w:val="18"/>
              </w:rPr>
              <w:t>,</w:t>
            </w:r>
            <w:r w:rsidRPr="001E31E7">
              <w:rPr>
                <w:sz w:val="18"/>
                <w:szCs w:val="18"/>
              </w:rPr>
              <w:t>6</w:t>
            </w:r>
          </w:p>
        </w:tc>
        <w:tc>
          <w:tcPr>
            <w:tcW w:w="1199" w:type="dxa"/>
            <w:tcBorders>
              <w:top w:val="nil"/>
              <w:left w:val="nil"/>
              <w:bottom w:val="nil"/>
              <w:right w:val="nil"/>
            </w:tcBorders>
            <w:shd w:val="clear" w:color="auto" w:fill="auto"/>
            <w:noWrap/>
            <w:vAlign w:val="bottom"/>
            <w:hideMark/>
          </w:tcPr>
          <w:p w:rsidR="00B3337C" w:rsidRPr="001E31E7" w:rsidRDefault="001E31E7" w:rsidP="001E31E7">
            <w:pPr>
              <w:jc w:val="right"/>
              <w:rPr>
                <w:sz w:val="18"/>
                <w:szCs w:val="18"/>
              </w:rPr>
            </w:pPr>
            <w:r w:rsidRPr="001E31E7">
              <w:rPr>
                <w:sz w:val="18"/>
                <w:szCs w:val="18"/>
              </w:rPr>
              <w:t>1 235</w:t>
            </w:r>
            <w:r w:rsidR="00B3337C" w:rsidRPr="001E31E7">
              <w:rPr>
                <w:sz w:val="18"/>
                <w:szCs w:val="18"/>
              </w:rPr>
              <w:t>,</w:t>
            </w:r>
            <w:r w:rsidRPr="001E31E7">
              <w:rPr>
                <w:sz w:val="18"/>
                <w:szCs w:val="18"/>
              </w:rPr>
              <w:t>4</w:t>
            </w:r>
          </w:p>
        </w:tc>
        <w:tc>
          <w:tcPr>
            <w:tcW w:w="855" w:type="dxa"/>
            <w:tcBorders>
              <w:top w:val="nil"/>
              <w:left w:val="nil"/>
              <w:bottom w:val="nil"/>
              <w:right w:val="single" w:sz="8" w:space="0" w:color="auto"/>
            </w:tcBorders>
            <w:shd w:val="clear" w:color="auto" w:fill="auto"/>
            <w:noWrap/>
            <w:vAlign w:val="bottom"/>
            <w:hideMark/>
          </w:tcPr>
          <w:p w:rsidR="00B3337C" w:rsidRPr="007B64EB" w:rsidRDefault="001E31E7" w:rsidP="001E31E7">
            <w:pPr>
              <w:jc w:val="right"/>
              <w:rPr>
                <w:sz w:val="18"/>
                <w:szCs w:val="18"/>
              </w:rPr>
            </w:pPr>
            <w:r w:rsidRPr="007B64EB">
              <w:rPr>
                <w:sz w:val="18"/>
                <w:szCs w:val="18"/>
              </w:rPr>
              <w:t>60</w:t>
            </w:r>
            <w:r w:rsidR="00B3337C" w:rsidRPr="007B64EB">
              <w:rPr>
                <w:sz w:val="18"/>
                <w:szCs w:val="18"/>
              </w:rPr>
              <w:t>,</w:t>
            </w:r>
            <w:r w:rsidRPr="007B64EB">
              <w:rPr>
                <w:sz w:val="18"/>
                <w:szCs w:val="18"/>
              </w:rPr>
              <w:t>5</w:t>
            </w:r>
            <w:r w:rsidR="00B3337C" w:rsidRPr="007B64EB">
              <w:rPr>
                <w:sz w:val="18"/>
                <w:szCs w:val="18"/>
              </w:rPr>
              <w:t>%</w:t>
            </w:r>
          </w:p>
        </w:tc>
      </w:tr>
      <w:tr w:rsidR="0096051A" w:rsidRPr="0096051A" w:rsidTr="00E878C3">
        <w:trPr>
          <w:trHeight w:val="255"/>
        </w:trPr>
        <w:tc>
          <w:tcPr>
            <w:tcW w:w="3686" w:type="dxa"/>
            <w:tcBorders>
              <w:top w:val="nil"/>
              <w:left w:val="single" w:sz="8" w:space="0" w:color="auto"/>
              <w:bottom w:val="nil"/>
              <w:right w:val="nil"/>
            </w:tcBorders>
            <w:shd w:val="clear" w:color="auto" w:fill="auto"/>
            <w:noWrap/>
            <w:vAlign w:val="bottom"/>
            <w:hideMark/>
          </w:tcPr>
          <w:p w:rsidR="00B3337C" w:rsidRPr="00AA42D8" w:rsidRDefault="00B3337C">
            <w:pPr>
              <w:rPr>
                <w:sz w:val="18"/>
                <w:szCs w:val="18"/>
              </w:rPr>
            </w:pPr>
            <w:r w:rsidRPr="00AA42D8">
              <w:rPr>
                <w:sz w:val="18"/>
                <w:szCs w:val="18"/>
              </w:rPr>
              <w:t xml:space="preserve">           в т.ч. нетен прираст на държавния резерв</w:t>
            </w:r>
          </w:p>
        </w:tc>
        <w:tc>
          <w:tcPr>
            <w:tcW w:w="993" w:type="dxa"/>
            <w:tcBorders>
              <w:top w:val="nil"/>
              <w:left w:val="nil"/>
              <w:bottom w:val="nil"/>
              <w:right w:val="nil"/>
            </w:tcBorders>
            <w:shd w:val="clear" w:color="auto" w:fill="auto"/>
            <w:noWrap/>
            <w:vAlign w:val="bottom"/>
            <w:hideMark/>
          </w:tcPr>
          <w:p w:rsidR="00B3337C" w:rsidRPr="00AA42D8" w:rsidRDefault="00B3337C">
            <w:pPr>
              <w:jc w:val="right"/>
              <w:rPr>
                <w:sz w:val="18"/>
                <w:szCs w:val="18"/>
              </w:rPr>
            </w:pPr>
            <w:r w:rsidRPr="00AA42D8">
              <w:rPr>
                <w:sz w:val="18"/>
                <w:szCs w:val="18"/>
              </w:rPr>
              <w:t>19,2</w:t>
            </w:r>
          </w:p>
        </w:tc>
        <w:tc>
          <w:tcPr>
            <w:tcW w:w="1087" w:type="dxa"/>
            <w:tcBorders>
              <w:top w:val="nil"/>
              <w:left w:val="nil"/>
              <w:bottom w:val="nil"/>
              <w:right w:val="nil"/>
            </w:tcBorders>
            <w:shd w:val="clear" w:color="auto" w:fill="auto"/>
            <w:noWrap/>
            <w:vAlign w:val="bottom"/>
            <w:hideMark/>
          </w:tcPr>
          <w:p w:rsidR="00B3337C" w:rsidRPr="001E31E7" w:rsidRDefault="00B3337C" w:rsidP="001E31E7">
            <w:pPr>
              <w:jc w:val="right"/>
              <w:rPr>
                <w:sz w:val="18"/>
                <w:szCs w:val="18"/>
              </w:rPr>
            </w:pPr>
            <w:r w:rsidRPr="001E31E7">
              <w:rPr>
                <w:sz w:val="18"/>
                <w:szCs w:val="18"/>
              </w:rPr>
              <w:t>2</w:t>
            </w:r>
            <w:r w:rsidR="001E31E7">
              <w:rPr>
                <w:sz w:val="18"/>
                <w:szCs w:val="18"/>
              </w:rPr>
              <w:t>6</w:t>
            </w:r>
            <w:r w:rsidRPr="001E31E7">
              <w:rPr>
                <w:sz w:val="18"/>
                <w:szCs w:val="18"/>
              </w:rPr>
              <w:t>,</w:t>
            </w:r>
            <w:r w:rsidR="001E31E7">
              <w:rPr>
                <w:sz w:val="18"/>
                <w:szCs w:val="18"/>
              </w:rPr>
              <w:t>0</w:t>
            </w:r>
          </w:p>
        </w:tc>
        <w:tc>
          <w:tcPr>
            <w:tcW w:w="1252" w:type="dxa"/>
            <w:tcBorders>
              <w:top w:val="nil"/>
              <w:left w:val="nil"/>
              <w:bottom w:val="nil"/>
              <w:right w:val="nil"/>
            </w:tcBorders>
            <w:shd w:val="clear" w:color="auto" w:fill="auto"/>
            <w:noWrap/>
            <w:vAlign w:val="bottom"/>
            <w:hideMark/>
          </w:tcPr>
          <w:p w:rsidR="00B3337C" w:rsidRPr="001E31E7" w:rsidRDefault="00B3337C" w:rsidP="001E31E7">
            <w:pPr>
              <w:jc w:val="right"/>
              <w:rPr>
                <w:sz w:val="18"/>
                <w:szCs w:val="18"/>
              </w:rPr>
            </w:pPr>
            <w:r w:rsidRPr="001E31E7">
              <w:rPr>
                <w:sz w:val="18"/>
                <w:szCs w:val="18"/>
              </w:rPr>
              <w:t>2</w:t>
            </w:r>
            <w:r w:rsidR="001E31E7">
              <w:rPr>
                <w:sz w:val="18"/>
                <w:szCs w:val="18"/>
              </w:rPr>
              <w:t>6</w:t>
            </w:r>
            <w:r w:rsidRPr="001E31E7">
              <w:rPr>
                <w:sz w:val="18"/>
                <w:szCs w:val="18"/>
              </w:rPr>
              <w:t>,</w:t>
            </w:r>
            <w:r w:rsidR="001E31E7">
              <w:rPr>
                <w:sz w:val="18"/>
                <w:szCs w:val="18"/>
              </w:rPr>
              <w:t>0</w:t>
            </w:r>
          </w:p>
        </w:tc>
        <w:tc>
          <w:tcPr>
            <w:tcW w:w="1199" w:type="dxa"/>
            <w:tcBorders>
              <w:top w:val="nil"/>
              <w:left w:val="nil"/>
              <w:bottom w:val="nil"/>
              <w:right w:val="nil"/>
            </w:tcBorders>
            <w:shd w:val="clear" w:color="auto" w:fill="auto"/>
            <w:noWrap/>
            <w:vAlign w:val="bottom"/>
            <w:hideMark/>
          </w:tcPr>
          <w:p w:rsidR="00B3337C" w:rsidRPr="001E31E7" w:rsidRDefault="00B3337C">
            <w:pPr>
              <w:jc w:val="right"/>
              <w:rPr>
                <w:sz w:val="18"/>
                <w:szCs w:val="18"/>
              </w:rPr>
            </w:pPr>
            <w:r w:rsidRPr="001E31E7">
              <w:rPr>
                <w:sz w:val="18"/>
                <w:szCs w:val="18"/>
              </w:rPr>
              <w:t>0,</w:t>
            </w:r>
            <w:proofErr w:type="spellStart"/>
            <w:r w:rsidRPr="001E31E7">
              <w:rPr>
                <w:sz w:val="18"/>
                <w:szCs w:val="18"/>
              </w:rPr>
              <w:t>0</w:t>
            </w:r>
            <w:proofErr w:type="spellEnd"/>
          </w:p>
        </w:tc>
        <w:tc>
          <w:tcPr>
            <w:tcW w:w="855" w:type="dxa"/>
            <w:tcBorders>
              <w:top w:val="nil"/>
              <w:left w:val="nil"/>
              <w:bottom w:val="nil"/>
              <w:right w:val="single" w:sz="8" w:space="0" w:color="auto"/>
            </w:tcBorders>
            <w:shd w:val="clear" w:color="auto" w:fill="auto"/>
            <w:noWrap/>
            <w:vAlign w:val="bottom"/>
            <w:hideMark/>
          </w:tcPr>
          <w:p w:rsidR="00B3337C" w:rsidRPr="007B64EB" w:rsidRDefault="001E31E7">
            <w:pPr>
              <w:jc w:val="right"/>
              <w:rPr>
                <w:sz w:val="18"/>
                <w:szCs w:val="18"/>
              </w:rPr>
            </w:pPr>
            <w:r w:rsidRPr="007B64EB">
              <w:rPr>
                <w:sz w:val="18"/>
                <w:szCs w:val="18"/>
              </w:rPr>
              <w:t>135,1</w:t>
            </w:r>
            <w:r w:rsidR="007B64EB" w:rsidRPr="007B64EB">
              <w:rPr>
                <w:sz w:val="18"/>
                <w:szCs w:val="18"/>
              </w:rPr>
              <w:t>%</w:t>
            </w:r>
          </w:p>
        </w:tc>
      </w:tr>
      <w:tr w:rsidR="0096051A" w:rsidRPr="0096051A" w:rsidTr="00E878C3">
        <w:trPr>
          <w:trHeight w:val="255"/>
        </w:trPr>
        <w:tc>
          <w:tcPr>
            <w:tcW w:w="3686" w:type="dxa"/>
            <w:tcBorders>
              <w:top w:val="nil"/>
              <w:left w:val="single" w:sz="8" w:space="0" w:color="auto"/>
              <w:bottom w:val="nil"/>
              <w:right w:val="nil"/>
            </w:tcBorders>
            <w:shd w:val="clear" w:color="auto" w:fill="auto"/>
            <w:noWrap/>
            <w:vAlign w:val="bottom"/>
            <w:hideMark/>
          </w:tcPr>
          <w:p w:rsidR="00B3337C" w:rsidRPr="00AA42D8" w:rsidRDefault="00B3337C">
            <w:pPr>
              <w:rPr>
                <w:sz w:val="18"/>
                <w:szCs w:val="18"/>
              </w:rPr>
            </w:pPr>
            <w:r w:rsidRPr="00AA42D8">
              <w:rPr>
                <w:sz w:val="18"/>
                <w:szCs w:val="18"/>
              </w:rPr>
              <w:t xml:space="preserve">  Лихвени</w:t>
            </w:r>
          </w:p>
        </w:tc>
        <w:tc>
          <w:tcPr>
            <w:tcW w:w="993" w:type="dxa"/>
            <w:tcBorders>
              <w:top w:val="nil"/>
              <w:left w:val="nil"/>
              <w:bottom w:val="nil"/>
              <w:right w:val="nil"/>
            </w:tcBorders>
            <w:shd w:val="clear" w:color="auto" w:fill="auto"/>
            <w:noWrap/>
            <w:vAlign w:val="bottom"/>
            <w:hideMark/>
          </w:tcPr>
          <w:p w:rsidR="00B3337C" w:rsidRPr="00AA42D8" w:rsidRDefault="00B3337C">
            <w:pPr>
              <w:jc w:val="right"/>
              <w:rPr>
                <w:sz w:val="18"/>
                <w:szCs w:val="18"/>
              </w:rPr>
            </w:pPr>
            <w:r w:rsidRPr="00AA42D8">
              <w:rPr>
                <w:sz w:val="18"/>
                <w:szCs w:val="18"/>
              </w:rPr>
              <w:t>826,8</w:t>
            </w:r>
          </w:p>
        </w:tc>
        <w:tc>
          <w:tcPr>
            <w:tcW w:w="1087" w:type="dxa"/>
            <w:tcBorders>
              <w:top w:val="nil"/>
              <w:left w:val="nil"/>
              <w:bottom w:val="nil"/>
              <w:right w:val="nil"/>
            </w:tcBorders>
            <w:shd w:val="clear" w:color="auto" w:fill="auto"/>
            <w:noWrap/>
            <w:vAlign w:val="bottom"/>
            <w:hideMark/>
          </w:tcPr>
          <w:p w:rsidR="00B3337C" w:rsidRPr="001E31E7" w:rsidRDefault="00B3337C" w:rsidP="001E31E7">
            <w:pPr>
              <w:jc w:val="right"/>
              <w:rPr>
                <w:sz w:val="18"/>
                <w:szCs w:val="18"/>
              </w:rPr>
            </w:pPr>
            <w:r w:rsidRPr="001E31E7">
              <w:rPr>
                <w:sz w:val="18"/>
                <w:szCs w:val="18"/>
              </w:rPr>
              <w:t>7</w:t>
            </w:r>
            <w:r w:rsidR="001E31E7" w:rsidRPr="001E31E7">
              <w:rPr>
                <w:sz w:val="18"/>
                <w:szCs w:val="18"/>
              </w:rPr>
              <w:t>9</w:t>
            </w:r>
            <w:r w:rsidRPr="001E31E7">
              <w:rPr>
                <w:sz w:val="18"/>
                <w:szCs w:val="18"/>
              </w:rPr>
              <w:t>2,</w:t>
            </w:r>
            <w:r w:rsidR="001E31E7" w:rsidRPr="001E31E7">
              <w:rPr>
                <w:sz w:val="18"/>
                <w:szCs w:val="18"/>
              </w:rPr>
              <w:t>1</w:t>
            </w:r>
          </w:p>
        </w:tc>
        <w:tc>
          <w:tcPr>
            <w:tcW w:w="1252" w:type="dxa"/>
            <w:tcBorders>
              <w:top w:val="nil"/>
              <w:left w:val="nil"/>
              <w:bottom w:val="nil"/>
              <w:right w:val="nil"/>
            </w:tcBorders>
            <w:shd w:val="clear" w:color="auto" w:fill="auto"/>
            <w:noWrap/>
            <w:vAlign w:val="bottom"/>
            <w:hideMark/>
          </w:tcPr>
          <w:p w:rsidR="00B3337C" w:rsidRPr="001E31E7" w:rsidRDefault="00B3337C" w:rsidP="001E31E7">
            <w:pPr>
              <w:jc w:val="right"/>
              <w:rPr>
                <w:sz w:val="18"/>
                <w:szCs w:val="18"/>
              </w:rPr>
            </w:pPr>
            <w:r w:rsidRPr="001E31E7">
              <w:rPr>
                <w:sz w:val="18"/>
                <w:szCs w:val="18"/>
              </w:rPr>
              <w:t>7</w:t>
            </w:r>
            <w:r w:rsidR="001E31E7" w:rsidRPr="001E31E7">
              <w:rPr>
                <w:sz w:val="18"/>
                <w:szCs w:val="18"/>
              </w:rPr>
              <w:t>9</w:t>
            </w:r>
            <w:r w:rsidRPr="001E31E7">
              <w:rPr>
                <w:sz w:val="18"/>
                <w:szCs w:val="18"/>
              </w:rPr>
              <w:t>2,</w:t>
            </w:r>
            <w:r w:rsidR="001E31E7" w:rsidRPr="001E31E7">
              <w:rPr>
                <w:sz w:val="18"/>
                <w:szCs w:val="18"/>
              </w:rPr>
              <w:t>1</w:t>
            </w:r>
          </w:p>
        </w:tc>
        <w:tc>
          <w:tcPr>
            <w:tcW w:w="1199" w:type="dxa"/>
            <w:tcBorders>
              <w:top w:val="nil"/>
              <w:left w:val="nil"/>
              <w:bottom w:val="nil"/>
              <w:right w:val="nil"/>
            </w:tcBorders>
            <w:shd w:val="clear" w:color="auto" w:fill="auto"/>
            <w:noWrap/>
            <w:vAlign w:val="bottom"/>
            <w:hideMark/>
          </w:tcPr>
          <w:p w:rsidR="00B3337C" w:rsidRPr="001E31E7" w:rsidRDefault="00B3337C">
            <w:pPr>
              <w:jc w:val="right"/>
              <w:rPr>
                <w:sz w:val="18"/>
                <w:szCs w:val="18"/>
              </w:rPr>
            </w:pPr>
            <w:r w:rsidRPr="001E31E7">
              <w:rPr>
                <w:sz w:val="18"/>
                <w:szCs w:val="18"/>
              </w:rPr>
              <w:t>0,</w:t>
            </w:r>
            <w:proofErr w:type="spellStart"/>
            <w:r w:rsidRPr="001E31E7">
              <w:rPr>
                <w:sz w:val="18"/>
                <w:szCs w:val="18"/>
              </w:rPr>
              <w:t>0</w:t>
            </w:r>
            <w:proofErr w:type="spellEnd"/>
          </w:p>
        </w:tc>
        <w:tc>
          <w:tcPr>
            <w:tcW w:w="855" w:type="dxa"/>
            <w:tcBorders>
              <w:top w:val="nil"/>
              <w:left w:val="nil"/>
              <w:bottom w:val="nil"/>
              <w:right w:val="single" w:sz="8" w:space="0" w:color="auto"/>
            </w:tcBorders>
            <w:shd w:val="clear" w:color="auto" w:fill="auto"/>
            <w:noWrap/>
            <w:vAlign w:val="bottom"/>
            <w:hideMark/>
          </w:tcPr>
          <w:p w:rsidR="00B3337C" w:rsidRPr="007B64EB" w:rsidRDefault="001E31E7" w:rsidP="001E31E7">
            <w:pPr>
              <w:jc w:val="right"/>
              <w:rPr>
                <w:sz w:val="18"/>
                <w:szCs w:val="18"/>
              </w:rPr>
            </w:pPr>
            <w:r w:rsidRPr="007B64EB">
              <w:rPr>
                <w:sz w:val="18"/>
                <w:szCs w:val="18"/>
              </w:rPr>
              <w:t>95</w:t>
            </w:r>
            <w:r w:rsidR="00B3337C" w:rsidRPr="007B64EB">
              <w:rPr>
                <w:sz w:val="18"/>
                <w:szCs w:val="18"/>
              </w:rPr>
              <w:t>,</w:t>
            </w:r>
            <w:r w:rsidRPr="007B64EB">
              <w:rPr>
                <w:sz w:val="18"/>
                <w:szCs w:val="18"/>
              </w:rPr>
              <w:t>8</w:t>
            </w:r>
            <w:r w:rsidR="00B3337C" w:rsidRPr="007B64EB">
              <w:rPr>
                <w:sz w:val="18"/>
                <w:szCs w:val="18"/>
              </w:rPr>
              <w:t>%</w:t>
            </w:r>
          </w:p>
        </w:tc>
      </w:tr>
      <w:tr w:rsidR="0096051A" w:rsidRPr="0096051A" w:rsidTr="00E878C3">
        <w:trPr>
          <w:trHeight w:val="255"/>
        </w:trPr>
        <w:tc>
          <w:tcPr>
            <w:tcW w:w="3686" w:type="dxa"/>
            <w:tcBorders>
              <w:top w:val="nil"/>
              <w:left w:val="single" w:sz="8" w:space="0" w:color="auto"/>
              <w:bottom w:val="nil"/>
              <w:right w:val="nil"/>
            </w:tcBorders>
            <w:shd w:val="clear" w:color="auto" w:fill="auto"/>
            <w:noWrap/>
            <w:vAlign w:val="bottom"/>
            <w:hideMark/>
          </w:tcPr>
          <w:p w:rsidR="00B3337C" w:rsidRPr="00AA42D8" w:rsidRDefault="00B3337C">
            <w:pPr>
              <w:rPr>
                <w:sz w:val="18"/>
                <w:szCs w:val="18"/>
              </w:rPr>
            </w:pPr>
            <w:r w:rsidRPr="00AA42D8">
              <w:rPr>
                <w:sz w:val="18"/>
                <w:szCs w:val="18"/>
              </w:rPr>
              <w:t xml:space="preserve">  Резерв за неотложни и непредвидени разходи</w:t>
            </w:r>
          </w:p>
        </w:tc>
        <w:tc>
          <w:tcPr>
            <w:tcW w:w="993" w:type="dxa"/>
            <w:tcBorders>
              <w:top w:val="nil"/>
              <w:left w:val="nil"/>
              <w:bottom w:val="nil"/>
              <w:right w:val="nil"/>
            </w:tcBorders>
            <w:shd w:val="clear" w:color="auto" w:fill="auto"/>
            <w:noWrap/>
            <w:vAlign w:val="bottom"/>
            <w:hideMark/>
          </w:tcPr>
          <w:p w:rsidR="00B3337C" w:rsidRPr="00AA42D8" w:rsidRDefault="00B3337C">
            <w:pPr>
              <w:jc w:val="right"/>
              <w:rPr>
                <w:sz w:val="18"/>
                <w:szCs w:val="18"/>
              </w:rPr>
            </w:pPr>
            <w:r w:rsidRPr="00AA42D8">
              <w:rPr>
                <w:sz w:val="18"/>
                <w:szCs w:val="18"/>
              </w:rPr>
              <w:t>412,5</w:t>
            </w:r>
          </w:p>
        </w:tc>
        <w:tc>
          <w:tcPr>
            <w:tcW w:w="1087" w:type="dxa"/>
            <w:tcBorders>
              <w:top w:val="nil"/>
              <w:left w:val="nil"/>
              <w:bottom w:val="nil"/>
              <w:right w:val="nil"/>
            </w:tcBorders>
            <w:shd w:val="clear" w:color="auto" w:fill="auto"/>
            <w:noWrap/>
            <w:vAlign w:val="bottom"/>
            <w:hideMark/>
          </w:tcPr>
          <w:p w:rsidR="00B3337C" w:rsidRPr="001E31E7" w:rsidRDefault="00B3337C">
            <w:pPr>
              <w:rPr>
                <w:sz w:val="18"/>
                <w:szCs w:val="18"/>
              </w:rPr>
            </w:pPr>
          </w:p>
        </w:tc>
        <w:tc>
          <w:tcPr>
            <w:tcW w:w="1252" w:type="dxa"/>
            <w:tcBorders>
              <w:top w:val="nil"/>
              <w:left w:val="nil"/>
              <w:bottom w:val="nil"/>
              <w:right w:val="nil"/>
            </w:tcBorders>
            <w:shd w:val="clear" w:color="auto" w:fill="auto"/>
            <w:noWrap/>
            <w:vAlign w:val="bottom"/>
            <w:hideMark/>
          </w:tcPr>
          <w:p w:rsidR="00B3337C" w:rsidRPr="001E31E7" w:rsidRDefault="00B3337C">
            <w:pPr>
              <w:rPr>
                <w:sz w:val="18"/>
                <w:szCs w:val="18"/>
              </w:rPr>
            </w:pPr>
          </w:p>
        </w:tc>
        <w:tc>
          <w:tcPr>
            <w:tcW w:w="1199" w:type="dxa"/>
            <w:tcBorders>
              <w:top w:val="nil"/>
              <w:left w:val="nil"/>
              <w:bottom w:val="nil"/>
              <w:right w:val="nil"/>
            </w:tcBorders>
            <w:shd w:val="clear" w:color="auto" w:fill="auto"/>
            <w:noWrap/>
            <w:vAlign w:val="bottom"/>
            <w:hideMark/>
          </w:tcPr>
          <w:p w:rsidR="00B3337C" w:rsidRPr="001E31E7" w:rsidRDefault="00B3337C">
            <w:pPr>
              <w:rPr>
                <w:sz w:val="18"/>
                <w:szCs w:val="18"/>
              </w:rPr>
            </w:pPr>
          </w:p>
        </w:tc>
        <w:tc>
          <w:tcPr>
            <w:tcW w:w="855" w:type="dxa"/>
            <w:tcBorders>
              <w:top w:val="nil"/>
              <w:left w:val="nil"/>
              <w:bottom w:val="nil"/>
              <w:right w:val="single" w:sz="8" w:space="0" w:color="auto"/>
            </w:tcBorders>
            <w:shd w:val="clear" w:color="auto" w:fill="auto"/>
            <w:noWrap/>
            <w:vAlign w:val="bottom"/>
            <w:hideMark/>
          </w:tcPr>
          <w:p w:rsidR="00B3337C" w:rsidRPr="007B64EB" w:rsidRDefault="00B3337C">
            <w:pPr>
              <w:rPr>
                <w:sz w:val="18"/>
                <w:szCs w:val="18"/>
              </w:rPr>
            </w:pPr>
            <w:r w:rsidRPr="007B64EB">
              <w:rPr>
                <w:sz w:val="18"/>
                <w:szCs w:val="18"/>
              </w:rPr>
              <w:t> </w:t>
            </w:r>
          </w:p>
        </w:tc>
      </w:tr>
      <w:tr w:rsidR="0096051A" w:rsidRPr="0096051A" w:rsidTr="00E878C3">
        <w:trPr>
          <w:trHeight w:val="255"/>
        </w:trPr>
        <w:tc>
          <w:tcPr>
            <w:tcW w:w="3686" w:type="dxa"/>
            <w:tcBorders>
              <w:top w:val="nil"/>
              <w:left w:val="single" w:sz="8" w:space="0" w:color="auto"/>
              <w:bottom w:val="single" w:sz="4" w:space="0" w:color="auto"/>
              <w:right w:val="nil"/>
            </w:tcBorders>
            <w:shd w:val="clear" w:color="auto" w:fill="auto"/>
            <w:noWrap/>
            <w:vAlign w:val="bottom"/>
            <w:hideMark/>
          </w:tcPr>
          <w:p w:rsidR="00B3337C" w:rsidRPr="00AA42D8" w:rsidRDefault="00B3337C">
            <w:pPr>
              <w:rPr>
                <w:sz w:val="18"/>
                <w:szCs w:val="18"/>
              </w:rPr>
            </w:pPr>
            <w:r w:rsidRPr="00AA42D8">
              <w:rPr>
                <w:sz w:val="18"/>
                <w:szCs w:val="18"/>
              </w:rPr>
              <w:t xml:space="preserve">  Вноска за общия бюджет на ЕС</w:t>
            </w:r>
          </w:p>
        </w:tc>
        <w:tc>
          <w:tcPr>
            <w:tcW w:w="993" w:type="dxa"/>
            <w:tcBorders>
              <w:top w:val="nil"/>
              <w:left w:val="nil"/>
              <w:bottom w:val="single" w:sz="4" w:space="0" w:color="auto"/>
              <w:right w:val="nil"/>
            </w:tcBorders>
            <w:shd w:val="clear" w:color="auto" w:fill="auto"/>
            <w:noWrap/>
            <w:vAlign w:val="bottom"/>
            <w:hideMark/>
          </w:tcPr>
          <w:p w:rsidR="00B3337C" w:rsidRPr="00AA42D8" w:rsidRDefault="00B3337C">
            <w:pPr>
              <w:jc w:val="right"/>
              <w:rPr>
                <w:sz w:val="18"/>
                <w:szCs w:val="18"/>
              </w:rPr>
            </w:pPr>
            <w:r w:rsidRPr="00AA42D8">
              <w:rPr>
                <w:sz w:val="18"/>
                <w:szCs w:val="18"/>
              </w:rPr>
              <w:t>992,6</w:t>
            </w:r>
          </w:p>
        </w:tc>
        <w:tc>
          <w:tcPr>
            <w:tcW w:w="1087" w:type="dxa"/>
            <w:tcBorders>
              <w:top w:val="nil"/>
              <w:left w:val="nil"/>
              <w:bottom w:val="single" w:sz="4" w:space="0" w:color="auto"/>
              <w:right w:val="nil"/>
            </w:tcBorders>
            <w:shd w:val="clear" w:color="auto" w:fill="auto"/>
            <w:noWrap/>
            <w:vAlign w:val="bottom"/>
            <w:hideMark/>
          </w:tcPr>
          <w:p w:rsidR="00B3337C" w:rsidRPr="001E31E7" w:rsidRDefault="001E31E7" w:rsidP="001E31E7">
            <w:pPr>
              <w:jc w:val="right"/>
              <w:rPr>
                <w:sz w:val="18"/>
                <w:szCs w:val="18"/>
              </w:rPr>
            </w:pPr>
            <w:r w:rsidRPr="001E31E7">
              <w:rPr>
                <w:sz w:val="18"/>
                <w:szCs w:val="18"/>
              </w:rPr>
              <w:t>888</w:t>
            </w:r>
            <w:r w:rsidR="00B3337C" w:rsidRPr="001E31E7">
              <w:rPr>
                <w:sz w:val="18"/>
                <w:szCs w:val="18"/>
              </w:rPr>
              <w:t>,</w:t>
            </w:r>
            <w:r w:rsidRPr="001E31E7">
              <w:rPr>
                <w:sz w:val="18"/>
                <w:szCs w:val="18"/>
              </w:rPr>
              <w:t>2</w:t>
            </w:r>
          </w:p>
        </w:tc>
        <w:tc>
          <w:tcPr>
            <w:tcW w:w="1252" w:type="dxa"/>
            <w:tcBorders>
              <w:top w:val="nil"/>
              <w:left w:val="nil"/>
              <w:bottom w:val="single" w:sz="4" w:space="0" w:color="auto"/>
              <w:right w:val="nil"/>
            </w:tcBorders>
            <w:shd w:val="clear" w:color="auto" w:fill="auto"/>
            <w:noWrap/>
            <w:vAlign w:val="bottom"/>
            <w:hideMark/>
          </w:tcPr>
          <w:p w:rsidR="00B3337C" w:rsidRPr="001E31E7" w:rsidRDefault="001E31E7" w:rsidP="001E31E7">
            <w:pPr>
              <w:jc w:val="right"/>
              <w:rPr>
                <w:sz w:val="18"/>
                <w:szCs w:val="18"/>
              </w:rPr>
            </w:pPr>
            <w:r w:rsidRPr="001E31E7">
              <w:rPr>
                <w:sz w:val="18"/>
                <w:szCs w:val="18"/>
              </w:rPr>
              <w:t>888</w:t>
            </w:r>
            <w:r w:rsidR="00B3337C" w:rsidRPr="001E31E7">
              <w:rPr>
                <w:sz w:val="18"/>
                <w:szCs w:val="18"/>
              </w:rPr>
              <w:t>,</w:t>
            </w:r>
            <w:r w:rsidRPr="001E31E7">
              <w:rPr>
                <w:sz w:val="18"/>
                <w:szCs w:val="18"/>
              </w:rPr>
              <w:t>2</w:t>
            </w:r>
          </w:p>
        </w:tc>
        <w:tc>
          <w:tcPr>
            <w:tcW w:w="1199" w:type="dxa"/>
            <w:tcBorders>
              <w:top w:val="nil"/>
              <w:left w:val="nil"/>
              <w:bottom w:val="single" w:sz="4" w:space="0" w:color="auto"/>
              <w:right w:val="nil"/>
            </w:tcBorders>
            <w:shd w:val="clear" w:color="auto" w:fill="auto"/>
            <w:noWrap/>
            <w:vAlign w:val="bottom"/>
            <w:hideMark/>
          </w:tcPr>
          <w:p w:rsidR="00B3337C" w:rsidRPr="001E31E7" w:rsidRDefault="00B3337C">
            <w:pPr>
              <w:rPr>
                <w:sz w:val="18"/>
                <w:szCs w:val="18"/>
              </w:rPr>
            </w:pPr>
            <w:r w:rsidRPr="001E31E7">
              <w:rPr>
                <w:sz w:val="18"/>
                <w:szCs w:val="18"/>
              </w:rPr>
              <w:t> </w:t>
            </w:r>
          </w:p>
        </w:tc>
        <w:tc>
          <w:tcPr>
            <w:tcW w:w="855" w:type="dxa"/>
            <w:tcBorders>
              <w:top w:val="nil"/>
              <w:left w:val="nil"/>
              <w:bottom w:val="single" w:sz="4" w:space="0" w:color="auto"/>
              <w:right w:val="single" w:sz="8" w:space="0" w:color="auto"/>
            </w:tcBorders>
            <w:shd w:val="clear" w:color="auto" w:fill="auto"/>
            <w:noWrap/>
            <w:vAlign w:val="bottom"/>
            <w:hideMark/>
          </w:tcPr>
          <w:p w:rsidR="00B3337C" w:rsidRPr="007B64EB" w:rsidRDefault="00B3337C" w:rsidP="001E31E7">
            <w:pPr>
              <w:jc w:val="right"/>
              <w:rPr>
                <w:sz w:val="18"/>
                <w:szCs w:val="18"/>
              </w:rPr>
            </w:pPr>
            <w:r w:rsidRPr="007B64EB">
              <w:rPr>
                <w:sz w:val="18"/>
                <w:szCs w:val="18"/>
              </w:rPr>
              <w:t>8</w:t>
            </w:r>
            <w:r w:rsidR="001E31E7" w:rsidRPr="007B64EB">
              <w:rPr>
                <w:sz w:val="18"/>
                <w:szCs w:val="18"/>
              </w:rPr>
              <w:t>9</w:t>
            </w:r>
            <w:r w:rsidRPr="007B64EB">
              <w:rPr>
                <w:sz w:val="18"/>
                <w:szCs w:val="18"/>
              </w:rPr>
              <w:t>,</w:t>
            </w:r>
            <w:r w:rsidR="001E31E7" w:rsidRPr="007B64EB">
              <w:rPr>
                <w:sz w:val="18"/>
                <w:szCs w:val="18"/>
              </w:rPr>
              <w:t>5</w:t>
            </w:r>
            <w:r w:rsidRPr="007B64EB">
              <w:rPr>
                <w:sz w:val="18"/>
                <w:szCs w:val="18"/>
              </w:rPr>
              <w:t>%</w:t>
            </w:r>
          </w:p>
        </w:tc>
      </w:tr>
      <w:tr w:rsidR="0096051A" w:rsidRPr="0096051A" w:rsidTr="00E878C3">
        <w:trPr>
          <w:trHeight w:val="255"/>
        </w:trPr>
        <w:tc>
          <w:tcPr>
            <w:tcW w:w="3686" w:type="dxa"/>
            <w:tcBorders>
              <w:top w:val="nil"/>
              <w:left w:val="single" w:sz="8" w:space="0" w:color="auto"/>
              <w:bottom w:val="single" w:sz="4" w:space="0" w:color="auto"/>
              <w:right w:val="nil"/>
            </w:tcBorders>
            <w:shd w:val="clear" w:color="auto" w:fill="auto"/>
            <w:noWrap/>
            <w:vAlign w:val="bottom"/>
            <w:hideMark/>
          </w:tcPr>
          <w:p w:rsidR="00B3337C" w:rsidRPr="00AA42D8" w:rsidRDefault="00B3337C">
            <w:pPr>
              <w:rPr>
                <w:sz w:val="18"/>
                <w:szCs w:val="18"/>
              </w:rPr>
            </w:pPr>
            <w:r w:rsidRPr="00AA42D8">
              <w:rPr>
                <w:sz w:val="18"/>
                <w:szCs w:val="18"/>
              </w:rPr>
              <w:t>Трансфер от централния бюджет</w:t>
            </w:r>
          </w:p>
        </w:tc>
        <w:tc>
          <w:tcPr>
            <w:tcW w:w="993" w:type="dxa"/>
            <w:tcBorders>
              <w:top w:val="nil"/>
              <w:left w:val="nil"/>
              <w:bottom w:val="single" w:sz="4" w:space="0" w:color="auto"/>
              <w:right w:val="nil"/>
            </w:tcBorders>
            <w:shd w:val="clear" w:color="auto" w:fill="auto"/>
            <w:noWrap/>
            <w:vAlign w:val="bottom"/>
            <w:hideMark/>
          </w:tcPr>
          <w:p w:rsidR="00B3337C" w:rsidRPr="00AA42D8" w:rsidRDefault="00B3337C">
            <w:pPr>
              <w:rPr>
                <w:sz w:val="18"/>
                <w:szCs w:val="18"/>
              </w:rPr>
            </w:pPr>
            <w:r w:rsidRPr="00AA42D8">
              <w:rPr>
                <w:sz w:val="18"/>
                <w:szCs w:val="18"/>
              </w:rPr>
              <w:t> </w:t>
            </w:r>
          </w:p>
        </w:tc>
        <w:tc>
          <w:tcPr>
            <w:tcW w:w="1087" w:type="dxa"/>
            <w:tcBorders>
              <w:top w:val="nil"/>
              <w:left w:val="nil"/>
              <w:bottom w:val="single" w:sz="4" w:space="0" w:color="auto"/>
              <w:right w:val="nil"/>
            </w:tcBorders>
            <w:shd w:val="clear" w:color="auto" w:fill="auto"/>
            <w:noWrap/>
            <w:vAlign w:val="bottom"/>
            <w:hideMark/>
          </w:tcPr>
          <w:p w:rsidR="00B3337C" w:rsidRPr="001E31E7" w:rsidRDefault="00B3337C">
            <w:pPr>
              <w:rPr>
                <w:sz w:val="18"/>
                <w:szCs w:val="18"/>
              </w:rPr>
            </w:pPr>
            <w:r w:rsidRPr="001E31E7">
              <w:rPr>
                <w:sz w:val="18"/>
                <w:szCs w:val="18"/>
              </w:rPr>
              <w:t> </w:t>
            </w:r>
          </w:p>
        </w:tc>
        <w:tc>
          <w:tcPr>
            <w:tcW w:w="1252" w:type="dxa"/>
            <w:tcBorders>
              <w:top w:val="nil"/>
              <w:left w:val="nil"/>
              <w:bottom w:val="single" w:sz="4" w:space="0" w:color="auto"/>
              <w:right w:val="nil"/>
            </w:tcBorders>
            <w:shd w:val="clear" w:color="auto" w:fill="auto"/>
            <w:noWrap/>
            <w:vAlign w:val="bottom"/>
            <w:hideMark/>
          </w:tcPr>
          <w:p w:rsidR="00B3337C" w:rsidRPr="001E31E7" w:rsidRDefault="00B3337C" w:rsidP="001E31E7">
            <w:pPr>
              <w:jc w:val="right"/>
              <w:rPr>
                <w:sz w:val="18"/>
                <w:szCs w:val="18"/>
              </w:rPr>
            </w:pPr>
            <w:r w:rsidRPr="001E31E7">
              <w:rPr>
                <w:sz w:val="18"/>
                <w:szCs w:val="18"/>
              </w:rPr>
              <w:t>-</w:t>
            </w:r>
            <w:r w:rsidR="001E31E7" w:rsidRPr="001E31E7">
              <w:rPr>
                <w:sz w:val="18"/>
                <w:szCs w:val="18"/>
              </w:rPr>
              <w:t xml:space="preserve">1 </w:t>
            </w:r>
            <w:r w:rsidRPr="001E31E7">
              <w:rPr>
                <w:sz w:val="18"/>
                <w:szCs w:val="18"/>
              </w:rPr>
              <w:t>2</w:t>
            </w:r>
            <w:r w:rsidR="001E31E7" w:rsidRPr="001E31E7">
              <w:rPr>
                <w:sz w:val="18"/>
                <w:szCs w:val="18"/>
              </w:rPr>
              <w:t>13</w:t>
            </w:r>
            <w:r w:rsidRPr="001E31E7">
              <w:rPr>
                <w:sz w:val="18"/>
                <w:szCs w:val="18"/>
              </w:rPr>
              <w:t>,</w:t>
            </w:r>
            <w:r w:rsidR="001E31E7" w:rsidRPr="001E31E7">
              <w:rPr>
                <w:sz w:val="18"/>
                <w:szCs w:val="18"/>
              </w:rPr>
              <w:t>2</w:t>
            </w:r>
          </w:p>
        </w:tc>
        <w:tc>
          <w:tcPr>
            <w:tcW w:w="1199" w:type="dxa"/>
            <w:tcBorders>
              <w:top w:val="nil"/>
              <w:left w:val="nil"/>
              <w:bottom w:val="single" w:sz="4" w:space="0" w:color="auto"/>
              <w:right w:val="nil"/>
            </w:tcBorders>
            <w:shd w:val="clear" w:color="auto" w:fill="auto"/>
            <w:noWrap/>
            <w:vAlign w:val="bottom"/>
            <w:hideMark/>
          </w:tcPr>
          <w:p w:rsidR="00B3337C" w:rsidRPr="001E31E7" w:rsidRDefault="001E31E7" w:rsidP="001E31E7">
            <w:pPr>
              <w:jc w:val="right"/>
              <w:rPr>
                <w:sz w:val="18"/>
                <w:szCs w:val="18"/>
              </w:rPr>
            </w:pPr>
            <w:r w:rsidRPr="001E31E7">
              <w:rPr>
                <w:sz w:val="18"/>
                <w:szCs w:val="18"/>
              </w:rPr>
              <w:t>1 213</w:t>
            </w:r>
            <w:r w:rsidR="00B3337C" w:rsidRPr="001E31E7">
              <w:rPr>
                <w:sz w:val="18"/>
                <w:szCs w:val="18"/>
              </w:rPr>
              <w:t>,</w:t>
            </w:r>
            <w:r w:rsidRPr="001E31E7">
              <w:rPr>
                <w:sz w:val="18"/>
                <w:szCs w:val="18"/>
              </w:rPr>
              <w:t>2</w:t>
            </w:r>
          </w:p>
        </w:tc>
        <w:tc>
          <w:tcPr>
            <w:tcW w:w="855" w:type="dxa"/>
            <w:tcBorders>
              <w:top w:val="nil"/>
              <w:left w:val="nil"/>
              <w:bottom w:val="single" w:sz="4" w:space="0" w:color="auto"/>
              <w:right w:val="single" w:sz="8" w:space="0" w:color="auto"/>
            </w:tcBorders>
            <w:shd w:val="clear" w:color="auto" w:fill="auto"/>
            <w:noWrap/>
            <w:vAlign w:val="bottom"/>
            <w:hideMark/>
          </w:tcPr>
          <w:p w:rsidR="00B3337C" w:rsidRPr="0096051A" w:rsidRDefault="00B3337C">
            <w:pPr>
              <w:rPr>
                <w:color w:val="0070C0"/>
                <w:sz w:val="18"/>
                <w:szCs w:val="18"/>
              </w:rPr>
            </w:pPr>
            <w:r w:rsidRPr="0096051A">
              <w:rPr>
                <w:color w:val="0070C0"/>
                <w:sz w:val="18"/>
                <w:szCs w:val="18"/>
              </w:rPr>
              <w:t> </w:t>
            </w:r>
          </w:p>
        </w:tc>
      </w:tr>
      <w:tr w:rsidR="0096051A" w:rsidRPr="0096051A" w:rsidTr="00E878C3">
        <w:trPr>
          <w:trHeight w:val="270"/>
        </w:trPr>
        <w:tc>
          <w:tcPr>
            <w:tcW w:w="3686" w:type="dxa"/>
            <w:tcBorders>
              <w:top w:val="nil"/>
              <w:left w:val="single" w:sz="8" w:space="0" w:color="auto"/>
              <w:bottom w:val="single" w:sz="8" w:space="0" w:color="auto"/>
              <w:right w:val="nil"/>
            </w:tcBorders>
            <w:shd w:val="clear" w:color="000000" w:fill="D9D9D9"/>
            <w:noWrap/>
            <w:vAlign w:val="bottom"/>
            <w:hideMark/>
          </w:tcPr>
          <w:p w:rsidR="00B3337C" w:rsidRPr="00AA42D8" w:rsidRDefault="00B3337C">
            <w:pPr>
              <w:rPr>
                <w:b/>
                <w:bCs/>
                <w:sz w:val="18"/>
                <w:szCs w:val="18"/>
              </w:rPr>
            </w:pPr>
            <w:r w:rsidRPr="00AA42D8">
              <w:rPr>
                <w:b/>
                <w:bCs/>
                <w:sz w:val="18"/>
                <w:szCs w:val="18"/>
              </w:rPr>
              <w:t>БЮДЖЕТНО САЛДО</w:t>
            </w:r>
          </w:p>
        </w:tc>
        <w:tc>
          <w:tcPr>
            <w:tcW w:w="993" w:type="dxa"/>
            <w:tcBorders>
              <w:top w:val="nil"/>
              <w:left w:val="nil"/>
              <w:bottom w:val="single" w:sz="8" w:space="0" w:color="auto"/>
              <w:right w:val="nil"/>
            </w:tcBorders>
            <w:shd w:val="clear" w:color="000000" w:fill="D9D9D9"/>
            <w:noWrap/>
            <w:vAlign w:val="bottom"/>
            <w:hideMark/>
          </w:tcPr>
          <w:p w:rsidR="00B3337C" w:rsidRPr="00AA42D8" w:rsidRDefault="00B3337C">
            <w:pPr>
              <w:jc w:val="right"/>
              <w:rPr>
                <w:b/>
                <w:bCs/>
                <w:sz w:val="18"/>
                <w:szCs w:val="18"/>
              </w:rPr>
            </w:pPr>
            <w:r w:rsidRPr="00AA42D8">
              <w:rPr>
                <w:b/>
                <w:bCs/>
                <w:sz w:val="18"/>
                <w:szCs w:val="18"/>
              </w:rPr>
              <w:t>-1 330,0</w:t>
            </w:r>
          </w:p>
        </w:tc>
        <w:tc>
          <w:tcPr>
            <w:tcW w:w="1087" w:type="dxa"/>
            <w:tcBorders>
              <w:top w:val="nil"/>
              <w:left w:val="nil"/>
              <w:bottom w:val="single" w:sz="8" w:space="0" w:color="auto"/>
              <w:right w:val="nil"/>
            </w:tcBorders>
            <w:shd w:val="clear" w:color="000000" w:fill="D9D9D9"/>
            <w:noWrap/>
            <w:vAlign w:val="bottom"/>
            <w:hideMark/>
          </w:tcPr>
          <w:p w:rsidR="00B3337C" w:rsidRPr="001E31E7" w:rsidRDefault="00B3337C" w:rsidP="00DB543D">
            <w:pPr>
              <w:jc w:val="right"/>
              <w:rPr>
                <w:b/>
                <w:bCs/>
                <w:sz w:val="18"/>
                <w:szCs w:val="18"/>
              </w:rPr>
            </w:pPr>
            <w:r w:rsidRPr="001E31E7">
              <w:rPr>
                <w:b/>
                <w:bCs/>
                <w:sz w:val="18"/>
                <w:szCs w:val="18"/>
              </w:rPr>
              <w:t xml:space="preserve"> </w:t>
            </w:r>
            <w:r w:rsidR="001E31E7" w:rsidRPr="001E31E7">
              <w:rPr>
                <w:b/>
                <w:bCs/>
                <w:sz w:val="18"/>
                <w:szCs w:val="18"/>
              </w:rPr>
              <w:t>845</w:t>
            </w:r>
            <w:r w:rsidRPr="001E31E7">
              <w:rPr>
                <w:b/>
                <w:bCs/>
                <w:sz w:val="18"/>
                <w:szCs w:val="18"/>
              </w:rPr>
              <w:t>,</w:t>
            </w:r>
            <w:r w:rsidR="00DB543D">
              <w:rPr>
                <w:b/>
                <w:bCs/>
                <w:sz w:val="18"/>
                <w:szCs w:val="18"/>
              </w:rPr>
              <w:t>2</w:t>
            </w:r>
          </w:p>
        </w:tc>
        <w:tc>
          <w:tcPr>
            <w:tcW w:w="1252" w:type="dxa"/>
            <w:tcBorders>
              <w:top w:val="nil"/>
              <w:left w:val="nil"/>
              <w:bottom w:val="single" w:sz="8" w:space="0" w:color="auto"/>
              <w:right w:val="nil"/>
            </w:tcBorders>
            <w:shd w:val="clear" w:color="000000" w:fill="D9D9D9"/>
            <w:noWrap/>
            <w:vAlign w:val="bottom"/>
            <w:hideMark/>
          </w:tcPr>
          <w:p w:rsidR="00B3337C" w:rsidRPr="001E31E7" w:rsidRDefault="00B3337C" w:rsidP="00E55A1C">
            <w:pPr>
              <w:jc w:val="right"/>
              <w:rPr>
                <w:b/>
                <w:bCs/>
                <w:sz w:val="18"/>
                <w:szCs w:val="18"/>
              </w:rPr>
            </w:pPr>
            <w:r w:rsidRPr="001E31E7">
              <w:rPr>
                <w:b/>
                <w:bCs/>
                <w:sz w:val="18"/>
                <w:szCs w:val="18"/>
              </w:rPr>
              <w:t xml:space="preserve"> </w:t>
            </w:r>
            <w:r w:rsidR="001E31E7" w:rsidRPr="001E31E7">
              <w:rPr>
                <w:b/>
                <w:bCs/>
                <w:sz w:val="18"/>
                <w:szCs w:val="18"/>
              </w:rPr>
              <w:t>309</w:t>
            </w:r>
            <w:r w:rsidRPr="001E31E7">
              <w:rPr>
                <w:b/>
                <w:bCs/>
                <w:sz w:val="18"/>
                <w:szCs w:val="18"/>
              </w:rPr>
              <w:t>,</w:t>
            </w:r>
            <w:r w:rsidR="00E55A1C">
              <w:rPr>
                <w:b/>
                <w:bCs/>
                <w:sz w:val="18"/>
                <w:szCs w:val="18"/>
              </w:rPr>
              <w:t>1</w:t>
            </w:r>
          </w:p>
        </w:tc>
        <w:tc>
          <w:tcPr>
            <w:tcW w:w="1199" w:type="dxa"/>
            <w:tcBorders>
              <w:top w:val="nil"/>
              <w:left w:val="nil"/>
              <w:bottom w:val="single" w:sz="8" w:space="0" w:color="auto"/>
              <w:right w:val="nil"/>
            </w:tcBorders>
            <w:shd w:val="clear" w:color="000000" w:fill="D9D9D9"/>
            <w:noWrap/>
            <w:vAlign w:val="bottom"/>
            <w:hideMark/>
          </w:tcPr>
          <w:p w:rsidR="00B3337C" w:rsidRPr="001E31E7" w:rsidRDefault="001E31E7" w:rsidP="001E31E7">
            <w:pPr>
              <w:jc w:val="right"/>
              <w:rPr>
                <w:b/>
                <w:bCs/>
                <w:sz w:val="18"/>
                <w:szCs w:val="18"/>
              </w:rPr>
            </w:pPr>
            <w:r w:rsidRPr="001E31E7">
              <w:rPr>
                <w:b/>
                <w:bCs/>
                <w:sz w:val="18"/>
                <w:szCs w:val="18"/>
              </w:rPr>
              <w:t>536</w:t>
            </w:r>
            <w:r w:rsidR="00B3337C" w:rsidRPr="001E31E7">
              <w:rPr>
                <w:b/>
                <w:bCs/>
                <w:sz w:val="18"/>
                <w:szCs w:val="18"/>
              </w:rPr>
              <w:t>,</w:t>
            </w:r>
            <w:r w:rsidRPr="001E31E7">
              <w:rPr>
                <w:b/>
                <w:bCs/>
                <w:sz w:val="18"/>
                <w:szCs w:val="18"/>
              </w:rPr>
              <w:t>1</w:t>
            </w:r>
          </w:p>
        </w:tc>
        <w:tc>
          <w:tcPr>
            <w:tcW w:w="855" w:type="dxa"/>
            <w:tcBorders>
              <w:top w:val="nil"/>
              <w:left w:val="nil"/>
              <w:bottom w:val="single" w:sz="8" w:space="0" w:color="auto"/>
              <w:right w:val="single" w:sz="8" w:space="0" w:color="auto"/>
            </w:tcBorders>
            <w:shd w:val="clear" w:color="000000" w:fill="D9D9D9"/>
            <w:noWrap/>
            <w:vAlign w:val="bottom"/>
            <w:hideMark/>
          </w:tcPr>
          <w:p w:rsidR="00B3337C" w:rsidRPr="0096051A" w:rsidRDefault="00B3337C">
            <w:pPr>
              <w:rPr>
                <w:b/>
                <w:bCs/>
                <w:color w:val="0070C0"/>
                <w:sz w:val="18"/>
                <w:szCs w:val="18"/>
              </w:rPr>
            </w:pPr>
            <w:r w:rsidRPr="0096051A">
              <w:rPr>
                <w:b/>
                <w:bCs/>
                <w:color w:val="0070C0"/>
                <w:sz w:val="18"/>
                <w:szCs w:val="18"/>
              </w:rPr>
              <w:t> </w:t>
            </w:r>
          </w:p>
        </w:tc>
      </w:tr>
    </w:tbl>
    <w:p w:rsidR="004923E3" w:rsidRPr="0096051A" w:rsidRDefault="004923E3" w:rsidP="00987CE4">
      <w:pPr>
        <w:rPr>
          <w:b/>
          <w:i/>
          <w:color w:val="0070C0"/>
          <w:sz w:val="18"/>
          <w:szCs w:val="18"/>
        </w:rPr>
      </w:pPr>
    </w:p>
    <w:p w:rsidR="00314A5C" w:rsidRPr="0096051A" w:rsidRDefault="00987CE4" w:rsidP="007403CE">
      <w:pPr>
        <w:spacing w:before="120"/>
        <w:jc w:val="both"/>
        <w:rPr>
          <w:color w:val="0070C0"/>
        </w:rPr>
      </w:pPr>
      <w:r w:rsidRPr="003D58B0">
        <w:rPr>
          <w:b/>
        </w:rPr>
        <w:t>Приходите</w:t>
      </w:r>
      <w:r w:rsidR="00B3337C" w:rsidRPr="003D58B0">
        <w:rPr>
          <w:b/>
        </w:rPr>
        <w:t>,</w:t>
      </w:r>
      <w:r w:rsidR="00867198" w:rsidRPr="003D58B0">
        <w:rPr>
          <w:b/>
        </w:rPr>
        <w:t xml:space="preserve"> помощите</w:t>
      </w:r>
      <w:r w:rsidR="00B3337C" w:rsidRPr="003D58B0">
        <w:rPr>
          <w:b/>
        </w:rPr>
        <w:t xml:space="preserve"> и даренията</w:t>
      </w:r>
      <w:r w:rsidRPr="003D58B0">
        <w:rPr>
          <w:b/>
        </w:rPr>
        <w:t xml:space="preserve"> по консолидираната фискална програма</w:t>
      </w:r>
      <w:r w:rsidRPr="003D58B0">
        <w:t xml:space="preserve"> (КФП) </w:t>
      </w:r>
      <w:r w:rsidR="009B6E1E" w:rsidRPr="003D58B0">
        <w:t xml:space="preserve">за </w:t>
      </w:r>
      <w:r w:rsidRPr="003D58B0">
        <w:t>201</w:t>
      </w:r>
      <w:r w:rsidR="006E0F71" w:rsidRPr="003D58B0">
        <w:t>7</w:t>
      </w:r>
      <w:r w:rsidRPr="003D58B0">
        <w:t xml:space="preserve"> г. са в размер на </w:t>
      </w:r>
      <w:r w:rsidR="003D58B0" w:rsidRPr="003D58B0">
        <w:rPr>
          <w:b/>
          <w:bCs/>
          <w:lang w:val="en-US"/>
        </w:rPr>
        <w:t>35</w:t>
      </w:r>
      <w:r w:rsidR="00B3337C" w:rsidRPr="003D58B0">
        <w:rPr>
          <w:b/>
          <w:bCs/>
        </w:rPr>
        <w:t> </w:t>
      </w:r>
      <w:r w:rsidR="003D58B0" w:rsidRPr="003D58B0">
        <w:rPr>
          <w:b/>
          <w:bCs/>
          <w:lang w:val="en-US"/>
        </w:rPr>
        <w:t>31</w:t>
      </w:r>
      <w:r w:rsidR="00B3337C" w:rsidRPr="003D58B0">
        <w:rPr>
          <w:b/>
          <w:bCs/>
        </w:rPr>
        <w:t>5,</w:t>
      </w:r>
      <w:r w:rsidR="003D58B0" w:rsidRPr="003D58B0">
        <w:rPr>
          <w:b/>
          <w:bCs/>
          <w:lang w:val="en-US"/>
        </w:rPr>
        <w:t>2</w:t>
      </w:r>
      <w:r w:rsidR="001B1217" w:rsidRPr="003D58B0">
        <w:rPr>
          <w:b/>
          <w:bCs/>
        </w:rPr>
        <w:t> </w:t>
      </w:r>
      <w:r w:rsidRPr="003D58B0">
        <w:rPr>
          <w:b/>
        </w:rPr>
        <w:t>млн. лв.</w:t>
      </w:r>
      <w:r w:rsidR="009B6E1E" w:rsidRPr="003D58B0">
        <w:rPr>
          <w:b/>
          <w:bCs/>
        </w:rPr>
        <w:t xml:space="preserve">, което представлява </w:t>
      </w:r>
      <w:r w:rsidR="003D58B0" w:rsidRPr="003D58B0">
        <w:rPr>
          <w:b/>
          <w:bCs/>
          <w:lang w:val="en-US"/>
        </w:rPr>
        <w:t>99</w:t>
      </w:r>
      <w:r w:rsidR="009B6E1E" w:rsidRPr="003D58B0">
        <w:rPr>
          <w:b/>
          <w:bCs/>
        </w:rPr>
        <w:t>,</w:t>
      </w:r>
      <w:r w:rsidR="003D58B0" w:rsidRPr="003D58B0">
        <w:rPr>
          <w:b/>
          <w:bCs/>
          <w:lang w:val="en-US"/>
        </w:rPr>
        <w:t>6</w:t>
      </w:r>
      <w:r w:rsidR="009B6E1E" w:rsidRPr="003D58B0">
        <w:rPr>
          <w:b/>
          <w:bCs/>
        </w:rPr>
        <w:t xml:space="preserve"> % от годишните разчети към ЗДБРБ за 2017 година. </w:t>
      </w:r>
      <w:r w:rsidR="00AD7381" w:rsidRPr="003D58B0">
        <w:t xml:space="preserve">Постъпленията в групата </w:t>
      </w:r>
      <w:r w:rsidR="00480E29" w:rsidRPr="003D58B0">
        <w:t xml:space="preserve">на данъчните приходи </w:t>
      </w:r>
      <w:r w:rsidR="003D58B0" w:rsidRPr="003D58B0">
        <w:t xml:space="preserve">нарастват номинално с </w:t>
      </w:r>
      <w:r w:rsidR="003D58B0" w:rsidRPr="003D58B0">
        <w:rPr>
          <w:lang w:val="en-US"/>
        </w:rPr>
        <w:t>2</w:t>
      </w:r>
      <w:r w:rsidR="00AD7381" w:rsidRPr="003D58B0">
        <w:t xml:space="preserve"> </w:t>
      </w:r>
      <w:r w:rsidR="003D58B0" w:rsidRPr="003D58B0">
        <w:rPr>
          <w:lang w:val="en-US"/>
        </w:rPr>
        <w:t>678</w:t>
      </w:r>
      <w:r w:rsidR="00AD7381" w:rsidRPr="003D58B0">
        <w:t>,</w:t>
      </w:r>
      <w:r w:rsidR="003D58B0" w:rsidRPr="003D58B0">
        <w:rPr>
          <w:lang w:val="en-US"/>
        </w:rPr>
        <w:t>6</w:t>
      </w:r>
      <w:r w:rsidR="00AD7381" w:rsidRPr="003D58B0">
        <w:t xml:space="preserve"> млн. лв. (</w:t>
      </w:r>
      <w:r w:rsidR="003D58B0" w:rsidRPr="003D58B0">
        <w:rPr>
          <w:lang w:val="en-US"/>
        </w:rPr>
        <w:t>10</w:t>
      </w:r>
      <w:r w:rsidR="00AD7381" w:rsidRPr="003D58B0">
        <w:t>,</w:t>
      </w:r>
      <w:r w:rsidR="003D58B0" w:rsidRPr="003D58B0">
        <w:rPr>
          <w:lang w:val="en-US"/>
        </w:rPr>
        <w:t>0</w:t>
      </w:r>
      <w:r w:rsidR="00AD7381" w:rsidRPr="003D58B0">
        <w:t xml:space="preserve"> %) спрямо отчетените за 2016 г.</w:t>
      </w:r>
      <w:r w:rsidR="00480E29" w:rsidRPr="003D58B0">
        <w:t xml:space="preserve"> и </w:t>
      </w:r>
      <w:r w:rsidR="00AD7381" w:rsidRPr="003D58B0">
        <w:t xml:space="preserve"> </w:t>
      </w:r>
      <w:r w:rsidR="00480E29" w:rsidRPr="003D58B0">
        <w:rPr>
          <w:bCs/>
        </w:rPr>
        <w:t xml:space="preserve">представляват </w:t>
      </w:r>
      <w:r w:rsidR="00480E29" w:rsidRPr="003D58B0">
        <w:t>83,</w:t>
      </w:r>
      <w:r w:rsidR="003D58B0" w:rsidRPr="003D58B0">
        <w:rPr>
          <w:lang w:val="en-US"/>
        </w:rPr>
        <w:t>8</w:t>
      </w:r>
      <w:r w:rsidR="00480E29" w:rsidRPr="003D58B0">
        <w:t xml:space="preserve"> % от общите постъпления по КФП за периода. </w:t>
      </w:r>
      <w:r w:rsidR="00AD7381" w:rsidRPr="003D58B0">
        <w:t>Неданъчните приходи остават близки до отчетените за същия период на предходната година</w:t>
      </w:r>
      <w:r w:rsidR="00D86BF0" w:rsidRPr="003D58B0">
        <w:rPr>
          <w:bCs/>
        </w:rPr>
        <w:t>, докато при постъпленията от помощи</w:t>
      </w:r>
      <w:r w:rsidR="00B3337C" w:rsidRPr="003D58B0">
        <w:rPr>
          <w:bCs/>
        </w:rPr>
        <w:t xml:space="preserve"> </w:t>
      </w:r>
      <w:r w:rsidR="00D86BF0" w:rsidRPr="003D58B0">
        <w:rPr>
          <w:bCs/>
        </w:rPr>
        <w:t xml:space="preserve">се отчита намаление основно поради </w:t>
      </w:r>
      <w:r w:rsidR="007375A7">
        <w:rPr>
          <w:bCs/>
        </w:rPr>
        <w:t xml:space="preserve">посоченият по-горе </w:t>
      </w:r>
      <w:r w:rsidR="00D86BF0" w:rsidRPr="003D58B0">
        <w:rPr>
          <w:bCs/>
        </w:rPr>
        <w:t>базов ефект в 2016 г</w:t>
      </w:r>
      <w:r w:rsidR="00650BBC">
        <w:rPr>
          <w:bCs/>
        </w:rPr>
        <w:t>одина</w:t>
      </w:r>
      <w:r w:rsidR="00D86BF0" w:rsidRPr="003D58B0">
        <w:rPr>
          <w:bCs/>
        </w:rPr>
        <w:t>.</w:t>
      </w:r>
      <w:r w:rsidR="00D86BF0" w:rsidRPr="003D58B0">
        <w:t xml:space="preserve"> </w:t>
      </w:r>
    </w:p>
    <w:p w:rsidR="00D9270B" w:rsidRPr="003D58B0" w:rsidRDefault="00A04FFB" w:rsidP="00277E9F">
      <w:pPr>
        <w:spacing w:before="120"/>
        <w:jc w:val="both"/>
      </w:pPr>
      <w:r w:rsidRPr="003D58B0">
        <w:t>Общата сума</w:t>
      </w:r>
      <w:r w:rsidRPr="003D58B0">
        <w:rPr>
          <w:b/>
        </w:rPr>
        <w:t xml:space="preserve"> </w:t>
      </w:r>
      <w:r w:rsidRPr="003D58B0">
        <w:t>на</w:t>
      </w:r>
      <w:r w:rsidRPr="003D58B0">
        <w:rPr>
          <w:b/>
        </w:rPr>
        <w:t xml:space="preserve"> </w:t>
      </w:r>
      <w:r w:rsidRPr="003D58B0">
        <w:rPr>
          <w:b/>
          <w:i/>
        </w:rPr>
        <w:t>данъчните постъпления</w:t>
      </w:r>
      <w:r w:rsidRPr="003D58B0">
        <w:t xml:space="preserve"> (вкл. приходите от осигурителни вноски) </w:t>
      </w:r>
      <w:r w:rsidR="006E0F71" w:rsidRPr="003D58B0">
        <w:t xml:space="preserve">са в размер на </w:t>
      </w:r>
      <w:r w:rsidR="00E02F1A" w:rsidRPr="003D58B0">
        <w:rPr>
          <w:b/>
          <w:i/>
        </w:rPr>
        <w:t>2</w:t>
      </w:r>
      <w:r w:rsidR="003D58B0" w:rsidRPr="003D58B0">
        <w:rPr>
          <w:b/>
          <w:i/>
          <w:lang w:val="en-US"/>
        </w:rPr>
        <w:t>9</w:t>
      </w:r>
      <w:r w:rsidR="00E02F1A" w:rsidRPr="003D58B0">
        <w:rPr>
          <w:b/>
          <w:i/>
        </w:rPr>
        <w:t> 5</w:t>
      </w:r>
      <w:r w:rsidR="003D58B0" w:rsidRPr="003D58B0">
        <w:rPr>
          <w:b/>
          <w:i/>
          <w:lang w:val="en-US"/>
        </w:rPr>
        <w:t>81</w:t>
      </w:r>
      <w:r w:rsidR="00E02F1A" w:rsidRPr="003D58B0">
        <w:rPr>
          <w:b/>
          <w:i/>
        </w:rPr>
        <w:t>,</w:t>
      </w:r>
      <w:r w:rsidR="003D58B0" w:rsidRPr="003D58B0">
        <w:rPr>
          <w:b/>
          <w:i/>
          <w:lang w:val="en-US"/>
        </w:rPr>
        <w:t>3</w:t>
      </w:r>
      <w:r w:rsidR="00216586" w:rsidRPr="003D58B0">
        <w:rPr>
          <w:b/>
          <w:i/>
        </w:rPr>
        <w:t xml:space="preserve"> </w:t>
      </w:r>
      <w:r w:rsidR="006E0F71" w:rsidRPr="003D58B0">
        <w:rPr>
          <w:b/>
          <w:i/>
        </w:rPr>
        <w:t>млн. лв</w:t>
      </w:r>
      <w:r w:rsidR="006E0F71" w:rsidRPr="003D58B0">
        <w:rPr>
          <w:i/>
        </w:rPr>
        <w:t>.</w:t>
      </w:r>
      <w:r w:rsidR="006E0F71" w:rsidRPr="003D58B0">
        <w:t xml:space="preserve">, което представлява </w:t>
      </w:r>
      <w:r w:rsidR="003D58B0" w:rsidRPr="003D58B0">
        <w:rPr>
          <w:lang w:val="en-US"/>
        </w:rPr>
        <w:t>105</w:t>
      </w:r>
      <w:r w:rsidR="00AD7381" w:rsidRPr="003D58B0">
        <w:t>,</w:t>
      </w:r>
      <w:r w:rsidR="003D58B0" w:rsidRPr="003D58B0">
        <w:rPr>
          <w:lang w:val="en-US"/>
        </w:rPr>
        <w:t>5</w:t>
      </w:r>
      <w:r w:rsidR="00AD7381" w:rsidRPr="003D58B0">
        <w:t xml:space="preserve"> % изпълнение на разчети</w:t>
      </w:r>
      <w:r w:rsidR="00480E29" w:rsidRPr="003D58B0">
        <w:t>те към ЗДБРБ за 2017 г.</w:t>
      </w:r>
      <w:r w:rsidR="00AD7381" w:rsidRPr="003D58B0">
        <w:t xml:space="preserve"> </w:t>
      </w:r>
      <w:r w:rsidR="00E77415" w:rsidRPr="00E77415">
        <w:t>В структурно отношение преизпълнение на годишните разчети се отчита при повечето от основните данъци и осигурителните вноски.</w:t>
      </w:r>
      <w:r w:rsidR="00E77415">
        <w:t xml:space="preserve"> </w:t>
      </w:r>
      <w:r w:rsidRPr="003D58B0">
        <w:t xml:space="preserve">Приходите в частта на </w:t>
      </w:r>
      <w:r w:rsidRPr="003D58B0">
        <w:rPr>
          <w:i/>
        </w:rPr>
        <w:t>преките</w:t>
      </w:r>
      <w:r w:rsidR="00821B89" w:rsidRPr="003D58B0">
        <w:rPr>
          <w:i/>
        </w:rPr>
        <w:t xml:space="preserve"> данъци</w:t>
      </w:r>
      <w:r w:rsidRPr="003D58B0">
        <w:rPr>
          <w:i/>
        </w:rPr>
        <w:t xml:space="preserve"> </w:t>
      </w:r>
      <w:r w:rsidR="006E0F71" w:rsidRPr="003D58B0">
        <w:t xml:space="preserve">възлизат на </w:t>
      </w:r>
      <w:r w:rsidR="003D58B0" w:rsidRPr="003D58B0">
        <w:rPr>
          <w:lang w:val="en-US"/>
        </w:rPr>
        <w:t>5</w:t>
      </w:r>
      <w:r w:rsidR="00E02F1A" w:rsidRPr="003D58B0">
        <w:t> </w:t>
      </w:r>
      <w:r w:rsidR="003D58B0" w:rsidRPr="003D58B0">
        <w:rPr>
          <w:lang w:val="en-US"/>
        </w:rPr>
        <w:t>644</w:t>
      </w:r>
      <w:r w:rsidR="00E02F1A" w:rsidRPr="003D58B0">
        <w:t>,</w:t>
      </w:r>
      <w:r w:rsidR="003D58B0" w:rsidRPr="003D58B0">
        <w:rPr>
          <w:lang w:val="en-US"/>
        </w:rPr>
        <w:t>3</w:t>
      </w:r>
      <w:r w:rsidR="00216586" w:rsidRPr="003D58B0">
        <w:t xml:space="preserve"> млн. лв., което представлява </w:t>
      </w:r>
      <w:r w:rsidR="003D58B0" w:rsidRPr="003D58B0">
        <w:rPr>
          <w:lang w:val="en-US"/>
        </w:rPr>
        <w:t>110</w:t>
      </w:r>
      <w:r w:rsidR="00E02F1A" w:rsidRPr="003D58B0">
        <w:t>,</w:t>
      </w:r>
      <w:r w:rsidR="003D58B0" w:rsidRPr="003D58B0">
        <w:rPr>
          <w:lang w:val="en-US"/>
        </w:rPr>
        <w:t>8</w:t>
      </w:r>
      <w:r w:rsidR="00216586" w:rsidRPr="003D58B0">
        <w:t xml:space="preserve"> % </w:t>
      </w:r>
      <w:r w:rsidR="005132A9">
        <w:t>спрямо</w:t>
      </w:r>
      <w:r w:rsidR="00216586" w:rsidRPr="003D58B0">
        <w:t xml:space="preserve"> разчета за 2017</w:t>
      </w:r>
      <w:r w:rsidR="00216586" w:rsidRPr="003D58B0">
        <w:rPr>
          <w:rFonts w:eastAsia="Calibri"/>
        </w:rPr>
        <w:t> </w:t>
      </w:r>
      <w:r w:rsidR="00216586" w:rsidRPr="003D58B0">
        <w:t>г.</w:t>
      </w:r>
      <w:r w:rsidR="001E44C8" w:rsidRPr="003D58B0">
        <w:t xml:space="preserve"> Съпоставени с</w:t>
      </w:r>
      <w:r w:rsidR="005132A9">
        <w:t xml:space="preserve"> </w:t>
      </w:r>
      <w:r w:rsidR="001E44C8" w:rsidRPr="003D58B0">
        <w:t>201</w:t>
      </w:r>
      <w:r w:rsidR="006E0F71" w:rsidRPr="003D58B0">
        <w:t>6</w:t>
      </w:r>
      <w:r w:rsidR="001E44C8" w:rsidRPr="003D58B0">
        <w:t xml:space="preserve"> г.</w:t>
      </w:r>
      <w:r w:rsidR="003579F2" w:rsidRPr="003D58B0">
        <w:t>,</w:t>
      </w:r>
      <w:r w:rsidR="001E44C8" w:rsidRPr="003D58B0">
        <w:t xml:space="preserve"> преките данъци нарастват с </w:t>
      </w:r>
      <w:r w:rsidR="003D58B0" w:rsidRPr="003D58B0">
        <w:rPr>
          <w:lang w:val="en-US"/>
        </w:rPr>
        <w:t>12</w:t>
      </w:r>
      <w:r w:rsidR="00C7786B" w:rsidRPr="003D58B0">
        <w:t>,</w:t>
      </w:r>
      <w:r w:rsidR="003D58B0" w:rsidRPr="003D58B0">
        <w:rPr>
          <w:lang w:val="en-US"/>
        </w:rPr>
        <w:t>1</w:t>
      </w:r>
      <w:r w:rsidR="003579F2" w:rsidRPr="003D58B0">
        <w:t xml:space="preserve"> </w:t>
      </w:r>
      <w:r w:rsidR="001E44C8" w:rsidRPr="003D58B0">
        <w:t>% (</w:t>
      </w:r>
      <w:r w:rsidR="003D58B0" w:rsidRPr="003D58B0">
        <w:rPr>
          <w:lang w:val="en-US"/>
        </w:rPr>
        <w:t>607</w:t>
      </w:r>
      <w:r w:rsidR="00C7786B" w:rsidRPr="003D58B0">
        <w:t>,</w:t>
      </w:r>
      <w:r w:rsidR="003D58B0" w:rsidRPr="003D58B0">
        <w:rPr>
          <w:lang w:val="en-US"/>
        </w:rPr>
        <w:t>0</w:t>
      </w:r>
      <w:r w:rsidR="001E44C8" w:rsidRPr="003D58B0">
        <w:t xml:space="preserve"> млн. лв.).</w:t>
      </w:r>
      <w:r w:rsidRPr="003D58B0">
        <w:rPr>
          <w:rFonts w:ascii="Arial" w:hAnsi="Arial" w:cs="Arial"/>
        </w:rPr>
        <w:t xml:space="preserve"> </w:t>
      </w:r>
      <w:r w:rsidRPr="003D58B0">
        <w:t xml:space="preserve">Приходите от </w:t>
      </w:r>
      <w:r w:rsidRPr="003D58B0">
        <w:rPr>
          <w:i/>
        </w:rPr>
        <w:t>косвени данъци</w:t>
      </w:r>
      <w:r w:rsidRPr="003D58B0">
        <w:t xml:space="preserve"> са в размер на </w:t>
      </w:r>
      <w:r w:rsidR="00C7786B" w:rsidRPr="003D58B0">
        <w:t>1</w:t>
      </w:r>
      <w:r w:rsidR="003D58B0" w:rsidRPr="003D58B0">
        <w:rPr>
          <w:lang w:val="en-US"/>
        </w:rPr>
        <w:t>4</w:t>
      </w:r>
      <w:r w:rsidR="00C7786B" w:rsidRPr="003D58B0">
        <w:t> </w:t>
      </w:r>
      <w:r w:rsidR="003D58B0" w:rsidRPr="003D58B0">
        <w:rPr>
          <w:lang w:val="en-US"/>
        </w:rPr>
        <w:t>532</w:t>
      </w:r>
      <w:r w:rsidR="00C7786B" w:rsidRPr="003D58B0">
        <w:t>,</w:t>
      </w:r>
      <w:r w:rsidR="003D58B0" w:rsidRPr="003D58B0">
        <w:rPr>
          <w:lang w:val="en-US"/>
        </w:rPr>
        <w:t>5</w:t>
      </w:r>
      <w:r w:rsidR="00216586" w:rsidRPr="003D58B0">
        <w:t xml:space="preserve"> </w:t>
      </w:r>
      <w:r w:rsidRPr="003D58B0">
        <w:t xml:space="preserve">млн. лв., което представлява </w:t>
      </w:r>
      <w:r w:rsidR="003D58B0" w:rsidRPr="003D58B0">
        <w:rPr>
          <w:lang w:val="en-US"/>
        </w:rPr>
        <w:t>103</w:t>
      </w:r>
      <w:r w:rsidR="00216586" w:rsidRPr="003D58B0">
        <w:t>,7</w:t>
      </w:r>
      <w:r w:rsidRPr="003D58B0">
        <w:t xml:space="preserve"> % </w:t>
      </w:r>
      <w:r w:rsidR="005132A9">
        <w:t>спрямо</w:t>
      </w:r>
      <w:r w:rsidRPr="003D58B0">
        <w:t xml:space="preserve"> </w:t>
      </w:r>
      <w:r w:rsidR="009947C7" w:rsidRPr="003D58B0">
        <w:t>г</w:t>
      </w:r>
      <w:r w:rsidRPr="003D58B0">
        <w:t xml:space="preserve">одишния разчет. </w:t>
      </w:r>
      <w:r w:rsidR="001E44C8" w:rsidRPr="003D58B0">
        <w:t xml:space="preserve">Съпоставени с </w:t>
      </w:r>
      <w:r w:rsidR="00314A5C" w:rsidRPr="003D58B0">
        <w:t>о</w:t>
      </w:r>
      <w:r w:rsidR="003D58B0" w:rsidRPr="003D58B0">
        <w:t>тчетените през</w:t>
      </w:r>
      <w:r w:rsidR="001E44C8" w:rsidRPr="003D58B0">
        <w:t xml:space="preserve"> 201</w:t>
      </w:r>
      <w:r w:rsidR="006E0F71" w:rsidRPr="003D58B0">
        <w:t>6</w:t>
      </w:r>
      <w:r w:rsidR="001E44C8" w:rsidRPr="003D58B0">
        <w:t xml:space="preserve"> г.</w:t>
      </w:r>
      <w:r w:rsidR="005132A9">
        <w:t>,</w:t>
      </w:r>
      <w:r w:rsidR="001E44C8" w:rsidRPr="003D58B0">
        <w:t xml:space="preserve"> косвените данъци бележат ръст от </w:t>
      </w:r>
      <w:r w:rsidR="003D58B0" w:rsidRPr="003D58B0">
        <w:t>7</w:t>
      </w:r>
      <w:r w:rsidR="00C7786B" w:rsidRPr="003D58B0">
        <w:t>,2</w:t>
      </w:r>
      <w:r w:rsidR="001E44C8" w:rsidRPr="003D58B0">
        <w:t xml:space="preserve"> % (</w:t>
      </w:r>
      <w:r w:rsidR="003D58B0" w:rsidRPr="003D58B0">
        <w:t>970</w:t>
      </w:r>
      <w:r w:rsidR="00C7786B" w:rsidRPr="003D58B0">
        <w:t>,</w:t>
      </w:r>
      <w:r w:rsidR="003D58B0" w:rsidRPr="003D58B0">
        <w:t>8</w:t>
      </w:r>
      <w:r w:rsidR="001E44C8" w:rsidRPr="003D58B0">
        <w:t xml:space="preserve"> млн. лв.). </w:t>
      </w:r>
      <w:r w:rsidRPr="003D58B0">
        <w:t xml:space="preserve">Постъпленията от </w:t>
      </w:r>
      <w:r w:rsidRPr="003D58B0">
        <w:rPr>
          <w:i/>
        </w:rPr>
        <w:t>други данъци</w:t>
      </w:r>
      <w:r w:rsidRPr="003D58B0">
        <w:t xml:space="preserve"> (включват други данъци по ЗКПО, имуществени данъци и др.) са в размер на </w:t>
      </w:r>
      <w:r w:rsidR="003D58B0" w:rsidRPr="003D58B0">
        <w:t>1 039</w:t>
      </w:r>
      <w:r w:rsidR="00C7786B" w:rsidRPr="003D58B0">
        <w:t>,</w:t>
      </w:r>
      <w:r w:rsidR="003D58B0" w:rsidRPr="003D58B0">
        <w:t>4</w:t>
      </w:r>
      <w:r w:rsidRPr="003D58B0">
        <w:t xml:space="preserve"> млн. лв., което представлява </w:t>
      </w:r>
      <w:r w:rsidR="003D58B0" w:rsidRPr="003D58B0">
        <w:t>104</w:t>
      </w:r>
      <w:r w:rsidR="00C7786B" w:rsidRPr="003D58B0">
        <w:t>,</w:t>
      </w:r>
      <w:r w:rsidR="003D58B0" w:rsidRPr="003D58B0">
        <w:t>9</w:t>
      </w:r>
      <w:r w:rsidRPr="003D58B0">
        <w:t xml:space="preserve"> % </w:t>
      </w:r>
      <w:r w:rsidR="005132A9">
        <w:t>спрямо</w:t>
      </w:r>
      <w:r w:rsidRPr="003D58B0">
        <w:t xml:space="preserve"> разчетите към ЗДБРБ за 201</w:t>
      </w:r>
      <w:r w:rsidR="006E0F71" w:rsidRPr="003D58B0">
        <w:t>7</w:t>
      </w:r>
      <w:r w:rsidRPr="003D58B0">
        <w:t xml:space="preserve"> г. </w:t>
      </w:r>
      <w:r w:rsidR="001E44C8" w:rsidRPr="003D58B0">
        <w:t xml:space="preserve">и нарастват с </w:t>
      </w:r>
      <w:r w:rsidR="003D58B0" w:rsidRPr="003D58B0">
        <w:t>5</w:t>
      </w:r>
      <w:r w:rsidR="00C7786B" w:rsidRPr="003D58B0">
        <w:t>,</w:t>
      </w:r>
      <w:r w:rsidR="003D58B0" w:rsidRPr="003D58B0">
        <w:t>4</w:t>
      </w:r>
      <w:r w:rsidR="001E44C8" w:rsidRPr="003D58B0">
        <w:t xml:space="preserve"> % (</w:t>
      </w:r>
      <w:r w:rsidR="00C7786B" w:rsidRPr="003D58B0">
        <w:t>5</w:t>
      </w:r>
      <w:r w:rsidR="003D58B0" w:rsidRPr="003D58B0">
        <w:t>3</w:t>
      </w:r>
      <w:r w:rsidR="00C7786B" w:rsidRPr="003D58B0">
        <w:t>,</w:t>
      </w:r>
      <w:r w:rsidR="003D58B0" w:rsidRPr="003D58B0">
        <w:t>5</w:t>
      </w:r>
      <w:r w:rsidR="001E44C8" w:rsidRPr="003D58B0">
        <w:t xml:space="preserve"> млн. лв.) спрямо 201</w:t>
      </w:r>
      <w:r w:rsidR="006E0F71" w:rsidRPr="003D58B0">
        <w:t>6</w:t>
      </w:r>
      <w:r w:rsidR="001E44C8" w:rsidRPr="003D58B0">
        <w:t xml:space="preserve"> г. </w:t>
      </w:r>
      <w:r w:rsidRPr="003D58B0">
        <w:t xml:space="preserve">Приходите от </w:t>
      </w:r>
      <w:proofErr w:type="spellStart"/>
      <w:r w:rsidRPr="003D58B0">
        <w:rPr>
          <w:b/>
          <w:i/>
        </w:rPr>
        <w:t>социалноосигурителни</w:t>
      </w:r>
      <w:proofErr w:type="spellEnd"/>
      <w:r w:rsidRPr="003D58B0">
        <w:rPr>
          <w:b/>
          <w:i/>
        </w:rPr>
        <w:t xml:space="preserve"> и здравни вноски</w:t>
      </w:r>
      <w:r w:rsidRPr="003D58B0">
        <w:rPr>
          <w:b/>
        </w:rPr>
        <w:t xml:space="preserve"> </w:t>
      </w:r>
      <w:r w:rsidRPr="003D58B0">
        <w:t xml:space="preserve">към </w:t>
      </w:r>
      <w:r w:rsidR="00216586" w:rsidRPr="003D58B0">
        <w:t>3</w:t>
      </w:r>
      <w:r w:rsidR="003D58B0" w:rsidRPr="003D58B0">
        <w:t>1</w:t>
      </w:r>
      <w:r w:rsidRPr="003D58B0">
        <w:t>.</w:t>
      </w:r>
      <w:r w:rsidR="003D58B0" w:rsidRPr="003D58B0">
        <w:t>12</w:t>
      </w:r>
      <w:r w:rsidRPr="003D58B0">
        <w:t>.201</w:t>
      </w:r>
      <w:r w:rsidR="006E0F71" w:rsidRPr="003D58B0">
        <w:t>7</w:t>
      </w:r>
      <w:r w:rsidRPr="003D58B0">
        <w:t xml:space="preserve"> г. са в размер на </w:t>
      </w:r>
      <w:r w:rsidR="003D58B0" w:rsidRPr="003D58B0">
        <w:t>8</w:t>
      </w:r>
      <w:r w:rsidR="00C7786B" w:rsidRPr="003D58B0">
        <w:t xml:space="preserve"> </w:t>
      </w:r>
      <w:r w:rsidR="003D58B0" w:rsidRPr="003D58B0">
        <w:t>365</w:t>
      </w:r>
      <w:r w:rsidR="00216586" w:rsidRPr="003D58B0">
        <w:t>,</w:t>
      </w:r>
      <w:r w:rsidR="003D58B0" w:rsidRPr="003D58B0">
        <w:t>1</w:t>
      </w:r>
      <w:r w:rsidRPr="003D58B0">
        <w:t xml:space="preserve"> млн. лв. или </w:t>
      </w:r>
      <w:r w:rsidR="003D58B0" w:rsidRPr="003D58B0">
        <w:t>105</w:t>
      </w:r>
      <w:r w:rsidR="00C7786B" w:rsidRPr="003D58B0">
        <w:t>,</w:t>
      </w:r>
      <w:r w:rsidR="003D58B0" w:rsidRPr="003D58B0">
        <w:t>4</w:t>
      </w:r>
      <w:r w:rsidRPr="003D58B0">
        <w:t xml:space="preserve"> % </w:t>
      </w:r>
      <w:r w:rsidR="005132A9">
        <w:t>спрямо</w:t>
      </w:r>
      <w:r w:rsidRPr="003D58B0">
        <w:t xml:space="preserve"> планираните за годината, като спрямо предходната година нарастват </w:t>
      </w:r>
      <w:r w:rsidR="00073DF5" w:rsidRPr="003D58B0">
        <w:t>с</w:t>
      </w:r>
      <w:r w:rsidR="003D58B0" w:rsidRPr="003D58B0">
        <w:t xml:space="preserve"> 1</w:t>
      </w:r>
      <w:r w:rsidRPr="003D58B0">
        <w:t xml:space="preserve"> </w:t>
      </w:r>
      <w:r w:rsidR="003D58B0" w:rsidRPr="003D58B0">
        <w:t>047</w:t>
      </w:r>
      <w:r w:rsidR="00C7786B" w:rsidRPr="003D58B0">
        <w:t>,</w:t>
      </w:r>
      <w:r w:rsidR="003D58B0" w:rsidRPr="003D58B0">
        <w:t>3</w:t>
      </w:r>
      <w:r w:rsidRPr="003D58B0">
        <w:t xml:space="preserve"> млн. лв. </w:t>
      </w:r>
      <w:r w:rsidR="001E44C8" w:rsidRPr="003D58B0">
        <w:t>(</w:t>
      </w:r>
      <w:r w:rsidR="007A34B2" w:rsidRPr="003D58B0">
        <w:t>14,</w:t>
      </w:r>
      <w:r w:rsidR="003D58B0" w:rsidRPr="003D58B0">
        <w:t>3</w:t>
      </w:r>
      <w:r w:rsidR="001E44C8" w:rsidRPr="003D58B0">
        <w:t xml:space="preserve"> %).</w:t>
      </w:r>
      <w:r w:rsidR="00073DF5" w:rsidRPr="003D58B0">
        <w:t xml:space="preserve"> </w:t>
      </w:r>
    </w:p>
    <w:p w:rsidR="00BF3B6B" w:rsidRPr="00361342" w:rsidRDefault="00741E2F" w:rsidP="00277E9F">
      <w:pPr>
        <w:spacing w:before="120" w:after="120"/>
        <w:jc w:val="both"/>
      </w:pPr>
      <w:r w:rsidRPr="00361342">
        <w:rPr>
          <w:b/>
          <w:bCs/>
          <w:i/>
          <w:iCs/>
        </w:rPr>
        <w:t xml:space="preserve">Неданъчните приходи </w:t>
      </w:r>
      <w:r w:rsidR="00BF3B6B" w:rsidRPr="00361342">
        <w:t xml:space="preserve">са в размер на </w:t>
      </w:r>
      <w:r w:rsidR="003D58B0" w:rsidRPr="00361342">
        <w:rPr>
          <w:b/>
        </w:rPr>
        <w:t>4</w:t>
      </w:r>
      <w:r w:rsidR="00C7786B" w:rsidRPr="00361342">
        <w:rPr>
          <w:b/>
        </w:rPr>
        <w:t> 2</w:t>
      </w:r>
      <w:r w:rsidR="003D58B0" w:rsidRPr="00361342">
        <w:rPr>
          <w:b/>
        </w:rPr>
        <w:t>13</w:t>
      </w:r>
      <w:r w:rsidR="00C7786B" w:rsidRPr="00361342">
        <w:rPr>
          <w:b/>
        </w:rPr>
        <w:t>,2</w:t>
      </w:r>
      <w:r w:rsidR="00F34875" w:rsidRPr="00361342">
        <w:rPr>
          <w:b/>
        </w:rPr>
        <w:t xml:space="preserve"> млн. лв</w:t>
      </w:r>
      <w:r w:rsidR="00F34875" w:rsidRPr="00361342">
        <w:t xml:space="preserve">., което представлява </w:t>
      </w:r>
      <w:r w:rsidR="003D58B0" w:rsidRPr="00361342">
        <w:t>8</w:t>
      </w:r>
      <w:r w:rsidR="00C7786B" w:rsidRPr="00361342">
        <w:t>8,</w:t>
      </w:r>
      <w:r w:rsidR="003D58B0" w:rsidRPr="00361342">
        <w:t>5</w:t>
      </w:r>
      <w:r w:rsidR="00DB267E">
        <w:t> </w:t>
      </w:r>
      <w:r w:rsidR="00F34875" w:rsidRPr="00361342">
        <w:t>% изпълнение на годишните разчети.</w:t>
      </w:r>
      <w:r w:rsidR="00BF3B6B" w:rsidRPr="00361342">
        <w:t xml:space="preserve"> </w:t>
      </w:r>
    </w:p>
    <w:p w:rsidR="00BF3B6B" w:rsidRPr="00361342" w:rsidRDefault="00BF3B6B" w:rsidP="00277E9F">
      <w:pPr>
        <w:spacing w:after="120"/>
        <w:jc w:val="both"/>
      </w:pPr>
      <w:r w:rsidRPr="00361342">
        <w:lastRenderedPageBreak/>
        <w:t xml:space="preserve">Постъпленията от </w:t>
      </w:r>
      <w:r w:rsidRPr="00361342">
        <w:rPr>
          <w:b/>
          <w:i/>
        </w:rPr>
        <w:t>помощи</w:t>
      </w:r>
      <w:r w:rsidRPr="00361342">
        <w:t xml:space="preserve"> от страната и чужбина (</w:t>
      </w:r>
      <w:r w:rsidR="005B4689" w:rsidRPr="00361342">
        <w:t>основно</w:t>
      </w:r>
      <w:r w:rsidRPr="00361342">
        <w:t xml:space="preserve"> помощи от фондовете на ЕС) са в размер на </w:t>
      </w:r>
      <w:r w:rsidR="00C7786B" w:rsidRPr="00361342">
        <w:rPr>
          <w:b/>
        </w:rPr>
        <w:t>1 </w:t>
      </w:r>
      <w:r w:rsidR="00361342" w:rsidRPr="00361342">
        <w:rPr>
          <w:b/>
        </w:rPr>
        <w:t>520</w:t>
      </w:r>
      <w:r w:rsidR="00C7786B" w:rsidRPr="00361342">
        <w:rPr>
          <w:b/>
        </w:rPr>
        <w:t>,</w:t>
      </w:r>
      <w:r w:rsidR="00361342" w:rsidRPr="00361342">
        <w:rPr>
          <w:b/>
        </w:rPr>
        <w:t>7</w:t>
      </w:r>
      <w:r w:rsidRPr="00361342">
        <w:rPr>
          <w:b/>
        </w:rPr>
        <w:t xml:space="preserve"> млн. лв.</w:t>
      </w:r>
      <w:r w:rsidRPr="00361342">
        <w:t xml:space="preserve">, </w:t>
      </w:r>
      <w:r w:rsidR="00277E9F">
        <w:t>или</w:t>
      </w:r>
      <w:r w:rsidRPr="00361342">
        <w:t xml:space="preserve"> </w:t>
      </w:r>
      <w:r w:rsidR="00361342" w:rsidRPr="00361342">
        <w:t>57</w:t>
      </w:r>
      <w:r w:rsidR="00C7786B" w:rsidRPr="00361342">
        <w:t>,</w:t>
      </w:r>
      <w:r w:rsidR="00361342" w:rsidRPr="00361342">
        <w:t>5</w:t>
      </w:r>
      <w:r w:rsidR="00F07B9B" w:rsidRPr="00361342">
        <w:t xml:space="preserve"> % от разчет</w:t>
      </w:r>
      <w:r w:rsidR="00C4270C">
        <w:t>а</w:t>
      </w:r>
      <w:r w:rsidR="002F37A8" w:rsidRPr="00361342">
        <w:t>.</w:t>
      </w:r>
      <w:r w:rsidR="006916AA" w:rsidRPr="00361342">
        <w:t xml:space="preserve"> </w:t>
      </w:r>
    </w:p>
    <w:p w:rsidR="006E0565" w:rsidRPr="007E5E8D" w:rsidRDefault="00987CE4" w:rsidP="00564156">
      <w:pPr>
        <w:spacing w:before="120" w:after="120"/>
        <w:jc w:val="both"/>
      </w:pPr>
      <w:bookmarkStart w:id="0" w:name="_MON_1577717868"/>
      <w:bookmarkStart w:id="1" w:name="_MON_1577717697"/>
      <w:bookmarkStart w:id="2" w:name="_MON_1577717746"/>
      <w:bookmarkEnd w:id="0"/>
      <w:bookmarkEnd w:id="1"/>
      <w:bookmarkEnd w:id="2"/>
      <w:r w:rsidRPr="00406E45">
        <w:rPr>
          <w:b/>
        </w:rPr>
        <w:t>Разходите по консолидиран</w:t>
      </w:r>
      <w:r w:rsidR="006F2870" w:rsidRPr="00406E45">
        <w:rPr>
          <w:b/>
        </w:rPr>
        <w:t>ата</w:t>
      </w:r>
      <w:r w:rsidRPr="00406E45">
        <w:rPr>
          <w:b/>
        </w:rPr>
        <w:t xml:space="preserve"> </w:t>
      </w:r>
      <w:r w:rsidR="006F2870" w:rsidRPr="00406E45">
        <w:rPr>
          <w:b/>
        </w:rPr>
        <w:t>фискална програма</w:t>
      </w:r>
      <w:r w:rsidRPr="00406E45">
        <w:rPr>
          <w:b/>
        </w:rPr>
        <w:t xml:space="preserve"> </w:t>
      </w:r>
      <w:r w:rsidRPr="00406E45">
        <w:t xml:space="preserve">(вкл. вноската на Република България в общия бюджет на ЕС) </w:t>
      </w:r>
      <w:r w:rsidR="00406E45" w:rsidRPr="00406E45">
        <w:t xml:space="preserve">за </w:t>
      </w:r>
      <w:r w:rsidR="0084568A" w:rsidRPr="00406E45">
        <w:t>201</w:t>
      </w:r>
      <w:r w:rsidR="00D03BB9" w:rsidRPr="00406E45">
        <w:t>7</w:t>
      </w:r>
      <w:r w:rsidR="0084568A" w:rsidRPr="00406E45">
        <w:t xml:space="preserve"> г.</w:t>
      </w:r>
      <w:r w:rsidR="0084568A" w:rsidRPr="00406E45">
        <w:rPr>
          <w:b/>
        </w:rPr>
        <w:t xml:space="preserve"> са в размер на </w:t>
      </w:r>
      <w:r w:rsidR="00570832" w:rsidRPr="00406E45">
        <w:rPr>
          <w:b/>
        </w:rPr>
        <w:t>3</w:t>
      </w:r>
      <w:r w:rsidR="00406E45" w:rsidRPr="00406E45">
        <w:rPr>
          <w:b/>
        </w:rPr>
        <w:t>4</w:t>
      </w:r>
      <w:r w:rsidR="00570832" w:rsidRPr="00406E45">
        <w:rPr>
          <w:b/>
        </w:rPr>
        <w:t> </w:t>
      </w:r>
      <w:r w:rsidR="00406E45" w:rsidRPr="00406E45">
        <w:rPr>
          <w:b/>
        </w:rPr>
        <w:t>469</w:t>
      </w:r>
      <w:r w:rsidR="00570832" w:rsidRPr="00406E45">
        <w:rPr>
          <w:b/>
        </w:rPr>
        <w:t>,</w:t>
      </w:r>
      <w:r w:rsidR="00406E45" w:rsidRPr="00406E45">
        <w:rPr>
          <w:b/>
        </w:rPr>
        <w:t>9</w:t>
      </w:r>
      <w:r w:rsidR="002F511C" w:rsidRPr="00406E45">
        <w:rPr>
          <w:b/>
        </w:rPr>
        <w:t xml:space="preserve"> </w:t>
      </w:r>
      <w:r w:rsidR="0084568A" w:rsidRPr="00406E45">
        <w:rPr>
          <w:b/>
        </w:rPr>
        <w:t>млн. лв.</w:t>
      </w:r>
      <w:r w:rsidRPr="00406E45">
        <w:rPr>
          <w:b/>
        </w:rPr>
        <w:t xml:space="preserve">, </w:t>
      </w:r>
      <w:r w:rsidRPr="00406E45">
        <w:t xml:space="preserve">което </w:t>
      </w:r>
      <w:r w:rsidRPr="007E5E8D">
        <w:t xml:space="preserve">представлява </w:t>
      </w:r>
      <w:r w:rsidR="00406E45" w:rsidRPr="007E5E8D">
        <w:t>93</w:t>
      </w:r>
      <w:r w:rsidR="00570832" w:rsidRPr="007E5E8D">
        <w:t>,</w:t>
      </w:r>
      <w:r w:rsidR="00406E45" w:rsidRPr="007E5E8D">
        <w:t>7</w:t>
      </w:r>
      <w:r w:rsidRPr="007E5E8D">
        <w:t xml:space="preserve"> % от годишния разчет. </w:t>
      </w:r>
      <w:r w:rsidR="009B1713" w:rsidRPr="007E5E8D">
        <w:t xml:space="preserve">Разходите за миналата година са в размер на </w:t>
      </w:r>
      <w:r w:rsidR="00406E45" w:rsidRPr="007E5E8D">
        <w:t>3</w:t>
      </w:r>
      <w:r w:rsidR="00570832" w:rsidRPr="007E5E8D">
        <w:t>2 </w:t>
      </w:r>
      <w:r w:rsidR="00406E45" w:rsidRPr="007E5E8D">
        <w:t>4</w:t>
      </w:r>
      <w:r w:rsidR="00570832" w:rsidRPr="007E5E8D">
        <w:t>9</w:t>
      </w:r>
      <w:r w:rsidR="00406E45" w:rsidRPr="007E5E8D">
        <w:t>1</w:t>
      </w:r>
      <w:r w:rsidR="00570832" w:rsidRPr="007E5E8D">
        <w:t>,</w:t>
      </w:r>
      <w:r w:rsidR="00406E45" w:rsidRPr="007E5E8D">
        <w:t>4</w:t>
      </w:r>
      <w:r w:rsidR="008E0EFE" w:rsidRPr="007E5E8D">
        <w:t xml:space="preserve"> </w:t>
      </w:r>
      <w:r w:rsidR="009B1713" w:rsidRPr="007E5E8D">
        <w:t>млн. лева</w:t>
      </w:r>
      <w:r w:rsidR="00C3726E" w:rsidRPr="007E5E8D">
        <w:t>.</w:t>
      </w:r>
      <w:r w:rsidR="009A2D3C" w:rsidRPr="007E5E8D">
        <w:t xml:space="preserve"> </w:t>
      </w:r>
      <w:r w:rsidR="00485348" w:rsidRPr="00485348">
        <w:t>Нарастването на разходите спрямо 2016 г. е основно поради по-високия размер на социалните и здравноосигурителните плащания (базов ефект при разходите за пенсии от увеличението им от юли 2016 г., увеличението от юли 2017 г. и увеличението на две стъпки през 2017 г. на размера на минималната пенсия от юли и октомври), както и по-високите разходи за субсидии и за персонал, включително и поради ръста на разходите за осигурителните вноски, свързан с увеличения размер на осигурителната вноска за фонд „Пенсии за лицата по чл. 69“ с 20 пр. п. спрямо 2016 година.</w:t>
      </w:r>
      <w:r w:rsidR="00522B16" w:rsidRPr="007E5E8D">
        <w:t xml:space="preserve"> </w:t>
      </w:r>
    </w:p>
    <w:p w:rsidR="00D8005C" w:rsidRPr="00644C54" w:rsidRDefault="00D8005C" w:rsidP="00564156">
      <w:pPr>
        <w:spacing w:before="120" w:after="120"/>
        <w:jc w:val="both"/>
      </w:pPr>
      <w:r w:rsidRPr="00644C54">
        <w:rPr>
          <w:b/>
          <w:i/>
        </w:rPr>
        <w:t>Нелихвените разходи</w:t>
      </w:r>
      <w:r w:rsidRPr="00644C54">
        <w:t xml:space="preserve"> са в размер на </w:t>
      </w:r>
      <w:r w:rsidR="00644C54" w:rsidRPr="00644C54">
        <w:t xml:space="preserve">32 789,6 </w:t>
      </w:r>
      <w:r w:rsidRPr="00644C54">
        <w:t>млн. лв</w:t>
      </w:r>
      <w:r w:rsidR="004F5B6B" w:rsidRPr="00644C54">
        <w:t xml:space="preserve">., което представлява </w:t>
      </w:r>
      <w:r w:rsidR="00644C54" w:rsidRPr="00644C54">
        <w:t>94,9</w:t>
      </w:r>
      <w:r w:rsidR="00EC06A6">
        <w:t> </w:t>
      </w:r>
      <w:r w:rsidR="004F5B6B" w:rsidRPr="00644C54">
        <w:t>% от годишния разчет.</w:t>
      </w:r>
      <w:r w:rsidR="00590F0B" w:rsidRPr="00644C54">
        <w:t xml:space="preserve"> </w:t>
      </w:r>
      <w:r w:rsidRPr="00644C54">
        <w:rPr>
          <w:i/>
        </w:rPr>
        <w:t>Текущите нелихвени разходи</w:t>
      </w:r>
      <w:r w:rsidRPr="00644C54">
        <w:t xml:space="preserve"> </w:t>
      </w:r>
      <w:r w:rsidR="00644C54" w:rsidRPr="00644C54">
        <w:t>за</w:t>
      </w:r>
      <w:r w:rsidR="00EF1078" w:rsidRPr="00644C54">
        <w:t xml:space="preserve"> </w:t>
      </w:r>
      <w:r w:rsidRPr="00644C54">
        <w:t>201</w:t>
      </w:r>
      <w:r w:rsidR="002E1ADD" w:rsidRPr="00644C54">
        <w:t>7</w:t>
      </w:r>
      <w:r w:rsidRPr="00644C54">
        <w:t xml:space="preserve"> г. са в размер на </w:t>
      </w:r>
      <w:r w:rsidR="00644C54" w:rsidRPr="00644C54">
        <w:t xml:space="preserve">29 033,7 </w:t>
      </w:r>
      <w:r w:rsidR="00EF1078" w:rsidRPr="00644C54">
        <w:t>млн. лв. (</w:t>
      </w:r>
      <w:r w:rsidR="00644C54" w:rsidRPr="00644C54">
        <w:t>102,5</w:t>
      </w:r>
      <w:r w:rsidR="00637BF7" w:rsidRPr="00644C54">
        <w:t xml:space="preserve"> </w:t>
      </w:r>
      <w:r w:rsidR="00EF1078" w:rsidRPr="00644C54">
        <w:t xml:space="preserve"> % </w:t>
      </w:r>
      <w:r w:rsidR="005132A9">
        <w:t>спрямо</w:t>
      </w:r>
      <w:r w:rsidR="00EF1078" w:rsidRPr="00644C54">
        <w:t xml:space="preserve"> разчета за годината)</w:t>
      </w:r>
      <w:r w:rsidR="005F1247" w:rsidRPr="00644C54">
        <w:t>.</w:t>
      </w:r>
      <w:r w:rsidR="00C77324" w:rsidRPr="00644C54">
        <w:t xml:space="preserve"> </w:t>
      </w:r>
      <w:r w:rsidR="005F1247" w:rsidRPr="00644C54">
        <w:rPr>
          <w:i/>
        </w:rPr>
        <w:t>К</w:t>
      </w:r>
      <w:r w:rsidRPr="00644C54">
        <w:rPr>
          <w:i/>
        </w:rPr>
        <w:t>апиталовите разходи</w:t>
      </w:r>
      <w:r w:rsidRPr="00644C54">
        <w:t xml:space="preserve"> (вкл. нетния прираст на държавния резерв) възлизат на </w:t>
      </w:r>
      <w:r w:rsidR="00644C54" w:rsidRPr="00644C54">
        <w:t xml:space="preserve">3 755,9 </w:t>
      </w:r>
      <w:r w:rsidR="00EF1078" w:rsidRPr="00644C54">
        <w:t>млн. лв. (</w:t>
      </w:r>
      <w:r w:rsidR="00644C54" w:rsidRPr="00644C54">
        <w:t>60,5</w:t>
      </w:r>
      <w:r w:rsidR="00EF1078" w:rsidRPr="00644C54">
        <w:t> % от разчетите към ЗДБРБ за 2017 г.)</w:t>
      </w:r>
      <w:r w:rsidRPr="00644C54">
        <w:t xml:space="preserve">. </w:t>
      </w:r>
      <w:r w:rsidRPr="00644C54">
        <w:rPr>
          <w:b/>
          <w:i/>
        </w:rPr>
        <w:t xml:space="preserve">Лихвените </w:t>
      </w:r>
      <w:r w:rsidR="00977973" w:rsidRPr="00644C54">
        <w:rPr>
          <w:b/>
          <w:i/>
        </w:rPr>
        <w:t>п</w:t>
      </w:r>
      <w:r w:rsidRPr="00644C54">
        <w:rPr>
          <w:b/>
          <w:i/>
        </w:rPr>
        <w:t>лащания</w:t>
      </w:r>
      <w:r w:rsidRPr="00644C54">
        <w:t xml:space="preserve"> са в размер на </w:t>
      </w:r>
      <w:r w:rsidR="00644C54" w:rsidRPr="00644C54">
        <w:t xml:space="preserve">792,1 </w:t>
      </w:r>
      <w:r w:rsidR="00EF1078" w:rsidRPr="00644C54">
        <w:t>млн. лв. (</w:t>
      </w:r>
      <w:r w:rsidR="00644C54" w:rsidRPr="00644C54">
        <w:t>95,8</w:t>
      </w:r>
      <w:r w:rsidR="00EF1078" w:rsidRPr="00644C54">
        <w:t xml:space="preserve"> % от планираните за 2017 г</w:t>
      </w:r>
      <w:r w:rsidR="00EC06A6">
        <w:t>.</w:t>
      </w:r>
      <w:r w:rsidR="00EF1078" w:rsidRPr="00644C54">
        <w:t>)</w:t>
      </w:r>
      <w:r w:rsidRPr="00644C54">
        <w:t>.</w:t>
      </w:r>
    </w:p>
    <w:p w:rsidR="00072385" w:rsidRPr="00297C2E" w:rsidRDefault="00072385" w:rsidP="00277E9F">
      <w:pPr>
        <w:spacing w:after="120"/>
        <w:jc w:val="both"/>
      </w:pPr>
      <w:r w:rsidRPr="00297C2E">
        <w:rPr>
          <w:b/>
        </w:rPr>
        <w:t>Частта от вноската на Република България в общия бюджет на ЕС</w:t>
      </w:r>
      <w:r w:rsidRPr="00297C2E">
        <w:t xml:space="preserve">, изплатена </w:t>
      </w:r>
      <w:r w:rsidR="00297C2E" w:rsidRPr="00297C2E">
        <w:t>за</w:t>
      </w:r>
      <w:r w:rsidRPr="00297C2E">
        <w:t xml:space="preserve"> 2017 г. от централния бюджет, възлиза на </w:t>
      </w:r>
      <w:r w:rsidR="00297C2E" w:rsidRPr="00297C2E">
        <w:rPr>
          <w:b/>
        </w:rPr>
        <w:t>888,2</w:t>
      </w:r>
      <w:r w:rsidRPr="00297C2E">
        <w:rPr>
          <w:b/>
        </w:rPr>
        <w:t xml:space="preserve"> млн. лв.</w:t>
      </w:r>
      <w:r w:rsidRPr="00297C2E">
        <w:t xml:space="preserve">, което е в изпълнение на действащото към момента законодателство в областта на собствените ресурси на ЕС - Решение на Съвета 2014/335/ЕС, </w:t>
      </w:r>
      <w:proofErr w:type="spellStart"/>
      <w:r w:rsidRPr="00297C2E">
        <w:t>Евратом</w:t>
      </w:r>
      <w:proofErr w:type="spellEnd"/>
      <w:r w:rsidRPr="00297C2E">
        <w:t xml:space="preserve"> относно системата на собствените ресурси на Европейския съюз, Регламент (ЕС, </w:t>
      </w:r>
      <w:proofErr w:type="spellStart"/>
      <w:r w:rsidRPr="00297C2E">
        <w:t>Евратом</w:t>
      </w:r>
      <w:proofErr w:type="spellEnd"/>
      <w:r w:rsidRPr="00297C2E">
        <w:t xml:space="preserve">) № 608/2014 на Съвета от 26 май 2014 г. за определяне на мерки за прилагане на системата на собствените ресурси на ЕС и Регламент (EС, </w:t>
      </w:r>
      <w:proofErr w:type="spellStart"/>
      <w:r w:rsidRPr="00297C2E">
        <w:t>Евратом</w:t>
      </w:r>
      <w:proofErr w:type="spellEnd"/>
      <w:r w:rsidRPr="00297C2E">
        <w:t xml:space="preserve">)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изменен с Регламент (EС, </w:t>
      </w:r>
      <w:proofErr w:type="spellStart"/>
      <w:r w:rsidRPr="00297C2E">
        <w:t>Евратом</w:t>
      </w:r>
      <w:proofErr w:type="spellEnd"/>
      <w:r w:rsidRPr="00297C2E">
        <w:t>) 2016/804 на Съвета от 17 май 2016 г., в т.ч.:</w:t>
      </w:r>
    </w:p>
    <w:p w:rsidR="009441E3" w:rsidRPr="006A1DD7" w:rsidRDefault="009441E3" w:rsidP="009441E3">
      <w:pPr>
        <w:numPr>
          <w:ilvl w:val="0"/>
          <w:numId w:val="13"/>
        </w:numPr>
        <w:tabs>
          <w:tab w:val="clear" w:pos="1500"/>
          <w:tab w:val="num" w:pos="720"/>
        </w:tabs>
        <w:ind w:left="709" w:hanging="283"/>
        <w:jc w:val="both"/>
      </w:pPr>
      <w:r w:rsidRPr="006A1DD7">
        <w:t>ресурс на база брутен национален доход – 547,2 млн. лв.;</w:t>
      </w:r>
    </w:p>
    <w:p w:rsidR="009441E3" w:rsidRPr="006A1DD7" w:rsidRDefault="009441E3" w:rsidP="009441E3">
      <w:pPr>
        <w:numPr>
          <w:ilvl w:val="0"/>
          <w:numId w:val="13"/>
        </w:numPr>
        <w:tabs>
          <w:tab w:val="clear" w:pos="1500"/>
          <w:tab w:val="num" w:pos="720"/>
        </w:tabs>
        <w:ind w:left="709" w:hanging="283"/>
        <w:jc w:val="both"/>
      </w:pPr>
      <w:r w:rsidRPr="006A1DD7">
        <w:t>ресурс на база данък върху добавената стойност – 132,5 млн. лв.;</w:t>
      </w:r>
    </w:p>
    <w:p w:rsidR="009441E3" w:rsidRPr="006A1DD7" w:rsidRDefault="009441E3" w:rsidP="009441E3">
      <w:pPr>
        <w:numPr>
          <w:ilvl w:val="0"/>
          <w:numId w:val="13"/>
        </w:numPr>
        <w:tabs>
          <w:tab w:val="clear" w:pos="1500"/>
          <w:tab w:val="num" w:pos="720"/>
        </w:tabs>
        <w:ind w:left="709" w:hanging="283"/>
        <w:jc w:val="both"/>
      </w:pPr>
      <w:r w:rsidRPr="006A1DD7">
        <w:t>корекция за Обединеното кралство – 52,4 млн. лв.;</w:t>
      </w:r>
    </w:p>
    <w:p w:rsidR="009441E3" w:rsidRPr="006A1DD7" w:rsidRDefault="009441E3" w:rsidP="009441E3">
      <w:pPr>
        <w:numPr>
          <w:ilvl w:val="0"/>
          <w:numId w:val="13"/>
        </w:numPr>
        <w:tabs>
          <w:tab w:val="clear" w:pos="1500"/>
          <w:tab w:val="num" w:pos="720"/>
        </w:tabs>
        <w:ind w:left="709" w:hanging="283"/>
        <w:jc w:val="both"/>
      </w:pPr>
      <w:r w:rsidRPr="006A1DD7">
        <w:t>традиционни собствени ресурси (мита и налози върху захарта) – 148,6 млн. лв.;</w:t>
      </w:r>
    </w:p>
    <w:p w:rsidR="009441E3" w:rsidRPr="006A1DD7" w:rsidRDefault="009441E3" w:rsidP="009441E3">
      <w:pPr>
        <w:numPr>
          <w:ilvl w:val="0"/>
          <w:numId w:val="13"/>
        </w:numPr>
        <w:tabs>
          <w:tab w:val="clear" w:pos="1500"/>
        </w:tabs>
        <w:ind w:left="709" w:hanging="283"/>
        <w:jc w:val="both"/>
      </w:pPr>
      <w:r w:rsidRPr="006A1DD7">
        <w:t>участие във финансиране на брутното намаление за Нидерландия, Швеция, Дания и Австрия – 6,3 млн. лв.</w:t>
      </w:r>
      <w:r w:rsidR="00AF05C0" w:rsidRPr="006A1DD7">
        <w:t>;</w:t>
      </w:r>
    </w:p>
    <w:p w:rsidR="009441E3" w:rsidRPr="006A1DD7" w:rsidRDefault="009441E3" w:rsidP="009441E3">
      <w:pPr>
        <w:numPr>
          <w:ilvl w:val="0"/>
          <w:numId w:val="13"/>
        </w:numPr>
        <w:tabs>
          <w:tab w:val="clear" w:pos="1500"/>
        </w:tabs>
        <w:ind w:left="709" w:hanging="283"/>
        <w:jc w:val="both"/>
      </w:pPr>
      <w:r w:rsidRPr="006A1DD7">
        <w:t>допълнителни плащания – 1,2 млн. лева.</w:t>
      </w:r>
    </w:p>
    <w:p w:rsidR="0055394B" w:rsidRPr="0096051A" w:rsidRDefault="009441E3" w:rsidP="00564156">
      <w:pPr>
        <w:spacing w:before="120"/>
        <w:jc w:val="both"/>
        <w:rPr>
          <w:bCs/>
          <w:color w:val="0070C0"/>
        </w:rPr>
      </w:pPr>
      <w:r w:rsidRPr="0088454C">
        <w:rPr>
          <w:b/>
        </w:rPr>
        <w:t>Бюджетното салдо</w:t>
      </w:r>
      <w:r w:rsidRPr="0088454C">
        <w:rPr>
          <w:bCs/>
        </w:rPr>
        <w:t xml:space="preserve"> по консолидираната фискална програма за 201</w:t>
      </w:r>
      <w:r w:rsidRPr="0088454C">
        <w:rPr>
          <w:bCs/>
          <w:lang w:val="en-US"/>
        </w:rPr>
        <w:t>7</w:t>
      </w:r>
      <w:r w:rsidRPr="0088454C">
        <w:rPr>
          <w:bCs/>
        </w:rPr>
        <w:t xml:space="preserve"> г. е </w:t>
      </w:r>
      <w:r w:rsidRPr="0088454C">
        <w:rPr>
          <w:b/>
          <w:bCs/>
        </w:rPr>
        <w:t>положително</w:t>
      </w:r>
      <w:r w:rsidRPr="0088454C">
        <w:rPr>
          <w:bCs/>
        </w:rPr>
        <w:t xml:space="preserve"> в размер на </w:t>
      </w:r>
      <w:r w:rsidRPr="0088454C">
        <w:rPr>
          <w:b/>
          <w:bCs/>
        </w:rPr>
        <w:t xml:space="preserve">845,2 </w:t>
      </w:r>
      <w:r w:rsidRPr="0088454C">
        <w:rPr>
          <w:b/>
        </w:rPr>
        <w:t>млн. лв.</w:t>
      </w:r>
      <w:r w:rsidRPr="0088454C">
        <w:t xml:space="preserve"> (0,8 % от прогнозния БВП) и </w:t>
      </w:r>
      <w:r w:rsidRPr="0088454C">
        <w:rPr>
          <w:bCs/>
        </w:rPr>
        <w:t xml:space="preserve">се формира от </w:t>
      </w:r>
      <w:r w:rsidRPr="0088454C">
        <w:t>излишък по националния бюджет в размер на 309,1 млн. лв. и излишък по европейските средства в размер на 536,1 млн. лева</w:t>
      </w:r>
      <w:r w:rsidR="00284488" w:rsidRPr="0096051A">
        <w:rPr>
          <w:color w:val="0070C0"/>
        </w:rPr>
        <w:t>.</w:t>
      </w:r>
    </w:p>
    <w:p w:rsidR="00987CE4" w:rsidRPr="00645DA3" w:rsidRDefault="00987CE4" w:rsidP="00337CA7">
      <w:pPr>
        <w:numPr>
          <w:ilvl w:val="0"/>
          <w:numId w:val="9"/>
        </w:numPr>
        <w:tabs>
          <w:tab w:val="num" w:pos="0"/>
          <w:tab w:val="left" w:pos="540"/>
          <w:tab w:val="left" w:pos="720"/>
        </w:tabs>
        <w:spacing w:before="120" w:after="60"/>
        <w:ind w:left="0" w:firstLine="425"/>
        <w:jc w:val="both"/>
      </w:pPr>
      <w:r w:rsidRPr="00645DA3">
        <w:rPr>
          <w:b/>
          <w:bCs/>
        </w:rPr>
        <w:t xml:space="preserve">Общият размер на касовите постъпления от </w:t>
      </w:r>
      <w:r w:rsidR="0055394B" w:rsidRPr="00645DA3">
        <w:rPr>
          <w:b/>
          <w:bCs/>
        </w:rPr>
        <w:t>ЕС</w:t>
      </w:r>
      <w:r w:rsidR="0055394B" w:rsidRPr="00645DA3">
        <w:rPr>
          <w:bCs/>
        </w:rPr>
        <w:t xml:space="preserve"> (от Структурните и </w:t>
      </w:r>
      <w:proofErr w:type="spellStart"/>
      <w:r w:rsidR="0055394B" w:rsidRPr="00645DA3">
        <w:rPr>
          <w:bCs/>
        </w:rPr>
        <w:t>Кохезионния</w:t>
      </w:r>
      <w:proofErr w:type="spellEnd"/>
      <w:r w:rsidR="0055394B" w:rsidRPr="00645DA3">
        <w:rPr>
          <w:bCs/>
        </w:rPr>
        <w:t xml:space="preserve"> фондове, от</w:t>
      </w:r>
      <w:r w:rsidR="0055394B" w:rsidRPr="00645DA3">
        <w:t xml:space="preserve"> ЕЗФРСР и ЕФР</w:t>
      </w:r>
      <w:r w:rsidR="0055394B" w:rsidRPr="00645DA3">
        <w:rPr>
          <w:bCs/>
        </w:rPr>
        <w:t xml:space="preserve">, от средства за директни плащания към земеделските производители и плащания по пазарни мерки и др.) </w:t>
      </w:r>
      <w:r w:rsidR="00645DA3" w:rsidRPr="00645DA3">
        <w:rPr>
          <w:rFonts w:eastAsia="Batang"/>
          <w:bCs/>
        </w:rPr>
        <w:t xml:space="preserve">за </w:t>
      </w:r>
      <w:r w:rsidR="0086583F" w:rsidRPr="00645DA3">
        <w:rPr>
          <w:rFonts w:eastAsia="Batang"/>
          <w:bCs/>
        </w:rPr>
        <w:t xml:space="preserve">2017 г. е </w:t>
      </w:r>
      <w:r w:rsidR="00645DA3" w:rsidRPr="00645DA3">
        <w:rPr>
          <w:rFonts w:eastAsia="Batang"/>
          <w:b/>
          <w:bCs/>
        </w:rPr>
        <w:t>3 214,6</w:t>
      </w:r>
      <w:r w:rsidR="0086583F" w:rsidRPr="00645DA3">
        <w:rPr>
          <w:rFonts w:eastAsia="Batang"/>
          <w:b/>
          <w:bCs/>
        </w:rPr>
        <w:t xml:space="preserve"> млн. лв.</w:t>
      </w:r>
      <w:r w:rsidR="0086583F" w:rsidRPr="00645DA3">
        <w:rPr>
          <w:rFonts w:eastAsia="Batang"/>
          <w:bCs/>
        </w:rPr>
        <w:t xml:space="preserve"> </w:t>
      </w:r>
      <w:r w:rsidR="0086583F" w:rsidRPr="00645DA3">
        <w:rPr>
          <w:rFonts w:eastAsia="Batang"/>
          <w:b/>
          <w:bCs/>
        </w:rPr>
        <w:t>Нетните постъпления от ЕС</w:t>
      </w:r>
      <w:r w:rsidR="00645DA3" w:rsidRPr="00645DA3">
        <w:rPr>
          <w:rFonts w:eastAsia="Batang"/>
          <w:bCs/>
        </w:rPr>
        <w:t xml:space="preserve"> за </w:t>
      </w:r>
      <w:r w:rsidR="0086583F" w:rsidRPr="00645DA3">
        <w:rPr>
          <w:rFonts w:eastAsia="Batang"/>
          <w:bCs/>
        </w:rPr>
        <w:t xml:space="preserve">2017 г. (касови постъпления от ЕС, намалени с вноската в общия бюджет на ЕС) са </w:t>
      </w:r>
      <w:r w:rsidR="0086583F" w:rsidRPr="00645DA3">
        <w:rPr>
          <w:rFonts w:eastAsia="Batang"/>
          <w:b/>
          <w:bCs/>
        </w:rPr>
        <w:t xml:space="preserve">положителни </w:t>
      </w:r>
      <w:r w:rsidR="0086583F" w:rsidRPr="00645DA3">
        <w:rPr>
          <w:rFonts w:eastAsia="Batang"/>
          <w:bCs/>
        </w:rPr>
        <w:t xml:space="preserve">в размер на </w:t>
      </w:r>
      <w:r w:rsidR="00645DA3" w:rsidRPr="00645DA3">
        <w:rPr>
          <w:rFonts w:eastAsia="Batang"/>
          <w:b/>
          <w:bCs/>
        </w:rPr>
        <w:t>2 326,4</w:t>
      </w:r>
      <w:r w:rsidR="0086583F" w:rsidRPr="00645DA3">
        <w:rPr>
          <w:rFonts w:eastAsia="Batang"/>
          <w:b/>
          <w:bCs/>
        </w:rPr>
        <w:t xml:space="preserve"> млн. лева.</w:t>
      </w:r>
    </w:p>
    <w:p w:rsidR="00987CE4" w:rsidRPr="0096051A" w:rsidRDefault="00987CE4" w:rsidP="00337CA7">
      <w:pPr>
        <w:numPr>
          <w:ilvl w:val="2"/>
          <w:numId w:val="17"/>
        </w:numPr>
        <w:tabs>
          <w:tab w:val="clear" w:pos="2880"/>
        </w:tabs>
        <w:spacing w:before="120" w:after="120"/>
        <w:ind w:left="0" w:firstLine="357"/>
        <w:jc w:val="both"/>
        <w:rPr>
          <w:color w:val="0070C0"/>
          <w:sz w:val="8"/>
          <w:szCs w:val="8"/>
        </w:rPr>
      </w:pPr>
      <w:r w:rsidRPr="005E6843">
        <w:rPr>
          <w:b/>
        </w:rPr>
        <w:t>Фискалният резерв</w:t>
      </w:r>
      <w:r w:rsidR="00E74802" w:rsidRPr="005E6843">
        <w:rPr>
          <w:b/>
          <w:bCs/>
          <w:vertAlign w:val="superscript"/>
          <w:lang w:eastAsia="bg-BG"/>
        </w:rPr>
        <w:footnoteReference w:id="7"/>
      </w:r>
      <w:r w:rsidR="007E28C4" w:rsidRPr="005E6843">
        <w:rPr>
          <w:bCs/>
          <w:lang w:eastAsia="bg-BG"/>
        </w:rPr>
        <w:t xml:space="preserve"> </w:t>
      </w:r>
      <w:r w:rsidR="00BE70F4" w:rsidRPr="005E6843">
        <w:rPr>
          <w:bCs/>
        </w:rPr>
        <w:t xml:space="preserve">към </w:t>
      </w:r>
      <w:r w:rsidR="005E6843" w:rsidRPr="005E6843">
        <w:rPr>
          <w:bCs/>
        </w:rPr>
        <w:t xml:space="preserve">31.12.2017 </w:t>
      </w:r>
      <w:r w:rsidR="00BE70F4" w:rsidRPr="005E6843">
        <w:rPr>
          <w:bCs/>
        </w:rPr>
        <w:t xml:space="preserve">г. </w:t>
      </w:r>
      <w:r w:rsidR="005E6843" w:rsidRPr="005E6843">
        <w:rPr>
          <w:bCs/>
        </w:rPr>
        <w:t xml:space="preserve">е </w:t>
      </w:r>
      <w:r w:rsidR="005E6843" w:rsidRPr="005E6843">
        <w:rPr>
          <w:b/>
          <w:bCs/>
        </w:rPr>
        <w:t>10,3 млрд. лв</w:t>
      </w:r>
      <w:r w:rsidR="005E6843" w:rsidRPr="005E6843">
        <w:rPr>
          <w:bCs/>
        </w:rPr>
        <w:t xml:space="preserve">., в т.ч. 9,8 млрд. лв. депозити на </w:t>
      </w:r>
      <w:r w:rsidR="005E6843" w:rsidRPr="00E93CE1">
        <w:rPr>
          <w:bCs/>
        </w:rPr>
        <w:t>фискалния резерв в БНБ и банки и 0,5</w:t>
      </w:r>
      <w:r w:rsidR="005E6843">
        <w:rPr>
          <w:bCs/>
        </w:rPr>
        <w:t xml:space="preserve"> </w:t>
      </w:r>
      <w:r w:rsidR="005E6843" w:rsidRPr="00E93CE1">
        <w:rPr>
          <w:bCs/>
        </w:rPr>
        <w:t>млрд. лв. вземания от фондовете на Европейския съюз за сертифицирани разходи, аванси и други</w:t>
      </w:r>
      <w:r w:rsidR="007E28C4" w:rsidRPr="0096051A">
        <w:rPr>
          <w:bCs/>
          <w:color w:val="0070C0"/>
          <w:lang w:eastAsia="bg-BG"/>
        </w:rPr>
        <w:t>.</w:t>
      </w:r>
      <w:r w:rsidRPr="0096051A">
        <w:rPr>
          <w:bCs/>
          <w:color w:val="0070C0"/>
        </w:rPr>
        <w:t xml:space="preserve"> </w:t>
      </w:r>
    </w:p>
    <w:p w:rsidR="00EE235A" w:rsidRPr="001B76D5" w:rsidRDefault="00EE235A" w:rsidP="00564156">
      <w:pPr>
        <w:pStyle w:val="Heading1"/>
        <w:numPr>
          <w:ilvl w:val="0"/>
          <w:numId w:val="40"/>
        </w:numPr>
        <w:ind w:right="-108"/>
        <w:jc w:val="both"/>
        <w:rPr>
          <w:sz w:val="24"/>
        </w:rPr>
      </w:pPr>
      <w:r w:rsidRPr="001B76D5">
        <w:rPr>
          <w:sz w:val="24"/>
        </w:rPr>
        <w:lastRenderedPageBreak/>
        <w:t>Изпълнение на държавния бюджет</w:t>
      </w:r>
      <w:r w:rsidR="001E7EA4" w:rsidRPr="001B76D5">
        <w:rPr>
          <w:rStyle w:val="FootnoteReference"/>
          <w:bCs w:val="0"/>
          <w:sz w:val="20"/>
          <w:szCs w:val="20"/>
        </w:rPr>
        <w:footnoteReference w:id="8"/>
      </w:r>
      <w:r w:rsidRPr="001B76D5">
        <w:rPr>
          <w:sz w:val="24"/>
        </w:rPr>
        <w:t xml:space="preserve"> </w:t>
      </w:r>
      <w:r w:rsidR="001B76D5" w:rsidRPr="001B76D5">
        <w:rPr>
          <w:sz w:val="24"/>
        </w:rPr>
        <w:t>за</w:t>
      </w:r>
      <w:r w:rsidR="00616AAF" w:rsidRPr="001B76D5">
        <w:rPr>
          <w:sz w:val="24"/>
        </w:rPr>
        <w:t xml:space="preserve"> </w:t>
      </w:r>
      <w:r w:rsidRPr="001B76D5">
        <w:rPr>
          <w:sz w:val="24"/>
        </w:rPr>
        <w:t>201</w:t>
      </w:r>
      <w:r w:rsidR="004B5DC2" w:rsidRPr="001B76D5">
        <w:rPr>
          <w:sz w:val="24"/>
        </w:rPr>
        <w:t>7</w:t>
      </w:r>
      <w:r w:rsidRPr="001B76D5">
        <w:rPr>
          <w:sz w:val="24"/>
        </w:rPr>
        <w:t xml:space="preserve"> г.</w:t>
      </w:r>
    </w:p>
    <w:p w:rsidR="00C130EB" w:rsidRPr="00877F0D" w:rsidRDefault="00C130EB" w:rsidP="00C130EB">
      <w:pPr>
        <w:tabs>
          <w:tab w:val="left" w:pos="1080"/>
        </w:tabs>
        <w:spacing w:before="120"/>
        <w:jc w:val="both"/>
      </w:pPr>
      <w:r w:rsidRPr="00877F0D">
        <w:t>Изпълнението на основните показатели по държавния бюджет, на база месечните отчети на първостепенните разпоредители с бюджет е, както следва:</w:t>
      </w:r>
    </w:p>
    <w:p w:rsidR="00C130EB" w:rsidRPr="0096051A" w:rsidRDefault="00C130EB" w:rsidP="00C130EB">
      <w:pPr>
        <w:tabs>
          <w:tab w:val="left" w:pos="1080"/>
        </w:tabs>
        <w:spacing w:before="120"/>
        <w:jc w:val="both"/>
        <w:rPr>
          <w:color w:val="0070C0"/>
          <w:sz w:val="2"/>
          <w:szCs w:val="2"/>
        </w:rPr>
      </w:pPr>
    </w:p>
    <w:p w:rsidR="00E0076C" w:rsidRPr="00877F0D" w:rsidRDefault="00E0076C" w:rsidP="00E0076C">
      <w:pPr>
        <w:ind w:right="-242"/>
        <w:rPr>
          <w:b/>
          <w:bCs/>
          <w:sz w:val="20"/>
          <w:szCs w:val="20"/>
          <w:lang w:eastAsia="bg-BG"/>
        </w:rPr>
      </w:pPr>
      <w:r w:rsidRPr="00877F0D">
        <w:rPr>
          <w:b/>
          <w:bCs/>
          <w:sz w:val="20"/>
          <w:szCs w:val="20"/>
          <w:lang w:eastAsia="bg-BG"/>
        </w:rPr>
        <w:t xml:space="preserve">            Таблица  №2      </w:t>
      </w:r>
      <w:r w:rsidRPr="00877F0D">
        <w:rPr>
          <w:b/>
          <w:bCs/>
          <w:sz w:val="20"/>
          <w:szCs w:val="20"/>
          <w:lang w:eastAsia="bg-BG"/>
        </w:rPr>
        <w:tab/>
      </w:r>
      <w:r w:rsidRPr="00877F0D">
        <w:rPr>
          <w:b/>
          <w:bCs/>
          <w:sz w:val="20"/>
          <w:szCs w:val="20"/>
          <w:lang w:eastAsia="bg-BG"/>
        </w:rPr>
        <w:tab/>
        <w:t xml:space="preserve">                                          </w:t>
      </w:r>
      <w:r w:rsidRPr="00877F0D">
        <w:rPr>
          <w:b/>
          <w:bCs/>
          <w:sz w:val="20"/>
          <w:szCs w:val="20"/>
          <w:lang w:eastAsia="bg-BG"/>
        </w:rPr>
        <w:tab/>
      </w:r>
      <w:r w:rsidRPr="00877F0D">
        <w:rPr>
          <w:b/>
          <w:bCs/>
          <w:sz w:val="20"/>
          <w:szCs w:val="20"/>
          <w:lang w:eastAsia="bg-BG"/>
        </w:rPr>
        <w:tab/>
      </w:r>
      <w:r w:rsidRPr="00877F0D">
        <w:rPr>
          <w:b/>
          <w:bCs/>
          <w:sz w:val="20"/>
          <w:szCs w:val="20"/>
          <w:lang w:eastAsia="bg-BG"/>
        </w:rPr>
        <w:tab/>
        <w:t xml:space="preserve">                </w:t>
      </w:r>
      <w:r w:rsidRPr="00877F0D">
        <w:rPr>
          <w:b/>
          <w:bCs/>
          <w:sz w:val="20"/>
          <w:szCs w:val="20"/>
          <w:lang w:eastAsia="bg-BG"/>
        </w:rPr>
        <w:tab/>
        <w:t xml:space="preserve">  (млн. лв.)</w:t>
      </w:r>
    </w:p>
    <w:p w:rsidR="00E0076C" w:rsidRPr="0096051A" w:rsidRDefault="00E0076C" w:rsidP="00E0076C">
      <w:pPr>
        <w:ind w:right="-242"/>
        <w:rPr>
          <w:b/>
          <w:bCs/>
          <w:color w:val="0070C0"/>
          <w:sz w:val="6"/>
          <w:szCs w:val="6"/>
          <w:lang w:eastAsia="bg-BG"/>
        </w:rPr>
      </w:pPr>
    </w:p>
    <w:tbl>
      <w:tblPr>
        <w:tblW w:w="8642" w:type="dxa"/>
        <w:jc w:val="center"/>
        <w:tblInd w:w="-1068" w:type="dxa"/>
        <w:tblCellMar>
          <w:left w:w="70" w:type="dxa"/>
          <w:right w:w="70" w:type="dxa"/>
        </w:tblCellMar>
        <w:tblLook w:val="0000" w:firstRow="0" w:lastRow="0" w:firstColumn="0" w:lastColumn="0" w:noHBand="0" w:noVBand="0"/>
      </w:tblPr>
      <w:tblGrid>
        <w:gridCol w:w="4853"/>
        <w:gridCol w:w="1276"/>
        <w:gridCol w:w="1209"/>
        <w:gridCol w:w="1304"/>
      </w:tblGrid>
      <w:tr w:rsidR="00877F0D" w:rsidRPr="0096051A" w:rsidTr="00371B8F">
        <w:trPr>
          <w:trHeight w:val="520"/>
          <w:jc w:val="center"/>
        </w:trPr>
        <w:tc>
          <w:tcPr>
            <w:tcW w:w="4853" w:type="dxa"/>
            <w:tcBorders>
              <w:top w:val="single" w:sz="8" w:space="0" w:color="auto"/>
              <w:left w:val="single" w:sz="8" w:space="0" w:color="auto"/>
              <w:bottom w:val="nil"/>
              <w:right w:val="single" w:sz="8" w:space="0" w:color="auto"/>
            </w:tcBorders>
            <w:shd w:val="clear" w:color="auto" w:fill="auto"/>
            <w:noWrap/>
            <w:vAlign w:val="center"/>
          </w:tcPr>
          <w:p w:rsidR="00877F0D" w:rsidRPr="00877F0D" w:rsidRDefault="00877F0D" w:rsidP="00E0076C">
            <w:pPr>
              <w:jc w:val="center"/>
              <w:rPr>
                <w:b/>
                <w:bCs/>
                <w:sz w:val="18"/>
                <w:szCs w:val="18"/>
                <w:lang w:eastAsia="bg-BG"/>
              </w:rPr>
            </w:pPr>
            <w:r w:rsidRPr="00877F0D">
              <w:rPr>
                <w:b/>
                <w:bCs/>
                <w:sz w:val="18"/>
                <w:szCs w:val="18"/>
                <w:lang w:eastAsia="bg-BG"/>
              </w:rPr>
              <w:t>ПОКАЗАТЕЛИ</w:t>
            </w:r>
          </w:p>
        </w:tc>
        <w:tc>
          <w:tcPr>
            <w:tcW w:w="1276" w:type="dxa"/>
            <w:tcBorders>
              <w:top w:val="single" w:sz="8" w:space="0" w:color="auto"/>
              <w:left w:val="nil"/>
              <w:bottom w:val="nil"/>
              <w:right w:val="nil"/>
            </w:tcBorders>
            <w:shd w:val="clear" w:color="auto" w:fill="auto"/>
            <w:vAlign w:val="center"/>
          </w:tcPr>
          <w:p w:rsidR="00877F0D" w:rsidRPr="00877F0D" w:rsidRDefault="00877F0D" w:rsidP="00E0076C">
            <w:pPr>
              <w:jc w:val="center"/>
              <w:rPr>
                <w:b/>
                <w:bCs/>
                <w:sz w:val="18"/>
                <w:szCs w:val="18"/>
                <w:lang w:eastAsia="bg-BG"/>
              </w:rPr>
            </w:pPr>
            <w:r w:rsidRPr="00877F0D">
              <w:rPr>
                <w:b/>
                <w:bCs/>
                <w:sz w:val="18"/>
                <w:szCs w:val="18"/>
                <w:lang w:eastAsia="bg-BG"/>
              </w:rPr>
              <w:t>ЗДБРБ     2017 г.</w:t>
            </w:r>
            <w:r w:rsidRPr="00877F0D">
              <w:rPr>
                <w:b/>
                <w:bCs/>
                <w:sz w:val="20"/>
                <w:szCs w:val="20"/>
                <w:vertAlign w:val="superscript"/>
                <w:lang w:eastAsia="bg-BG"/>
              </w:rPr>
              <w:t xml:space="preserve"> </w:t>
            </w:r>
          </w:p>
        </w:tc>
        <w:tc>
          <w:tcPr>
            <w:tcW w:w="1209" w:type="dxa"/>
            <w:tcBorders>
              <w:top w:val="single" w:sz="8" w:space="0" w:color="auto"/>
              <w:left w:val="nil"/>
              <w:bottom w:val="nil"/>
              <w:right w:val="nil"/>
            </w:tcBorders>
            <w:shd w:val="clear" w:color="auto" w:fill="auto"/>
            <w:vAlign w:val="center"/>
          </w:tcPr>
          <w:p w:rsidR="00877F0D" w:rsidRPr="00846694" w:rsidRDefault="00877F0D" w:rsidP="0025539D">
            <w:pPr>
              <w:jc w:val="center"/>
              <w:rPr>
                <w:b/>
                <w:bCs/>
                <w:sz w:val="18"/>
                <w:szCs w:val="18"/>
              </w:rPr>
            </w:pPr>
            <w:r w:rsidRPr="00846694">
              <w:rPr>
                <w:b/>
                <w:bCs/>
                <w:sz w:val="18"/>
                <w:szCs w:val="18"/>
              </w:rPr>
              <w:t xml:space="preserve">Отчет </w:t>
            </w:r>
          </w:p>
          <w:p w:rsidR="00877F0D" w:rsidRPr="00846694" w:rsidRDefault="00877F0D" w:rsidP="0025539D">
            <w:pPr>
              <w:jc w:val="center"/>
              <w:rPr>
                <w:b/>
                <w:bCs/>
                <w:sz w:val="18"/>
                <w:szCs w:val="18"/>
              </w:rPr>
            </w:pPr>
            <w:r w:rsidRPr="00846694">
              <w:rPr>
                <w:b/>
                <w:bCs/>
                <w:sz w:val="18"/>
                <w:szCs w:val="18"/>
              </w:rPr>
              <w:t>2017 г.</w:t>
            </w:r>
          </w:p>
        </w:tc>
        <w:tc>
          <w:tcPr>
            <w:tcW w:w="1304" w:type="dxa"/>
            <w:tcBorders>
              <w:top w:val="single" w:sz="8" w:space="0" w:color="auto"/>
              <w:left w:val="nil"/>
              <w:bottom w:val="nil"/>
              <w:right w:val="single" w:sz="8" w:space="0" w:color="auto"/>
            </w:tcBorders>
            <w:shd w:val="clear" w:color="auto" w:fill="auto"/>
            <w:vAlign w:val="center"/>
          </w:tcPr>
          <w:p w:rsidR="00877F0D" w:rsidRPr="00846694" w:rsidRDefault="00877F0D" w:rsidP="0025539D">
            <w:pPr>
              <w:jc w:val="center"/>
              <w:rPr>
                <w:b/>
                <w:bCs/>
                <w:sz w:val="18"/>
                <w:szCs w:val="18"/>
              </w:rPr>
            </w:pPr>
            <w:r w:rsidRPr="00846694">
              <w:rPr>
                <w:b/>
                <w:bCs/>
                <w:sz w:val="18"/>
                <w:szCs w:val="18"/>
              </w:rPr>
              <w:t>Изпълнение спрямо    закон 2017 г.</w:t>
            </w:r>
          </w:p>
        </w:tc>
      </w:tr>
      <w:tr w:rsidR="00877F0D" w:rsidRPr="00877F0D" w:rsidTr="00371B8F">
        <w:trPr>
          <w:trHeight w:val="300"/>
          <w:jc w:val="center"/>
        </w:trPr>
        <w:tc>
          <w:tcPr>
            <w:tcW w:w="4853" w:type="dxa"/>
            <w:tcBorders>
              <w:top w:val="single" w:sz="4" w:space="0" w:color="auto"/>
              <w:left w:val="single" w:sz="8" w:space="0" w:color="auto"/>
              <w:bottom w:val="single" w:sz="4" w:space="0" w:color="auto"/>
              <w:right w:val="single" w:sz="8" w:space="0" w:color="auto"/>
            </w:tcBorders>
            <w:shd w:val="clear" w:color="auto" w:fill="auto"/>
            <w:noWrap/>
            <w:vAlign w:val="bottom"/>
          </w:tcPr>
          <w:p w:rsidR="00E0076C" w:rsidRPr="00877F0D" w:rsidRDefault="00E0076C" w:rsidP="00E0076C">
            <w:pPr>
              <w:rPr>
                <w:b/>
                <w:bCs/>
                <w:sz w:val="18"/>
                <w:szCs w:val="18"/>
                <w:lang w:eastAsia="bg-BG"/>
              </w:rPr>
            </w:pPr>
            <w:r w:rsidRPr="00877F0D">
              <w:rPr>
                <w:b/>
                <w:bCs/>
                <w:sz w:val="18"/>
                <w:szCs w:val="18"/>
                <w:lang w:eastAsia="bg-BG"/>
              </w:rPr>
              <w:t>Общо приходи и помощи</w:t>
            </w:r>
          </w:p>
        </w:tc>
        <w:tc>
          <w:tcPr>
            <w:tcW w:w="1276" w:type="dxa"/>
            <w:tcBorders>
              <w:top w:val="single" w:sz="4" w:space="0" w:color="auto"/>
              <w:left w:val="nil"/>
              <w:bottom w:val="single" w:sz="8" w:space="0" w:color="auto"/>
              <w:right w:val="nil"/>
            </w:tcBorders>
            <w:shd w:val="clear" w:color="auto" w:fill="auto"/>
            <w:noWrap/>
            <w:vAlign w:val="bottom"/>
          </w:tcPr>
          <w:p w:rsidR="00E0076C" w:rsidRPr="00877F0D" w:rsidRDefault="00E0076C" w:rsidP="00E0076C">
            <w:pPr>
              <w:jc w:val="right"/>
              <w:rPr>
                <w:b/>
                <w:bCs/>
                <w:sz w:val="18"/>
                <w:szCs w:val="18"/>
                <w:lang w:eastAsia="bg-BG"/>
              </w:rPr>
            </w:pPr>
            <w:r w:rsidRPr="00877F0D">
              <w:rPr>
                <w:b/>
                <w:bCs/>
                <w:sz w:val="18"/>
                <w:szCs w:val="18"/>
                <w:lang w:eastAsia="bg-BG"/>
              </w:rPr>
              <w:t>21 932,0</w:t>
            </w:r>
          </w:p>
        </w:tc>
        <w:tc>
          <w:tcPr>
            <w:tcW w:w="1209" w:type="dxa"/>
            <w:tcBorders>
              <w:top w:val="single" w:sz="4" w:space="0" w:color="auto"/>
              <w:left w:val="nil"/>
              <w:bottom w:val="single" w:sz="8" w:space="0" w:color="auto"/>
              <w:right w:val="nil"/>
            </w:tcBorders>
            <w:shd w:val="clear" w:color="auto" w:fill="auto"/>
            <w:noWrap/>
            <w:vAlign w:val="bottom"/>
          </w:tcPr>
          <w:p w:rsidR="00E0076C" w:rsidRPr="0096051A" w:rsidRDefault="00877F0D" w:rsidP="00E0076C">
            <w:pPr>
              <w:jc w:val="right"/>
              <w:rPr>
                <w:b/>
                <w:bCs/>
                <w:color w:val="0070C0"/>
                <w:sz w:val="18"/>
                <w:szCs w:val="18"/>
                <w:lang w:eastAsia="bg-BG"/>
              </w:rPr>
            </w:pPr>
            <w:r w:rsidRPr="00846694">
              <w:rPr>
                <w:b/>
                <w:bCs/>
                <w:sz w:val="18"/>
                <w:szCs w:val="18"/>
              </w:rPr>
              <w:t>22 232,4</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E0076C" w:rsidRPr="00877F0D" w:rsidRDefault="00877F0D" w:rsidP="00E0076C">
            <w:pPr>
              <w:jc w:val="right"/>
              <w:rPr>
                <w:b/>
                <w:bCs/>
                <w:sz w:val="18"/>
                <w:szCs w:val="18"/>
                <w:lang w:eastAsia="bg-BG"/>
              </w:rPr>
            </w:pPr>
            <w:r w:rsidRPr="00877F0D">
              <w:rPr>
                <w:b/>
                <w:bCs/>
                <w:sz w:val="18"/>
                <w:szCs w:val="18"/>
                <w:lang w:eastAsia="bg-BG"/>
              </w:rPr>
              <w:t>101,4</w:t>
            </w:r>
            <w:r w:rsidR="00E0076C" w:rsidRPr="00877F0D">
              <w:rPr>
                <w:b/>
                <w:bCs/>
                <w:sz w:val="18"/>
                <w:szCs w:val="18"/>
                <w:lang w:eastAsia="bg-BG"/>
              </w:rPr>
              <w:t>%</w:t>
            </w:r>
          </w:p>
        </w:tc>
      </w:tr>
      <w:tr w:rsidR="00877F0D" w:rsidRPr="0096051A" w:rsidTr="0025539D">
        <w:trPr>
          <w:trHeight w:val="80"/>
          <w:jc w:val="center"/>
        </w:trPr>
        <w:tc>
          <w:tcPr>
            <w:tcW w:w="4853" w:type="dxa"/>
            <w:tcBorders>
              <w:top w:val="single" w:sz="4" w:space="0" w:color="auto"/>
              <w:left w:val="single" w:sz="8" w:space="0" w:color="auto"/>
              <w:bottom w:val="nil"/>
              <w:right w:val="single" w:sz="8" w:space="0" w:color="auto"/>
            </w:tcBorders>
            <w:shd w:val="clear" w:color="auto" w:fill="auto"/>
            <w:noWrap/>
            <w:vAlign w:val="bottom"/>
          </w:tcPr>
          <w:p w:rsidR="00877F0D" w:rsidRPr="00877F0D" w:rsidRDefault="00877F0D" w:rsidP="00E0076C">
            <w:pPr>
              <w:rPr>
                <w:sz w:val="18"/>
                <w:szCs w:val="18"/>
                <w:lang w:eastAsia="bg-BG"/>
              </w:rPr>
            </w:pPr>
            <w:r w:rsidRPr="00877F0D">
              <w:rPr>
                <w:sz w:val="18"/>
                <w:szCs w:val="18"/>
                <w:lang w:eastAsia="bg-BG"/>
              </w:rPr>
              <w:t xml:space="preserve">   -Данъчни приходи</w:t>
            </w:r>
          </w:p>
        </w:tc>
        <w:tc>
          <w:tcPr>
            <w:tcW w:w="1276" w:type="dxa"/>
            <w:tcBorders>
              <w:top w:val="single" w:sz="8" w:space="0" w:color="auto"/>
              <w:left w:val="nil"/>
              <w:right w:val="nil"/>
            </w:tcBorders>
            <w:shd w:val="clear" w:color="auto" w:fill="auto"/>
            <w:noWrap/>
            <w:vAlign w:val="bottom"/>
          </w:tcPr>
          <w:p w:rsidR="00877F0D" w:rsidRPr="00877F0D" w:rsidRDefault="00877F0D" w:rsidP="00E0076C">
            <w:pPr>
              <w:jc w:val="right"/>
              <w:rPr>
                <w:sz w:val="18"/>
                <w:szCs w:val="18"/>
                <w:lang w:eastAsia="bg-BG"/>
              </w:rPr>
            </w:pPr>
            <w:r w:rsidRPr="00877F0D">
              <w:rPr>
                <w:sz w:val="18"/>
                <w:szCs w:val="18"/>
                <w:lang w:eastAsia="bg-BG"/>
              </w:rPr>
              <w:t>19 221,6</w:t>
            </w:r>
          </w:p>
        </w:tc>
        <w:tc>
          <w:tcPr>
            <w:tcW w:w="1209" w:type="dxa"/>
            <w:tcBorders>
              <w:top w:val="single" w:sz="8" w:space="0" w:color="auto"/>
              <w:left w:val="nil"/>
              <w:right w:val="nil"/>
            </w:tcBorders>
            <w:shd w:val="clear" w:color="auto" w:fill="auto"/>
            <w:noWrap/>
            <w:vAlign w:val="bottom"/>
          </w:tcPr>
          <w:p w:rsidR="00877F0D" w:rsidRPr="00846694" w:rsidRDefault="00877F0D" w:rsidP="0025539D">
            <w:pPr>
              <w:jc w:val="right"/>
              <w:rPr>
                <w:bCs/>
                <w:sz w:val="18"/>
                <w:szCs w:val="18"/>
              </w:rPr>
            </w:pPr>
            <w:r w:rsidRPr="00846694">
              <w:rPr>
                <w:bCs/>
                <w:sz w:val="18"/>
                <w:szCs w:val="18"/>
              </w:rPr>
              <w:t>20 291,1</w:t>
            </w:r>
          </w:p>
        </w:tc>
        <w:tc>
          <w:tcPr>
            <w:tcW w:w="1304" w:type="dxa"/>
            <w:tcBorders>
              <w:top w:val="single" w:sz="8" w:space="0" w:color="auto"/>
              <w:left w:val="nil"/>
              <w:right w:val="single" w:sz="8" w:space="0" w:color="auto"/>
            </w:tcBorders>
            <w:shd w:val="clear" w:color="auto" w:fill="auto"/>
            <w:noWrap/>
          </w:tcPr>
          <w:p w:rsidR="00877F0D" w:rsidRPr="00846694" w:rsidRDefault="00877F0D" w:rsidP="0025539D">
            <w:pPr>
              <w:jc w:val="right"/>
              <w:rPr>
                <w:bCs/>
                <w:sz w:val="18"/>
                <w:szCs w:val="18"/>
              </w:rPr>
            </w:pPr>
            <w:r w:rsidRPr="00846694">
              <w:rPr>
                <w:bCs/>
                <w:sz w:val="18"/>
                <w:szCs w:val="18"/>
              </w:rPr>
              <w:t>105,6%</w:t>
            </w:r>
          </w:p>
        </w:tc>
      </w:tr>
      <w:tr w:rsidR="00877F0D" w:rsidRPr="0096051A" w:rsidTr="00371B8F">
        <w:trPr>
          <w:trHeight w:val="165"/>
          <w:jc w:val="center"/>
        </w:trPr>
        <w:tc>
          <w:tcPr>
            <w:tcW w:w="4853" w:type="dxa"/>
            <w:tcBorders>
              <w:left w:val="single" w:sz="8" w:space="0" w:color="auto"/>
              <w:right w:val="single" w:sz="8" w:space="0" w:color="auto"/>
            </w:tcBorders>
            <w:shd w:val="clear" w:color="auto" w:fill="auto"/>
            <w:noWrap/>
            <w:vAlign w:val="bottom"/>
          </w:tcPr>
          <w:p w:rsidR="00877F0D" w:rsidRPr="00877F0D" w:rsidRDefault="00877F0D" w:rsidP="00E0076C">
            <w:pPr>
              <w:rPr>
                <w:sz w:val="18"/>
                <w:szCs w:val="18"/>
                <w:lang w:eastAsia="bg-BG"/>
              </w:rPr>
            </w:pPr>
            <w:r w:rsidRPr="00877F0D">
              <w:rPr>
                <w:sz w:val="18"/>
                <w:szCs w:val="18"/>
                <w:lang w:eastAsia="bg-BG"/>
              </w:rPr>
              <w:t xml:space="preserve">       Корпоративни данъци</w:t>
            </w:r>
          </w:p>
        </w:tc>
        <w:tc>
          <w:tcPr>
            <w:tcW w:w="1276" w:type="dxa"/>
            <w:tcBorders>
              <w:left w:val="nil"/>
              <w:bottom w:val="nil"/>
              <w:right w:val="nil"/>
            </w:tcBorders>
            <w:shd w:val="clear" w:color="auto" w:fill="auto"/>
            <w:noWrap/>
            <w:vAlign w:val="bottom"/>
          </w:tcPr>
          <w:p w:rsidR="00877F0D" w:rsidRPr="00877F0D" w:rsidRDefault="00877F0D" w:rsidP="00E0076C">
            <w:pPr>
              <w:jc w:val="right"/>
              <w:rPr>
                <w:sz w:val="18"/>
                <w:szCs w:val="18"/>
                <w:lang w:eastAsia="bg-BG"/>
              </w:rPr>
            </w:pPr>
            <w:r w:rsidRPr="00877F0D">
              <w:rPr>
                <w:sz w:val="18"/>
                <w:szCs w:val="18"/>
                <w:lang w:eastAsia="bg-BG"/>
              </w:rPr>
              <w:t>2 035,9</w:t>
            </w:r>
          </w:p>
        </w:tc>
        <w:tc>
          <w:tcPr>
            <w:tcW w:w="1209" w:type="dxa"/>
            <w:tcBorders>
              <w:left w:val="nil"/>
              <w:bottom w:val="nil"/>
              <w:right w:val="nil"/>
            </w:tcBorders>
            <w:shd w:val="clear" w:color="auto" w:fill="auto"/>
            <w:noWrap/>
            <w:vAlign w:val="bottom"/>
          </w:tcPr>
          <w:p w:rsidR="00877F0D" w:rsidRPr="00784D26" w:rsidRDefault="00877F0D" w:rsidP="0025539D">
            <w:pPr>
              <w:jc w:val="right"/>
              <w:rPr>
                <w:sz w:val="18"/>
                <w:szCs w:val="18"/>
              </w:rPr>
            </w:pPr>
            <w:r w:rsidRPr="00784D26">
              <w:rPr>
                <w:sz w:val="18"/>
                <w:szCs w:val="18"/>
              </w:rPr>
              <w:t>2 308,1</w:t>
            </w:r>
          </w:p>
        </w:tc>
        <w:tc>
          <w:tcPr>
            <w:tcW w:w="1304" w:type="dxa"/>
            <w:tcBorders>
              <w:left w:val="nil"/>
              <w:bottom w:val="nil"/>
              <w:right w:val="single" w:sz="8" w:space="0" w:color="auto"/>
            </w:tcBorders>
            <w:shd w:val="clear" w:color="auto" w:fill="auto"/>
            <w:noWrap/>
            <w:vAlign w:val="bottom"/>
          </w:tcPr>
          <w:p w:rsidR="00877F0D" w:rsidRPr="00784D26" w:rsidRDefault="00877F0D" w:rsidP="0025539D">
            <w:pPr>
              <w:jc w:val="right"/>
              <w:rPr>
                <w:sz w:val="18"/>
                <w:szCs w:val="18"/>
              </w:rPr>
            </w:pPr>
            <w:r w:rsidRPr="00784D26">
              <w:rPr>
                <w:sz w:val="18"/>
                <w:szCs w:val="18"/>
              </w:rPr>
              <w:t>113,4%</w:t>
            </w:r>
          </w:p>
        </w:tc>
      </w:tr>
      <w:tr w:rsidR="00877F0D" w:rsidRPr="0096051A" w:rsidTr="00371B8F">
        <w:trPr>
          <w:trHeight w:val="165"/>
          <w:jc w:val="center"/>
        </w:trPr>
        <w:tc>
          <w:tcPr>
            <w:tcW w:w="4853" w:type="dxa"/>
            <w:tcBorders>
              <w:left w:val="single" w:sz="8" w:space="0" w:color="auto"/>
              <w:right w:val="single" w:sz="8" w:space="0" w:color="auto"/>
            </w:tcBorders>
            <w:shd w:val="clear" w:color="auto" w:fill="auto"/>
            <w:noWrap/>
            <w:vAlign w:val="bottom"/>
          </w:tcPr>
          <w:p w:rsidR="00877F0D" w:rsidRPr="00877F0D" w:rsidRDefault="00877F0D" w:rsidP="00E0076C">
            <w:pPr>
              <w:rPr>
                <w:sz w:val="18"/>
                <w:szCs w:val="18"/>
                <w:lang w:eastAsia="bg-BG"/>
              </w:rPr>
            </w:pPr>
            <w:r w:rsidRPr="00877F0D">
              <w:rPr>
                <w:sz w:val="18"/>
                <w:szCs w:val="18"/>
                <w:lang w:eastAsia="bg-BG"/>
              </w:rPr>
              <w:t xml:space="preserve">       ДДФЛ</w:t>
            </w:r>
          </w:p>
        </w:tc>
        <w:tc>
          <w:tcPr>
            <w:tcW w:w="1276" w:type="dxa"/>
            <w:tcBorders>
              <w:left w:val="nil"/>
              <w:bottom w:val="nil"/>
              <w:right w:val="nil"/>
            </w:tcBorders>
            <w:shd w:val="clear" w:color="auto" w:fill="auto"/>
            <w:noWrap/>
            <w:vAlign w:val="bottom"/>
          </w:tcPr>
          <w:p w:rsidR="00877F0D" w:rsidRPr="00877F0D" w:rsidRDefault="00877F0D" w:rsidP="00E0076C">
            <w:pPr>
              <w:jc w:val="right"/>
              <w:rPr>
                <w:sz w:val="18"/>
                <w:szCs w:val="18"/>
                <w:lang w:eastAsia="bg-BG"/>
              </w:rPr>
            </w:pPr>
            <w:r w:rsidRPr="00877F0D">
              <w:rPr>
                <w:sz w:val="18"/>
                <w:szCs w:val="18"/>
                <w:lang w:eastAsia="bg-BG"/>
              </w:rPr>
              <w:t>3 037,0</w:t>
            </w:r>
          </w:p>
        </w:tc>
        <w:tc>
          <w:tcPr>
            <w:tcW w:w="1209" w:type="dxa"/>
            <w:tcBorders>
              <w:left w:val="nil"/>
              <w:bottom w:val="nil"/>
              <w:right w:val="nil"/>
            </w:tcBorders>
            <w:shd w:val="clear" w:color="auto" w:fill="auto"/>
            <w:noWrap/>
            <w:vAlign w:val="bottom"/>
          </w:tcPr>
          <w:p w:rsidR="00877F0D" w:rsidRPr="00784D26" w:rsidRDefault="00877F0D" w:rsidP="0025539D">
            <w:pPr>
              <w:jc w:val="right"/>
              <w:rPr>
                <w:sz w:val="18"/>
                <w:szCs w:val="18"/>
              </w:rPr>
            </w:pPr>
            <w:r w:rsidRPr="00784D26">
              <w:rPr>
                <w:sz w:val="18"/>
                <w:szCs w:val="18"/>
              </w:rPr>
              <w:t>3 314,3</w:t>
            </w:r>
          </w:p>
        </w:tc>
        <w:tc>
          <w:tcPr>
            <w:tcW w:w="1304" w:type="dxa"/>
            <w:tcBorders>
              <w:left w:val="nil"/>
              <w:bottom w:val="nil"/>
              <w:right w:val="single" w:sz="8" w:space="0" w:color="auto"/>
            </w:tcBorders>
            <w:shd w:val="clear" w:color="auto" w:fill="auto"/>
            <w:noWrap/>
            <w:vAlign w:val="bottom"/>
          </w:tcPr>
          <w:p w:rsidR="00877F0D" w:rsidRPr="00784D26" w:rsidRDefault="00877F0D" w:rsidP="0025539D">
            <w:pPr>
              <w:jc w:val="right"/>
              <w:rPr>
                <w:sz w:val="18"/>
                <w:szCs w:val="18"/>
              </w:rPr>
            </w:pPr>
            <w:r w:rsidRPr="00784D26">
              <w:rPr>
                <w:sz w:val="18"/>
                <w:szCs w:val="18"/>
              </w:rPr>
              <w:t>109,1%</w:t>
            </w:r>
          </w:p>
        </w:tc>
      </w:tr>
      <w:tr w:rsidR="00877F0D" w:rsidRPr="0096051A" w:rsidTr="00371B8F">
        <w:trPr>
          <w:trHeight w:val="165"/>
          <w:jc w:val="center"/>
        </w:trPr>
        <w:tc>
          <w:tcPr>
            <w:tcW w:w="4853" w:type="dxa"/>
            <w:tcBorders>
              <w:left w:val="single" w:sz="8" w:space="0" w:color="auto"/>
              <w:right w:val="single" w:sz="8" w:space="0" w:color="auto"/>
            </w:tcBorders>
            <w:shd w:val="clear" w:color="auto" w:fill="auto"/>
            <w:noWrap/>
            <w:vAlign w:val="bottom"/>
          </w:tcPr>
          <w:p w:rsidR="00877F0D" w:rsidRPr="00877F0D" w:rsidRDefault="00877F0D" w:rsidP="00E0076C">
            <w:pPr>
              <w:rPr>
                <w:sz w:val="18"/>
                <w:szCs w:val="18"/>
                <w:lang w:eastAsia="bg-BG"/>
              </w:rPr>
            </w:pPr>
            <w:r w:rsidRPr="00877F0D">
              <w:rPr>
                <w:sz w:val="18"/>
                <w:szCs w:val="18"/>
                <w:lang w:eastAsia="bg-BG"/>
              </w:rPr>
              <w:t xml:space="preserve">       ДДС</w:t>
            </w:r>
          </w:p>
        </w:tc>
        <w:tc>
          <w:tcPr>
            <w:tcW w:w="1276" w:type="dxa"/>
            <w:tcBorders>
              <w:left w:val="nil"/>
              <w:bottom w:val="nil"/>
              <w:right w:val="nil"/>
            </w:tcBorders>
            <w:shd w:val="clear" w:color="auto" w:fill="auto"/>
            <w:noWrap/>
            <w:vAlign w:val="bottom"/>
          </w:tcPr>
          <w:p w:rsidR="00877F0D" w:rsidRPr="00877F0D" w:rsidRDefault="00877F0D" w:rsidP="00E0076C">
            <w:pPr>
              <w:jc w:val="right"/>
              <w:rPr>
                <w:sz w:val="18"/>
                <w:szCs w:val="18"/>
                <w:lang w:eastAsia="bg-BG"/>
              </w:rPr>
            </w:pPr>
            <w:r w:rsidRPr="00877F0D">
              <w:rPr>
                <w:sz w:val="18"/>
                <w:szCs w:val="18"/>
                <w:lang w:eastAsia="bg-BG"/>
              </w:rPr>
              <w:t>8 783,5</w:t>
            </w:r>
          </w:p>
        </w:tc>
        <w:tc>
          <w:tcPr>
            <w:tcW w:w="1209" w:type="dxa"/>
            <w:tcBorders>
              <w:left w:val="nil"/>
              <w:bottom w:val="nil"/>
              <w:right w:val="nil"/>
            </w:tcBorders>
            <w:shd w:val="clear" w:color="auto" w:fill="auto"/>
            <w:noWrap/>
            <w:vAlign w:val="bottom"/>
          </w:tcPr>
          <w:p w:rsidR="00877F0D" w:rsidRPr="00784D26" w:rsidRDefault="00877F0D" w:rsidP="0025539D">
            <w:pPr>
              <w:jc w:val="right"/>
              <w:rPr>
                <w:sz w:val="18"/>
                <w:szCs w:val="18"/>
              </w:rPr>
            </w:pPr>
            <w:r w:rsidRPr="00784D26">
              <w:rPr>
                <w:sz w:val="18"/>
                <w:szCs w:val="18"/>
              </w:rPr>
              <w:t>9 320,2</w:t>
            </w:r>
          </w:p>
        </w:tc>
        <w:tc>
          <w:tcPr>
            <w:tcW w:w="1304" w:type="dxa"/>
            <w:tcBorders>
              <w:left w:val="nil"/>
              <w:bottom w:val="nil"/>
              <w:right w:val="single" w:sz="8" w:space="0" w:color="auto"/>
            </w:tcBorders>
            <w:shd w:val="clear" w:color="auto" w:fill="auto"/>
            <w:noWrap/>
            <w:vAlign w:val="bottom"/>
          </w:tcPr>
          <w:p w:rsidR="00877F0D" w:rsidRPr="00784D26" w:rsidRDefault="00877F0D" w:rsidP="0025539D">
            <w:pPr>
              <w:jc w:val="right"/>
              <w:rPr>
                <w:sz w:val="18"/>
                <w:szCs w:val="18"/>
              </w:rPr>
            </w:pPr>
            <w:r w:rsidRPr="00784D26">
              <w:rPr>
                <w:sz w:val="18"/>
                <w:szCs w:val="18"/>
              </w:rPr>
              <w:t>106,1%</w:t>
            </w:r>
          </w:p>
        </w:tc>
      </w:tr>
      <w:tr w:rsidR="00877F0D" w:rsidRPr="0096051A" w:rsidTr="00371B8F">
        <w:trPr>
          <w:trHeight w:val="165"/>
          <w:jc w:val="center"/>
        </w:trPr>
        <w:tc>
          <w:tcPr>
            <w:tcW w:w="4853" w:type="dxa"/>
            <w:tcBorders>
              <w:left w:val="single" w:sz="8" w:space="0" w:color="auto"/>
              <w:right w:val="single" w:sz="8" w:space="0" w:color="auto"/>
            </w:tcBorders>
            <w:shd w:val="clear" w:color="auto" w:fill="auto"/>
            <w:noWrap/>
            <w:vAlign w:val="bottom"/>
          </w:tcPr>
          <w:p w:rsidR="00877F0D" w:rsidRPr="00877F0D" w:rsidRDefault="00877F0D" w:rsidP="00E0076C">
            <w:pPr>
              <w:rPr>
                <w:sz w:val="18"/>
                <w:szCs w:val="18"/>
                <w:lang w:eastAsia="bg-BG"/>
              </w:rPr>
            </w:pPr>
            <w:r w:rsidRPr="00877F0D">
              <w:rPr>
                <w:sz w:val="18"/>
                <w:szCs w:val="18"/>
                <w:lang w:eastAsia="bg-BG"/>
              </w:rPr>
              <w:t xml:space="preserve">       Акцизи </w:t>
            </w:r>
          </w:p>
        </w:tc>
        <w:tc>
          <w:tcPr>
            <w:tcW w:w="1276" w:type="dxa"/>
            <w:tcBorders>
              <w:left w:val="nil"/>
              <w:bottom w:val="nil"/>
              <w:right w:val="nil"/>
            </w:tcBorders>
            <w:shd w:val="clear" w:color="auto" w:fill="auto"/>
            <w:noWrap/>
            <w:vAlign w:val="bottom"/>
          </w:tcPr>
          <w:p w:rsidR="00877F0D" w:rsidRPr="00877F0D" w:rsidRDefault="00877F0D" w:rsidP="00E0076C">
            <w:pPr>
              <w:jc w:val="right"/>
              <w:rPr>
                <w:sz w:val="18"/>
                <w:szCs w:val="18"/>
                <w:lang w:eastAsia="bg-BG"/>
              </w:rPr>
            </w:pPr>
            <w:r w:rsidRPr="00877F0D">
              <w:rPr>
                <w:sz w:val="18"/>
                <w:szCs w:val="18"/>
                <w:lang w:eastAsia="bg-BG"/>
              </w:rPr>
              <w:t>5 038,0</w:t>
            </w:r>
          </w:p>
        </w:tc>
        <w:tc>
          <w:tcPr>
            <w:tcW w:w="1209" w:type="dxa"/>
            <w:tcBorders>
              <w:left w:val="nil"/>
              <w:bottom w:val="nil"/>
              <w:right w:val="nil"/>
            </w:tcBorders>
            <w:shd w:val="clear" w:color="auto" w:fill="auto"/>
            <w:noWrap/>
            <w:vAlign w:val="bottom"/>
          </w:tcPr>
          <w:p w:rsidR="00877F0D" w:rsidRPr="00784D26" w:rsidRDefault="00877F0D" w:rsidP="0025539D">
            <w:pPr>
              <w:jc w:val="right"/>
              <w:rPr>
                <w:sz w:val="18"/>
                <w:szCs w:val="18"/>
              </w:rPr>
            </w:pPr>
            <w:r w:rsidRPr="00784D26">
              <w:rPr>
                <w:sz w:val="18"/>
                <w:szCs w:val="18"/>
              </w:rPr>
              <w:t>4 984,5</w:t>
            </w:r>
          </w:p>
        </w:tc>
        <w:tc>
          <w:tcPr>
            <w:tcW w:w="1304" w:type="dxa"/>
            <w:tcBorders>
              <w:left w:val="nil"/>
              <w:bottom w:val="nil"/>
              <w:right w:val="single" w:sz="8" w:space="0" w:color="auto"/>
            </w:tcBorders>
            <w:shd w:val="clear" w:color="auto" w:fill="auto"/>
            <w:noWrap/>
            <w:vAlign w:val="bottom"/>
          </w:tcPr>
          <w:p w:rsidR="00877F0D" w:rsidRPr="00784D26" w:rsidRDefault="00877F0D" w:rsidP="0025539D">
            <w:pPr>
              <w:jc w:val="right"/>
              <w:rPr>
                <w:sz w:val="18"/>
                <w:szCs w:val="18"/>
              </w:rPr>
            </w:pPr>
            <w:r w:rsidRPr="00784D26">
              <w:rPr>
                <w:sz w:val="18"/>
                <w:szCs w:val="18"/>
              </w:rPr>
              <w:t>98,9%</w:t>
            </w:r>
          </w:p>
        </w:tc>
      </w:tr>
      <w:tr w:rsidR="00877F0D" w:rsidRPr="0096051A" w:rsidTr="00371B8F">
        <w:trPr>
          <w:trHeight w:val="165"/>
          <w:jc w:val="center"/>
        </w:trPr>
        <w:tc>
          <w:tcPr>
            <w:tcW w:w="4853" w:type="dxa"/>
            <w:tcBorders>
              <w:left w:val="single" w:sz="8" w:space="0" w:color="auto"/>
              <w:right w:val="single" w:sz="8" w:space="0" w:color="auto"/>
            </w:tcBorders>
            <w:shd w:val="clear" w:color="auto" w:fill="auto"/>
            <w:noWrap/>
            <w:vAlign w:val="bottom"/>
          </w:tcPr>
          <w:p w:rsidR="00877F0D" w:rsidRPr="00877F0D" w:rsidRDefault="00877F0D" w:rsidP="00E0076C">
            <w:pPr>
              <w:rPr>
                <w:sz w:val="18"/>
                <w:szCs w:val="18"/>
                <w:lang w:eastAsia="bg-BG"/>
              </w:rPr>
            </w:pPr>
            <w:r w:rsidRPr="00877F0D">
              <w:rPr>
                <w:sz w:val="18"/>
                <w:szCs w:val="18"/>
                <w:lang w:eastAsia="bg-BG"/>
              </w:rPr>
              <w:t xml:space="preserve">       Данък в/у застрахователните премии</w:t>
            </w:r>
          </w:p>
        </w:tc>
        <w:tc>
          <w:tcPr>
            <w:tcW w:w="1276" w:type="dxa"/>
            <w:tcBorders>
              <w:left w:val="nil"/>
              <w:bottom w:val="nil"/>
              <w:right w:val="nil"/>
            </w:tcBorders>
            <w:shd w:val="clear" w:color="auto" w:fill="auto"/>
            <w:noWrap/>
            <w:vAlign w:val="bottom"/>
          </w:tcPr>
          <w:p w:rsidR="00877F0D" w:rsidRPr="00877F0D" w:rsidRDefault="00877F0D" w:rsidP="00E0076C">
            <w:pPr>
              <w:jc w:val="right"/>
              <w:rPr>
                <w:sz w:val="18"/>
                <w:szCs w:val="18"/>
                <w:lang w:eastAsia="bg-BG"/>
              </w:rPr>
            </w:pPr>
            <w:r w:rsidRPr="00877F0D">
              <w:rPr>
                <w:sz w:val="18"/>
                <w:szCs w:val="18"/>
                <w:lang w:eastAsia="bg-BG"/>
              </w:rPr>
              <w:t>30,9</w:t>
            </w:r>
          </w:p>
        </w:tc>
        <w:tc>
          <w:tcPr>
            <w:tcW w:w="1209" w:type="dxa"/>
            <w:tcBorders>
              <w:left w:val="nil"/>
              <w:bottom w:val="nil"/>
              <w:right w:val="nil"/>
            </w:tcBorders>
            <w:shd w:val="clear" w:color="auto" w:fill="auto"/>
            <w:noWrap/>
            <w:vAlign w:val="bottom"/>
          </w:tcPr>
          <w:p w:rsidR="00877F0D" w:rsidRPr="00784D26" w:rsidRDefault="00877F0D" w:rsidP="0025539D">
            <w:pPr>
              <w:jc w:val="right"/>
              <w:rPr>
                <w:sz w:val="18"/>
                <w:szCs w:val="18"/>
              </w:rPr>
            </w:pPr>
            <w:r w:rsidRPr="00784D26">
              <w:rPr>
                <w:sz w:val="18"/>
                <w:szCs w:val="18"/>
              </w:rPr>
              <w:t>33,5</w:t>
            </w:r>
          </w:p>
        </w:tc>
        <w:tc>
          <w:tcPr>
            <w:tcW w:w="1304" w:type="dxa"/>
            <w:tcBorders>
              <w:left w:val="nil"/>
              <w:bottom w:val="nil"/>
              <w:right w:val="single" w:sz="8" w:space="0" w:color="auto"/>
            </w:tcBorders>
            <w:shd w:val="clear" w:color="auto" w:fill="auto"/>
            <w:noWrap/>
            <w:vAlign w:val="bottom"/>
          </w:tcPr>
          <w:p w:rsidR="00877F0D" w:rsidRPr="00784D26" w:rsidRDefault="00877F0D" w:rsidP="0025539D">
            <w:pPr>
              <w:jc w:val="right"/>
              <w:rPr>
                <w:sz w:val="18"/>
                <w:szCs w:val="18"/>
              </w:rPr>
            </w:pPr>
            <w:r w:rsidRPr="00784D26">
              <w:rPr>
                <w:sz w:val="18"/>
                <w:szCs w:val="18"/>
              </w:rPr>
              <w:t>108,3%</w:t>
            </w:r>
          </w:p>
        </w:tc>
      </w:tr>
      <w:tr w:rsidR="00877F0D" w:rsidRPr="0096051A" w:rsidTr="00371B8F">
        <w:trPr>
          <w:trHeight w:val="165"/>
          <w:jc w:val="center"/>
        </w:trPr>
        <w:tc>
          <w:tcPr>
            <w:tcW w:w="4853" w:type="dxa"/>
            <w:tcBorders>
              <w:left w:val="single" w:sz="8" w:space="0" w:color="auto"/>
              <w:right w:val="single" w:sz="8" w:space="0" w:color="auto"/>
            </w:tcBorders>
            <w:shd w:val="clear" w:color="auto" w:fill="auto"/>
            <w:noWrap/>
            <w:vAlign w:val="bottom"/>
          </w:tcPr>
          <w:p w:rsidR="00877F0D" w:rsidRPr="00877F0D" w:rsidRDefault="00877F0D" w:rsidP="00E0076C">
            <w:pPr>
              <w:rPr>
                <w:sz w:val="18"/>
                <w:szCs w:val="18"/>
                <w:lang w:eastAsia="bg-BG"/>
              </w:rPr>
            </w:pPr>
            <w:r w:rsidRPr="00877F0D">
              <w:rPr>
                <w:sz w:val="18"/>
                <w:szCs w:val="18"/>
                <w:lang w:eastAsia="bg-BG"/>
              </w:rPr>
              <w:t xml:space="preserve">       Мита и митнически такси</w:t>
            </w:r>
          </w:p>
        </w:tc>
        <w:tc>
          <w:tcPr>
            <w:tcW w:w="1276" w:type="dxa"/>
            <w:tcBorders>
              <w:left w:val="nil"/>
              <w:bottom w:val="nil"/>
              <w:right w:val="nil"/>
            </w:tcBorders>
            <w:shd w:val="clear" w:color="auto" w:fill="auto"/>
            <w:noWrap/>
            <w:vAlign w:val="bottom"/>
          </w:tcPr>
          <w:p w:rsidR="00877F0D" w:rsidRPr="00877F0D" w:rsidRDefault="00877F0D" w:rsidP="00E0076C">
            <w:pPr>
              <w:jc w:val="right"/>
              <w:rPr>
                <w:sz w:val="18"/>
                <w:szCs w:val="18"/>
                <w:lang w:eastAsia="bg-BG"/>
              </w:rPr>
            </w:pPr>
            <w:r w:rsidRPr="00877F0D">
              <w:rPr>
                <w:sz w:val="18"/>
                <w:szCs w:val="18"/>
                <w:lang w:eastAsia="bg-BG"/>
              </w:rPr>
              <w:t>166,0</w:t>
            </w:r>
          </w:p>
        </w:tc>
        <w:tc>
          <w:tcPr>
            <w:tcW w:w="1209" w:type="dxa"/>
            <w:tcBorders>
              <w:left w:val="nil"/>
              <w:bottom w:val="nil"/>
              <w:right w:val="nil"/>
            </w:tcBorders>
            <w:shd w:val="clear" w:color="auto" w:fill="auto"/>
            <w:noWrap/>
            <w:vAlign w:val="bottom"/>
          </w:tcPr>
          <w:p w:rsidR="00877F0D" w:rsidRPr="00784D26" w:rsidRDefault="00877F0D" w:rsidP="0025539D">
            <w:pPr>
              <w:jc w:val="right"/>
              <w:rPr>
                <w:sz w:val="18"/>
                <w:szCs w:val="18"/>
              </w:rPr>
            </w:pPr>
            <w:r w:rsidRPr="00784D26">
              <w:rPr>
                <w:sz w:val="18"/>
                <w:szCs w:val="18"/>
              </w:rPr>
              <w:t>194,3</w:t>
            </w:r>
          </w:p>
        </w:tc>
        <w:tc>
          <w:tcPr>
            <w:tcW w:w="1304" w:type="dxa"/>
            <w:tcBorders>
              <w:left w:val="nil"/>
              <w:bottom w:val="nil"/>
              <w:right w:val="single" w:sz="8" w:space="0" w:color="auto"/>
            </w:tcBorders>
            <w:shd w:val="clear" w:color="auto" w:fill="auto"/>
            <w:noWrap/>
            <w:vAlign w:val="bottom"/>
          </w:tcPr>
          <w:p w:rsidR="00877F0D" w:rsidRPr="00784D26" w:rsidRDefault="00877F0D" w:rsidP="0025539D">
            <w:pPr>
              <w:jc w:val="right"/>
              <w:rPr>
                <w:sz w:val="18"/>
                <w:szCs w:val="18"/>
              </w:rPr>
            </w:pPr>
            <w:r w:rsidRPr="00784D26">
              <w:rPr>
                <w:sz w:val="18"/>
                <w:szCs w:val="18"/>
              </w:rPr>
              <w:t>117,0%</w:t>
            </w:r>
          </w:p>
        </w:tc>
      </w:tr>
      <w:tr w:rsidR="00877F0D" w:rsidRPr="0096051A" w:rsidTr="0025539D">
        <w:trPr>
          <w:trHeight w:val="165"/>
          <w:jc w:val="center"/>
        </w:trPr>
        <w:tc>
          <w:tcPr>
            <w:tcW w:w="4853" w:type="dxa"/>
            <w:tcBorders>
              <w:left w:val="single" w:sz="8" w:space="0" w:color="auto"/>
              <w:right w:val="single" w:sz="8" w:space="0" w:color="auto"/>
            </w:tcBorders>
            <w:shd w:val="clear" w:color="auto" w:fill="auto"/>
            <w:noWrap/>
            <w:vAlign w:val="bottom"/>
          </w:tcPr>
          <w:p w:rsidR="00877F0D" w:rsidRPr="00877F0D" w:rsidRDefault="00877F0D" w:rsidP="00E0076C">
            <w:pPr>
              <w:rPr>
                <w:sz w:val="18"/>
                <w:szCs w:val="18"/>
                <w:lang w:eastAsia="bg-BG"/>
              </w:rPr>
            </w:pPr>
            <w:r w:rsidRPr="00877F0D">
              <w:rPr>
                <w:sz w:val="18"/>
                <w:szCs w:val="18"/>
                <w:lang w:eastAsia="bg-BG"/>
              </w:rPr>
              <w:t xml:space="preserve">       Други данъци</w:t>
            </w:r>
          </w:p>
        </w:tc>
        <w:tc>
          <w:tcPr>
            <w:tcW w:w="1276" w:type="dxa"/>
            <w:tcBorders>
              <w:left w:val="nil"/>
              <w:bottom w:val="nil"/>
              <w:right w:val="nil"/>
            </w:tcBorders>
            <w:shd w:val="clear" w:color="auto" w:fill="auto"/>
            <w:noWrap/>
            <w:vAlign w:val="bottom"/>
          </w:tcPr>
          <w:p w:rsidR="00877F0D" w:rsidRPr="00877F0D" w:rsidRDefault="00877F0D" w:rsidP="00E0076C">
            <w:pPr>
              <w:jc w:val="right"/>
              <w:rPr>
                <w:sz w:val="18"/>
                <w:szCs w:val="18"/>
                <w:lang w:eastAsia="bg-BG"/>
              </w:rPr>
            </w:pPr>
            <w:r w:rsidRPr="00877F0D">
              <w:rPr>
                <w:sz w:val="18"/>
                <w:szCs w:val="18"/>
                <w:lang w:eastAsia="bg-BG"/>
              </w:rPr>
              <w:t>130,3</w:t>
            </w:r>
          </w:p>
        </w:tc>
        <w:tc>
          <w:tcPr>
            <w:tcW w:w="1209" w:type="dxa"/>
            <w:tcBorders>
              <w:left w:val="nil"/>
              <w:bottom w:val="nil"/>
              <w:right w:val="nil"/>
            </w:tcBorders>
            <w:shd w:val="clear" w:color="auto" w:fill="auto"/>
            <w:noWrap/>
          </w:tcPr>
          <w:p w:rsidR="00877F0D" w:rsidRPr="00784D26" w:rsidRDefault="00877F0D" w:rsidP="0025539D">
            <w:pPr>
              <w:jc w:val="right"/>
              <w:rPr>
                <w:sz w:val="18"/>
                <w:szCs w:val="18"/>
              </w:rPr>
            </w:pPr>
            <w:r w:rsidRPr="00784D26">
              <w:rPr>
                <w:sz w:val="18"/>
                <w:szCs w:val="18"/>
              </w:rPr>
              <w:t>136,3</w:t>
            </w:r>
          </w:p>
        </w:tc>
        <w:tc>
          <w:tcPr>
            <w:tcW w:w="1304" w:type="dxa"/>
            <w:tcBorders>
              <w:left w:val="nil"/>
              <w:bottom w:val="nil"/>
              <w:right w:val="single" w:sz="8" w:space="0" w:color="auto"/>
            </w:tcBorders>
            <w:shd w:val="clear" w:color="auto" w:fill="auto"/>
            <w:noWrap/>
          </w:tcPr>
          <w:p w:rsidR="00877F0D" w:rsidRPr="00784D26" w:rsidRDefault="00877F0D" w:rsidP="0025539D">
            <w:pPr>
              <w:jc w:val="right"/>
              <w:rPr>
                <w:sz w:val="18"/>
                <w:szCs w:val="18"/>
              </w:rPr>
            </w:pPr>
            <w:r w:rsidRPr="00784D26">
              <w:rPr>
                <w:sz w:val="18"/>
                <w:szCs w:val="18"/>
              </w:rPr>
              <w:t>104,5%</w:t>
            </w:r>
          </w:p>
        </w:tc>
      </w:tr>
      <w:tr w:rsidR="00877F0D" w:rsidRPr="0096051A" w:rsidTr="0025539D">
        <w:trPr>
          <w:trHeight w:val="165"/>
          <w:jc w:val="center"/>
        </w:trPr>
        <w:tc>
          <w:tcPr>
            <w:tcW w:w="4853" w:type="dxa"/>
            <w:tcBorders>
              <w:left w:val="single" w:sz="8" w:space="0" w:color="auto"/>
              <w:right w:val="single" w:sz="8" w:space="0" w:color="auto"/>
            </w:tcBorders>
            <w:shd w:val="clear" w:color="auto" w:fill="auto"/>
            <w:noWrap/>
            <w:vAlign w:val="bottom"/>
          </w:tcPr>
          <w:p w:rsidR="00877F0D" w:rsidRPr="00877F0D" w:rsidRDefault="00877F0D" w:rsidP="00E0076C">
            <w:pPr>
              <w:rPr>
                <w:sz w:val="18"/>
                <w:szCs w:val="18"/>
                <w:lang w:eastAsia="bg-BG"/>
              </w:rPr>
            </w:pPr>
            <w:r w:rsidRPr="00877F0D">
              <w:rPr>
                <w:sz w:val="18"/>
                <w:szCs w:val="18"/>
                <w:lang w:eastAsia="bg-BG"/>
              </w:rPr>
              <w:t xml:space="preserve">   -Неданъчни приходи</w:t>
            </w:r>
          </w:p>
        </w:tc>
        <w:tc>
          <w:tcPr>
            <w:tcW w:w="1276" w:type="dxa"/>
            <w:tcBorders>
              <w:left w:val="nil"/>
              <w:bottom w:val="nil"/>
              <w:right w:val="nil"/>
            </w:tcBorders>
            <w:shd w:val="clear" w:color="auto" w:fill="auto"/>
            <w:noWrap/>
            <w:vAlign w:val="bottom"/>
          </w:tcPr>
          <w:p w:rsidR="00877F0D" w:rsidRPr="00877F0D" w:rsidRDefault="00877F0D" w:rsidP="00E0076C">
            <w:pPr>
              <w:jc w:val="right"/>
              <w:rPr>
                <w:sz w:val="18"/>
                <w:szCs w:val="18"/>
                <w:lang w:eastAsia="bg-BG"/>
              </w:rPr>
            </w:pPr>
            <w:r w:rsidRPr="00877F0D">
              <w:rPr>
                <w:sz w:val="18"/>
                <w:szCs w:val="18"/>
                <w:lang w:eastAsia="bg-BG"/>
              </w:rPr>
              <w:t>2 710,4</w:t>
            </w:r>
          </w:p>
        </w:tc>
        <w:tc>
          <w:tcPr>
            <w:tcW w:w="1209" w:type="dxa"/>
            <w:tcBorders>
              <w:left w:val="nil"/>
              <w:bottom w:val="nil"/>
              <w:right w:val="nil"/>
            </w:tcBorders>
            <w:shd w:val="clear" w:color="auto" w:fill="auto"/>
            <w:noWrap/>
          </w:tcPr>
          <w:p w:rsidR="00877F0D" w:rsidRPr="00784D26" w:rsidRDefault="00877F0D" w:rsidP="0025539D">
            <w:pPr>
              <w:jc w:val="right"/>
              <w:rPr>
                <w:sz w:val="18"/>
                <w:szCs w:val="18"/>
              </w:rPr>
            </w:pPr>
            <w:r w:rsidRPr="00784D26">
              <w:rPr>
                <w:sz w:val="18"/>
                <w:szCs w:val="18"/>
              </w:rPr>
              <w:t>1 932,8</w:t>
            </w:r>
          </w:p>
        </w:tc>
        <w:tc>
          <w:tcPr>
            <w:tcW w:w="1304" w:type="dxa"/>
            <w:tcBorders>
              <w:left w:val="nil"/>
              <w:bottom w:val="nil"/>
              <w:right w:val="single" w:sz="8" w:space="0" w:color="auto"/>
            </w:tcBorders>
            <w:shd w:val="clear" w:color="auto" w:fill="auto"/>
            <w:noWrap/>
          </w:tcPr>
          <w:p w:rsidR="00877F0D" w:rsidRPr="00784D26" w:rsidRDefault="00877F0D" w:rsidP="0025539D">
            <w:pPr>
              <w:jc w:val="right"/>
              <w:rPr>
                <w:sz w:val="18"/>
                <w:szCs w:val="18"/>
              </w:rPr>
            </w:pPr>
            <w:r w:rsidRPr="00784D26">
              <w:rPr>
                <w:sz w:val="18"/>
                <w:szCs w:val="18"/>
              </w:rPr>
              <w:t>71,3%</w:t>
            </w:r>
          </w:p>
        </w:tc>
      </w:tr>
      <w:tr w:rsidR="00877F0D" w:rsidRPr="0096051A" w:rsidTr="0025539D">
        <w:trPr>
          <w:trHeight w:val="165"/>
          <w:jc w:val="center"/>
        </w:trPr>
        <w:tc>
          <w:tcPr>
            <w:tcW w:w="4853" w:type="dxa"/>
            <w:tcBorders>
              <w:left w:val="single" w:sz="8" w:space="0" w:color="auto"/>
              <w:right w:val="single" w:sz="8" w:space="0" w:color="auto"/>
            </w:tcBorders>
            <w:shd w:val="clear" w:color="auto" w:fill="auto"/>
            <w:noWrap/>
            <w:vAlign w:val="bottom"/>
          </w:tcPr>
          <w:p w:rsidR="00877F0D" w:rsidRPr="00877F0D" w:rsidRDefault="00877F0D" w:rsidP="00E0076C">
            <w:pPr>
              <w:rPr>
                <w:sz w:val="18"/>
                <w:szCs w:val="18"/>
                <w:lang w:eastAsia="bg-BG"/>
              </w:rPr>
            </w:pPr>
            <w:r w:rsidRPr="00877F0D">
              <w:rPr>
                <w:sz w:val="18"/>
                <w:szCs w:val="18"/>
                <w:lang w:eastAsia="bg-BG"/>
              </w:rPr>
              <w:t xml:space="preserve">   -Помощи</w:t>
            </w:r>
          </w:p>
        </w:tc>
        <w:tc>
          <w:tcPr>
            <w:tcW w:w="1276" w:type="dxa"/>
            <w:tcBorders>
              <w:left w:val="nil"/>
              <w:bottom w:val="nil"/>
              <w:right w:val="nil"/>
            </w:tcBorders>
            <w:shd w:val="clear" w:color="auto" w:fill="auto"/>
            <w:noWrap/>
            <w:vAlign w:val="bottom"/>
          </w:tcPr>
          <w:p w:rsidR="00877F0D" w:rsidRPr="00877F0D" w:rsidRDefault="00877F0D" w:rsidP="00E0076C">
            <w:pPr>
              <w:jc w:val="right"/>
              <w:rPr>
                <w:sz w:val="18"/>
                <w:szCs w:val="18"/>
                <w:lang w:eastAsia="bg-BG"/>
              </w:rPr>
            </w:pPr>
            <w:r w:rsidRPr="00877F0D">
              <w:rPr>
                <w:sz w:val="18"/>
                <w:szCs w:val="18"/>
                <w:lang w:eastAsia="bg-BG"/>
              </w:rPr>
              <w:t>0,</w:t>
            </w:r>
            <w:proofErr w:type="spellStart"/>
            <w:r w:rsidRPr="00877F0D">
              <w:rPr>
                <w:sz w:val="18"/>
                <w:szCs w:val="18"/>
                <w:lang w:eastAsia="bg-BG"/>
              </w:rPr>
              <w:t>0</w:t>
            </w:r>
            <w:proofErr w:type="spellEnd"/>
          </w:p>
        </w:tc>
        <w:tc>
          <w:tcPr>
            <w:tcW w:w="1209" w:type="dxa"/>
            <w:tcBorders>
              <w:left w:val="nil"/>
              <w:bottom w:val="nil"/>
              <w:right w:val="nil"/>
            </w:tcBorders>
            <w:shd w:val="clear" w:color="auto" w:fill="auto"/>
            <w:noWrap/>
          </w:tcPr>
          <w:p w:rsidR="00877F0D" w:rsidRPr="00784D26" w:rsidRDefault="00877F0D" w:rsidP="0025539D">
            <w:pPr>
              <w:jc w:val="right"/>
              <w:rPr>
                <w:sz w:val="18"/>
                <w:szCs w:val="18"/>
              </w:rPr>
            </w:pPr>
            <w:r w:rsidRPr="00784D26">
              <w:rPr>
                <w:sz w:val="18"/>
                <w:szCs w:val="18"/>
              </w:rPr>
              <w:t>8,4</w:t>
            </w:r>
          </w:p>
        </w:tc>
        <w:tc>
          <w:tcPr>
            <w:tcW w:w="1304" w:type="dxa"/>
            <w:tcBorders>
              <w:left w:val="nil"/>
              <w:bottom w:val="nil"/>
              <w:right w:val="single" w:sz="8" w:space="0" w:color="auto"/>
            </w:tcBorders>
            <w:shd w:val="clear" w:color="auto" w:fill="auto"/>
            <w:noWrap/>
            <w:vAlign w:val="bottom"/>
          </w:tcPr>
          <w:p w:rsidR="00877F0D" w:rsidRPr="004641FC" w:rsidRDefault="00877F0D" w:rsidP="0025539D">
            <w:pPr>
              <w:rPr>
                <w:color w:val="0070C0"/>
                <w:sz w:val="18"/>
                <w:szCs w:val="18"/>
              </w:rPr>
            </w:pPr>
            <w:r w:rsidRPr="004641FC">
              <w:rPr>
                <w:color w:val="0070C0"/>
                <w:sz w:val="18"/>
                <w:szCs w:val="18"/>
              </w:rPr>
              <w:t> </w:t>
            </w:r>
          </w:p>
        </w:tc>
      </w:tr>
      <w:tr w:rsidR="00877F0D" w:rsidRPr="0096051A" w:rsidTr="00371B8F">
        <w:trPr>
          <w:trHeight w:val="199"/>
          <w:jc w:val="center"/>
        </w:trPr>
        <w:tc>
          <w:tcPr>
            <w:tcW w:w="4853" w:type="dxa"/>
            <w:tcBorders>
              <w:top w:val="single" w:sz="4" w:space="0" w:color="auto"/>
              <w:left w:val="single" w:sz="4" w:space="0" w:color="auto"/>
              <w:bottom w:val="nil"/>
              <w:right w:val="single" w:sz="4" w:space="0" w:color="auto"/>
            </w:tcBorders>
            <w:shd w:val="clear" w:color="auto" w:fill="auto"/>
            <w:noWrap/>
            <w:vAlign w:val="bottom"/>
          </w:tcPr>
          <w:p w:rsidR="00877F0D" w:rsidRPr="00877F0D" w:rsidRDefault="00877F0D" w:rsidP="00E0076C">
            <w:pPr>
              <w:rPr>
                <w:b/>
                <w:bCs/>
                <w:sz w:val="18"/>
                <w:szCs w:val="18"/>
                <w:lang w:eastAsia="bg-BG"/>
              </w:rPr>
            </w:pPr>
            <w:r w:rsidRPr="00877F0D">
              <w:rPr>
                <w:b/>
                <w:bCs/>
                <w:sz w:val="18"/>
                <w:szCs w:val="18"/>
                <w:lang w:eastAsia="bg-BG"/>
              </w:rPr>
              <w:t xml:space="preserve"> Разходи,трансфери и вноска в бюджета на ЕС</w:t>
            </w:r>
          </w:p>
        </w:tc>
        <w:tc>
          <w:tcPr>
            <w:tcW w:w="1276" w:type="dxa"/>
            <w:tcBorders>
              <w:top w:val="single" w:sz="4" w:space="0" w:color="auto"/>
              <w:left w:val="nil"/>
              <w:bottom w:val="nil"/>
              <w:right w:val="nil"/>
            </w:tcBorders>
            <w:shd w:val="clear" w:color="auto" w:fill="auto"/>
            <w:noWrap/>
            <w:vAlign w:val="bottom"/>
          </w:tcPr>
          <w:p w:rsidR="00877F0D" w:rsidRPr="00877F0D" w:rsidRDefault="00877F0D" w:rsidP="00E0076C">
            <w:pPr>
              <w:jc w:val="right"/>
              <w:rPr>
                <w:b/>
                <w:bCs/>
                <w:sz w:val="18"/>
                <w:szCs w:val="18"/>
                <w:lang w:eastAsia="bg-BG"/>
              </w:rPr>
            </w:pPr>
            <w:r w:rsidRPr="00877F0D">
              <w:rPr>
                <w:b/>
                <w:bCs/>
                <w:sz w:val="18"/>
                <w:szCs w:val="18"/>
                <w:lang w:eastAsia="bg-BG"/>
              </w:rPr>
              <w:t>22 796,2</w:t>
            </w:r>
          </w:p>
        </w:tc>
        <w:tc>
          <w:tcPr>
            <w:tcW w:w="1209" w:type="dxa"/>
            <w:tcBorders>
              <w:top w:val="single" w:sz="4" w:space="0" w:color="auto"/>
              <w:left w:val="nil"/>
              <w:bottom w:val="nil"/>
              <w:right w:val="nil"/>
            </w:tcBorders>
            <w:shd w:val="clear" w:color="auto" w:fill="auto"/>
            <w:noWrap/>
            <w:vAlign w:val="bottom"/>
          </w:tcPr>
          <w:p w:rsidR="00877F0D" w:rsidRDefault="00877F0D" w:rsidP="0025539D">
            <w:pPr>
              <w:jc w:val="right"/>
              <w:rPr>
                <w:b/>
                <w:bCs/>
                <w:sz w:val="18"/>
                <w:szCs w:val="18"/>
              </w:rPr>
            </w:pPr>
            <w:r>
              <w:rPr>
                <w:b/>
                <w:bCs/>
                <w:sz w:val="18"/>
                <w:szCs w:val="18"/>
              </w:rPr>
              <w:t>22 241,0</w:t>
            </w:r>
          </w:p>
        </w:tc>
        <w:tc>
          <w:tcPr>
            <w:tcW w:w="1304" w:type="dxa"/>
            <w:tcBorders>
              <w:top w:val="single" w:sz="4" w:space="0" w:color="auto"/>
              <w:left w:val="nil"/>
              <w:bottom w:val="nil"/>
              <w:right w:val="single" w:sz="8" w:space="0" w:color="auto"/>
            </w:tcBorders>
            <w:shd w:val="clear" w:color="auto" w:fill="auto"/>
            <w:noWrap/>
            <w:vAlign w:val="bottom"/>
          </w:tcPr>
          <w:p w:rsidR="00877F0D" w:rsidRDefault="00877F0D" w:rsidP="0025539D">
            <w:pPr>
              <w:jc w:val="right"/>
              <w:rPr>
                <w:b/>
                <w:bCs/>
                <w:sz w:val="18"/>
                <w:szCs w:val="18"/>
              </w:rPr>
            </w:pPr>
            <w:r>
              <w:rPr>
                <w:b/>
                <w:bCs/>
                <w:sz w:val="18"/>
                <w:szCs w:val="18"/>
              </w:rPr>
              <w:t>97,6%</w:t>
            </w:r>
          </w:p>
        </w:tc>
      </w:tr>
      <w:tr w:rsidR="00877F0D" w:rsidRPr="0096051A" w:rsidTr="00371B8F">
        <w:trPr>
          <w:trHeight w:val="101"/>
          <w:jc w:val="center"/>
        </w:trPr>
        <w:tc>
          <w:tcPr>
            <w:tcW w:w="4853" w:type="dxa"/>
            <w:tcBorders>
              <w:top w:val="nil"/>
              <w:left w:val="single" w:sz="4" w:space="0" w:color="auto"/>
              <w:bottom w:val="nil"/>
              <w:right w:val="single" w:sz="4" w:space="0" w:color="auto"/>
            </w:tcBorders>
            <w:shd w:val="clear" w:color="auto" w:fill="auto"/>
            <w:noWrap/>
            <w:vAlign w:val="bottom"/>
          </w:tcPr>
          <w:p w:rsidR="00877F0D" w:rsidRPr="00877F0D" w:rsidRDefault="00877F0D" w:rsidP="00E0076C">
            <w:pPr>
              <w:rPr>
                <w:b/>
                <w:i/>
                <w:sz w:val="18"/>
                <w:szCs w:val="18"/>
                <w:lang w:eastAsia="bg-BG"/>
              </w:rPr>
            </w:pPr>
            <w:r w:rsidRPr="00877F0D">
              <w:rPr>
                <w:b/>
                <w:i/>
                <w:sz w:val="18"/>
                <w:szCs w:val="18"/>
                <w:lang w:eastAsia="bg-BG"/>
              </w:rPr>
              <w:t xml:space="preserve">   -Нелихвени разходи</w:t>
            </w:r>
          </w:p>
        </w:tc>
        <w:tc>
          <w:tcPr>
            <w:tcW w:w="1276" w:type="dxa"/>
            <w:tcBorders>
              <w:top w:val="nil"/>
              <w:left w:val="nil"/>
              <w:bottom w:val="nil"/>
              <w:right w:val="nil"/>
            </w:tcBorders>
            <w:shd w:val="clear" w:color="auto" w:fill="auto"/>
            <w:noWrap/>
            <w:vAlign w:val="bottom"/>
          </w:tcPr>
          <w:p w:rsidR="00877F0D" w:rsidRPr="00877F0D" w:rsidRDefault="00877F0D" w:rsidP="00E0076C">
            <w:pPr>
              <w:jc w:val="right"/>
              <w:rPr>
                <w:sz w:val="18"/>
                <w:szCs w:val="18"/>
                <w:lang w:eastAsia="bg-BG"/>
              </w:rPr>
            </w:pPr>
            <w:r w:rsidRPr="00877F0D">
              <w:rPr>
                <w:sz w:val="18"/>
                <w:szCs w:val="18"/>
                <w:lang w:eastAsia="bg-BG"/>
              </w:rPr>
              <w:t>10 228,1</w:t>
            </w:r>
          </w:p>
        </w:tc>
        <w:tc>
          <w:tcPr>
            <w:tcW w:w="1209" w:type="dxa"/>
            <w:tcBorders>
              <w:top w:val="nil"/>
              <w:left w:val="nil"/>
              <w:bottom w:val="nil"/>
              <w:right w:val="nil"/>
            </w:tcBorders>
            <w:shd w:val="clear" w:color="auto" w:fill="auto"/>
            <w:noWrap/>
            <w:vAlign w:val="bottom"/>
          </w:tcPr>
          <w:p w:rsidR="00877F0D" w:rsidRDefault="00877F0D" w:rsidP="0025539D">
            <w:pPr>
              <w:jc w:val="right"/>
              <w:rPr>
                <w:sz w:val="18"/>
                <w:szCs w:val="18"/>
              </w:rPr>
            </w:pPr>
            <w:r>
              <w:rPr>
                <w:sz w:val="18"/>
                <w:szCs w:val="18"/>
              </w:rPr>
              <w:t>9 541,3</w:t>
            </w:r>
          </w:p>
        </w:tc>
        <w:tc>
          <w:tcPr>
            <w:tcW w:w="1304" w:type="dxa"/>
            <w:tcBorders>
              <w:top w:val="nil"/>
              <w:left w:val="nil"/>
              <w:bottom w:val="nil"/>
              <w:right w:val="single" w:sz="8" w:space="0" w:color="auto"/>
            </w:tcBorders>
            <w:shd w:val="clear" w:color="auto" w:fill="auto"/>
            <w:noWrap/>
            <w:vAlign w:val="bottom"/>
          </w:tcPr>
          <w:p w:rsidR="00877F0D" w:rsidRDefault="00877F0D" w:rsidP="0025539D">
            <w:pPr>
              <w:jc w:val="right"/>
              <w:rPr>
                <w:sz w:val="18"/>
                <w:szCs w:val="18"/>
              </w:rPr>
            </w:pPr>
            <w:r>
              <w:rPr>
                <w:sz w:val="18"/>
                <w:szCs w:val="18"/>
              </w:rPr>
              <w:t>93,3%</w:t>
            </w:r>
          </w:p>
        </w:tc>
      </w:tr>
      <w:tr w:rsidR="00877F0D" w:rsidRPr="0096051A" w:rsidTr="00371B8F">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877F0D" w:rsidRPr="00877F0D" w:rsidRDefault="00877F0D" w:rsidP="00E0076C">
            <w:pPr>
              <w:rPr>
                <w:sz w:val="18"/>
                <w:szCs w:val="18"/>
                <w:lang w:eastAsia="bg-BG"/>
              </w:rPr>
            </w:pPr>
            <w:r w:rsidRPr="00877F0D">
              <w:rPr>
                <w:sz w:val="18"/>
                <w:szCs w:val="18"/>
                <w:lang w:eastAsia="bg-BG"/>
              </w:rPr>
              <w:t xml:space="preserve">      Текущи </w:t>
            </w:r>
          </w:p>
        </w:tc>
        <w:tc>
          <w:tcPr>
            <w:tcW w:w="1276" w:type="dxa"/>
            <w:tcBorders>
              <w:top w:val="nil"/>
              <w:left w:val="nil"/>
              <w:bottom w:val="nil"/>
              <w:right w:val="nil"/>
            </w:tcBorders>
            <w:shd w:val="clear" w:color="auto" w:fill="auto"/>
            <w:noWrap/>
            <w:vAlign w:val="bottom"/>
          </w:tcPr>
          <w:p w:rsidR="00877F0D" w:rsidRPr="00877F0D" w:rsidRDefault="00877F0D" w:rsidP="00E0076C">
            <w:pPr>
              <w:jc w:val="right"/>
              <w:rPr>
                <w:sz w:val="18"/>
                <w:szCs w:val="18"/>
                <w:lang w:eastAsia="bg-BG"/>
              </w:rPr>
            </w:pPr>
            <w:r w:rsidRPr="00877F0D">
              <w:rPr>
                <w:sz w:val="18"/>
                <w:szCs w:val="18"/>
                <w:lang w:eastAsia="bg-BG"/>
              </w:rPr>
              <w:t>8 130,9</w:t>
            </w:r>
          </w:p>
        </w:tc>
        <w:tc>
          <w:tcPr>
            <w:tcW w:w="1209" w:type="dxa"/>
            <w:tcBorders>
              <w:top w:val="nil"/>
              <w:left w:val="nil"/>
              <w:bottom w:val="nil"/>
              <w:right w:val="nil"/>
            </w:tcBorders>
            <w:shd w:val="clear" w:color="auto" w:fill="auto"/>
            <w:noWrap/>
            <w:vAlign w:val="bottom"/>
          </w:tcPr>
          <w:p w:rsidR="00877F0D" w:rsidRDefault="00877F0D" w:rsidP="0025539D">
            <w:pPr>
              <w:jc w:val="right"/>
              <w:rPr>
                <w:sz w:val="18"/>
                <w:szCs w:val="18"/>
              </w:rPr>
            </w:pPr>
            <w:r>
              <w:rPr>
                <w:sz w:val="18"/>
                <w:szCs w:val="18"/>
              </w:rPr>
              <w:t>7 825,9</w:t>
            </w:r>
          </w:p>
        </w:tc>
        <w:tc>
          <w:tcPr>
            <w:tcW w:w="1304" w:type="dxa"/>
            <w:tcBorders>
              <w:top w:val="nil"/>
              <w:left w:val="nil"/>
              <w:bottom w:val="nil"/>
              <w:right w:val="single" w:sz="8" w:space="0" w:color="auto"/>
            </w:tcBorders>
            <w:shd w:val="clear" w:color="auto" w:fill="auto"/>
            <w:noWrap/>
            <w:vAlign w:val="bottom"/>
          </w:tcPr>
          <w:p w:rsidR="00877F0D" w:rsidRDefault="00877F0D" w:rsidP="0025539D">
            <w:pPr>
              <w:jc w:val="right"/>
              <w:rPr>
                <w:sz w:val="18"/>
                <w:szCs w:val="18"/>
              </w:rPr>
            </w:pPr>
            <w:r>
              <w:rPr>
                <w:sz w:val="18"/>
                <w:szCs w:val="18"/>
              </w:rPr>
              <w:t>96,2%</w:t>
            </w:r>
          </w:p>
        </w:tc>
      </w:tr>
      <w:tr w:rsidR="00877F0D" w:rsidRPr="0096051A" w:rsidTr="00371B8F">
        <w:trPr>
          <w:trHeight w:val="179"/>
          <w:jc w:val="center"/>
        </w:trPr>
        <w:tc>
          <w:tcPr>
            <w:tcW w:w="4853" w:type="dxa"/>
            <w:tcBorders>
              <w:top w:val="nil"/>
              <w:left w:val="single" w:sz="4" w:space="0" w:color="auto"/>
              <w:bottom w:val="nil"/>
              <w:right w:val="single" w:sz="4" w:space="0" w:color="auto"/>
            </w:tcBorders>
            <w:shd w:val="clear" w:color="auto" w:fill="auto"/>
            <w:noWrap/>
            <w:vAlign w:val="bottom"/>
          </w:tcPr>
          <w:p w:rsidR="00877F0D" w:rsidRPr="00877F0D" w:rsidRDefault="00877F0D" w:rsidP="00E0076C">
            <w:pPr>
              <w:rPr>
                <w:sz w:val="18"/>
                <w:szCs w:val="18"/>
                <w:lang w:eastAsia="bg-BG"/>
              </w:rPr>
            </w:pPr>
            <w:r w:rsidRPr="00877F0D">
              <w:rPr>
                <w:sz w:val="18"/>
                <w:szCs w:val="18"/>
                <w:lang w:eastAsia="bg-BG"/>
              </w:rPr>
              <w:t xml:space="preserve">      Капиталови</w:t>
            </w:r>
          </w:p>
        </w:tc>
        <w:tc>
          <w:tcPr>
            <w:tcW w:w="1276" w:type="dxa"/>
            <w:tcBorders>
              <w:top w:val="nil"/>
              <w:left w:val="nil"/>
              <w:bottom w:val="nil"/>
              <w:right w:val="nil"/>
            </w:tcBorders>
            <w:shd w:val="clear" w:color="auto" w:fill="auto"/>
            <w:noWrap/>
            <w:vAlign w:val="bottom"/>
          </w:tcPr>
          <w:p w:rsidR="00877F0D" w:rsidRPr="00877F0D" w:rsidRDefault="00877F0D" w:rsidP="00E0076C">
            <w:pPr>
              <w:jc w:val="right"/>
              <w:rPr>
                <w:sz w:val="18"/>
                <w:szCs w:val="18"/>
                <w:lang w:eastAsia="bg-BG"/>
              </w:rPr>
            </w:pPr>
            <w:r w:rsidRPr="00877F0D">
              <w:rPr>
                <w:sz w:val="18"/>
                <w:szCs w:val="18"/>
                <w:lang w:eastAsia="bg-BG"/>
              </w:rPr>
              <w:t>2 097,2</w:t>
            </w:r>
          </w:p>
        </w:tc>
        <w:tc>
          <w:tcPr>
            <w:tcW w:w="1209" w:type="dxa"/>
            <w:tcBorders>
              <w:top w:val="nil"/>
              <w:left w:val="nil"/>
              <w:bottom w:val="nil"/>
              <w:right w:val="nil"/>
            </w:tcBorders>
            <w:shd w:val="clear" w:color="auto" w:fill="auto"/>
            <w:noWrap/>
            <w:vAlign w:val="bottom"/>
          </w:tcPr>
          <w:p w:rsidR="00877F0D" w:rsidRDefault="00877F0D" w:rsidP="0025539D">
            <w:pPr>
              <w:jc w:val="right"/>
              <w:rPr>
                <w:sz w:val="18"/>
                <w:szCs w:val="18"/>
              </w:rPr>
            </w:pPr>
            <w:r>
              <w:rPr>
                <w:sz w:val="18"/>
                <w:szCs w:val="18"/>
              </w:rPr>
              <w:t>1 715,4</w:t>
            </w:r>
          </w:p>
        </w:tc>
        <w:tc>
          <w:tcPr>
            <w:tcW w:w="1304" w:type="dxa"/>
            <w:tcBorders>
              <w:top w:val="nil"/>
              <w:left w:val="nil"/>
              <w:bottom w:val="nil"/>
              <w:right w:val="single" w:sz="8" w:space="0" w:color="auto"/>
            </w:tcBorders>
            <w:shd w:val="clear" w:color="auto" w:fill="auto"/>
            <w:noWrap/>
            <w:vAlign w:val="bottom"/>
          </w:tcPr>
          <w:p w:rsidR="00877F0D" w:rsidRDefault="00877F0D" w:rsidP="0025539D">
            <w:pPr>
              <w:jc w:val="right"/>
              <w:rPr>
                <w:sz w:val="18"/>
                <w:szCs w:val="18"/>
              </w:rPr>
            </w:pPr>
            <w:r>
              <w:rPr>
                <w:sz w:val="18"/>
                <w:szCs w:val="18"/>
              </w:rPr>
              <w:t>81,8%</w:t>
            </w:r>
          </w:p>
        </w:tc>
      </w:tr>
      <w:tr w:rsidR="00877F0D" w:rsidRPr="0096051A" w:rsidTr="00371B8F">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877F0D" w:rsidRPr="00877F0D" w:rsidRDefault="00877F0D" w:rsidP="00E0076C">
            <w:pPr>
              <w:rPr>
                <w:b/>
                <w:i/>
                <w:sz w:val="18"/>
                <w:szCs w:val="18"/>
                <w:lang w:eastAsia="bg-BG"/>
              </w:rPr>
            </w:pPr>
            <w:r w:rsidRPr="00877F0D">
              <w:rPr>
                <w:b/>
                <w:i/>
                <w:sz w:val="18"/>
                <w:szCs w:val="18"/>
                <w:lang w:eastAsia="bg-BG"/>
              </w:rPr>
              <w:t xml:space="preserve">   -Лихви</w:t>
            </w:r>
          </w:p>
        </w:tc>
        <w:tc>
          <w:tcPr>
            <w:tcW w:w="1276" w:type="dxa"/>
            <w:tcBorders>
              <w:top w:val="nil"/>
              <w:left w:val="nil"/>
              <w:bottom w:val="nil"/>
              <w:right w:val="nil"/>
            </w:tcBorders>
            <w:shd w:val="clear" w:color="auto" w:fill="auto"/>
            <w:noWrap/>
            <w:vAlign w:val="bottom"/>
          </w:tcPr>
          <w:p w:rsidR="00877F0D" w:rsidRPr="00877F0D" w:rsidRDefault="00877F0D" w:rsidP="00E0076C">
            <w:pPr>
              <w:jc w:val="right"/>
              <w:rPr>
                <w:sz w:val="18"/>
                <w:szCs w:val="18"/>
                <w:lang w:eastAsia="bg-BG"/>
              </w:rPr>
            </w:pPr>
            <w:r w:rsidRPr="00877F0D">
              <w:rPr>
                <w:sz w:val="18"/>
                <w:szCs w:val="18"/>
                <w:lang w:eastAsia="bg-BG"/>
              </w:rPr>
              <w:t>792,9</w:t>
            </w:r>
          </w:p>
        </w:tc>
        <w:tc>
          <w:tcPr>
            <w:tcW w:w="1209" w:type="dxa"/>
            <w:tcBorders>
              <w:top w:val="nil"/>
              <w:left w:val="nil"/>
              <w:bottom w:val="nil"/>
              <w:right w:val="nil"/>
            </w:tcBorders>
            <w:shd w:val="clear" w:color="auto" w:fill="auto"/>
            <w:noWrap/>
            <w:vAlign w:val="bottom"/>
          </w:tcPr>
          <w:p w:rsidR="00877F0D" w:rsidRDefault="00877F0D" w:rsidP="0025539D">
            <w:pPr>
              <w:jc w:val="right"/>
              <w:rPr>
                <w:sz w:val="18"/>
                <w:szCs w:val="18"/>
              </w:rPr>
            </w:pPr>
            <w:r>
              <w:rPr>
                <w:sz w:val="18"/>
                <w:szCs w:val="18"/>
              </w:rPr>
              <w:t>754,7</w:t>
            </w:r>
          </w:p>
        </w:tc>
        <w:tc>
          <w:tcPr>
            <w:tcW w:w="1304" w:type="dxa"/>
            <w:tcBorders>
              <w:top w:val="nil"/>
              <w:left w:val="nil"/>
              <w:bottom w:val="nil"/>
              <w:right w:val="single" w:sz="8" w:space="0" w:color="auto"/>
            </w:tcBorders>
            <w:shd w:val="clear" w:color="auto" w:fill="auto"/>
            <w:noWrap/>
            <w:vAlign w:val="bottom"/>
          </w:tcPr>
          <w:p w:rsidR="00877F0D" w:rsidRDefault="00877F0D" w:rsidP="0025539D">
            <w:pPr>
              <w:jc w:val="right"/>
              <w:rPr>
                <w:sz w:val="18"/>
                <w:szCs w:val="18"/>
              </w:rPr>
            </w:pPr>
            <w:r>
              <w:rPr>
                <w:sz w:val="18"/>
                <w:szCs w:val="18"/>
              </w:rPr>
              <w:t>95,2%</w:t>
            </w:r>
          </w:p>
        </w:tc>
      </w:tr>
      <w:tr w:rsidR="00877F0D" w:rsidRPr="0096051A" w:rsidTr="00371B8F">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877F0D" w:rsidRPr="00877F0D" w:rsidRDefault="00877F0D" w:rsidP="00E0076C">
            <w:pPr>
              <w:rPr>
                <w:sz w:val="18"/>
                <w:szCs w:val="18"/>
                <w:lang w:eastAsia="bg-BG"/>
              </w:rPr>
            </w:pPr>
            <w:r w:rsidRPr="00877F0D">
              <w:rPr>
                <w:sz w:val="18"/>
                <w:szCs w:val="18"/>
                <w:lang w:eastAsia="bg-BG"/>
              </w:rPr>
              <w:t xml:space="preserve">      По външни заеми</w:t>
            </w:r>
          </w:p>
        </w:tc>
        <w:tc>
          <w:tcPr>
            <w:tcW w:w="1276" w:type="dxa"/>
            <w:tcBorders>
              <w:top w:val="nil"/>
              <w:left w:val="nil"/>
              <w:bottom w:val="nil"/>
              <w:right w:val="nil"/>
            </w:tcBorders>
            <w:shd w:val="clear" w:color="auto" w:fill="auto"/>
            <w:noWrap/>
            <w:vAlign w:val="bottom"/>
          </w:tcPr>
          <w:p w:rsidR="00877F0D" w:rsidRPr="00877F0D" w:rsidRDefault="00877F0D" w:rsidP="00E0076C">
            <w:pPr>
              <w:jc w:val="right"/>
              <w:rPr>
                <w:sz w:val="18"/>
                <w:szCs w:val="18"/>
                <w:lang w:eastAsia="bg-BG"/>
              </w:rPr>
            </w:pPr>
            <w:r w:rsidRPr="00877F0D">
              <w:rPr>
                <w:sz w:val="18"/>
                <w:szCs w:val="18"/>
                <w:lang w:eastAsia="bg-BG"/>
              </w:rPr>
              <w:t>542,2</w:t>
            </w:r>
          </w:p>
        </w:tc>
        <w:tc>
          <w:tcPr>
            <w:tcW w:w="1209" w:type="dxa"/>
            <w:tcBorders>
              <w:top w:val="nil"/>
              <w:left w:val="nil"/>
              <w:bottom w:val="nil"/>
              <w:right w:val="nil"/>
            </w:tcBorders>
            <w:shd w:val="clear" w:color="auto" w:fill="auto"/>
            <w:noWrap/>
            <w:vAlign w:val="bottom"/>
          </w:tcPr>
          <w:p w:rsidR="00877F0D" w:rsidRDefault="00877F0D" w:rsidP="0025539D">
            <w:pPr>
              <w:jc w:val="right"/>
              <w:rPr>
                <w:sz w:val="18"/>
                <w:szCs w:val="18"/>
              </w:rPr>
            </w:pPr>
            <w:r>
              <w:rPr>
                <w:sz w:val="18"/>
                <w:szCs w:val="18"/>
              </w:rPr>
              <w:t>527,1</w:t>
            </w:r>
          </w:p>
        </w:tc>
        <w:tc>
          <w:tcPr>
            <w:tcW w:w="1304" w:type="dxa"/>
            <w:tcBorders>
              <w:top w:val="nil"/>
              <w:left w:val="nil"/>
              <w:bottom w:val="nil"/>
              <w:right w:val="single" w:sz="8" w:space="0" w:color="auto"/>
            </w:tcBorders>
            <w:shd w:val="clear" w:color="auto" w:fill="auto"/>
            <w:noWrap/>
            <w:vAlign w:val="bottom"/>
          </w:tcPr>
          <w:p w:rsidR="00877F0D" w:rsidRDefault="00877F0D" w:rsidP="0025539D">
            <w:pPr>
              <w:jc w:val="right"/>
              <w:rPr>
                <w:sz w:val="18"/>
                <w:szCs w:val="18"/>
              </w:rPr>
            </w:pPr>
            <w:r>
              <w:rPr>
                <w:sz w:val="18"/>
                <w:szCs w:val="18"/>
              </w:rPr>
              <w:t>97,2%</w:t>
            </w:r>
          </w:p>
        </w:tc>
      </w:tr>
      <w:tr w:rsidR="00877F0D" w:rsidRPr="0096051A" w:rsidTr="00371B8F">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877F0D" w:rsidRPr="00877F0D" w:rsidRDefault="00877F0D" w:rsidP="00E0076C">
            <w:pPr>
              <w:rPr>
                <w:sz w:val="18"/>
                <w:szCs w:val="18"/>
                <w:lang w:eastAsia="bg-BG"/>
              </w:rPr>
            </w:pPr>
            <w:r w:rsidRPr="00877F0D">
              <w:rPr>
                <w:sz w:val="18"/>
                <w:szCs w:val="18"/>
                <w:lang w:eastAsia="bg-BG"/>
              </w:rPr>
              <w:t xml:space="preserve">      По вътрешни заеми</w:t>
            </w:r>
          </w:p>
        </w:tc>
        <w:tc>
          <w:tcPr>
            <w:tcW w:w="1276" w:type="dxa"/>
            <w:tcBorders>
              <w:top w:val="nil"/>
              <w:left w:val="nil"/>
              <w:bottom w:val="nil"/>
              <w:right w:val="nil"/>
            </w:tcBorders>
            <w:shd w:val="clear" w:color="auto" w:fill="auto"/>
            <w:noWrap/>
            <w:vAlign w:val="bottom"/>
          </w:tcPr>
          <w:p w:rsidR="00877F0D" w:rsidRPr="00877F0D" w:rsidRDefault="00877F0D" w:rsidP="00E0076C">
            <w:pPr>
              <w:jc w:val="right"/>
              <w:rPr>
                <w:sz w:val="18"/>
                <w:szCs w:val="18"/>
                <w:lang w:eastAsia="bg-BG"/>
              </w:rPr>
            </w:pPr>
            <w:r w:rsidRPr="00877F0D">
              <w:rPr>
                <w:sz w:val="18"/>
                <w:szCs w:val="18"/>
                <w:lang w:eastAsia="bg-BG"/>
              </w:rPr>
              <w:t>250,7</w:t>
            </w:r>
          </w:p>
        </w:tc>
        <w:tc>
          <w:tcPr>
            <w:tcW w:w="1209" w:type="dxa"/>
            <w:tcBorders>
              <w:top w:val="nil"/>
              <w:left w:val="nil"/>
              <w:bottom w:val="nil"/>
              <w:right w:val="nil"/>
            </w:tcBorders>
            <w:shd w:val="clear" w:color="auto" w:fill="auto"/>
            <w:noWrap/>
            <w:vAlign w:val="bottom"/>
          </w:tcPr>
          <w:p w:rsidR="00877F0D" w:rsidRDefault="00877F0D" w:rsidP="0025539D">
            <w:pPr>
              <w:jc w:val="right"/>
              <w:rPr>
                <w:sz w:val="18"/>
                <w:szCs w:val="18"/>
              </w:rPr>
            </w:pPr>
            <w:r>
              <w:rPr>
                <w:sz w:val="18"/>
                <w:szCs w:val="18"/>
              </w:rPr>
              <w:t>227,6</w:t>
            </w:r>
          </w:p>
        </w:tc>
        <w:tc>
          <w:tcPr>
            <w:tcW w:w="1304" w:type="dxa"/>
            <w:tcBorders>
              <w:top w:val="nil"/>
              <w:left w:val="nil"/>
              <w:bottom w:val="nil"/>
              <w:right w:val="single" w:sz="8" w:space="0" w:color="auto"/>
            </w:tcBorders>
            <w:shd w:val="clear" w:color="auto" w:fill="auto"/>
            <w:noWrap/>
            <w:vAlign w:val="bottom"/>
          </w:tcPr>
          <w:p w:rsidR="00877F0D" w:rsidRDefault="00877F0D" w:rsidP="0025539D">
            <w:pPr>
              <w:jc w:val="right"/>
              <w:rPr>
                <w:sz w:val="18"/>
                <w:szCs w:val="18"/>
              </w:rPr>
            </w:pPr>
            <w:r>
              <w:rPr>
                <w:sz w:val="18"/>
                <w:szCs w:val="18"/>
              </w:rPr>
              <w:t>90,8%</w:t>
            </w:r>
          </w:p>
        </w:tc>
      </w:tr>
      <w:tr w:rsidR="00877F0D" w:rsidRPr="0096051A" w:rsidTr="00371B8F">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877F0D" w:rsidRPr="00877F0D" w:rsidRDefault="00877F0D" w:rsidP="00E0076C">
            <w:pPr>
              <w:rPr>
                <w:b/>
                <w:i/>
                <w:sz w:val="18"/>
                <w:szCs w:val="18"/>
                <w:lang w:eastAsia="bg-BG"/>
              </w:rPr>
            </w:pPr>
            <w:r w:rsidRPr="00877F0D">
              <w:rPr>
                <w:b/>
                <w:i/>
                <w:sz w:val="18"/>
                <w:szCs w:val="18"/>
                <w:lang w:eastAsia="bg-BG"/>
              </w:rPr>
              <w:t xml:space="preserve"> - Резерв за непредвидени и неотложни разходи</w:t>
            </w:r>
            <w:r w:rsidRPr="00877F0D">
              <w:rPr>
                <w:b/>
                <w:bCs/>
                <w:sz w:val="20"/>
                <w:szCs w:val="20"/>
                <w:vertAlign w:val="superscript"/>
                <w:lang w:eastAsia="bg-BG"/>
              </w:rPr>
              <w:footnoteReference w:id="9"/>
            </w:r>
            <w:r w:rsidRPr="00877F0D">
              <w:rPr>
                <w:b/>
                <w:i/>
                <w:sz w:val="18"/>
                <w:szCs w:val="18"/>
                <w:lang w:eastAsia="bg-BG"/>
              </w:rPr>
              <w:tab/>
            </w:r>
          </w:p>
        </w:tc>
        <w:tc>
          <w:tcPr>
            <w:tcW w:w="1276" w:type="dxa"/>
            <w:tcBorders>
              <w:top w:val="nil"/>
              <w:left w:val="nil"/>
              <w:bottom w:val="nil"/>
              <w:right w:val="nil"/>
            </w:tcBorders>
            <w:shd w:val="clear" w:color="auto" w:fill="auto"/>
            <w:noWrap/>
            <w:vAlign w:val="bottom"/>
          </w:tcPr>
          <w:p w:rsidR="00877F0D" w:rsidRPr="00877F0D" w:rsidRDefault="00877F0D" w:rsidP="00E0076C">
            <w:pPr>
              <w:jc w:val="right"/>
              <w:rPr>
                <w:sz w:val="18"/>
                <w:szCs w:val="18"/>
                <w:lang w:eastAsia="bg-BG"/>
              </w:rPr>
            </w:pPr>
            <w:r w:rsidRPr="00877F0D">
              <w:rPr>
                <w:sz w:val="18"/>
                <w:szCs w:val="18"/>
                <w:lang w:eastAsia="bg-BG"/>
              </w:rPr>
              <w:t>71,1</w:t>
            </w:r>
          </w:p>
        </w:tc>
        <w:tc>
          <w:tcPr>
            <w:tcW w:w="1209" w:type="dxa"/>
            <w:tcBorders>
              <w:top w:val="nil"/>
              <w:left w:val="nil"/>
              <w:bottom w:val="nil"/>
              <w:right w:val="nil"/>
            </w:tcBorders>
            <w:shd w:val="clear" w:color="auto" w:fill="auto"/>
            <w:noWrap/>
            <w:vAlign w:val="bottom"/>
          </w:tcPr>
          <w:p w:rsidR="00877F0D" w:rsidRDefault="00877F0D" w:rsidP="0025539D">
            <w:pPr>
              <w:jc w:val="right"/>
              <w:rPr>
                <w:sz w:val="18"/>
                <w:szCs w:val="18"/>
              </w:rPr>
            </w:pPr>
          </w:p>
        </w:tc>
        <w:tc>
          <w:tcPr>
            <w:tcW w:w="1304" w:type="dxa"/>
            <w:tcBorders>
              <w:top w:val="nil"/>
              <w:left w:val="nil"/>
              <w:bottom w:val="nil"/>
              <w:right w:val="single" w:sz="8" w:space="0" w:color="auto"/>
            </w:tcBorders>
            <w:shd w:val="clear" w:color="auto" w:fill="auto"/>
            <w:noWrap/>
            <w:vAlign w:val="bottom"/>
          </w:tcPr>
          <w:p w:rsidR="00877F0D" w:rsidRDefault="00877F0D" w:rsidP="0025539D">
            <w:pPr>
              <w:jc w:val="right"/>
              <w:rPr>
                <w:sz w:val="18"/>
                <w:szCs w:val="18"/>
              </w:rPr>
            </w:pPr>
          </w:p>
        </w:tc>
      </w:tr>
      <w:tr w:rsidR="00877F0D" w:rsidRPr="0096051A" w:rsidTr="00371B8F">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877F0D" w:rsidRPr="00877F0D" w:rsidRDefault="00877F0D" w:rsidP="00E0076C">
            <w:pPr>
              <w:rPr>
                <w:b/>
                <w:i/>
                <w:sz w:val="18"/>
                <w:szCs w:val="18"/>
                <w:lang w:eastAsia="bg-BG"/>
              </w:rPr>
            </w:pPr>
            <w:r w:rsidRPr="00877F0D">
              <w:rPr>
                <w:b/>
                <w:i/>
                <w:sz w:val="18"/>
                <w:szCs w:val="18"/>
                <w:lang w:eastAsia="bg-BG"/>
              </w:rPr>
              <w:t xml:space="preserve"> -Трансфери за  др. бюджети - нето</w:t>
            </w:r>
          </w:p>
        </w:tc>
        <w:tc>
          <w:tcPr>
            <w:tcW w:w="1276" w:type="dxa"/>
            <w:tcBorders>
              <w:top w:val="nil"/>
              <w:left w:val="nil"/>
              <w:bottom w:val="nil"/>
              <w:right w:val="nil"/>
            </w:tcBorders>
            <w:shd w:val="clear" w:color="auto" w:fill="auto"/>
            <w:noWrap/>
            <w:vAlign w:val="bottom"/>
          </w:tcPr>
          <w:p w:rsidR="00877F0D" w:rsidRPr="00877F0D" w:rsidRDefault="00877F0D" w:rsidP="00E0076C">
            <w:pPr>
              <w:jc w:val="right"/>
              <w:rPr>
                <w:sz w:val="18"/>
                <w:szCs w:val="18"/>
                <w:lang w:eastAsia="bg-BG"/>
              </w:rPr>
            </w:pPr>
            <w:r w:rsidRPr="00877F0D">
              <w:rPr>
                <w:sz w:val="18"/>
                <w:szCs w:val="18"/>
                <w:lang w:eastAsia="bg-BG"/>
              </w:rPr>
              <w:t>10 711,5</w:t>
            </w:r>
          </w:p>
        </w:tc>
        <w:tc>
          <w:tcPr>
            <w:tcW w:w="1209" w:type="dxa"/>
            <w:tcBorders>
              <w:top w:val="nil"/>
              <w:left w:val="nil"/>
              <w:bottom w:val="nil"/>
              <w:right w:val="nil"/>
            </w:tcBorders>
            <w:shd w:val="clear" w:color="auto" w:fill="auto"/>
            <w:noWrap/>
            <w:vAlign w:val="bottom"/>
          </w:tcPr>
          <w:p w:rsidR="00877F0D" w:rsidRDefault="00877F0D" w:rsidP="0025539D">
            <w:pPr>
              <w:jc w:val="right"/>
              <w:rPr>
                <w:sz w:val="18"/>
                <w:szCs w:val="18"/>
              </w:rPr>
            </w:pPr>
            <w:r>
              <w:rPr>
                <w:sz w:val="18"/>
                <w:szCs w:val="18"/>
              </w:rPr>
              <w:t>11 056,8</w:t>
            </w:r>
          </w:p>
        </w:tc>
        <w:tc>
          <w:tcPr>
            <w:tcW w:w="1304" w:type="dxa"/>
            <w:tcBorders>
              <w:top w:val="nil"/>
              <w:left w:val="nil"/>
              <w:bottom w:val="nil"/>
              <w:right w:val="single" w:sz="8" w:space="0" w:color="auto"/>
            </w:tcBorders>
            <w:shd w:val="clear" w:color="auto" w:fill="auto"/>
            <w:noWrap/>
            <w:vAlign w:val="bottom"/>
          </w:tcPr>
          <w:p w:rsidR="00877F0D" w:rsidRDefault="00877F0D" w:rsidP="0025539D">
            <w:pPr>
              <w:jc w:val="right"/>
              <w:rPr>
                <w:sz w:val="18"/>
                <w:szCs w:val="18"/>
              </w:rPr>
            </w:pPr>
            <w:r>
              <w:rPr>
                <w:sz w:val="18"/>
                <w:szCs w:val="18"/>
              </w:rPr>
              <w:t>103,2%</w:t>
            </w:r>
          </w:p>
        </w:tc>
      </w:tr>
      <w:tr w:rsidR="00877F0D" w:rsidRPr="0096051A" w:rsidTr="00371B8F">
        <w:trPr>
          <w:trHeight w:val="80"/>
          <w:jc w:val="center"/>
        </w:trPr>
        <w:tc>
          <w:tcPr>
            <w:tcW w:w="4853" w:type="dxa"/>
            <w:tcBorders>
              <w:top w:val="nil"/>
              <w:left w:val="single" w:sz="4" w:space="0" w:color="auto"/>
              <w:bottom w:val="single" w:sz="4" w:space="0" w:color="auto"/>
              <w:right w:val="single" w:sz="4" w:space="0" w:color="auto"/>
            </w:tcBorders>
            <w:shd w:val="clear" w:color="auto" w:fill="auto"/>
            <w:noWrap/>
            <w:vAlign w:val="bottom"/>
          </w:tcPr>
          <w:p w:rsidR="00877F0D" w:rsidRPr="00877F0D" w:rsidRDefault="00877F0D" w:rsidP="00E0076C">
            <w:pPr>
              <w:rPr>
                <w:b/>
                <w:bCs/>
                <w:i/>
                <w:sz w:val="18"/>
                <w:szCs w:val="18"/>
                <w:lang w:eastAsia="bg-BG"/>
              </w:rPr>
            </w:pPr>
            <w:r w:rsidRPr="00877F0D">
              <w:rPr>
                <w:b/>
                <w:bCs/>
                <w:i/>
                <w:sz w:val="18"/>
                <w:szCs w:val="18"/>
                <w:lang w:eastAsia="bg-BG"/>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rsidR="00877F0D" w:rsidRPr="00877F0D" w:rsidRDefault="00877F0D" w:rsidP="00E0076C">
            <w:pPr>
              <w:jc w:val="right"/>
              <w:rPr>
                <w:sz w:val="18"/>
                <w:szCs w:val="18"/>
                <w:lang w:eastAsia="bg-BG"/>
              </w:rPr>
            </w:pPr>
            <w:r w:rsidRPr="00877F0D">
              <w:rPr>
                <w:sz w:val="18"/>
                <w:szCs w:val="18"/>
                <w:lang w:eastAsia="bg-BG"/>
              </w:rPr>
              <w:t>992,6</w:t>
            </w:r>
          </w:p>
        </w:tc>
        <w:tc>
          <w:tcPr>
            <w:tcW w:w="1209" w:type="dxa"/>
            <w:tcBorders>
              <w:top w:val="nil"/>
              <w:left w:val="nil"/>
              <w:bottom w:val="single" w:sz="4" w:space="0" w:color="auto"/>
              <w:right w:val="nil"/>
            </w:tcBorders>
            <w:shd w:val="clear" w:color="auto" w:fill="auto"/>
            <w:noWrap/>
            <w:vAlign w:val="bottom"/>
          </w:tcPr>
          <w:p w:rsidR="00877F0D" w:rsidRDefault="00877F0D" w:rsidP="0025539D">
            <w:pPr>
              <w:jc w:val="right"/>
              <w:rPr>
                <w:sz w:val="18"/>
                <w:szCs w:val="18"/>
              </w:rPr>
            </w:pPr>
            <w:r>
              <w:rPr>
                <w:sz w:val="18"/>
                <w:szCs w:val="18"/>
              </w:rPr>
              <w:t>888,2</w:t>
            </w:r>
          </w:p>
        </w:tc>
        <w:tc>
          <w:tcPr>
            <w:tcW w:w="1304" w:type="dxa"/>
            <w:tcBorders>
              <w:top w:val="nil"/>
              <w:left w:val="nil"/>
              <w:bottom w:val="single" w:sz="4" w:space="0" w:color="auto"/>
              <w:right w:val="single" w:sz="8" w:space="0" w:color="auto"/>
            </w:tcBorders>
            <w:shd w:val="clear" w:color="auto" w:fill="auto"/>
            <w:noWrap/>
            <w:vAlign w:val="bottom"/>
          </w:tcPr>
          <w:p w:rsidR="00877F0D" w:rsidRDefault="00877F0D" w:rsidP="0025539D">
            <w:pPr>
              <w:jc w:val="right"/>
              <w:rPr>
                <w:sz w:val="18"/>
                <w:szCs w:val="18"/>
              </w:rPr>
            </w:pPr>
            <w:r>
              <w:rPr>
                <w:sz w:val="18"/>
                <w:szCs w:val="18"/>
              </w:rPr>
              <w:t>89,5%</w:t>
            </w:r>
          </w:p>
        </w:tc>
      </w:tr>
      <w:tr w:rsidR="00877F0D" w:rsidRPr="0096051A" w:rsidTr="00371B8F">
        <w:trPr>
          <w:trHeight w:val="70"/>
          <w:jc w:val="center"/>
        </w:trPr>
        <w:tc>
          <w:tcPr>
            <w:tcW w:w="4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7F0D" w:rsidRPr="00877F0D" w:rsidRDefault="00877F0D" w:rsidP="00E0076C">
            <w:pPr>
              <w:rPr>
                <w:b/>
                <w:bCs/>
                <w:sz w:val="18"/>
                <w:szCs w:val="18"/>
                <w:lang w:eastAsia="bg-BG"/>
              </w:rPr>
            </w:pPr>
            <w:r w:rsidRPr="00877F0D">
              <w:rPr>
                <w:b/>
                <w:bCs/>
                <w:sz w:val="18"/>
                <w:szCs w:val="18"/>
                <w:lang w:eastAsia="bg-BG"/>
              </w:rPr>
              <w:t>Бюджетен баланс</w:t>
            </w:r>
          </w:p>
        </w:tc>
        <w:tc>
          <w:tcPr>
            <w:tcW w:w="1276" w:type="dxa"/>
            <w:tcBorders>
              <w:top w:val="single" w:sz="4" w:space="0" w:color="auto"/>
              <w:left w:val="nil"/>
              <w:bottom w:val="single" w:sz="8" w:space="0" w:color="auto"/>
              <w:right w:val="nil"/>
            </w:tcBorders>
            <w:shd w:val="clear" w:color="auto" w:fill="auto"/>
            <w:noWrap/>
            <w:vAlign w:val="bottom"/>
          </w:tcPr>
          <w:p w:rsidR="00877F0D" w:rsidRPr="00877F0D" w:rsidRDefault="00877F0D" w:rsidP="00E0076C">
            <w:pPr>
              <w:jc w:val="right"/>
              <w:rPr>
                <w:b/>
                <w:bCs/>
                <w:sz w:val="18"/>
                <w:szCs w:val="18"/>
                <w:lang w:eastAsia="bg-BG"/>
              </w:rPr>
            </w:pPr>
            <w:r w:rsidRPr="00877F0D">
              <w:rPr>
                <w:b/>
                <w:bCs/>
                <w:sz w:val="18"/>
                <w:szCs w:val="18"/>
                <w:lang w:eastAsia="bg-BG"/>
              </w:rPr>
              <w:t>-864,2</w:t>
            </w:r>
          </w:p>
        </w:tc>
        <w:tc>
          <w:tcPr>
            <w:tcW w:w="1209" w:type="dxa"/>
            <w:tcBorders>
              <w:top w:val="single" w:sz="4" w:space="0" w:color="auto"/>
              <w:left w:val="nil"/>
              <w:bottom w:val="single" w:sz="8" w:space="0" w:color="auto"/>
              <w:right w:val="nil"/>
            </w:tcBorders>
            <w:shd w:val="clear" w:color="auto" w:fill="auto"/>
            <w:noWrap/>
            <w:vAlign w:val="bottom"/>
          </w:tcPr>
          <w:p w:rsidR="00877F0D" w:rsidRDefault="00877F0D" w:rsidP="0025539D">
            <w:pPr>
              <w:jc w:val="right"/>
              <w:rPr>
                <w:b/>
                <w:bCs/>
                <w:sz w:val="18"/>
                <w:szCs w:val="18"/>
              </w:rPr>
            </w:pPr>
            <w:r>
              <w:rPr>
                <w:b/>
                <w:bCs/>
                <w:sz w:val="18"/>
                <w:szCs w:val="18"/>
              </w:rPr>
              <w:t>-8,7</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877F0D" w:rsidRDefault="00877F0D" w:rsidP="0025539D">
            <w:pPr>
              <w:jc w:val="right"/>
              <w:rPr>
                <w:b/>
                <w:bCs/>
                <w:sz w:val="18"/>
                <w:szCs w:val="18"/>
              </w:rPr>
            </w:pPr>
          </w:p>
        </w:tc>
      </w:tr>
    </w:tbl>
    <w:p w:rsidR="00E0076C" w:rsidRPr="0096051A" w:rsidRDefault="00E0076C" w:rsidP="00E0076C">
      <w:pPr>
        <w:spacing w:after="120"/>
        <w:ind w:left="360"/>
        <w:jc w:val="both"/>
        <w:rPr>
          <w:b/>
          <w:color w:val="0070C0"/>
          <w:sz w:val="12"/>
        </w:rPr>
      </w:pPr>
    </w:p>
    <w:p w:rsidR="00E0076C" w:rsidRPr="001C2D36" w:rsidRDefault="00E0076C" w:rsidP="00E0076C">
      <w:pPr>
        <w:numPr>
          <w:ilvl w:val="0"/>
          <w:numId w:val="2"/>
        </w:numPr>
        <w:spacing w:after="120"/>
        <w:jc w:val="both"/>
        <w:rPr>
          <w:b/>
        </w:rPr>
      </w:pPr>
      <w:r w:rsidRPr="001C2D36">
        <w:rPr>
          <w:b/>
          <w:bCs/>
        </w:rPr>
        <w:t xml:space="preserve">Приходи по държавния бюджет </w:t>
      </w:r>
    </w:p>
    <w:p w:rsidR="001C2D36" w:rsidRPr="000D569F" w:rsidRDefault="001C2D36" w:rsidP="001C2D36">
      <w:pPr>
        <w:spacing w:after="120"/>
        <w:jc w:val="both"/>
        <w:rPr>
          <w:bCs/>
        </w:rPr>
      </w:pPr>
      <w:r w:rsidRPr="000D569F">
        <w:rPr>
          <w:b/>
          <w:bCs/>
        </w:rPr>
        <w:t>Общият размер на приходите</w:t>
      </w:r>
      <w:r w:rsidR="0073665E">
        <w:rPr>
          <w:b/>
          <w:bCs/>
        </w:rPr>
        <w:t>,</w:t>
      </w:r>
      <w:r w:rsidRPr="000D569F">
        <w:rPr>
          <w:b/>
          <w:bCs/>
        </w:rPr>
        <w:t xml:space="preserve"> помощите</w:t>
      </w:r>
      <w:r w:rsidR="0073665E">
        <w:rPr>
          <w:b/>
          <w:bCs/>
        </w:rPr>
        <w:t xml:space="preserve"> и даренията</w:t>
      </w:r>
      <w:r w:rsidRPr="000D569F">
        <w:rPr>
          <w:b/>
          <w:bCs/>
        </w:rPr>
        <w:t xml:space="preserve"> по държавния бюджет</w:t>
      </w:r>
      <w:r w:rsidRPr="000D569F">
        <w:rPr>
          <w:bCs/>
        </w:rPr>
        <w:t xml:space="preserve"> за 2017 г. е</w:t>
      </w:r>
      <w:r w:rsidRPr="000D569F">
        <w:rPr>
          <w:b/>
          <w:bCs/>
        </w:rPr>
        <w:t xml:space="preserve"> 22 232,4 млн. лв.</w:t>
      </w:r>
      <w:r w:rsidRPr="000D569F">
        <w:rPr>
          <w:bCs/>
        </w:rPr>
        <w:t>, което представлява 101,4 % изпълнение на разчетите по ЗДБРБ за 2017 г. и с 1 554,0 млн. лв. повече спрямо 2016 година.</w:t>
      </w:r>
    </w:p>
    <w:p w:rsidR="001C2D36" w:rsidRPr="0018758D" w:rsidRDefault="001C2D36" w:rsidP="001C2D36">
      <w:pPr>
        <w:numPr>
          <w:ilvl w:val="0"/>
          <w:numId w:val="3"/>
        </w:numPr>
        <w:tabs>
          <w:tab w:val="num" w:pos="720"/>
        </w:tabs>
        <w:ind w:left="0" w:firstLine="180"/>
        <w:jc w:val="both"/>
        <w:rPr>
          <w:b/>
          <w:bCs/>
        </w:rPr>
      </w:pPr>
      <w:r w:rsidRPr="0018758D">
        <w:rPr>
          <w:bCs/>
        </w:rPr>
        <w:t xml:space="preserve"> </w:t>
      </w:r>
      <w:r w:rsidRPr="0018758D">
        <w:rPr>
          <w:b/>
          <w:bCs/>
        </w:rPr>
        <w:t>Данъчни приходи</w:t>
      </w:r>
    </w:p>
    <w:p w:rsidR="001C2D36" w:rsidRPr="0018758D" w:rsidRDefault="001C2D36" w:rsidP="001C2D36">
      <w:pPr>
        <w:jc w:val="both"/>
        <w:rPr>
          <w:bCs/>
          <w:sz w:val="4"/>
          <w:szCs w:val="4"/>
        </w:rPr>
      </w:pPr>
    </w:p>
    <w:p w:rsidR="001C2D36" w:rsidRPr="0018758D" w:rsidRDefault="001C2D36" w:rsidP="001C2D36">
      <w:pPr>
        <w:jc w:val="both"/>
      </w:pPr>
      <w:r w:rsidRPr="0018758D">
        <w:rPr>
          <w:b/>
          <w:bCs/>
        </w:rPr>
        <w:t>Размерът на данъчните постъпления по държавния бюджет</w:t>
      </w:r>
      <w:r w:rsidRPr="0018758D">
        <w:rPr>
          <w:bCs/>
        </w:rPr>
        <w:t xml:space="preserve"> за 2017 г. </w:t>
      </w:r>
      <w:r w:rsidRPr="0018758D">
        <w:t xml:space="preserve">е </w:t>
      </w:r>
      <w:r w:rsidRPr="0018758D">
        <w:rPr>
          <w:b/>
        </w:rPr>
        <w:t>20 291,1 млн. лв</w:t>
      </w:r>
      <w:r w:rsidRPr="0018758D">
        <w:t>., което представлява 105,6 % изпълнение на годишните разчети</w:t>
      </w:r>
      <w:r w:rsidRPr="0018758D">
        <w:rPr>
          <w:b/>
          <w:bCs/>
        </w:rPr>
        <w:t xml:space="preserve"> </w:t>
      </w:r>
      <w:r w:rsidRPr="0018758D">
        <w:t xml:space="preserve">и </w:t>
      </w:r>
      <w:r w:rsidRPr="0018758D">
        <w:rPr>
          <w:b/>
        </w:rPr>
        <w:t>номинален ръст от 1 581,8 млн. лв.</w:t>
      </w:r>
      <w:r w:rsidRPr="0018758D">
        <w:t xml:space="preserve"> </w:t>
      </w:r>
      <w:r w:rsidRPr="0018758D">
        <w:rPr>
          <w:lang w:val="en-US"/>
        </w:rPr>
        <w:t>(</w:t>
      </w:r>
      <w:r w:rsidRPr="0018758D">
        <w:t>8</w:t>
      </w:r>
      <w:proofErr w:type="gramStart"/>
      <w:r w:rsidRPr="0018758D">
        <w:t>,5</w:t>
      </w:r>
      <w:proofErr w:type="gramEnd"/>
      <w:r w:rsidRPr="0018758D">
        <w:t xml:space="preserve"> %) спрямо постъпленията за 2016 </w:t>
      </w:r>
      <w:r w:rsidRPr="0018758D">
        <w:rPr>
          <w:bCs/>
        </w:rPr>
        <w:t>година</w:t>
      </w:r>
      <w:r w:rsidRPr="0018758D">
        <w:t xml:space="preserve">. </w:t>
      </w:r>
    </w:p>
    <w:p w:rsidR="001C2D36" w:rsidRPr="004641FC" w:rsidRDefault="001C2D36" w:rsidP="001C2D36">
      <w:pPr>
        <w:jc w:val="both"/>
        <w:rPr>
          <w:color w:val="0070C0"/>
          <w:sz w:val="8"/>
          <w:szCs w:val="8"/>
        </w:rPr>
      </w:pPr>
      <w:r w:rsidRPr="004641FC">
        <w:rPr>
          <w:color w:val="0070C0"/>
          <w:sz w:val="8"/>
          <w:szCs w:val="8"/>
        </w:rPr>
        <w:t xml:space="preserve"> </w:t>
      </w:r>
    </w:p>
    <w:p w:rsidR="001C2D36" w:rsidRPr="00097AE5" w:rsidRDefault="001C2D36" w:rsidP="001C2D36">
      <w:pPr>
        <w:numPr>
          <w:ilvl w:val="0"/>
          <w:numId w:val="4"/>
        </w:numPr>
        <w:tabs>
          <w:tab w:val="clear" w:pos="1440"/>
          <w:tab w:val="num" w:pos="540"/>
        </w:tabs>
        <w:spacing w:after="120"/>
        <w:ind w:left="0" w:firstLine="181"/>
        <w:jc w:val="both"/>
        <w:rPr>
          <w:b/>
          <w:bCs/>
        </w:rPr>
      </w:pPr>
      <w:r w:rsidRPr="00097AE5">
        <w:rPr>
          <w:b/>
          <w:bCs/>
        </w:rPr>
        <w:t>Преки данъци</w:t>
      </w:r>
    </w:p>
    <w:p w:rsidR="001C2D36" w:rsidRPr="00097AE5" w:rsidRDefault="001C2D36" w:rsidP="001C2D36">
      <w:pPr>
        <w:spacing w:after="120"/>
        <w:jc w:val="both"/>
      </w:pPr>
      <w:r w:rsidRPr="00097AE5">
        <w:t>Приходите в групата на</w:t>
      </w:r>
      <w:r w:rsidRPr="00097AE5">
        <w:rPr>
          <w:b/>
        </w:rPr>
        <w:t xml:space="preserve"> преките данъци</w:t>
      </w:r>
      <w:r w:rsidRPr="00097AE5">
        <w:t xml:space="preserve"> са в размер на</w:t>
      </w:r>
      <w:r w:rsidRPr="00097AE5">
        <w:rPr>
          <w:b/>
        </w:rPr>
        <w:t> 5 622,3 млн. лв</w:t>
      </w:r>
      <w:r w:rsidRPr="00097AE5">
        <w:t xml:space="preserve">. или 110,8 % спрямо планираните за годината, като съпоставени с данните за 2016 г. нарастват с 601,8 млн. лева (12,0 %). </w:t>
      </w:r>
    </w:p>
    <w:p w:rsidR="001C2D36" w:rsidRPr="00CC09E5" w:rsidRDefault="001C2D36" w:rsidP="001C2D36">
      <w:pPr>
        <w:spacing w:after="120"/>
        <w:jc w:val="both"/>
        <w:rPr>
          <w:lang w:val="en-US"/>
        </w:rPr>
      </w:pPr>
      <w:r w:rsidRPr="00CC09E5">
        <w:t>Приходите от</w:t>
      </w:r>
      <w:r w:rsidRPr="00CC09E5">
        <w:rPr>
          <w:b/>
        </w:rPr>
        <w:t xml:space="preserve"> </w:t>
      </w:r>
      <w:r w:rsidRPr="00CC09E5">
        <w:rPr>
          <w:b/>
          <w:bCs/>
        </w:rPr>
        <w:t>корпоративни данъци</w:t>
      </w:r>
      <w:r w:rsidRPr="00CC09E5">
        <w:t xml:space="preserve"> за 2017 г. са в размер на </w:t>
      </w:r>
      <w:r w:rsidRPr="00CC09E5">
        <w:rPr>
          <w:b/>
        </w:rPr>
        <w:t>2 308,1 млн. лв</w:t>
      </w:r>
      <w:r w:rsidRPr="00CC09E5">
        <w:t>. или 113,4 % спрямо годишния план. Съпоставено с 2016 г. приходите от корпоративни данъци нарастват с 231,8 млн. лева (11,2 %)</w:t>
      </w:r>
      <w:r w:rsidRPr="00CC09E5">
        <w:rPr>
          <w:lang w:val="en-US"/>
        </w:rPr>
        <w:t>.</w:t>
      </w:r>
    </w:p>
    <w:p w:rsidR="001C2D36" w:rsidRPr="00B20C62" w:rsidRDefault="001C2D36" w:rsidP="001C2D36">
      <w:pPr>
        <w:spacing w:after="120"/>
        <w:jc w:val="both"/>
      </w:pPr>
      <w:r w:rsidRPr="00B20C62">
        <w:t>Приходите от</w:t>
      </w:r>
      <w:r w:rsidRPr="00B20C62">
        <w:rPr>
          <w:b/>
        </w:rPr>
        <w:t xml:space="preserve"> данъци върху доходите на физически лица </w:t>
      </w:r>
      <w:r w:rsidRPr="00B20C62">
        <w:t xml:space="preserve">са в размер на </w:t>
      </w:r>
      <w:r w:rsidRPr="00B20C62">
        <w:rPr>
          <w:b/>
        </w:rPr>
        <w:t>3 314,3 млн. лв.</w:t>
      </w:r>
      <w:r w:rsidRPr="00B20C62">
        <w:t xml:space="preserve"> или 109,1 % спрямо заложените в разчета за годината и нарастват с 369,9 млн. лв. (12,6 %) спрямо 2016 година.</w:t>
      </w:r>
    </w:p>
    <w:p w:rsidR="001C2D36" w:rsidRPr="00586642" w:rsidRDefault="001C2D36" w:rsidP="001C2D36">
      <w:pPr>
        <w:spacing w:after="120"/>
        <w:jc w:val="both"/>
      </w:pPr>
      <w:r w:rsidRPr="00586642">
        <w:rPr>
          <w:i/>
        </w:rPr>
        <w:t>По трудови правоотношения</w:t>
      </w:r>
      <w:r w:rsidRPr="00586642">
        <w:t xml:space="preserve"> приходите от данъка за 2017 г. са 2 644,1 млн. лв., 105,8 % спрямо годишните разчети. Върху размера на постъпленията през периода оказва влияние ръста на средната работна заплата и броя наети лица.</w:t>
      </w:r>
    </w:p>
    <w:p w:rsidR="001C2D36" w:rsidRPr="00E659B8" w:rsidRDefault="001C2D36" w:rsidP="001C2D36">
      <w:pPr>
        <w:spacing w:after="120"/>
        <w:jc w:val="both"/>
      </w:pPr>
      <w:r w:rsidRPr="00E659B8">
        <w:rPr>
          <w:i/>
        </w:rPr>
        <w:lastRenderedPageBreak/>
        <w:t xml:space="preserve">По </w:t>
      </w:r>
      <w:proofErr w:type="spellStart"/>
      <w:r w:rsidRPr="00E659B8">
        <w:rPr>
          <w:i/>
        </w:rPr>
        <w:t>извънтрудови</w:t>
      </w:r>
      <w:proofErr w:type="spellEnd"/>
      <w:r w:rsidRPr="00E659B8">
        <w:rPr>
          <w:i/>
        </w:rPr>
        <w:t xml:space="preserve"> правоотношения (свободни професии, граждански договори и др.)</w:t>
      </w:r>
      <w:r w:rsidRPr="00E659B8">
        <w:t xml:space="preserve"> приходите от данъка за 2017 г. са в размер на 316,5 млн. лв., което е 103,5 % спрямо годишния разчет. </w:t>
      </w:r>
    </w:p>
    <w:p w:rsidR="001C2D36" w:rsidRPr="00116CDE" w:rsidRDefault="001C2D36" w:rsidP="001C2D36">
      <w:pPr>
        <w:spacing w:after="120"/>
        <w:jc w:val="both"/>
      </w:pPr>
      <w:r w:rsidRPr="00122E08">
        <w:rPr>
          <w:i/>
        </w:rPr>
        <w:t xml:space="preserve">Окончателен данък на местните и чуждестранни физически лица по чл. 37 и 38 от ЗДДФЛ </w:t>
      </w:r>
      <w:r w:rsidRPr="00122E08">
        <w:t xml:space="preserve">и </w:t>
      </w:r>
      <w:r w:rsidRPr="00122E08">
        <w:rPr>
          <w:i/>
        </w:rPr>
        <w:t>данък върху дивидентите и ликвидационните дялове на физически лица</w:t>
      </w:r>
      <w:r w:rsidRPr="00122E08">
        <w:t xml:space="preserve"> - постъпленията от тези данъци са в размер на 332,4 млн. лв., 165,8 % спрямо годишния </w:t>
      </w:r>
      <w:r w:rsidRPr="007205DB">
        <w:t xml:space="preserve">разчет. Основна причина за нарастването на приходите е предприетата от НАП контролна кампания спрямо </w:t>
      </w:r>
      <w:r w:rsidRPr="00116CDE">
        <w:t>търговски дружества и нестопански организации, посочили в годишните финансови отчети за 2016 г. касови наличности в значителен размер. При установена липса на касова наличност и/или липса на документална обоснованост за разходване на паричните средства на каса, компаниите подават коригираща годишна данъчна декларация, свързана с пропуснато деклариране на скрито разпределение на печалбата, което се третира като дивидент (т. 5, б. „в“ от § 1 на ДР на ЗДДФЛ и т. 4, б. „в“ от § 1 на ДР на ЗКПО) и за него се дължи данък при източника, съгласно чл. 194 от ЗКПО в размер на 5 % върху сумите.</w:t>
      </w:r>
    </w:p>
    <w:p w:rsidR="001C2D36" w:rsidRPr="00116CDE" w:rsidRDefault="001C2D36" w:rsidP="001C2D36">
      <w:pPr>
        <w:spacing w:after="120"/>
        <w:jc w:val="both"/>
      </w:pPr>
      <w:r w:rsidRPr="00116CDE">
        <w:t xml:space="preserve">Постъпленията от </w:t>
      </w:r>
      <w:r w:rsidRPr="00116CDE">
        <w:rPr>
          <w:i/>
        </w:rPr>
        <w:t xml:space="preserve">окончателния данък върху приходите от лихви от депозити на физическите лица </w:t>
      </w:r>
      <w:r w:rsidRPr="00116CDE">
        <w:t>са в размер на 21,2 млн. лв., 68,4 % от годишния разчет.</w:t>
      </w:r>
    </w:p>
    <w:p w:rsidR="001C2D36" w:rsidRPr="004641FC" w:rsidRDefault="001C2D36" w:rsidP="001C2D36">
      <w:pPr>
        <w:jc w:val="both"/>
        <w:rPr>
          <w:color w:val="0070C0"/>
          <w:sz w:val="8"/>
          <w:szCs w:val="8"/>
        </w:rPr>
      </w:pPr>
    </w:p>
    <w:p w:rsidR="001C2D36" w:rsidRPr="00C84614" w:rsidRDefault="001C2D36" w:rsidP="001C2D36">
      <w:pPr>
        <w:numPr>
          <w:ilvl w:val="0"/>
          <w:numId w:val="4"/>
        </w:numPr>
        <w:tabs>
          <w:tab w:val="clear" w:pos="1440"/>
          <w:tab w:val="num" w:pos="540"/>
        </w:tabs>
        <w:ind w:left="0" w:firstLine="180"/>
        <w:jc w:val="both"/>
        <w:rPr>
          <w:b/>
          <w:bCs/>
        </w:rPr>
      </w:pPr>
      <w:r w:rsidRPr="00C84614">
        <w:rPr>
          <w:b/>
          <w:bCs/>
        </w:rPr>
        <w:t>Косвени данъци</w:t>
      </w:r>
    </w:p>
    <w:p w:rsidR="001C2D36" w:rsidRPr="00C84614" w:rsidRDefault="001C2D36" w:rsidP="001C2D36">
      <w:pPr>
        <w:jc w:val="both"/>
        <w:rPr>
          <w:b/>
          <w:bCs/>
          <w:sz w:val="4"/>
          <w:szCs w:val="4"/>
        </w:rPr>
      </w:pPr>
    </w:p>
    <w:p w:rsidR="001C2D36" w:rsidRPr="00C84614" w:rsidRDefault="001C2D36" w:rsidP="001C2D36">
      <w:pPr>
        <w:spacing w:after="120"/>
        <w:jc w:val="both"/>
      </w:pPr>
      <w:r w:rsidRPr="00C84614">
        <w:t xml:space="preserve">Приходите от </w:t>
      </w:r>
      <w:r w:rsidRPr="00C84614">
        <w:rPr>
          <w:b/>
        </w:rPr>
        <w:t>косвени данъци</w:t>
      </w:r>
      <w:r w:rsidRPr="00C84614">
        <w:t xml:space="preserve"> за 2017 г. са в размер на </w:t>
      </w:r>
      <w:r w:rsidRPr="00C84614">
        <w:rPr>
          <w:b/>
        </w:rPr>
        <w:t>14</w:t>
      </w:r>
      <w:r>
        <w:rPr>
          <w:b/>
        </w:rPr>
        <w:t> </w:t>
      </w:r>
      <w:r>
        <w:rPr>
          <w:b/>
          <w:lang w:val="en-US"/>
        </w:rPr>
        <w:t>532</w:t>
      </w:r>
      <w:r>
        <w:rPr>
          <w:b/>
        </w:rPr>
        <w:t>,5</w:t>
      </w:r>
      <w:r w:rsidRPr="00C84614">
        <w:rPr>
          <w:b/>
        </w:rPr>
        <w:t xml:space="preserve"> млн. лв</w:t>
      </w:r>
      <w:r w:rsidRPr="00C84614">
        <w:t xml:space="preserve">. или 103,7 % спрямо годишния разчет и </w:t>
      </w:r>
      <w:r w:rsidRPr="00C84614">
        <w:rPr>
          <w:b/>
        </w:rPr>
        <w:t>номинален ръст от 970,8 млн. лв.</w:t>
      </w:r>
      <w:r w:rsidRPr="00C84614">
        <w:t xml:space="preserve"> (7,2 %) спрямо постъпленията за 2016 </w:t>
      </w:r>
      <w:r w:rsidRPr="00C84614">
        <w:rPr>
          <w:bCs/>
        </w:rPr>
        <w:t>година</w:t>
      </w:r>
      <w:r w:rsidRPr="00C84614">
        <w:t>.</w:t>
      </w:r>
    </w:p>
    <w:p w:rsidR="001C2D36" w:rsidRPr="005366DA" w:rsidRDefault="001C2D36" w:rsidP="001C2D36">
      <w:pPr>
        <w:spacing w:after="120"/>
        <w:jc w:val="both"/>
        <w:rPr>
          <w:lang w:val="en-US"/>
        </w:rPr>
      </w:pPr>
      <w:r w:rsidRPr="003D0C3C">
        <w:rPr>
          <w:b/>
        </w:rPr>
        <w:t>Приходите от ДДС</w:t>
      </w:r>
      <w:r w:rsidRPr="003D0C3C">
        <w:t xml:space="preserve"> са в размер на </w:t>
      </w:r>
      <w:r w:rsidRPr="003D0C3C">
        <w:rPr>
          <w:b/>
        </w:rPr>
        <w:t>9 320,2</w:t>
      </w:r>
      <w:r w:rsidRPr="003D0C3C">
        <w:t xml:space="preserve"> </w:t>
      </w:r>
      <w:r w:rsidRPr="003D0C3C">
        <w:rPr>
          <w:b/>
        </w:rPr>
        <w:t>млн. лв.,</w:t>
      </w:r>
      <w:r w:rsidRPr="003D0C3C">
        <w:t xml:space="preserve"> което представлява 106,1 % спрямо </w:t>
      </w:r>
      <w:r w:rsidRPr="005366DA">
        <w:t xml:space="preserve">планираните със ЗДБРБ за 2017 година. Постъпленията от ДДС нарастват номинално със 767,3 млн. лв. (9,0 %) спрямо отчетените за предходната година и формират 45,9 % от данъчните приходи по държавния бюджет. </w:t>
      </w:r>
    </w:p>
    <w:p w:rsidR="001C2D36" w:rsidRPr="00F21D0C" w:rsidRDefault="001C2D36" w:rsidP="001C2D36">
      <w:pPr>
        <w:spacing w:after="120"/>
        <w:jc w:val="both"/>
      </w:pPr>
      <w:r w:rsidRPr="00F21D0C">
        <w:t xml:space="preserve">Нетният размер на приходите от </w:t>
      </w:r>
      <w:r w:rsidRPr="00F21D0C">
        <w:rPr>
          <w:i/>
        </w:rPr>
        <w:t>ДДС от внос</w:t>
      </w:r>
      <w:r w:rsidRPr="00F21D0C">
        <w:t xml:space="preserve"> за 2017 г. е 4 082,0 млн. лева. Влияние върху постъпленията от ДДС от внос оказват цената на суровия петрол, количествата на внасяните стоки за междинно потребление (черни, цветни метали и др.), курса на щатския долар спрямо еврото и други.</w:t>
      </w:r>
    </w:p>
    <w:p w:rsidR="001C2D36" w:rsidRPr="00C567BC" w:rsidRDefault="001C2D36" w:rsidP="001C2D36">
      <w:pPr>
        <w:spacing w:after="120"/>
        <w:jc w:val="both"/>
        <w:rPr>
          <w:b/>
        </w:rPr>
      </w:pPr>
      <w:r w:rsidRPr="00C567BC">
        <w:t>Постъпленията от</w:t>
      </w:r>
      <w:r w:rsidRPr="00C567BC">
        <w:rPr>
          <w:i/>
        </w:rPr>
        <w:t xml:space="preserve"> ДДС при сделки в страната (нето)</w:t>
      </w:r>
      <w:r w:rsidRPr="00C567BC">
        <w:t xml:space="preserve"> за 2017 г. възлизат на 5 238,3 млн.</w:t>
      </w:r>
      <w:r>
        <w:t> </w:t>
      </w:r>
      <w:r w:rsidRPr="00C567BC">
        <w:t xml:space="preserve">лева. </w:t>
      </w:r>
      <w:r w:rsidRPr="00C567BC">
        <w:rPr>
          <w:bCs/>
        </w:rPr>
        <w:t>Невъзстановеният данъчен кредит на фирми към 31.12.2017 г. е в размер на 50,5 млн. лева.</w:t>
      </w:r>
    </w:p>
    <w:p w:rsidR="001C2D36" w:rsidRPr="00D71EFF" w:rsidRDefault="001C2D36" w:rsidP="001C2D36">
      <w:pPr>
        <w:spacing w:after="120"/>
        <w:jc w:val="both"/>
        <w:rPr>
          <w:rStyle w:val="Strong"/>
          <w:b w:val="0"/>
        </w:rPr>
      </w:pPr>
      <w:r w:rsidRPr="00D71EFF">
        <w:rPr>
          <w:b/>
        </w:rPr>
        <w:t xml:space="preserve">Приходите от акцизи (нето) </w:t>
      </w:r>
      <w:r w:rsidRPr="00D71EFF">
        <w:t xml:space="preserve">от внос, вътрешно производство и въведени в страната от други държави-членки на ЕС акцизни стоки са в размер на </w:t>
      </w:r>
      <w:r w:rsidRPr="00D71EFF">
        <w:rPr>
          <w:b/>
        </w:rPr>
        <w:t>4 984,5 млн. лв</w:t>
      </w:r>
      <w:r w:rsidRPr="00D71EFF">
        <w:t>., което е 98,9 % от планираните със ЗДБРБ за 2017 г. Съпоставено с 2016 г. постъпленията нарастват със 179,5 млн. лв., което представлява ръст от 3,7 %.</w:t>
      </w:r>
    </w:p>
    <w:p w:rsidR="001C2D36" w:rsidRPr="004641FC" w:rsidRDefault="001C2D36" w:rsidP="001C2D36">
      <w:pPr>
        <w:spacing w:after="120"/>
        <w:jc w:val="both"/>
        <w:rPr>
          <w:color w:val="0070C0"/>
          <w:lang w:val="en-US"/>
        </w:rPr>
      </w:pPr>
      <w:r w:rsidRPr="00E844D1">
        <w:t>Нетните постъпления от акциз са от следните основни стокови групи: тютюневи изделия (47,5 %);</w:t>
      </w:r>
      <w:r w:rsidRPr="00E844D1">
        <w:rPr>
          <w:lang w:val="en-US"/>
        </w:rPr>
        <w:t xml:space="preserve"> </w:t>
      </w:r>
      <w:r w:rsidRPr="00E844D1">
        <w:t>горива (45,6 %); алкохолни напитки и пиво (6,0 %) и други акцизни стоки – електрическа енергия, въглища и кокс (0,9 %). Постъпления от акциз за 2017 г. по основни стокови групи, са както следва:</w:t>
      </w:r>
    </w:p>
    <w:p w:rsidR="001C2D36" w:rsidRPr="003A38C9" w:rsidRDefault="001C2D36" w:rsidP="001C2D36">
      <w:pPr>
        <w:numPr>
          <w:ilvl w:val="0"/>
          <w:numId w:val="19"/>
        </w:numPr>
        <w:jc w:val="both"/>
      </w:pPr>
      <w:r w:rsidRPr="003A38C9">
        <w:rPr>
          <w:i/>
        </w:rPr>
        <w:t>Акцизите от тютюневи изделия</w:t>
      </w:r>
      <w:r w:rsidRPr="003A38C9">
        <w:t xml:space="preserve">  възлизат на 2 368,6 млн. лева; </w:t>
      </w:r>
    </w:p>
    <w:p w:rsidR="001C2D36" w:rsidRPr="003A38C9" w:rsidRDefault="001C2D36" w:rsidP="001C2D36">
      <w:pPr>
        <w:numPr>
          <w:ilvl w:val="0"/>
          <w:numId w:val="19"/>
        </w:numPr>
        <w:jc w:val="both"/>
      </w:pPr>
      <w:r w:rsidRPr="003A38C9">
        <w:rPr>
          <w:i/>
        </w:rPr>
        <w:t>Акцизите от горив</w:t>
      </w:r>
      <w:r w:rsidRPr="003A38C9">
        <w:t xml:space="preserve">а са в размер на 2 272,9 млн. лева; </w:t>
      </w:r>
    </w:p>
    <w:p w:rsidR="001C2D36" w:rsidRPr="003A38C9" w:rsidRDefault="001C2D36" w:rsidP="001C2D36">
      <w:pPr>
        <w:numPr>
          <w:ilvl w:val="0"/>
          <w:numId w:val="19"/>
        </w:numPr>
        <w:jc w:val="both"/>
      </w:pPr>
      <w:r w:rsidRPr="003A38C9">
        <w:rPr>
          <w:i/>
        </w:rPr>
        <w:t xml:space="preserve">Акцизите от алкохолни напитки и пиво </w:t>
      </w:r>
      <w:r w:rsidRPr="003A38C9">
        <w:t xml:space="preserve"> възлизат на 300,3 млн. лева; </w:t>
      </w:r>
    </w:p>
    <w:p w:rsidR="001C2D36" w:rsidRPr="003A38C9" w:rsidRDefault="001C2D36" w:rsidP="001C2D36">
      <w:pPr>
        <w:numPr>
          <w:ilvl w:val="0"/>
          <w:numId w:val="19"/>
        </w:numPr>
        <w:jc w:val="both"/>
      </w:pPr>
      <w:r w:rsidRPr="003A38C9">
        <w:rPr>
          <w:i/>
        </w:rPr>
        <w:t xml:space="preserve">Приходите от други акцизни стоки - електрическа енергия, въглища и кокс </w:t>
      </w:r>
      <w:r w:rsidRPr="003A38C9">
        <w:t>– възлизат на 42,7 млн. лева.</w:t>
      </w:r>
    </w:p>
    <w:p w:rsidR="001C2D36" w:rsidRPr="004641FC" w:rsidRDefault="001C2D36" w:rsidP="001C2D36">
      <w:pPr>
        <w:ind w:left="360"/>
        <w:jc w:val="both"/>
        <w:rPr>
          <w:color w:val="0070C0"/>
          <w:sz w:val="8"/>
          <w:szCs w:val="8"/>
        </w:rPr>
      </w:pPr>
    </w:p>
    <w:p w:rsidR="001C2D36" w:rsidRPr="00CB29CD" w:rsidRDefault="001C2D36" w:rsidP="001C2D36">
      <w:pPr>
        <w:spacing w:after="120"/>
        <w:jc w:val="both"/>
      </w:pPr>
      <w:r w:rsidRPr="00CB29CD">
        <w:rPr>
          <w:b/>
        </w:rPr>
        <w:t>Приходите от данък върху застрахователните премии</w:t>
      </w:r>
      <w:r w:rsidRPr="00CB29CD">
        <w:t xml:space="preserve"> по облагаеми застрахователни договори (рисковете, по които са поети от застрахователи) са в размер на </w:t>
      </w:r>
      <w:r w:rsidRPr="00CB29CD">
        <w:rPr>
          <w:b/>
        </w:rPr>
        <w:t>33,5 млн. лв</w:t>
      </w:r>
      <w:r w:rsidRPr="00CB29CD">
        <w:t>., при планирани за годината 30,9 млн. лева.</w:t>
      </w:r>
    </w:p>
    <w:p w:rsidR="001C2D36" w:rsidRPr="004641FC" w:rsidRDefault="001C2D36" w:rsidP="001C2D36">
      <w:pPr>
        <w:tabs>
          <w:tab w:val="right" w:pos="9072"/>
        </w:tabs>
        <w:ind w:right="-2"/>
        <w:jc w:val="both"/>
        <w:rPr>
          <w:color w:val="0070C0"/>
        </w:rPr>
      </w:pPr>
      <w:r w:rsidRPr="00CE4824">
        <w:rPr>
          <w:b/>
        </w:rPr>
        <w:lastRenderedPageBreak/>
        <w:t>Постъпленията от</w:t>
      </w:r>
      <w:r w:rsidRPr="00CE4824">
        <w:t xml:space="preserve"> </w:t>
      </w:r>
      <w:r w:rsidRPr="00CE4824">
        <w:rPr>
          <w:b/>
          <w:bCs/>
        </w:rPr>
        <w:t xml:space="preserve">мита </w:t>
      </w:r>
      <w:r w:rsidRPr="00CE4824">
        <w:t xml:space="preserve">възлизат на </w:t>
      </w:r>
      <w:r w:rsidRPr="00CE4824">
        <w:rPr>
          <w:b/>
        </w:rPr>
        <w:t>194,3 млн. лв</w:t>
      </w:r>
      <w:r w:rsidRPr="00CE4824">
        <w:t xml:space="preserve">. или 117,0 % спрямо планираните със ЗДБРБ за 2017 г., като заемат 1,0 % относителен дял в общия размер на данъчните приходи по </w:t>
      </w:r>
      <w:r w:rsidRPr="00313A01">
        <w:t xml:space="preserve">държавния бюджет. В сравнение с 2016 г. събраните мита са с 21,2 млн. лв. (12,3 %) повече. Увеличението на приходите от мита се дължи основно на ръста в приходите при следните стокови групи: </w:t>
      </w:r>
      <w:r w:rsidRPr="002F163A">
        <w:t xml:space="preserve">„Ядрени реактори, котли, машини, апарати и механизми; части за тези машини или апарати“ </w:t>
      </w:r>
      <w:r w:rsidRPr="00BE3DFD">
        <w:t>– постъпленията са в размер на 25,8 млн. лв., като</w:t>
      </w:r>
      <w:r w:rsidRPr="002F163A">
        <w:t xml:space="preserve"> се </w:t>
      </w:r>
      <w:r w:rsidRPr="00F5168B">
        <w:t>повишават с 11,4 млн. лв. (78,6 %) в сравнение с предходната година, „Различни видове продукти на химическата промишленост“ – постъпленията възлизат на 8,9 млн. лв., като нарастват с 6,8 млн. лв. на годишна база, „Алуминий и изделия от алуминий“ – приходите възлизат на 12,2 млн. лв. и се увеличават с 3,9 млн. лв. (46,2</w:t>
      </w:r>
      <w:r w:rsidR="00277E9F" w:rsidRPr="00F5168B">
        <w:t> </w:t>
      </w:r>
      <w:r w:rsidRPr="00F5168B">
        <w:t>%) спрямо 2016 г. и „Обувки, гети и подобни артикули; части за тях“ – постъпленията възлизат на 9,3 млн. лв. и отчитат увеличение с 2,7 млн. лв. (40,5 %) спрямо 2016 г. За 2017 г., от водещите за приходите от мита групи стоки, по-голям спад, в сравнение с 2016 г. се отчита при стоките от глава „Автомобилни превозни средства, трактори, мотоциклети, велосипеди и други сухопътни превозни средства, техните части и принадлежности”, като постъпленията намаляват с 2,</w:t>
      </w:r>
      <w:proofErr w:type="spellStart"/>
      <w:r w:rsidRPr="00F5168B">
        <w:t>2</w:t>
      </w:r>
      <w:proofErr w:type="spellEnd"/>
      <w:r w:rsidRPr="00F5168B">
        <w:t xml:space="preserve"> млн. лв. (11,5 %) на годишна база. Намаление през 2017 г. се отчита и при стоки от глава „Електрически машини и апарати, електроматериали и техни части; апарати за записване или възпроизвеждане на звук, апарати за записване или възпроизвеждане</w:t>
      </w:r>
      <w:r w:rsidRPr="002500F5">
        <w:t xml:space="preserve"> на телевизионен образ и звук и части и принадлежности за тези апарати“ с 1,3 млн. лв. (7,4 %) на годишна база. Понижение за отчетния период се наблюдава и при приходите от мита на стоки от глава „Различни видове </w:t>
      </w:r>
      <w:r w:rsidRPr="00D01CF5">
        <w:t xml:space="preserve">хранителни продукти“ с 0,5 млн. лв. (16,5 %) на годишна база. В зависимост от произхода на внасяните стоки, най-голям е делът на приходите от мита при внос на стоки от Китай, като през 2017 г. постъпленията възлизат на 82,6 млн. лв. и са с 1,8 % повече спрямо 2016 година. Те формират 41,8 % от общия обем на митата за 2017 г. На второ място по приходи от мита е вносът на стоки с произход Русия, които са в размер на 29,0 млн. лв. и отчитат </w:t>
      </w:r>
      <w:r w:rsidRPr="005E4F60">
        <w:t>увеличение с 95,2 % на годишна база. Тези постъпления имат относителен дял от 14,7</w:t>
      </w:r>
      <w:r w:rsidR="00277E9F">
        <w:t> </w:t>
      </w:r>
      <w:r w:rsidRPr="005E4F60">
        <w:t xml:space="preserve">% от </w:t>
      </w:r>
      <w:r w:rsidRPr="00D01CF5">
        <w:t xml:space="preserve">всички мита. Повишаването на приходите от мита за стоки с произход Русия се дължи основно на вноса </w:t>
      </w:r>
      <w:r w:rsidRPr="005E4F60">
        <w:t xml:space="preserve">на специфично оборудване от „Национална електрическа компания“ ЕАД. Постъпленията от мита за стоки от Япония са в размер на 10,5 млн. лв., като се увеличават с 28,7 % и формират 5,3 % от всички мита. Постъпленията от внос на стоки с произход САЩ възлизат на 8,4 млн. лв., като отчитат ръст от 3,0 % и представляват 4,2 % от всички мита. На следващо място е Малайзия, със събрани мита за отчетния период в размер на 6,8 млн. лв. и с относителен дял от 3,4 %. </w:t>
      </w:r>
    </w:p>
    <w:p w:rsidR="001C2D36" w:rsidRPr="004641FC" w:rsidRDefault="001C2D36" w:rsidP="001C2D36">
      <w:pPr>
        <w:shd w:val="clear" w:color="auto" w:fill="FFFFFF"/>
        <w:ind w:right="113"/>
        <w:jc w:val="both"/>
        <w:rPr>
          <w:i/>
          <w:color w:val="0070C0"/>
          <w:sz w:val="8"/>
          <w:szCs w:val="8"/>
        </w:rPr>
      </w:pPr>
    </w:p>
    <w:p w:rsidR="001C2D36" w:rsidRPr="00FE1907" w:rsidRDefault="001C2D36" w:rsidP="001C2D36">
      <w:pPr>
        <w:numPr>
          <w:ilvl w:val="0"/>
          <w:numId w:val="4"/>
        </w:numPr>
        <w:tabs>
          <w:tab w:val="clear" w:pos="1440"/>
          <w:tab w:val="num" w:pos="540"/>
        </w:tabs>
        <w:ind w:left="0" w:firstLine="180"/>
        <w:jc w:val="both"/>
        <w:rPr>
          <w:b/>
          <w:bCs/>
        </w:rPr>
      </w:pPr>
      <w:r w:rsidRPr="00FE1907">
        <w:rPr>
          <w:b/>
          <w:bCs/>
        </w:rPr>
        <w:t>Други данъци</w:t>
      </w:r>
    </w:p>
    <w:p w:rsidR="001C2D36" w:rsidRPr="00FE1907" w:rsidRDefault="001C2D36" w:rsidP="001C2D36">
      <w:pPr>
        <w:jc w:val="both"/>
        <w:rPr>
          <w:b/>
          <w:bCs/>
          <w:sz w:val="8"/>
          <w:szCs w:val="8"/>
        </w:rPr>
      </w:pPr>
    </w:p>
    <w:p w:rsidR="001C2D36" w:rsidRPr="00FE1907" w:rsidRDefault="001C2D36" w:rsidP="001C2D36">
      <w:pPr>
        <w:spacing w:after="120"/>
        <w:ind w:right="-110"/>
        <w:jc w:val="both"/>
      </w:pPr>
      <w:r w:rsidRPr="00FE1907">
        <w:t xml:space="preserve">Постъпленията от </w:t>
      </w:r>
      <w:r w:rsidRPr="00FE1907">
        <w:rPr>
          <w:b/>
        </w:rPr>
        <w:t>други данъци</w:t>
      </w:r>
      <w:r w:rsidRPr="00FE1907">
        <w:t xml:space="preserve"> по държавния бюджет за 2017 г. са в размер на </w:t>
      </w:r>
      <w:r w:rsidRPr="00FE1907">
        <w:rPr>
          <w:b/>
        </w:rPr>
        <w:t xml:space="preserve">136,3 млн. лв. </w:t>
      </w:r>
      <w:r w:rsidRPr="00FE1907">
        <w:t xml:space="preserve">или 104,5 % спрямо планираните със ЗДБРБ за 2017 година. </w:t>
      </w:r>
    </w:p>
    <w:p w:rsidR="001C2D36" w:rsidRPr="00FE1907" w:rsidRDefault="001C2D36" w:rsidP="001C2D36">
      <w:pPr>
        <w:numPr>
          <w:ilvl w:val="0"/>
          <w:numId w:val="3"/>
        </w:numPr>
        <w:tabs>
          <w:tab w:val="num" w:pos="720"/>
        </w:tabs>
        <w:ind w:left="0" w:firstLine="180"/>
        <w:jc w:val="both"/>
      </w:pPr>
      <w:r w:rsidRPr="00FE1907">
        <w:rPr>
          <w:b/>
          <w:bCs/>
        </w:rPr>
        <w:t>Неданъчни приходи</w:t>
      </w:r>
    </w:p>
    <w:p w:rsidR="001C2D36" w:rsidRPr="004641FC" w:rsidRDefault="001C2D36" w:rsidP="001C2D36">
      <w:pPr>
        <w:tabs>
          <w:tab w:val="left" w:pos="900"/>
        </w:tabs>
        <w:jc w:val="both"/>
        <w:rPr>
          <w:color w:val="0070C0"/>
          <w:sz w:val="8"/>
          <w:szCs w:val="8"/>
        </w:rPr>
      </w:pPr>
    </w:p>
    <w:p w:rsidR="001C2D36" w:rsidRPr="00FE1907" w:rsidRDefault="001C2D36" w:rsidP="001C2D36">
      <w:pPr>
        <w:tabs>
          <w:tab w:val="left" w:pos="900"/>
        </w:tabs>
        <w:spacing w:after="120"/>
        <w:jc w:val="both"/>
      </w:pPr>
      <w:r w:rsidRPr="00FE1907">
        <w:t>Отчетените</w:t>
      </w:r>
      <w:r w:rsidRPr="00FE1907">
        <w:rPr>
          <w:b/>
          <w:bCs/>
        </w:rPr>
        <w:t xml:space="preserve"> неданъчни приходи</w:t>
      </w:r>
      <w:r w:rsidRPr="00FE1907">
        <w:t xml:space="preserve"> по държавния бюджет за 2017 г. са в размер на </w:t>
      </w:r>
      <w:r w:rsidRPr="00FE1907">
        <w:rPr>
          <w:b/>
        </w:rPr>
        <w:t>1 932,8 млн. лв</w:t>
      </w:r>
      <w:r w:rsidRPr="00FE1907">
        <w:t xml:space="preserve">. и се формират основно от приходи от държавни такси, приходи и доходи от собственост, приходи от концесии и други. </w:t>
      </w:r>
    </w:p>
    <w:p w:rsidR="001C2D36" w:rsidRPr="00FD78AD" w:rsidRDefault="001C2D36" w:rsidP="001C2D36">
      <w:pPr>
        <w:numPr>
          <w:ilvl w:val="0"/>
          <w:numId w:val="3"/>
        </w:numPr>
        <w:tabs>
          <w:tab w:val="num" w:pos="720"/>
        </w:tabs>
        <w:spacing w:after="120"/>
        <w:ind w:left="0" w:firstLine="180"/>
        <w:jc w:val="both"/>
        <w:rPr>
          <w:b/>
          <w:bCs/>
        </w:rPr>
      </w:pPr>
      <w:r w:rsidRPr="00FD78AD">
        <w:rPr>
          <w:b/>
          <w:bCs/>
        </w:rPr>
        <w:t xml:space="preserve">Помощи </w:t>
      </w:r>
    </w:p>
    <w:p w:rsidR="001C2D36" w:rsidRDefault="001C2D36" w:rsidP="001C2D36">
      <w:pPr>
        <w:spacing w:after="120"/>
        <w:jc w:val="both"/>
      </w:pPr>
      <w:r w:rsidRPr="00FD78AD">
        <w:t xml:space="preserve">Постъпилите </w:t>
      </w:r>
      <w:r w:rsidRPr="00FD78AD">
        <w:rPr>
          <w:b/>
        </w:rPr>
        <w:t>помощи</w:t>
      </w:r>
      <w:r w:rsidRPr="00FD78AD">
        <w:t xml:space="preserve"> по държавния бюджет </w:t>
      </w:r>
      <w:r>
        <w:t>за</w:t>
      </w:r>
      <w:r w:rsidRPr="00FD78AD">
        <w:t xml:space="preserve"> 2017 г. са в размер на </w:t>
      </w:r>
      <w:r w:rsidRPr="00FD78AD">
        <w:rPr>
          <w:b/>
        </w:rPr>
        <w:t>8,</w:t>
      </w:r>
      <w:r>
        <w:rPr>
          <w:b/>
        </w:rPr>
        <w:t>4</w:t>
      </w:r>
      <w:r w:rsidRPr="00FD78AD">
        <w:rPr>
          <w:b/>
        </w:rPr>
        <w:t> млн. лв.</w:t>
      </w:r>
      <w:r w:rsidRPr="00FD78AD">
        <w:t xml:space="preserve"> и са по бюджетите на министерствата и ведомствата.</w:t>
      </w:r>
    </w:p>
    <w:p w:rsidR="00CA25E3" w:rsidRDefault="00CA25E3" w:rsidP="001C2D36">
      <w:pPr>
        <w:spacing w:after="120"/>
        <w:jc w:val="both"/>
      </w:pPr>
    </w:p>
    <w:p w:rsidR="00CA25E3" w:rsidRDefault="00CA25E3" w:rsidP="001C2D36">
      <w:pPr>
        <w:spacing w:after="120"/>
        <w:jc w:val="both"/>
      </w:pPr>
    </w:p>
    <w:p w:rsidR="00CA25E3" w:rsidRDefault="00CA25E3" w:rsidP="001C2D36">
      <w:pPr>
        <w:spacing w:after="120"/>
        <w:jc w:val="both"/>
      </w:pPr>
    </w:p>
    <w:p w:rsidR="00CA25E3" w:rsidRDefault="00CA25E3" w:rsidP="001C2D36">
      <w:pPr>
        <w:spacing w:after="120"/>
        <w:jc w:val="both"/>
      </w:pPr>
    </w:p>
    <w:p w:rsidR="00CA25E3" w:rsidRDefault="00CA25E3" w:rsidP="001C2D36">
      <w:pPr>
        <w:spacing w:after="120"/>
        <w:jc w:val="both"/>
      </w:pPr>
    </w:p>
    <w:p w:rsidR="00E0076C" w:rsidRPr="001C2D36" w:rsidRDefault="00E0076C" w:rsidP="00E0076C">
      <w:pPr>
        <w:numPr>
          <w:ilvl w:val="0"/>
          <w:numId w:val="6"/>
        </w:numPr>
        <w:tabs>
          <w:tab w:val="clear" w:pos="700"/>
          <w:tab w:val="num" w:pos="786"/>
        </w:tabs>
        <w:spacing w:before="240"/>
        <w:ind w:left="0" w:firstLine="0"/>
        <w:jc w:val="both"/>
        <w:rPr>
          <w:b/>
          <w:bCs/>
          <w:lang w:eastAsia="bg-BG"/>
        </w:rPr>
      </w:pPr>
      <w:r w:rsidRPr="001C2D36">
        <w:rPr>
          <w:b/>
          <w:bCs/>
          <w:lang w:eastAsia="bg-BG"/>
        </w:rPr>
        <w:lastRenderedPageBreak/>
        <w:t>Разходи по държавния бюджет</w:t>
      </w:r>
    </w:p>
    <w:p w:rsidR="00E0076C" w:rsidRPr="0096051A" w:rsidRDefault="00E0076C" w:rsidP="00E0076C">
      <w:pPr>
        <w:jc w:val="both"/>
        <w:rPr>
          <w:b/>
          <w:bCs/>
          <w:color w:val="0070C0"/>
          <w:sz w:val="4"/>
          <w:szCs w:val="4"/>
          <w:lang w:eastAsia="bg-BG"/>
        </w:rPr>
      </w:pPr>
    </w:p>
    <w:p w:rsidR="00E0076C" w:rsidRPr="0096051A" w:rsidRDefault="00E0076C" w:rsidP="00E0076C">
      <w:pPr>
        <w:jc w:val="both"/>
        <w:rPr>
          <w:color w:val="0070C0"/>
          <w:sz w:val="8"/>
          <w:szCs w:val="8"/>
        </w:rPr>
      </w:pPr>
    </w:p>
    <w:p w:rsidR="001F6A2E" w:rsidRPr="00D54570" w:rsidRDefault="001F6A2E" w:rsidP="001F6A2E">
      <w:pPr>
        <w:pStyle w:val="BodyTextIndent"/>
        <w:ind w:left="0"/>
        <w:jc w:val="both"/>
      </w:pPr>
      <w:r w:rsidRPr="00D54570">
        <w:t xml:space="preserve">Общият размер на </w:t>
      </w:r>
      <w:r w:rsidRPr="00D54570">
        <w:rPr>
          <w:b/>
        </w:rPr>
        <w:t>разходите по държавния бюджет</w:t>
      </w:r>
      <w:r w:rsidRPr="00D54570">
        <w:t xml:space="preserve"> (вкл. трансферите за др. бюджети и вноската в бюджета на ЕС) за 2017 г. е </w:t>
      </w:r>
      <w:r w:rsidRPr="00D54570">
        <w:rPr>
          <w:b/>
        </w:rPr>
        <w:t>22 241,0 млн. лв</w:t>
      </w:r>
      <w:r w:rsidRPr="00D54570">
        <w:t>. или 97,6 % от предвидените със ЗДБРБ за 2017 година.</w:t>
      </w:r>
    </w:p>
    <w:p w:rsidR="00E0076C" w:rsidRPr="0096051A" w:rsidRDefault="00E0076C" w:rsidP="00E0076C">
      <w:pPr>
        <w:jc w:val="center"/>
        <w:rPr>
          <w:b/>
          <w:color w:val="0070C0"/>
          <w:sz w:val="4"/>
          <w:szCs w:val="4"/>
          <w:u w:val="single"/>
        </w:rPr>
      </w:pPr>
    </w:p>
    <w:p w:rsidR="001F6A2E" w:rsidRPr="00D54570" w:rsidRDefault="001F6A2E" w:rsidP="001F6A2E">
      <w:pPr>
        <w:pStyle w:val="BodyTextIndent"/>
        <w:spacing w:after="0"/>
        <w:ind w:left="0"/>
        <w:jc w:val="center"/>
        <w:rPr>
          <w:b/>
          <w:u w:val="single"/>
        </w:rPr>
      </w:pPr>
      <w:r w:rsidRPr="00D54570">
        <w:rPr>
          <w:b/>
          <w:u w:val="single"/>
        </w:rPr>
        <w:t xml:space="preserve">Разходи, трансфери за други бюджети и вноска в бюджета на ЕС </w:t>
      </w:r>
    </w:p>
    <w:p w:rsidR="001F6A2E" w:rsidRPr="00D54570" w:rsidRDefault="001F6A2E" w:rsidP="001F6A2E">
      <w:pPr>
        <w:pStyle w:val="BodyTextIndent"/>
        <w:spacing w:after="0"/>
        <w:ind w:left="0"/>
        <w:jc w:val="center"/>
        <w:rPr>
          <w:b/>
          <w:u w:val="single"/>
        </w:rPr>
      </w:pPr>
      <w:r>
        <w:rPr>
          <w:b/>
          <w:u w:val="single"/>
        </w:rPr>
        <w:t>за</w:t>
      </w:r>
      <w:r w:rsidRPr="00D54570">
        <w:rPr>
          <w:b/>
          <w:u w:val="single"/>
        </w:rPr>
        <w:t xml:space="preserve"> 2016 г. и 2017 г.</w:t>
      </w:r>
    </w:p>
    <w:p w:rsidR="00E0076C" w:rsidRDefault="00E0076C" w:rsidP="00E0076C">
      <w:pPr>
        <w:jc w:val="center"/>
        <w:rPr>
          <w:b/>
          <w:color w:val="0070C0"/>
          <w:sz w:val="8"/>
          <w:szCs w:val="8"/>
          <w:u w:val="single"/>
        </w:rPr>
      </w:pPr>
    </w:p>
    <w:p w:rsidR="001F6A2E" w:rsidRPr="0096051A" w:rsidRDefault="001F6A2E" w:rsidP="00E0076C">
      <w:pPr>
        <w:jc w:val="center"/>
        <w:rPr>
          <w:b/>
          <w:color w:val="0070C0"/>
          <w:sz w:val="8"/>
          <w:szCs w:val="8"/>
          <w:u w:val="single"/>
        </w:rPr>
      </w:pPr>
    </w:p>
    <w:p w:rsidR="00E0076C" w:rsidRPr="0096051A" w:rsidRDefault="001F6A2E" w:rsidP="00E0076C">
      <w:pPr>
        <w:jc w:val="center"/>
        <w:rPr>
          <w:b/>
          <w:color w:val="0070C0"/>
          <w:u w:val="single"/>
        </w:rPr>
      </w:pPr>
      <w:bookmarkStart w:id="3" w:name="_MON_1562146415"/>
      <w:bookmarkStart w:id="4" w:name="_MON_1562146493"/>
      <w:bookmarkStart w:id="5" w:name="_MON_1562146700"/>
      <w:bookmarkStart w:id="6" w:name="_MON_1562146782"/>
      <w:bookmarkStart w:id="7" w:name="_MON_1562146967"/>
      <w:bookmarkStart w:id="8" w:name="_MON_1562147372"/>
      <w:bookmarkStart w:id="9" w:name="_MON_1562147473"/>
      <w:bookmarkStart w:id="10" w:name="_MON_1562147677"/>
      <w:bookmarkStart w:id="11" w:name="_MON_1562147743"/>
      <w:bookmarkStart w:id="12" w:name="_MON_1562147867"/>
      <w:bookmarkStart w:id="13" w:name="_MON_1562147934"/>
      <w:bookmarkStart w:id="14" w:name="_MON_1562148056"/>
      <w:bookmarkStart w:id="15" w:name="_MON_1562148171"/>
      <w:bookmarkStart w:id="16" w:name="_MON_1562148229"/>
      <w:bookmarkStart w:id="17" w:name="_MON_1562148307"/>
      <w:bookmarkStart w:id="18" w:name="_MON_1562148447"/>
      <w:bookmarkStart w:id="19" w:name="_MON_1562148558"/>
      <w:bookmarkStart w:id="20" w:name="_MON_1562152805"/>
      <w:bookmarkStart w:id="21" w:name="_MON_1562152984"/>
      <w:bookmarkStart w:id="22" w:name="_MON_1562153459"/>
      <w:bookmarkStart w:id="23" w:name="_MON_1562153503"/>
      <w:bookmarkStart w:id="24" w:name="_MON_1562153559"/>
      <w:bookmarkStart w:id="25" w:name="_MON_1562153646"/>
      <w:bookmarkStart w:id="26" w:name="_MON_1562153939"/>
      <w:bookmarkStart w:id="27" w:name="_MON_1562154053"/>
      <w:bookmarkStart w:id="28" w:name="_MON_1562154282"/>
      <w:bookmarkStart w:id="29" w:name="_MON_1562146286"/>
      <w:bookmarkStart w:id="30" w:name="_MON_1562154881"/>
      <w:bookmarkStart w:id="31" w:name="_MON_1562154973"/>
      <w:bookmarkStart w:id="32" w:name="_MON_1562155194"/>
      <w:bookmarkStart w:id="33" w:name="_MON_1562155231"/>
      <w:bookmarkStart w:id="34" w:name="_MON_1562155321"/>
      <w:bookmarkStart w:id="35" w:name="_MON_1562155390"/>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4641FC">
        <w:rPr>
          <w:noProof/>
          <w:color w:val="0070C0"/>
          <w:lang w:eastAsia="bg-BG"/>
        </w:rPr>
        <w:drawing>
          <wp:inline distT="0" distB="0" distL="0" distR="0" wp14:anchorId="1129751A" wp14:editId="7E7E3019">
            <wp:extent cx="5646420" cy="2583180"/>
            <wp:effectExtent l="0" t="0" r="11430" b="26670"/>
            <wp:docPr id="1"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076C" w:rsidRPr="0096051A" w:rsidRDefault="00E0076C" w:rsidP="00E0076C">
      <w:pPr>
        <w:jc w:val="center"/>
        <w:rPr>
          <w:b/>
          <w:color w:val="0070C0"/>
          <w:sz w:val="4"/>
          <w:szCs w:val="4"/>
          <w:u w:val="single"/>
        </w:rPr>
      </w:pPr>
    </w:p>
    <w:p w:rsidR="00E0076C" w:rsidRPr="001F6A2E" w:rsidRDefault="00E0076C" w:rsidP="00E0076C">
      <w:pPr>
        <w:rPr>
          <w:sz w:val="18"/>
          <w:szCs w:val="18"/>
          <w:lang w:eastAsia="bg-BG"/>
        </w:rPr>
      </w:pPr>
      <w:r w:rsidRPr="001F6A2E">
        <w:rPr>
          <w:sz w:val="18"/>
          <w:szCs w:val="18"/>
          <w:lang w:eastAsia="bg-BG"/>
        </w:rPr>
        <w:t xml:space="preserve">       *</w:t>
      </w:r>
      <w:r w:rsidRPr="001F6A2E">
        <w:rPr>
          <w:lang w:eastAsia="bg-BG"/>
        </w:rPr>
        <w:t xml:space="preserve"> </w:t>
      </w:r>
      <w:r w:rsidRPr="001F6A2E">
        <w:rPr>
          <w:sz w:val="18"/>
          <w:szCs w:val="18"/>
          <w:lang w:eastAsia="bg-BG"/>
        </w:rPr>
        <w:t>Вкл. нетния прираст на държавния резерв</w:t>
      </w:r>
    </w:p>
    <w:p w:rsidR="00E0076C" w:rsidRPr="0096051A" w:rsidRDefault="00E0076C" w:rsidP="00E0076C">
      <w:pPr>
        <w:rPr>
          <w:b/>
          <w:color w:val="0070C0"/>
          <w:sz w:val="8"/>
          <w:szCs w:val="8"/>
          <w:u w:val="single"/>
          <w:lang w:eastAsia="bg-BG"/>
        </w:rPr>
      </w:pPr>
    </w:p>
    <w:p w:rsidR="00E0076C" w:rsidRPr="002F0381" w:rsidRDefault="00E0076C" w:rsidP="00E0076C">
      <w:pPr>
        <w:numPr>
          <w:ilvl w:val="0"/>
          <w:numId w:val="22"/>
        </w:numPr>
        <w:spacing w:before="120"/>
        <w:jc w:val="both"/>
        <w:rPr>
          <w:b/>
          <w:bCs/>
        </w:rPr>
      </w:pPr>
      <w:r w:rsidRPr="002F0381">
        <w:rPr>
          <w:b/>
          <w:bCs/>
        </w:rPr>
        <w:t>Нелихвени разходи</w:t>
      </w:r>
    </w:p>
    <w:p w:rsidR="002F0381" w:rsidRPr="000011C8" w:rsidRDefault="002F0381" w:rsidP="002F0381">
      <w:pPr>
        <w:spacing w:before="120"/>
        <w:jc w:val="both"/>
        <w:rPr>
          <w:bCs/>
        </w:rPr>
      </w:pPr>
      <w:r w:rsidRPr="000011C8">
        <w:rPr>
          <w:b/>
          <w:bCs/>
        </w:rPr>
        <w:t>Нелихвените разходи</w:t>
      </w:r>
      <w:r w:rsidRPr="000011C8">
        <w:rPr>
          <w:bCs/>
        </w:rPr>
        <w:t xml:space="preserve"> по държавния бюджет (без трансферите за др. бюджети) за 2017 г. са в размер на </w:t>
      </w:r>
      <w:r w:rsidRPr="000011C8">
        <w:rPr>
          <w:b/>
          <w:bCs/>
        </w:rPr>
        <w:t>9 541,3 млн. лв</w:t>
      </w:r>
      <w:r w:rsidRPr="000011C8">
        <w:rPr>
          <w:bCs/>
        </w:rPr>
        <w:t xml:space="preserve">., което представлява 93,3 % от годишния разчет. Съпоставени с данните за 2016 г., нелихвените разходи нарастват със 128,0 млн. лв. (1,4 %). </w:t>
      </w:r>
    </w:p>
    <w:p w:rsidR="00D70231" w:rsidRPr="00277E9F" w:rsidRDefault="002F0381" w:rsidP="002F0381">
      <w:pPr>
        <w:spacing w:after="120"/>
        <w:jc w:val="both"/>
        <w:rPr>
          <w:bCs/>
        </w:rPr>
      </w:pPr>
      <w:r w:rsidRPr="005413C2">
        <w:rPr>
          <w:bCs/>
        </w:rPr>
        <w:t xml:space="preserve">Разходите за персонал (заплати и </w:t>
      </w:r>
      <w:r w:rsidRPr="005413C2">
        <w:rPr>
          <w:bCs/>
          <w:noProof/>
        </w:rPr>
        <w:t>възнаграждения</w:t>
      </w:r>
      <w:r w:rsidRPr="005413C2">
        <w:rPr>
          <w:bCs/>
        </w:rPr>
        <w:t xml:space="preserve">, други възнаграждения и плащания за персонала и осигурителни вноски) са в общ размер на 4 187,5 млн. лв.. Разходите за издръжка (вкл. разходи за членски внос и участие в нетърговски организации и дейности, платени данъци, такси и административни санкции и предоставени текущи трансфери за чужбина) са в размер на 1 767,3 млн. лв. или 86,0 % от планираните </w:t>
      </w:r>
      <w:r w:rsidRPr="005413C2">
        <w:t>за годината</w:t>
      </w:r>
      <w:r w:rsidRPr="005413C2">
        <w:rPr>
          <w:bCs/>
        </w:rPr>
        <w:t xml:space="preserve">. Социалните разходи (вкл. разходите за стипендии) са в размер на 933,1 млн. лв. или 87,0 % от предвидените </w:t>
      </w:r>
      <w:r w:rsidRPr="005413C2">
        <w:t>за годината</w:t>
      </w:r>
      <w:r w:rsidRPr="005413C2">
        <w:rPr>
          <w:bCs/>
        </w:rPr>
        <w:t xml:space="preserve"> и са основно разходи по бюджета на МТСП за помощи и добавки по Закона за социално подпомагане, Закона за интеграция на хората с увреждания, Закона за семейните </w:t>
      </w:r>
      <w:r w:rsidRPr="007E5C96">
        <w:rPr>
          <w:bCs/>
        </w:rPr>
        <w:t xml:space="preserve">помощи за деца и др. Разходите за субсидии са в размер на 938,0 млн. лв. или 103,3 % </w:t>
      </w:r>
      <w:r w:rsidRPr="00DA7A55">
        <w:rPr>
          <w:bCs/>
        </w:rPr>
        <w:t>спрямо планираните за годината. От тях 173,1</w:t>
      </w:r>
      <w:r w:rsidRPr="00DA7A55">
        <w:t xml:space="preserve"> </w:t>
      </w:r>
      <w:r w:rsidRPr="00DA7A55">
        <w:rPr>
          <w:bCs/>
        </w:rPr>
        <w:t xml:space="preserve">млн. лв. са субсидиите за </w:t>
      </w:r>
      <w:r w:rsidRPr="00DA7A55">
        <w:t xml:space="preserve">„БДЖ – Пътнически превози” ЕООД; </w:t>
      </w:r>
      <w:r w:rsidRPr="00B30CD5">
        <w:t>13</w:t>
      </w:r>
      <w:r>
        <w:t>4,9</w:t>
      </w:r>
      <w:r w:rsidRPr="00B30CD5">
        <w:t xml:space="preserve"> </w:t>
      </w:r>
      <w:r w:rsidRPr="00B30CD5">
        <w:rPr>
          <w:bCs/>
        </w:rPr>
        <w:t xml:space="preserve">млн. лв. са субсидиите за </w:t>
      </w:r>
      <w:r w:rsidRPr="00DA7A55">
        <w:t xml:space="preserve">Национална </w:t>
      </w:r>
      <w:r w:rsidRPr="00A10EB4">
        <w:t>компания „Железопътна инфраструктура”</w:t>
      </w:r>
      <w:r w:rsidRPr="00A10EB4">
        <w:rPr>
          <w:bCs/>
        </w:rPr>
        <w:t xml:space="preserve"> </w:t>
      </w:r>
      <w:r w:rsidRPr="00A10EB4">
        <w:t xml:space="preserve">и 38,0 млн. лв. за „Български пощи” ЕАД. През </w:t>
      </w:r>
      <w:r w:rsidRPr="00A10EB4">
        <w:rPr>
          <w:bCs/>
        </w:rPr>
        <w:t xml:space="preserve">2017 г. ДФ „Земеделие“ e изплатил субсидии в общ размер на 283,3 млн. лв., от които 113,1 млн. лв. държавна помощ, 89,0 млн. лв. преходна национална помощ за сектор „Тютюн“, 66,5 млн. лв. преходна национална помощ за сектор „Животновъдство“, 10,9 млн. лв. извънредна национална помощ за сектор „Животновъдство“ и 3,5 млн. лв. средства за ДДС по схеми „Училищен плод“ и „Училищно мляко“. Капиталовите </w:t>
      </w:r>
      <w:r w:rsidRPr="00800BDD">
        <w:rPr>
          <w:bCs/>
        </w:rPr>
        <w:t>разходи възлизат на 1 715,4 млн. лева</w:t>
      </w:r>
      <w:r w:rsidRPr="00800BDD">
        <w:rPr>
          <w:bCs/>
          <w:lang w:val="en-US"/>
        </w:rPr>
        <w:t>.</w:t>
      </w:r>
    </w:p>
    <w:p w:rsidR="00651590" w:rsidRPr="008505BD" w:rsidRDefault="00651590" w:rsidP="00651590">
      <w:pPr>
        <w:pStyle w:val="BodyTextIndent"/>
        <w:numPr>
          <w:ilvl w:val="1"/>
          <w:numId w:val="14"/>
        </w:numPr>
        <w:tabs>
          <w:tab w:val="clear" w:pos="2160"/>
          <w:tab w:val="num" w:pos="720"/>
          <w:tab w:val="num" w:pos="900"/>
        </w:tabs>
        <w:spacing w:before="120" w:after="0"/>
        <w:ind w:left="720"/>
        <w:jc w:val="both"/>
        <w:rPr>
          <w:b/>
          <w:bCs/>
        </w:rPr>
      </w:pPr>
      <w:r w:rsidRPr="008505BD">
        <w:rPr>
          <w:b/>
        </w:rPr>
        <w:t>Просрочени задължения</w:t>
      </w:r>
    </w:p>
    <w:p w:rsidR="00651590" w:rsidRPr="0096051A" w:rsidRDefault="00651590" w:rsidP="00651590">
      <w:pPr>
        <w:pStyle w:val="BodyTextIndent"/>
        <w:spacing w:after="0"/>
        <w:ind w:left="0"/>
        <w:jc w:val="both"/>
        <w:rPr>
          <w:b/>
          <w:bCs/>
          <w:color w:val="0070C0"/>
          <w:sz w:val="12"/>
          <w:szCs w:val="12"/>
        </w:rPr>
      </w:pPr>
    </w:p>
    <w:p w:rsidR="00651590" w:rsidRPr="00BA0FAD" w:rsidRDefault="00651590" w:rsidP="00277E9F">
      <w:pPr>
        <w:jc w:val="both"/>
      </w:pPr>
      <w:r w:rsidRPr="00BA0FAD">
        <w:t xml:space="preserve">Към </w:t>
      </w:r>
      <w:r w:rsidRPr="00BA0FAD">
        <w:rPr>
          <w:lang w:val="en-US"/>
        </w:rPr>
        <w:t>3</w:t>
      </w:r>
      <w:r w:rsidRPr="00BA0FAD">
        <w:t xml:space="preserve">1.12.2017 г. просрочените задължения на централно и местно правителство са в размер на </w:t>
      </w:r>
      <w:r w:rsidRPr="00BA0FAD">
        <w:rPr>
          <w:b/>
        </w:rPr>
        <w:t>188,</w:t>
      </w:r>
      <w:r w:rsidR="00A73577">
        <w:rPr>
          <w:b/>
          <w:lang w:val="en-US"/>
        </w:rPr>
        <w:t>8</w:t>
      </w:r>
      <w:r w:rsidRPr="00BA0FAD">
        <w:rPr>
          <w:b/>
        </w:rPr>
        <w:t xml:space="preserve"> млн. лева.</w:t>
      </w:r>
      <w:r w:rsidRPr="00BA0FAD">
        <w:t xml:space="preserve"> </w:t>
      </w:r>
    </w:p>
    <w:p w:rsidR="00651590" w:rsidRPr="00277E9F" w:rsidRDefault="00651590" w:rsidP="00277E9F">
      <w:pPr>
        <w:jc w:val="both"/>
        <w:rPr>
          <w:bCs/>
        </w:rPr>
      </w:pPr>
      <w:r w:rsidRPr="00BA0FAD">
        <w:t xml:space="preserve">Размерът на просрочените задължения на </w:t>
      </w:r>
      <w:r w:rsidRPr="00BA0FAD">
        <w:rPr>
          <w:b/>
        </w:rPr>
        <w:t>централно правителство</w:t>
      </w:r>
      <w:r w:rsidRPr="00BA0FAD">
        <w:t xml:space="preserve"> (министерства, </w:t>
      </w:r>
      <w:r w:rsidRPr="00AA1A1B">
        <w:t>ведомства и разпоредителите с бюджет по чл. 13, ал. 3 и ал. 4 на ЗПФ) е</w:t>
      </w:r>
      <w:r w:rsidRPr="00AA1A1B">
        <w:rPr>
          <w:b/>
        </w:rPr>
        <w:t xml:space="preserve"> 42,</w:t>
      </w:r>
      <w:r w:rsidR="00A73577">
        <w:rPr>
          <w:b/>
          <w:lang w:val="en-US"/>
        </w:rPr>
        <w:t>9</w:t>
      </w:r>
      <w:r w:rsidRPr="00AA1A1B">
        <w:rPr>
          <w:b/>
        </w:rPr>
        <w:t xml:space="preserve"> млн. лева</w:t>
      </w:r>
      <w:r w:rsidRPr="00AA1A1B">
        <w:t xml:space="preserve">. </w:t>
      </w:r>
      <w:r w:rsidRPr="00277E9F">
        <w:rPr>
          <w:bCs/>
        </w:rPr>
        <w:t xml:space="preserve">Спрямо отчетените в края на 2016 г. просрочените задължения на централно правителство </w:t>
      </w:r>
      <w:r w:rsidRPr="00277E9F">
        <w:rPr>
          <w:bCs/>
        </w:rPr>
        <w:lastRenderedPageBreak/>
        <w:t>намаляват с 10,</w:t>
      </w:r>
      <w:r w:rsidR="00A73577">
        <w:rPr>
          <w:bCs/>
          <w:lang w:val="en-US"/>
        </w:rPr>
        <w:t>3</w:t>
      </w:r>
      <w:r w:rsidRPr="00277E9F">
        <w:rPr>
          <w:bCs/>
        </w:rPr>
        <w:t xml:space="preserve"> млн. лв.</w:t>
      </w:r>
      <w:r w:rsidRPr="008D2385">
        <w:rPr>
          <w:bCs/>
        </w:rPr>
        <w:t xml:space="preserve">, </w:t>
      </w:r>
      <w:r w:rsidRPr="00564156">
        <w:rPr>
          <w:bCs/>
        </w:rPr>
        <w:t xml:space="preserve">като най-голямо е намалението в системата на Министерството на отбраната </w:t>
      </w:r>
      <w:r w:rsidR="002700F2" w:rsidRPr="00564156">
        <w:rPr>
          <w:bCs/>
        </w:rPr>
        <w:t xml:space="preserve">(намаление с 13,5 млн. лв. </w:t>
      </w:r>
      <w:r w:rsidR="00D8270D" w:rsidRPr="00564156">
        <w:rPr>
          <w:bCs/>
        </w:rPr>
        <w:t>и</w:t>
      </w:r>
      <w:r w:rsidR="002700F2" w:rsidRPr="00564156">
        <w:rPr>
          <w:bCs/>
        </w:rPr>
        <w:t xml:space="preserve"> </w:t>
      </w:r>
      <w:proofErr w:type="spellStart"/>
      <w:r w:rsidR="002700F2" w:rsidRPr="00564156">
        <w:rPr>
          <w:bCs/>
        </w:rPr>
        <w:t>просрочия</w:t>
      </w:r>
      <w:proofErr w:type="spellEnd"/>
      <w:r w:rsidR="002700F2" w:rsidRPr="00564156">
        <w:rPr>
          <w:bCs/>
        </w:rPr>
        <w:t xml:space="preserve"> за 2017 г. в размер на 2,3 млн. лв.) </w:t>
      </w:r>
      <w:r w:rsidRPr="00564156">
        <w:rPr>
          <w:bCs/>
        </w:rPr>
        <w:t xml:space="preserve">и Българската национална </w:t>
      </w:r>
      <w:r w:rsidR="004E62A1" w:rsidRPr="00564156">
        <w:rPr>
          <w:bCs/>
        </w:rPr>
        <w:t xml:space="preserve">телевизия (намаление с 9,7 млн. лв. </w:t>
      </w:r>
      <w:r w:rsidR="00AC2F7B" w:rsidRPr="00564156">
        <w:rPr>
          <w:bCs/>
        </w:rPr>
        <w:t>и</w:t>
      </w:r>
      <w:r w:rsidR="004E62A1" w:rsidRPr="00564156">
        <w:rPr>
          <w:bCs/>
        </w:rPr>
        <w:t xml:space="preserve"> </w:t>
      </w:r>
      <w:proofErr w:type="spellStart"/>
      <w:r w:rsidR="004E62A1" w:rsidRPr="00564156">
        <w:rPr>
          <w:bCs/>
        </w:rPr>
        <w:t>просрочия</w:t>
      </w:r>
      <w:proofErr w:type="spellEnd"/>
      <w:r w:rsidR="004E62A1" w:rsidRPr="00564156">
        <w:rPr>
          <w:bCs/>
        </w:rPr>
        <w:t xml:space="preserve"> за 2017 г. в размер на 2,1 млн. лв.)</w:t>
      </w:r>
      <w:r w:rsidRPr="00564156">
        <w:rPr>
          <w:bCs/>
        </w:rPr>
        <w:t>. Независимо от общото намаление на просрочените задължения през 2017 г. в отделни първостепенни разпоредители с бюджет се наблюдава увеличение на просрочените задължения спрямо предходната година</w:t>
      </w:r>
      <w:r w:rsidRPr="00511138">
        <w:rPr>
          <w:bCs/>
        </w:rPr>
        <w:t>, което изисква активни мерки за редуцирането им.</w:t>
      </w:r>
      <w:r w:rsidRPr="00184139">
        <w:rPr>
          <w:bCs/>
        </w:rPr>
        <w:t xml:space="preserve"> </w:t>
      </w:r>
      <w:r w:rsidRPr="00277E9F">
        <w:rPr>
          <w:bCs/>
        </w:rPr>
        <w:t xml:space="preserve">Увеличение на просрочените задължения спрямо 31.12.2016 г. има в Министерския съвет </w:t>
      </w:r>
      <w:r w:rsidR="003C0699" w:rsidRPr="00277E9F">
        <w:rPr>
          <w:bCs/>
        </w:rPr>
        <w:t xml:space="preserve">(увеличение с 5,3 млн. лв., като </w:t>
      </w:r>
      <w:proofErr w:type="spellStart"/>
      <w:r w:rsidR="003C0699" w:rsidRPr="00277E9F">
        <w:rPr>
          <w:bCs/>
        </w:rPr>
        <w:t>просрочията</w:t>
      </w:r>
      <w:proofErr w:type="spellEnd"/>
      <w:r w:rsidR="003C0699" w:rsidRPr="00277E9F">
        <w:rPr>
          <w:bCs/>
        </w:rPr>
        <w:t xml:space="preserve"> за 2017 г. са в размер на 6,</w:t>
      </w:r>
      <w:proofErr w:type="spellStart"/>
      <w:r w:rsidR="003C0699" w:rsidRPr="00277E9F">
        <w:rPr>
          <w:bCs/>
        </w:rPr>
        <w:t>6</w:t>
      </w:r>
      <w:proofErr w:type="spellEnd"/>
      <w:r w:rsidR="003C0699" w:rsidRPr="00277E9F">
        <w:rPr>
          <w:bCs/>
        </w:rPr>
        <w:t xml:space="preserve"> млн. лв.)</w:t>
      </w:r>
      <w:r w:rsidRPr="00277E9F">
        <w:rPr>
          <w:bCs/>
        </w:rPr>
        <w:t xml:space="preserve">, </w:t>
      </w:r>
      <w:r w:rsidR="003310F0" w:rsidRPr="00277E9F">
        <w:rPr>
          <w:bCs/>
        </w:rPr>
        <w:t xml:space="preserve">Министерство на земеделието, храните и горите (увеличение с 3,6 млн. лв., като </w:t>
      </w:r>
      <w:proofErr w:type="spellStart"/>
      <w:r w:rsidR="003310F0" w:rsidRPr="00277E9F">
        <w:rPr>
          <w:bCs/>
        </w:rPr>
        <w:t>просрочията</w:t>
      </w:r>
      <w:proofErr w:type="spellEnd"/>
      <w:r w:rsidR="003310F0" w:rsidRPr="00277E9F">
        <w:rPr>
          <w:bCs/>
        </w:rPr>
        <w:t xml:space="preserve"> за 2017</w:t>
      </w:r>
      <w:r w:rsidR="00F5168B">
        <w:rPr>
          <w:bCs/>
        </w:rPr>
        <w:t> </w:t>
      </w:r>
      <w:r w:rsidR="003310F0" w:rsidRPr="00277E9F">
        <w:rPr>
          <w:bCs/>
        </w:rPr>
        <w:t>г. са в размер на 11,8 млн. лв.), Министерство на вътрешните работи (увеличение с 2,</w:t>
      </w:r>
      <w:proofErr w:type="spellStart"/>
      <w:r w:rsidR="003310F0" w:rsidRPr="00277E9F">
        <w:rPr>
          <w:bCs/>
        </w:rPr>
        <w:t>2</w:t>
      </w:r>
      <w:proofErr w:type="spellEnd"/>
      <w:r w:rsidR="003310F0" w:rsidRPr="00277E9F">
        <w:rPr>
          <w:bCs/>
        </w:rPr>
        <w:t xml:space="preserve"> млн. лв., като </w:t>
      </w:r>
      <w:proofErr w:type="spellStart"/>
      <w:r w:rsidR="003310F0" w:rsidRPr="00277E9F">
        <w:rPr>
          <w:bCs/>
        </w:rPr>
        <w:t>просрочията</w:t>
      </w:r>
      <w:proofErr w:type="spellEnd"/>
      <w:r w:rsidR="003310F0" w:rsidRPr="00277E9F">
        <w:rPr>
          <w:bCs/>
        </w:rPr>
        <w:t xml:space="preserve"> за 2017 г. са в размер на 7,0 млн. лв.) и други.  От разпоредителите с бюджет по чл. 13, ал. 3 на Закона за публичните финанси проблеми с наличието на просрочени задължения имат основно държавните висши училища (8,7 млн. лв.) и Българската национална телевизия (2,1 млн. лв.)</w:t>
      </w:r>
      <w:r w:rsidRPr="00277E9F">
        <w:rPr>
          <w:bCs/>
        </w:rPr>
        <w:t>.</w:t>
      </w:r>
    </w:p>
    <w:p w:rsidR="00651590" w:rsidRPr="0096051A" w:rsidRDefault="00277E9F" w:rsidP="00277E9F">
      <w:pPr>
        <w:tabs>
          <w:tab w:val="left" w:pos="2985"/>
        </w:tabs>
        <w:jc w:val="both"/>
        <w:rPr>
          <w:bCs/>
          <w:color w:val="0070C0"/>
          <w:sz w:val="12"/>
          <w:szCs w:val="12"/>
        </w:rPr>
      </w:pPr>
      <w:r>
        <w:rPr>
          <w:bCs/>
          <w:color w:val="0070C0"/>
          <w:sz w:val="12"/>
          <w:szCs w:val="12"/>
        </w:rPr>
        <w:tab/>
      </w:r>
    </w:p>
    <w:p w:rsidR="00651590" w:rsidRPr="008B76AE" w:rsidRDefault="00651590" w:rsidP="00277E9F">
      <w:pPr>
        <w:spacing w:after="120"/>
        <w:jc w:val="both"/>
        <w:rPr>
          <w:noProof/>
          <w:lang w:val="en-US"/>
        </w:rPr>
      </w:pPr>
      <w:r w:rsidRPr="008B76AE">
        <w:rPr>
          <w:noProof/>
          <w:lang w:val="en-US"/>
        </w:rPr>
        <w:t xml:space="preserve">Просрочените задължения по </w:t>
      </w:r>
      <w:r w:rsidRPr="008B76AE">
        <w:rPr>
          <w:b/>
          <w:noProof/>
        </w:rPr>
        <w:t>бюджетите на общините</w:t>
      </w:r>
      <w:r w:rsidRPr="008B76AE">
        <w:rPr>
          <w:noProof/>
          <w:lang w:val="en-US"/>
        </w:rPr>
        <w:t xml:space="preserve"> </w:t>
      </w:r>
      <w:r w:rsidRPr="008B76AE">
        <w:rPr>
          <w:noProof/>
        </w:rPr>
        <w:t xml:space="preserve">към 31.12.2017 г. </w:t>
      </w:r>
      <w:r w:rsidRPr="008B76AE">
        <w:rPr>
          <w:noProof/>
          <w:lang w:val="en-US"/>
        </w:rPr>
        <w:t xml:space="preserve">са в размер на </w:t>
      </w:r>
      <w:r w:rsidRPr="008B76AE">
        <w:rPr>
          <w:b/>
          <w:noProof/>
        </w:rPr>
        <w:t>145,9</w:t>
      </w:r>
      <w:r w:rsidRPr="008B76AE">
        <w:rPr>
          <w:b/>
          <w:noProof/>
          <w:lang w:val="en-US"/>
        </w:rPr>
        <w:t xml:space="preserve"> млн. лв.,</w:t>
      </w:r>
      <w:r w:rsidRPr="008B76AE">
        <w:rPr>
          <w:noProof/>
          <w:lang w:val="en-US"/>
        </w:rPr>
        <w:t xml:space="preserve"> като спрямо </w:t>
      </w:r>
      <w:r w:rsidRPr="008B76AE">
        <w:rPr>
          <w:noProof/>
        </w:rPr>
        <w:t>2016 г. се отчита намаление в размер на 38,5 млн. лева.</w:t>
      </w:r>
      <w:r w:rsidRPr="008B76AE">
        <w:rPr>
          <w:noProof/>
          <w:lang w:val="en-US"/>
        </w:rPr>
        <w:t xml:space="preserve"> В делегираните от държавата дейности просрочените задължения са в размер на 4,</w:t>
      </w:r>
      <w:r w:rsidRPr="008B76AE">
        <w:rPr>
          <w:noProof/>
        </w:rPr>
        <w:t>4</w:t>
      </w:r>
      <w:r w:rsidRPr="008B76AE">
        <w:rPr>
          <w:noProof/>
          <w:lang w:val="en-US"/>
        </w:rPr>
        <w:t xml:space="preserve"> </w:t>
      </w:r>
      <w:r w:rsidRPr="008B76AE">
        <w:rPr>
          <w:noProof/>
        </w:rPr>
        <w:t>млн. лв., а в местните дейности – 141,5 млн. лв.</w:t>
      </w:r>
      <w:r w:rsidRPr="008B76AE">
        <w:rPr>
          <w:noProof/>
          <w:lang w:val="en-US"/>
        </w:rPr>
        <w:t xml:space="preserve"> С най-голям относителен дял в просрочените задължения по бюджета на общините са просрочените задължения към доставчици, </w:t>
      </w:r>
      <w:r w:rsidRPr="008B76AE">
        <w:rPr>
          <w:noProof/>
        </w:rPr>
        <w:t xml:space="preserve">които са </w:t>
      </w:r>
      <w:r w:rsidRPr="008B76AE">
        <w:rPr>
          <w:noProof/>
          <w:lang w:val="en-US"/>
        </w:rPr>
        <w:t xml:space="preserve">в размер на </w:t>
      </w:r>
      <w:r w:rsidRPr="008B76AE">
        <w:rPr>
          <w:noProof/>
        </w:rPr>
        <w:t>126,8</w:t>
      </w:r>
      <w:r w:rsidRPr="008B76AE">
        <w:rPr>
          <w:noProof/>
          <w:lang w:val="en-US"/>
        </w:rPr>
        <w:t xml:space="preserve"> млн. лева.</w:t>
      </w:r>
    </w:p>
    <w:p w:rsidR="00651590" w:rsidRPr="00DF17D0" w:rsidRDefault="00651590" w:rsidP="00277E9F">
      <w:pPr>
        <w:spacing w:after="120"/>
        <w:jc w:val="both"/>
        <w:rPr>
          <w:noProof/>
          <w:lang w:val="en-US"/>
        </w:rPr>
      </w:pPr>
      <w:r w:rsidRPr="00DF17D0">
        <w:t xml:space="preserve">Извън обхвата на консолидираната фискална програма, сериозен продължава да бъде проблемът с </w:t>
      </w:r>
      <w:proofErr w:type="spellStart"/>
      <w:r w:rsidRPr="00DF17D0">
        <w:t>просрочията</w:t>
      </w:r>
      <w:proofErr w:type="spellEnd"/>
      <w:r w:rsidRPr="00DF17D0">
        <w:t xml:space="preserve"> на лечебните заведения за болнична помощ (държавни и общински болници – търговски дружества). Към 31.12.2017 г. размерът на просрочените задължения е </w:t>
      </w:r>
      <w:r w:rsidR="00A73577">
        <w:rPr>
          <w:lang w:val="en-US"/>
        </w:rPr>
        <w:t>199</w:t>
      </w:r>
      <w:r w:rsidR="00A73577">
        <w:t>,</w:t>
      </w:r>
      <w:r w:rsidR="00A73577">
        <w:rPr>
          <w:lang w:val="en-US"/>
        </w:rPr>
        <w:t>0</w:t>
      </w:r>
      <w:r w:rsidRPr="00DF17D0">
        <w:t xml:space="preserve"> млн. лв., от които </w:t>
      </w:r>
      <w:r w:rsidR="00A73577">
        <w:t>155,8 м</w:t>
      </w:r>
      <w:r w:rsidRPr="00DF17D0">
        <w:t xml:space="preserve">лн. лв. са на държавните болници и </w:t>
      </w:r>
      <w:r w:rsidR="00A73577">
        <w:t xml:space="preserve">43,2 </w:t>
      </w:r>
      <w:r w:rsidRPr="00DF17D0">
        <w:t>млн. лв. са на общинските болници. Спрямо отчетените просрочени задължения в края на 2016 г. се отчита увеличение с</w:t>
      </w:r>
      <w:r w:rsidR="00A73577">
        <w:t>ъс</w:t>
      </w:r>
      <w:r w:rsidRPr="00DF17D0">
        <w:t xml:space="preserve"> </w:t>
      </w:r>
      <w:r w:rsidR="00A73577">
        <w:t>7,8</w:t>
      </w:r>
      <w:r w:rsidRPr="00DF17D0">
        <w:t xml:space="preserve"> млн. лв. (</w:t>
      </w:r>
      <w:r w:rsidR="00A73577">
        <w:t xml:space="preserve">4 </w:t>
      </w:r>
      <w:r w:rsidRPr="00DF17D0">
        <w:t>на сто).</w:t>
      </w:r>
    </w:p>
    <w:p w:rsidR="00651590" w:rsidRPr="00437A49" w:rsidRDefault="00651590" w:rsidP="00651590">
      <w:pPr>
        <w:pStyle w:val="BodyTextIndent"/>
        <w:numPr>
          <w:ilvl w:val="1"/>
          <w:numId w:val="14"/>
        </w:numPr>
        <w:tabs>
          <w:tab w:val="clear" w:pos="2160"/>
          <w:tab w:val="num" w:pos="720"/>
          <w:tab w:val="num" w:pos="900"/>
        </w:tabs>
        <w:spacing w:before="120" w:after="0"/>
        <w:ind w:left="720"/>
        <w:jc w:val="both"/>
        <w:rPr>
          <w:b/>
          <w:bCs/>
        </w:rPr>
      </w:pPr>
      <w:r w:rsidRPr="00437A49">
        <w:rPr>
          <w:b/>
          <w:bCs/>
        </w:rPr>
        <w:t xml:space="preserve">Разходи по </w:t>
      </w:r>
      <w:r w:rsidRPr="00437A49">
        <w:rPr>
          <w:b/>
          <w:bCs/>
          <w:szCs w:val="26"/>
        </w:rPr>
        <w:t xml:space="preserve">централния бюджет </w:t>
      </w:r>
      <w:r w:rsidRPr="00437A49">
        <w:rPr>
          <w:b/>
          <w:bCs/>
        </w:rPr>
        <w:t xml:space="preserve">за субсидии, капиталови разходи и други разходи, свързани с дейността на реалния сектор </w:t>
      </w:r>
    </w:p>
    <w:p w:rsidR="00651590" w:rsidRPr="0096051A" w:rsidRDefault="00651590" w:rsidP="00651590">
      <w:pPr>
        <w:pStyle w:val="Header"/>
        <w:jc w:val="both"/>
        <w:rPr>
          <w:color w:val="0070C0"/>
          <w:sz w:val="8"/>
          <w:szCs w:val="8"/>
        </w:rPr>
      </w:pPr>
    </w:p>
    <w:p w:rsidR="00651590" w:rsidRPr="00437A49" w:rsidRDefault="00651590" w:rsidP="00277E9F">
      <w:pPr>
        <w:pStyle w:val="Header"/>
        <w:jc w:val="both"/>
      </w:pPr>
      <w:r w:rsidRPr="00437A49">
        <w:t>Със ЗДБРБ за 2017 г. са утвърдени 1</w:t>
      </w:r>
      <w:r w:rsidRPr="00437A49">
        <w:rPr>
          <w:lang w:val="en-US"/>
        </w:rPr>
        <w:t>58</w:t>
      </w:r>
      <w:r w:rsidRPr="00437A49">
        <w:t>,</w:t>
      </w:r>
      <w:r w:rsidRPr="00437A49">
        <w:rPr>
          <w:lang w:val="en-US"/>
        </w:rPr>
        <w:t>0</w:t>
      </w:r>
      <w:r w:rsidRPr="00437A49">
        <w:t xml:space="preserve"> млн. лв</w:t>
      </w:r>
      <w:r w:rsidRPr="00437A49">
        <w:rPr>
          <w:b/>
        </w:rPr>
        <w:t>.</w:t>
      </w:r>
      <w:r w:rsidRPr="00437A49">
        <w:t xml:space="preserve"> </w:t>
      </w:r>
      <w:r w:rsidRPr="00437A49">
        <w:rPr>
          <w:b/>
        </w:rPr>
        <w:t>субсидии</w:t>
      </w:r>
      <w:r w:rsidRPr="00437A49">
        <w:t xml:space="preserve"> за нефинансови предприятия от централния бюджет.</w:t>
      </w:r>
    </w:p>
    <w:p w:rsidR="00651590" w:rsidRPr="0096051A" w:rsidRDefault="00651590" w:rsidP="00277E9F">
      <w:pPr>
        <w:pStyle w:val="Header"/>
        <w:jc w:val="both"/>
        <w:rPr>
          <w:color w:val="0070C0"/>
          <w:sz w:val="4"/>
          <w:szCs w:val="4"/>
        </w:rPr>
      </w:pPr>
    </w:p>
    <w:p w:rsidR="00651590" w:rsidRPr="00437A49" w:rsidRDefault="00651590" w:rsidP="00277E9F">
      <w:pPr>
        <w:pStyle w:val="BodyText2"/>
        <w:spacing w:after="0" w:line="240" w:lineRule="auto"/>
        <w:jc w:val="both"/>
      </w:pPr>
      <w:r w:rsidRPr="00437A49">
        <w:t xml:space="preserve">Средствата за </w:t>
      </w:r>
      <w:r w:rsidRPr="00437A49">
        <w:rPr>
          <w:bCs/>
        </w:rPr>
        <w:t>субсидии</w:t>
      </w:r>
      <w:r w:rsidRPr="00437A49">
        <w:t xml:space="preserve"> са предназначени за търговски дружества от различните видове транспорт – железопътни пътнически превози, автомобилни пътнически превози (вътрешноградски превози и междуселищни превози в планински и други райони), за текущо поддържане и експлоатация на железопътната инфраструктура и др.</w:t>
      </w:r>
    </w:p>
    <w:p w:rsidR="00651590" w:rsidRPr="0096051A" w:rsidRDefault="00651590" w:rsidP="00277E9F">
      <w:pPr>
        <w:pStyle w:val="BodyText2"/>
        <w:spacing w:after="0" w:line="240" w:lineRule="auto"/>
        <w:jc w:val="both"/>
        <w:rPr>
          <w:color w:val="0070C0"/>
          <w:sz w:val="12"/>
          <w:szCs w:val="12"/>
        </w:rPr>
      </w:pPr>
    </w:p>
    <w:p w:rsidR="00651590" w:rsidRPr="00437A49" w:rsidRDefault="00651590" w:rsidP="00277E9F">
      <w:pPr>
        <w:pStyle w:val="BodyTextIndent"/>
        <w:ind w:left="0"/>
        <w:jc w:val="both"/>
      </w:pPr>
      <w:r w:rsidRPr="00437A49">
        <w:t>- Със ЗДБРБ за 2017 г. за Национална компания „Железопътна инфраструктура” са предвидени средства под формата на субсидии, предназначени за текущо поддържане и експлоатация на железопътната инфраструктура, в размер на 135,0 млн. лева. Усвоените средства за 2017 г. са в размер на 134,9 млн. лв. или 99,9 на сто от уточнения годишен план. Същите са предоставени в съответствие с утвърдения от министъра на финансите и министъра на транспорта, информационните технологии и съобщенията График за превеждане на субсидиите, съобразен с необходимостта от средства за финансиране на текущите дейности на предприятието.</w:t>
      </w:r>
      <w:r w:rsidR="004E09DD" w:rsidRPr="004E09DD">
        <w:t xml:space="preserve"> Във връзка с неизпълнението за 2016 г. на показателя по чл. 6, ал. 1, т. 8 от договора, сключен между Държавата и Национална компания „Железопътна инфраструктура", от средствата за субсидии за 2017 г. е удържана наложената санкция по този показател, в размер на 0,1 млн. лева.</w:t>
      </w:r>
    </w:p>
    <w:p w:rsidR="00651590" w:rsidRPr="00FD1C63" w:rsidRDefault="00651590" w:rsidP="00277E9F">
      <w:pPr>
        <w:pStyle w:val="BodyTextIndent2"/>
        <w:spacing w:line="240" w:lineRule="auto"/>
        <w:ind w:left="0"/>
        <w:jc w:val="both"/>
        <w:rPr>
          <w:noProof/>
        </w:rPr>
      </w:pPr>
      <w:r w:rsidRPr="002E4239">
        <w:t xml:space="preserve">- Предвидените със ЗДБРБ за 2017 г. средства за субсидиране на превоза на пътниците по нерентабилни линии във вътрешноградския транспорт и транспорта в планински и други райони са в размер на 23,0 млн. лева. По своя характер те са обществени превозни услуги от общ икономически интерес и имат предимно социална насоченост – масови превози до и от </w:t>
      </w:r>
      <w:r w:rsidRPr="00FD50D4">
        <w:t xml:space="preserve">работните места в рамките на града и превози до малки отдалечени селища, осигуряващи връзка с общинския център. Средствата се предоставят за изпълнение на задължения за </w:t>
      </w:r>
      <w:r w:rsidRPr="00FD50D4">
        <w:lastRenderedPageBreak/>
        <w:t xml:space="preserve">извършване на обществени превозни услуги до размера на нетния финансов ефект от изпълнението им.  </w:t>
      </w:r>
      <w:r w:rsidRPr="00FD1C63">
        <w:rPr>
          <w:noProof/>
        </w:rPr>
        <w:t xml:space="preserve">През 2017 г., усвоените средства са в размер на 23,0 млн. лв. или сто на сто от предвидените по годишния план. </w:t>
      </w:r>
    </w:p>
    <w:p w:rsidR="00651590" w:rsidRPr="005A1927" w:rsidRDefault="00651590" w:rsidP="00277E9F">
      <w:pPr>
        <w:jc w:val="both"/>
        <w:rPr>
          <w:bCs/>
        </w:rPr>
      </w:pPr>
      <w:r w:rsidRPr="005A1927">
        <w:rPr>
          <w:bCs/>
        </w:rPr>
        <w:t xml:space="preserve">За </w:t>
      </w:r>
      <w:r w:rsidRPr="005A1927">
        <w:rPr>
          <w:b/>
          <w:bCs/>
        </w:rPr>
        <w:t xml:space="preserve">капиталови </w:t>
      </w:r>
      <w:r w:rsidR="004E09DD">
        <w:rPr>
          <w:b/>
          <w:bCs/>
        </w:rPr>
        <w:t>трансфери</w:t>
      </w:r>
      <w:r w:rsidRPr="005A1927">
        <w:rPr>
          <w:bCs/>
        </w:rPr>
        <w:t xml:space="preserve"> от централния бюджет за нефинансови предприятия със ЗДБРБ за 2017 г. са предвидени </w:t>
      </w:r>
      <w:r w:rsidRPr="005A1927">
        <w:rPr>
          <w:b/>
          <w:bCs/>
        </w:rPr>
        <w:t>156,0 млн. лева.</w:t>
      </w:r>
      <w:r w:rsidRPr="005A1927">
        <w:rPr>
          <w:bCs/>
        </w:rPr>
        <w:t xml:space="preserve"> Преведените и усвоени средства към 31.12.2017 г. са в размер на </w:t>
      </w:r>
      <w:r w:rsidRPr="005A1927">
        <w:rPr>
          <w:b/>
          <w:bCs/>
        </w:rPr>
        <w:t>151,4 млн. лв.</w:t>
      </w:r>
      <w:r w:rsidRPr="005A1927">
        <w:rPr>
          <w:bCs/>
        </w:rPr>
        <w:t xml:space="preserve"> или 97,1 % от годишния размер, както следва:</w:t>
      </w:r>
    </w:p>
    <w:p w:rsidR="00651590" w:rsidRPr="00A8538A" w:rsidRDefault="00651590" w:rsidP="00277E9F">
      <w:pPr>
        <w:numPr>
          <w:ilvl w:val="0"/>
          <w:numId w:val="5"/>
        </w:numPr>
        <w:tabs>
          <w:tab w:val="clear" w:pos="1440"/>
          <w:tab w:val="left" w:pos="851"/>
          <w:tab w:val="left" w:pos="1134"/>
        </w:tabs>
        <w:ind w:left="0" w:firstLine="0"/>
        <w:jc w:val="both"/>
        <w:rPr>
          <w:i/>
        </w:rPr>
      </w:pPr>
      <w:r w:rsidRPr="00A8538A">
        <w:rPr>
          <w:i/>
        </w:rPr>
        <w:t>капиталови трансфери за  Национална компания „Железопътна инфраструктура</w:t>
      </w:r>
      <w:r w:rsidRPr="00A8538A">
        <w:t>” - ф</w:t>
      </w:r>
      <w:r w:rsidRPr="00A8538A">
        <w:rPr>
          <w:noProof/>
        </w:rPr>
        <w:t>инансовото подпомагане от страна на държавата за изграждане и развитие на железопътната инфраструктура е насочено към повишаване на качеството и нивото на безопасност на транспортните услуги, ускоряване реализацията на проекти, свързани с европейските транспортни оси и коридори на територията на страната, ремонт и рехабилитация на железопътната мрежа</w:t>
      </w:r>
      <w:r w:rsidRPr="00A8538A">
        <w:t xml:space="preserve">. </w:t>
      </w:r>
      <w:r w:rsidRPr="00A8538A">
        <w:rPr>
          <w:noProof/>
        </w:rPr>
        <w:t xml:space="preserve">За 2017 г. от държавния бюджет за компанията </w:t>
      </w:r>
      <w:r w:rsidR="000640AC">
        <w:rPr>
          <w:noProof/>
        </w:rPr>
        <w:t>са</w:t>
      </w:r>
      <w:r w:rsidRPr="00A8538A">
        <w:rPr>
          <w:noProof/>
        </w:rPr>
        <w:t xml:space="preserve"> предвиден</w:t>
      </w:r>
      <w:r w:rsidR="000640AC">
        <w:rPr>
          <w:noProof/>
        </w:rPr>
        <w:t>и</w:t>
      </w:r>
      <w:r w:rsidRPr="00A8538A">
        <w:rPr>
          <w:noProof/>
        </w:rPr>
        <w:t xml:space="preserve"> капиталов</w:t>
      </w:r>
      <w:r w:rsidR="000640AC">
        <w:rPr>
          <w:noProof/>
        </w:rPr>
        <w:t>и</w:t>
      </w:r>
      <w:r w:rsidRPr="00A8538A">
        <w:rPr>
          <w:noProof/>
        </w:rPr>
        <w:t xml:space="preserve"> трансфер</w:t>
      </w:r>
      <w:r w:rsidR="000640AC">
        <w:rPr>
          <w:noProof/>
        </w:rPr>
        <w:t>и</w:t>
      </w:r>
      <w:r w:rsidRPr="00A8538A">
        <w:rPr>
          <w:noProof/>
        </w:rPr>
        <w:t xml:space="preserve"> в размер на 105,0 млн.</w:t>
      </w:r>
      <w:r w:rsidR="000640AC">
        <w:rPr>
          <w:noProof/>
        </w:rPr>
        <w:t> </w:t>
      </w:r>
      <w:r w:rsidRPr="00A8538A">
        <w:rPr>
          <w:noProof/>
        </w:rPr>
        <w:t>лева. Усвоените средства за 2017 г. са в размер на 105,0 млн. лв. или сто на сто от уточнения годишен план. Изпълняват се проекти за ремонт и придобиване на дълготрайни материални активи, за възстановяване и подобряване на експлоатационното състояние на железния път и съоръженията, както и ремонт и преустройство на възлови жп гари в съответствие с европейските изисквания;</w:t>
      </w:r>
    </w:p>
    <w:p w:rsidR="00651590" w:rsidRPr="00A8538A" w:rsidRDefault="00651590" w:rsidP="00277E9F">
      <w:pPr>
        <w:numPr>
          <w:ilvl w:val="0"/>
          <w:numId w:val="5"/>
        </w:numPr>
        <w:tabs>
          <w:tab w:val="clear" w:pos="1440"/>
          <w:tab w:val="num" w:pos="360"/>
          <w:tab w:val="left" w:pos="851"/>
        </w:tabs>
        <w:ind w:left="0" w:firstLine="0"/>
        <w:jc w:val="both"/>
        <w:rPr>
          <w:i/>
        </w:rPr>
      </w:pPr>
      <w:r w:rsidRPr="00A8538A">
        <w:rPr>
          <w:i/>
        </w:rPr>
        <w:t xml:space="preserve">капиталови трансфери за „БДЖ – Пътнически превози” - ЕООД – </w:t>
      </w:r>
      <w:r w:rsidRPr="00A8538A">
        <w:t xml:space="preserve">предвидените средства със ЗДБРБ за 2017 г. са в размер на 35,0 млн. лева. Средствата са предназначени за погасяване на задължения на предприятието, във връзка с придобити </w:t>
      </w:r>
      <w:proofErr w:type="spellStart"/>
      <w:r w:rsidRPr="00A8538A">
        <w:t>електромотрисни</w:t>
      </w:r>
      <w:proofErr w:type="spellEnd"/>
      <w:r w:rsidRPr="00A8538A">
        <w:t xml:space="preserve"> влакове през предходни години. За  2017 г. са усвоени 35,0 млн. лв. </w:t>
      </w:r>
      <w:r w:rsidRPr="00A8538A">
        <w:rPr>
          <w:noProof/>
        </w:rPr>
        <w:t>или сто на сто от уточнения годишен план</w:t>
      </w:r>
      <w:r w:rsidRPr="00A8538A">
        <w:t>;</w:t>
      </w:r>
    </w:p>
    <w:p w:rsidR="00651590" w:rsidRPr="008D4D95" w:rsidRDefault="00651590" w:rsidP="00277E9F">
      <w:pPr>
        <w:numPr>
          <w:ilvl w:val="1"/>
          <w:numId w:val="15"/>
        </w:numPr>
        <w:tabs>
          <w:tab w:val="clear" w:pos="1440"/>
          <w:tab w:val="num" w:pos="360"/>
          <w:tab w:val="left" w:pos="851"/>
        </w:tabs>
        <w:ind w:left="0" w:firstLine="0"/>
        <w:jc w:val="both"/>
      </w:pPr>
      <w:r w:rsidRPr="008D4D95">
        <w:rPr>
          <w:i/>
        </w:rPr>
        <w:t>капиталови трансфери за ДП „Пристанищна инфраструктура”</w:t>
      </w:r>
      <w:r w:rsidRPr="008D4D95">
        <w:rPr>
          <w:b/>
          <w:i/>
        </w:rPr>
        <w:t xml:space="preserve"> </w:t>
      </w:r>
      <w:r w:rsidRPr="008D4D95">
        <w:t>- инвестиционната програма на дружеството, която включва изграждане и капиталов ремонт на пристанищна инфраструктура на пристанищата за обществен транспорт с национално значение, се изпълнява с участието на капиталов</w:t>
      </w:r>
      <w:r w:rsidR="000640AC">
        <w:t>и</w:t>
      </w:r>
      <w:r w:rsidRPr="008D4D95">
        <w:t xml:space="preserve"> трансфер</w:t>
      </w:r>
      <w:r w:rsidR="000640AC">
        <w:t>и</w:t>
      </w:r>
      <w:r w:rsidRPr="008D4D95">
        <w:t xml:space="preserve"> от </w:t>
      </w:r>
      <w:r w:rsidR="000640AC">
        <w:t xml:space="preserve">държавния </w:t>
      </w:r>
      <w:r w:rsidRPr="008D4D95">
        <w:t>бюджет</w:t>
      </w:r>
      <w:r w:rsidRPr="008D4D95">
        <w:rPr>
          <w:noProof/>
        </w:rPr>
        <w:t xml:space="preserve"> Предвидените със З</w:t>
      </w:r>
      <w:r w:rsidR="000640AC">
        <w:rPr>
          <w:noProof/>
        </w:rPr>
        <w:t>ДБРБ</w:t>
      </w:r>
      <w:r w:rsidRPr="008D4D95">
        <w:rPr>
          <w:noProof/>
        </w:rPr>
        <w:t xml:space="preserve"> за  2017 г. средства са в размер на 11,0 млн. лева. Към 31.12.2017 г. са усвоени средства в размер на 8,6 млн. лв. или 78,1 на сто от уточнения годишен план</w:t>
      </w:r>
      <w:r w:rsidRPr="008D4D95">
        <w:t>;</w:t>
      </w:r>
    </w:p>
    <w:p w:rsidR="00651590" w:rsidRDefault="00651590" w:rsidP="00277E9F">
      <w:pPr>
        <w:numPr>
          <w:ilvl w:val="0"/>
          <w:numId w:val="16"/>
        </w:numPr>
        <w:tabs>
          <w:tab w:val="clear" w:pos="2157"/>
          <w:tab w:val="left" w:pos="360"/>
          <w:tab w:val="left" w:pos="851"/>
        </w:tabs>
        <w:ind w:left="0" w:firstLine="0"/>
        <w:jc w:val="both"/>
      </w:pPr>
      <w:r w:rsidRPr="008D4D95">
        <w:t xml:space="preserve">През 2017 г. продължава изпълнението на </w:t>
      </w:r>
      <w:r w:rsidRPr="000640AC">
        <w:t xml:space="preserve">Програмите за отстраняване на нанесени щети </w:t>
      </w:r>
      <w:r w:rsidRPr="000640AC">
        <w:rPr>
          <w:noProof/>
        </w:rPr>
        <w:t>върху околната среда</w:t>
      </w:r>
      <w:r w:rsidRPr="000640AC">
        <w:t xml:space="preserve">, настъпили от минали действия или бездействия, при приватизация. </w:t>
      </w:r>
      <w:r w:rsidRPr="000640AC">
        <w:rPr>
          <w:noProof/>
        </w:rPr>
        <w:t>В ЗДБРБ за 2017 г</w:t>
      </w:r>
      <w:r w:rsidRPr="008D4D95">
        <w:rPr>
          <w:noProof/>
        </w:rPr>
        <w:t>. за тези програми са предвидени 5,0 млн. лева. За 2017 г. са усвоени 2,8 млн. лв. или 56,8 на сто от годишния план.</w:t>
      </w:r>
      <w:r w:rsidRPr="008D4D95">
        <w:t xml:space="preserve">  </w:t>
      </w:r>
    </w:p>
    <w:p w:rsidR="00651590" w:rsidRPr="0096051A" w:rsidRDefault="00651590" w:rsidP="00651590">
      <w:pPr>
        <w:jc w:val="both"/>
        <w:rPr>
          <w:color w:val="0070C0"/>
          <w:sz w:val="8"/>
          <w:szCs w:val="8"/>
        </w:rPr>
      </w:pPr>
    </w:p>
    <w:p w:rsidR="00651590" w:rsidRPr="0096051A" w:rsidRDefault="00651590" w:rsidP="00651590">
      <w:pPr>
        <w:jc w:val="both"/>
        <w:rPr>
          <w:color w:val="0070C0"/>
          <w:sz w:val="8"/>
          <w:szCs w:val="8"/>
          <w:highlight w:val="yellow"/>
        </w:rPr>
      </w:pPr>
    </w:p>
    <w:p w:rsidR="00651590" w:rsidRPr="00C77370" w:rsidRDefault="00651590" w:rsidP="00651590">
      <w:pPr>
        <w:ind w:firstLine="567"/>
        <w:jc w:val="both"/>
      </w:pPr>
      <w:r w:rsidRPr="00C77370">
        <w:rPr>
          <w:b/>
          <w:bCs/>
        </w:rPr>
        <w:t>Други разходи по централния бюджет</w:t>
      </w:r>
      <w:r w:rsidRPr="00C77370">
        <w:t xml:space="preserve"> предназначени за: </w:t>
      </w:r>
    </w:p>
    <w:p w:rsidR="00651590" w:rsidRPr="00C77370" w:rsidRDefault="00651590" w:rsidP="00651590">
      <w:pPr>
        <w:jc w:val="both"/>
        <w:rPr>
          <w:sz w:val="8"/>
          <w:szCs w:val="8"/>
        </w:rPr>
      </w:pPr>
    </w:p>
    <w:p w:rsidR="00651590" w:rsidRPr="00C77370" w:rsidRDefault="00651590" w:rsidP="00651590">
      <w:pPr>
        <w:jc w:val="both"/>
        <w:rPr>
          <w:sz w:val="8"/>
          <w:szCs w:val="8"/>
        </w:rPr>
      </w:pPr>
    </w:p>
    <w:p w:rsidR="00651590" w:rsidRPr="00BF6D2F" w:rsidRDefault="00651590" w:rsidP="00651590">
      <w:pPr>
        <w:numPr>
          <w:ilvl w:val="0"/>
          <w:numId w:val="5"/>
        </w:numPr>
        <w:tabs>
          <w:tab w:val="clear" w:pos="1440"/>
          <w:tab w:val="num" w:pos="360"/>
          <w:tab w:val="left" w:pos="851"/>
        </w:tabs>
        <w:ind w:left="0" w:firstLine="567"/>
        <w:jc w:val="both"/>
        <w:rPr>
          <w:sz w:val="8"/>
          <w:szCs w:val="8"/>
        </w:rPr>
      </w:pPr>
      <w:r w:rsidRPr="00C77370">
        <w:rPr>
          <w:i/>
        </w:rPr>
        <w:t xml:space="preserve">Компенсиране на стойността на </w:t>
      </w:r>
      <w:r w:rsidRPr="00C77370">
        <w:rPr>
          <w:bCs/>
          <w:i/>
        </w:rPr>
        <w:t>намалените приходи от прилагането на цени за пътуване, предвидени в нормативни актове за определени категории пътници,</w:t>
      </w:r>
      <w:r w:rsidRPr="00C77370">
        <w:rPr>
          <w:i/>
        </w:rPr>
        <w:t xml:space="preserve"> по железопътния и автомобилния транспорт със средства от държавния бюджет</w:t>
      </w:r>
      <w:r w:rsidRPr="00C77370">
        <w:t xml:space="preserve"> - предвидените средства са общо в размер на 96,</w:t>
      </w:r>
      <w:r w:rsidRPr="00C77370">
        <w:rPr>
          <w:lang w:val="en-US"/>
        </w:rPr>
        <w:t>8</w:t>
      </w:r>
      <w:r w:rsidRPr="00C77370">
        <w:t xml:space="preserve"> млн. лв., от които </w:t>
      </w:r>
      <w:r w:rsidRPr="00C77370">
        <w:rPr>
          <w:lang w:val="en-US"/>
        </w:rPr>
        <w:t xml:space="preserve">37,8 </w:t>
      </w:r>
      <w:r w:rsidRPr="00C77370">
        <w:t xml:space="preserve">млн. лв. </w:t>
      </w:r>
      <w:r w:rsidRPr="00C77370">
        <w:rPr>
          <w:noProof/>
        </w:rPr>
        <w:t>за пътувания с вътрешноградския транспорт и междуселищния автомобилен транспорт, 25,5 млн. лв. за транспорт на деца и ученици по чл. 283, ал. 2 от Закона за предучилищното и училищното образование, 16,5 млн. лв. за превоз на служители, ползващи право на безплатно пътуване при изпълнение на служебните си задължения в съответствие със Закона за Министерството на вътрешните работи, Закона за изпълнение на наказанията и задържането под стража и Закона за Държавна агенция „Национална сигурност“ и 17,0 млн. лв. за пътувания с железопътния транспорт.</w:t>
      </w:r>
      <w:r w:rsidRPr="00C77370">
        <w:t xml:space="preserve"> </w:t>
      </w:r>
      <w:r>
        <w:rPr>
          <w:noProof/>
        </w:rPr>
        <w:t>Допълнително са предоставени ср</w:t>
      </w:r>
      <w:r w:rsidRPr="00115179">
        <w:rPr>
          <w:noProof/>
        </w:rPr>
        <w:t>едства за транспорт на деца и ученици по чл. 283, ал. 2 от Закона за предучилищното и училищното образование</w:t>
      </w:r>
      <w:r>
        <w:rPr>
          <w:noProof/>
        </w:rPr>
        <w:t xml:space="preserve">, в размер на </w:t>
      </w:r>
      <w:r w:rsidRPr="00115179">
        <w:rPr>
          <w:noProof/>
        </w:rPr>
        <w:t xml:space="preserve">9 </w:t>
      </w:r>
      <w:r>
        <w:rPr>
          <w:noProof/>
        </w:rPr>
        <w:t xml:space="preserve">млн. лв., в съответствие с </w:t>
      </w:r>
      <w:r w:rsidRPr="00586D13">
        <w:rPr>
          <w:noProof/>
        </w:rPr>
        <w:t xml:space="preserve">Постановление № </w:t>
      </w:r>
      <w:r>
        <w:rPr>
          <w:noProof/>
        </w:rPr>
        <w:t>299</w:t>
      </w:r>
      <w:r w:rsidRPr="00586D13">
        <w:rPr>
          <w:noProof/>
        </w:rPr>
        <w:t xml:space="preserve"> на Министерския съвет от 201</w:t>
      </w:r>
      <w:r>
        <w:rPr>
          <w:noProof/>
        </w:rPr>
        <w:t>7</w:t>
      </w:r>
      <w:r w:rsidRPr="00586D13">
        <w:rPr>
          <w:noProof/>
        </w:rPr>
        <w:t xml:space="preserve"> г. </w:t>
      </w:r>
      <w:r>
        <w:rPr>
          <w:noProof/>
        </w:rPr>
        <w:t xml:space="preserve">за одобряване на допълнителни трансфери по бюджетите на общините за 2017 г. за компенсиране на безплатния транспорт на деца и ученици по </w:t>
      </w:r>
      <w:r w:rsidRPr="00586D13">
        <w:rPr>
          <w:noProof/>
        </w:rPr>
        <w:t>по чл. 283, ал. 2 от Закона за предучилищното и училищното образование</w:t>
      </w:r>
      <w:r>
        <w:rPr>
          <w:noProof/>
        </w:rPr>
        <w:t>. С това общият годишен размер на средствата за к</w:t>
      </w:r>
      <w:r w:rsidRPr="004B094A">
        <w:rPr>
          <w:noProof/>
        </w:rPr>
        <w:t xml:space="preserve">омпенсиране на намалените приходи от прилагането на цени за пътуване, предвидени в нормативни актове за </w:t>
      </w:r>
      <w:r w:rsidRPr="00BF6D2F">
        <w:rPr>
          <w:noProof/>
        </w:rPr>
        <w:t>определени категории пътници</w:t>
      </w:r>
      <w:r w:rsidR="000640AC">
        <w:rPr>
          <w:noProof/>
        </w:rPr>
        <w:t>,</w:t>
      </w:r>
      <w:r w:rsidRPr="00BF6D2F">
        <w:rPr>
          <w:noProof/>
        </w:rPr>
        <w:t xml:space="preserve"> се увеличава </w:t>
      </w:r>
      <w:r w:rsidRPr="00BF6D2F">
        <w:rPr>
          <w:noProof/>
        </w:rPr>
        <w:lastRenderedPageBreak/>
        <w:t>на 105,8 млн. л</w:t>
      </w:r>
      <w:r w:rsidRPr="00BF6D2F">
        <w:rPr>
          <w:noProof/>
          <w:lang w:val="en-US"/>
        </w:rPr>
        <w:t>e</w:t>
      </w:r>
      <w:r w:rsidRPr="00BF6D2F">
        <w:rPr>
          <w:noProof/>
        </w:rPr>
        <w:t>в</w:t>
      </w:r>
      <w:r w:rsidRPr="00BF6D2F">
        <w:rPr>
          <w:noProof/>
          <w:lang w:val="en-US"/>
        </w:rPr>
        <w:t>a</w:t>
      </w:r>
      <w:r w:rsidRPr="00BF6D2F">
        <w:rPr>
          <w:noProof/>
        </w:rPr>
        <w:t>. Усвоените средства за 2017 г. са общо в размер на 100,9 млн. лв., или 95,4 на сто от уточнения годишен план.</w:t>
      </w:r>
      <w:r w:rsidRPr="00BF6D2F">
        <w:t xml:space="preserve"> </w:t>
      </w:r>
    </w:p>
    <w:p w:rsidR="00651590" w:rsidRPr="00654D76" w:rsidRDefault="00651590" w:rsidP="00564156">
      <w:pPr>
        <w:tabs>
          <w:tab w:val="left" w:pos="851"/>
        </w:tabs>
        <w:jc w:val="both"/>
      </w:pPr>
      <w:r w:rsidRPr="00654D76">
        <w:t xml:space="preserve">Усвоените средства за 2017 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654D76">
        <w:rPr>
          <w:noProof/>
        </w:rPr>
        <w:t xml:space="preserve">вътрешноградски транспорт и междуселищен </w:t>
      </w:r>
      <w:r w:rsidRPr="00654D76">
        <w:t>автомобилен транспорт или железопътен транспорт, съгласно ПМС №</w:t>
      </w:r>
      <w:r w:rsidRPr="00654D76">
        <w:rPr>
          <w:noProof/>
        </w:rPr>
        <w:t> </w:t>
      </w:r>
      <w:r w:rsidRPr="00654D76">
        <w:t>374/2016 г. за изпълнението на държавния бюдже</w:t>
      </w:r>
      <w:r w:rsidR="00CA25E3">
        <w:t>т на Република България за 2017 </w:t>
      </w:r>
      <w:r w:rsidRPr="00654D76">
        <w:t>г., са както следва:</w:t>
      </w:r>
    </w:p>
    <w:p w:rsidR="00651590" w:rsidRPr="00E02865" w:rsidRDefault="00651590" w:rsidP="00651590">
      <w:pPr>
        <w:ind w:firstLine="567"/>
        <w:jc w:val="both"/>
      </w:pPr>
      <w:r w:rsidRPr="00E02865">
        <w:t xml:space="preserve">- компенсации за пътувания с железопътния транспорт в размер на 13,0 млн. лв., 76,7 на сто от утвърдения годишен план; </w:t>
      </w:r>
    </w:p>
    <w:p w:rsidR="00651590" w:rsidRPr="00E02865" w:rsidRDefault="00651590" w:rsidP="00651590">
      <w:pPr>
        <w:tabs>
          <w:tab w:val="left" w:pos="540"/>
          <w:tab w:val="left" w:pos="709"/>
        </w:tabs>
        <w:ind w:firstLine="567"/>
        <w:jc w:val="both"/>
        <w:rPr>
          <w:noProof/>
        </w:rPr>
      </w:pPr>
      <w:r w:rsidRPr="00E02865">
        <w:rPr>
          <w:noProof/>
        </w:rPr>
        <w:t xml:space="preserve">- компенсации за пътувания с вътрешноградския транспорт и междуселищния автомобилен транспорт, предоставени чрез Системата за електронни бюджетни разплащания – 87,8 млн. лв., което е 98,9 на сто от уточнения годишен план. </w:t>
      </w:r>
    </w:p>
    <w:p w:rsidR="00651590" w:rsidRPr="00B21C86" w:rsidRDefault="00651590" w:rsidP="00651590">
      <w:pPr>
        <w:ind w:firstLine="567"/>
        <w:jc w:val="both"/>
        <w:rPr>
          <w:noProof/>
        </w:rPr>
      </w:pPr>
      <w:r w:rsidRPr="00B21C86">
        <w:rPr>
          <w:noProof/>
        </w:rPr>
        <w:t xml:space="preserve">Усвоените средства за </w:t>
      </w:r>
      <w:r w:rsidRPr="00B21C86">
        <w:t>компенсиране на намалените приходи от прилагането на цени за пътуване, предвидени в нормативни актове за определени категории пътници,</w:t>
      </w:r>
      <w:r w:rsidRPr="00B21C86">
        <w:rPr>
          <w:noProof/>
        </w:rPr>
        <w:t xml:space="preserve"> по вътрешноградския транспорт и междуселищния автомобилен транспорт, за 2017 г., диференцирани по групи правоимащи лица и размер на намалението спрямо редовната цена, са както следва:</w:t>
      </w:r>
    </w:p>
    <w:p w:rsidR="00651590" w:rsidRPr="00304F01" w:rsidRDefault="00651590" w:rsidP="00651590">
      <w:pPr>
        <w:pStyle w:val="BodyTextIndent"/>
        <w:spacing w:after="0"/>
        <w:ind w:left="0" w:firstLine="567"/>
        <w:jc w:val="both"/>
      </w:pPr>
      <w:r w:rsidRPr="00304F01">
        <w:t>- 34,5</w:t>
      </w:r>
      <w:r w:rsidRPr="00304F01">
        <w:rPr>
          <w:lang w:val="en-US"/>
        </w:rPr>
        <w:t xml:space="preserve"> </w:t>
      </w:r>
      <w:r w:rsidRPr="00304F01">
        <w:t xml:space="preserve">млн. лв. за транспорт на деца и ученици в съответствие с чл. 283, ал. 2 от Закона за предучилищното и училищното образование, което е сто на сто от уточнения годишен план; </w:t>
      </w:r>
    </w:p>
    <w:p w:rsidR="00651590" w:rsidRPr="00304F01" w:rsidRDefault="00651590" w:rsidP="00651590">
      <w:pPr>
        <w:pStyle w:val="BodyTextIndent"/>
        <w:tabs>
          <w:tab w:val="left" w:pos="1026"/>
        </w:tabs>
        <w:spacing w:after="0"/>
        <w:ind w:left="0" w:firstLine="567"/>
        <w:jc w:val="both"/>
      </w:pPr>
      <w:r w:rsidRPr="00304F01">
        <w:t>- 53,3 млн. лв. за безплатни и по намалени цени пътувания. Следва да се има предвид, че по пътя на изпълнението тези разходи се отчитат като текущи трансфери, обезщетения и помощи за домакинствата по бюджетите на общините. Изпълнението спрямо годишния план е 98,2 на сто, в това число:</w:t>
      </w:r>
    </w:p>
    <w:p w:rsidR="00651590" w:rsidRPr="002E62E2" w:rsidRDefault="00651590" w:rsidP="00651590">
      <w:pPr>
        <w:numPr>
          <w:ilvl w:val="0"/>
          <w:numId w:val="20"/>
        </w:numPr>
        <w:tabs>
          <w:tab w:val="left" w:pos="993"/>
        </w:tabs>
        <w:ind w:hanging="275"/>
        <w:jc w:val="both"/>
      </w:pPr>
      <w:r w:rsidRPr="002E62E2">
        <w:t xml:space="preserve">36,8 млн. лв. за безплатни пътувания на деца до седемгодишна възраст, ветерани от войните, военноинвалиди и </w:t>
      </w:r>
      <w:proofErr w:type="spellStart"/>
      <w:r w:rsidRPr="002E62E2">
        <w:t>военнопострадали</w:t>
      </w:r>
      <w:proofErr w:type="spellEnd"/>
      <w:r w:rsidRPr="002E62E2">
        <w:t xml:space="preserve">,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което е 97,5 на сто от утвърдения годишен план; </w:t>
      </w:r>
    </w:p>
    <w:p w:rsidR="00651590" w:rsidRPr="000367D0" w:rsidRDefault="00651590" w:rsidP="00651590">
      <w:pPr>
        <w:numPr>
          <w:ilvl w:val="0"/>
          <w:numId w:val="20"/>
        </w:numPr>
        <w:tabs>
          <w:tab w:val="num" w:pos="360"/>
          <w:tab w:val="left" w:pos="993"/>
        </w:tabs>
        <w:ind w:hanging="275"/>
        <w:jc w:val="both"/>
      </w:pPr>
      <w:r w:rsidRPr="000367D0">
        <w:t>16,5 млн. лв. за превоз на служители, ползващи право на безплатно пътуване при изпълнение на служебните си задължения в съответствие със Закона за М</w:t>
      </w:r>
      <w:r w:rsidR="00277E9F">
        <w:t>ВР</w:t>
      </w:r>
      <w:r w:rsidRPr="000367D0">
        <w:t xml:space="preserve">, Закона за изпълнение на наказанията и задържането под стража и Закона за </w:t>
      </w:r>
      <w:r w:rsidR="00277E9F">
        <w:t>ДАНС</w:t>
      </w:r>
      <w:r w:rsidRPr="000367D0">
        <w:t>, което е сто от уточнения годишен план.</w:t>
      </w:r>
    </w:p>
    <w:p w:rsidR="00333B5E" w:rsidRPr="0096051A" w:rsidRDefault="00333B5E" w:rsidP="00333B5E">
      <w:pPr>
        <w:jc w:val="both"/>
        <w:rPr>
          <w:color w:val="0070C0"/>
          <w:sz w:val="12"/>
          <w:szCs w:val="12"/>
        </w:rPr>
      </w:pPr>
    </w:p>
    <w:p w:rsidR="0082037E" w:rsidRPr="00660BBC" w:rsidRDefault="0082037E" w:rsidP="00337CA7">
      <w:pPr>
        <w:numPr>
          <w:ilvl w:val="0"/>
          <w:numId w:val="7"/>
        </w:numPr>
        <w:spacing w:after="120"/>
        <w:ind w:left="0" w:firstLine="360"/>
        <w:jc w:val="both"/>
        <w:rPr>
          <w:b/>
        </w:rPr>
      </w:pPr>
      <w:r w:rsidRPr="00660BBC">
        <w:rPr>
          <w:b/>
        </w:rPr>
        <w:t xml:space="preserve">Разходи за лихви </w:t>
      </w:r>
    </w:p>
    <w:p w:rsidR="00660BBC" w:rsidRPr="000D6452" w:rsidRDefault="00660BBC" w:rsidP="00660BBC">
      <w:pPr>
        <w:spacing w:after="120"/>
        <w:jc w:val="both"/>
      </w:pPr>
      <w:r w:rsidRPr="005F404D">
        <w:rPr>
          <w:b/>
        </w:rPr>
        <w:t xml:space="preserve">Лихвените плащания </w:t>
      </w:r>
      <w:r w:rsidRPr="005F404D">
        <w:t xml:space="preserve">по държавния бюджет за 2017 г. са в общ размер на </w:t>
      </w:r>
      <w:r w:rsidRPr="005F404D">
        <w:rPr>
          <w:b/>
        </w:rPr>
        <w:t>754,7 млн. лв</w:t>
      </w:r>
      <w:r w:rsidRPr="005F404D">
        <w:t xml:space="preserve">. или 95,2 % от </w:t>
      </w:r>
      <w:r w:rsidRPr="000D6452">
        <w:t xml:space="preserve">предвидените в годишните разчети. </w:t>
      </w:r>
    </w:p>
    <w:p w:rsidR="00660BBC" w:rsidRPr="00693676" w:rsidRDefault="00660BBC" w:rsidP="00660BBC">
      <w:pPr>
        <w:spacing w:after="120"/>
        <w:jc w:val="both"/>
      </w:pPr>
      <w:r w:rsidRPr="000D6452">
        <w:t xml:space="preserve">Разходите за </w:t>
      </w:r>
      <w:r w:rsidRPr="000D6452">
        <w:rPr>
          <w:b/>
        </w:rPr>
        <w:t>лихви по външни заеми</w:t>
      </w:r>
      <w:r w:rsidRPr="000D6452">
        <w:t xml:space="preserve"> са в размер на </w:t>
      </w:r>
      <w:r w:rsidRPr="000D6452">
        <w:rPr>
          <w:b/>
        </w:rPr>
        <w:t xml:space="preserve">527,1 млн. лв., </w:t>
      </w:r>
      <w:r w:rsidRPr="000D6452">
        <w:t xml:space="preserve">в т.ч. 487,4 млн. лв. по централния бюджет </w:t>
      </w:r>
      <w:r w:rsidRPr="000D6452">
        <w:rPr>
          <w:lang w:val="en-US"/>
        </w:rPr>
        <w:t>(</w:t>
      </w:r>
      <w:r w:rsidRPr="000D6452">
        <w:t xml:space="preserve">вкл. възстановени лихви от „Холдинг БДЖ“ ЕАД по активирана държавна гаранция към Европейската банка за възстановяване и развитие и </w:t>
      </w:r>
      <w:r w:rsidRPr="00693676">
        <w:t>Международната банка за възстановяване и развитие в размер на 1,06 млн. лв.</w:t>
      </w:r>
      <w:r w:rsidRPr="00693676">
        <w:rPr>
          <w:lang w:val="en-US"/>
        </w:rPr>
        <w:t>)</w:t>
      </w:r>
      <w:r w:rsidRPr="00693676">
        <w:t xml:space="preserve">. Разходите за лихви по ДИЗ, управлявани от министерства и ведомства са в размер на 39,7 млн. лева. </w:t>
      </w:r>
    </w:p>
    <w:p w:rsidR="00660BBC" w:rsidRPr="002679A7" w:rsidRDefault="00660BBC" w:rsidP="00660BBC">
      <w:pPr>
        <w:spacing w:after="120"/>
        <w:jc w:val="both"/>
        <w:rPr>
          <w:b/>
        </w:rPr>
      </w:pPr>
      <w:r w:rsidRPr="009A330D">
        <w:t xml:space="preserve">През отчетния период не са използвани средства, предвидени за покриване на риска от </w:t>
      </w:r>
      <w:r w:rsidRPr="002679A7">
        <w:t>активиране на държавни гаранции.</w:t>
      </w:r>
      <w:r w:rsidRPr="002679A7">
        <w:rPr>
          <w:b/>
        </w:rPr>
        <w:t xml:space="preserve"> </w:t>
      </w:r>
    </w:p>
    <w:p w:rsidR="00660BBC" w:rsidRPr="002679A7" w:rsidRDefault="00660BBC" w:rsidP="00660BBC">
      <w:pPr>
        <w:spacing w:after="120"/>
        <w:jc w:val="both"/>
      </w:pPr>
      <w:r w:rsidRPr="002679A7">
        <w:rPr>
          <w:b/>
        </w:rPr>
        <w:t>Лихвите по вътрешни заеми</w:t>
      </w:r>
      <w:r w:rsidRPr="002679A7">
        <w:t xml:space="preserve"> по държавния бюджет за 2017 г. са в размер на </w:t>
      </w:r>
      <w:r w:rsidRPr="002679A7">
        <w:rPr>
          <w:b/>
        </w:rPr>
        <w:t>227,6 млн. лв.</w:t>
      </w:r>
      <w:r w:rsidRPr="002679A7">
        <w:t xml:space="preserve"> и представляват основно лихви по емисии на ДЦК на вътрешния пазар. Платените лихви и отстъпки по ДЦК, емитирани на </w:t>
      </w:r>
      <w:proofErr w:type="spellStart"/>
      <w:r w:rsidRPr="002679A7">
        <w:t>аукционен</w:t>
      </w:r>
      <w:proofErr w:type="spellEnd"/>
      <w:r w:rsidRPr="002679A7">
        <w:t xml:space="preserve"> принцип са в размер на 241,1 млн. лв., лихвите по ДЦК, емитирани за структурната реформа – 0,4 млн. лв. и реализираните при </w:t>
      </w:r>
      <w:proofErr w:type="spellStart"/>
      <w:r w:rsidRPr="002679A7">
        <w:t>аукционите</w:t>
      </w:r>
      <w:proofErr w:type="spellEnd"/>
      <w:r w:rsidRPr="002679A7">
        <w:t xml:space="preserve"> премии над номинала от емисии ДЦК до 31.12.2017 г. /отчетени в намаление на разходите за лихви по вътрешния дълг/ съответно (-14,0) млн. лева. </w:t>
      </w:r>
    </w:p>
    <w:p w:rsidR="00A26C93" w:rsidRPr="00387DA5" w:rsidRDefault="00A26C93" w:rsidP="00A26C93">
      <w:pPr>
        <w:numPr>
          <w:ilvl w:val="0"/>
          <w:numId w:val="6"/>
        </w:numPr>
        <w:tabs>
          <w:tab w:val="clear" w:pos="700"/>
          <w:tab w:val="left" w:pos="426"/>
        </w:tabs>
        <w:spacing w:before="120"/>
        <w:ind w:left="0" w:firstLine="0"/>
        <w:jc w:val="both"/>
        <w:rPr>
          <w:b/>
          <w:bCs/>
        </w:rPr>
      </w:pPr>
      <w:r w:rsidRPr="00387DA5">
        <w:rPr>
          <w:b/>
          <w:bCs/>
        </w:rPr>
        <w:lastRenderedPageBreak/>
        <w:t>Нетният размер на трансферите по държавния бюджет</w:t>
      </w:r>
      <w:r w:rsidRPr="00387DA5">
        <w:rPr>
          <w:bCs/>
        </w:rPr>
        <w:t xml:space="preserve"> за 2017 г. е</w:t>
      </w:r>
      <w:r w:rsidRPr="00387DA5">
        <w:rPr>
          <w:b/>
          <w:bCs/>
        </w:rPr>
        <w:t xml:space="preserve"> </w:t>
      </w:r>
      <w:r w:rsidRPr="00387DA5">
        <w:rPr>
          <w:b/>
          <w:bCs/>
          <w:lang w:val="en-US"/>
        </w:rPr>
        <w:t>11 056</w:t>
      </w:r>
      <w:r w:rsidRPr="00387DA5">
        <w:rPr>
          <w:b/>
          <w:bCs/>
        </w:rPr>
        <w:t xml:space="preserve">,8  млн. лв., </w:t>
      </w:r>
      <w:r w:rsidRPr="00387DA5">
        <w:rPr>
          <w:bCs/>
        </w:rPr>
        <w:t>в т.ч.:</w:t>
      </w:r>
      <w:r w:rsidRPr="00387DA5">
        <w:rPr>
          <w:b/>
          <w:bCs/>
        </w:rPr>
        <w:t xml:space="preserve"> </w:t>
      </w:r>
    </w:p>
    <w:p w:rsidR="00A26C93" w:rsidRPr="001F4CD3" w:rsidRDefault="00A26C93" w:rsidP="00A26C93">
      <w:pPr>
        <w:numPr>
          <w:ilvl w:val="0"/>
          <w:numId w:val="24"/>
        </w:numPr>
        <w:tabs>
          <w:tab w:val="clear" w:pos="700"/>
          <w:tab w:val="left" w:pos="180"/>
          <w:tab w:val="num" w:pos="540"/>
          <w:tab w:val="num" w:pos="1495"/>
          <w:tab w:val="num" w:pos="9858"/>
        </w:tabs>
        <w:ind w:left="538" w:hanging="357"/>
        <w:jc w:val="both"/>
      </w:pPr>
      <w:r w:rsidRPr="001F4CD3">
        <w:t xml:space="preserve">бюджетните взаимоотношения с общините включват нето предоставени трансфери в размер на 3 574,0 млн. лв., от които субсидии от централния бюджет в размер на 3 183,0 млн. лв., други целеви трансфери от централния бюджет в размер на 271,3 млн. лв., нетни трансфери от други бюджети в размер на </w:t>
      </w:r>
      <w:r>
        <w:t>124,7</w:t>
      </w:r>
      <w:r w:rsidRPr="001F4CD3">
        <w:t xml:space="preserve"> млн. лв. и възстановени трансфери от предходни години в централния бюджет – 5,0 млн. лева;</w:t>
      </w:r>
    </w:p>
    <w:p w:rsidR="00A26C93" w:rsidRPr="001F4CD3" w:rsidRDefault="00A26C93" w:rsidP="00A26C93">
      <w:pPr>
        <w:numPr>
          <w:ilvl w:val="0"/>
          <w:numId w:val="24"/>
        </w:numPr>
        <w:tabs>
          <w:tab w:val="clear" w:pos="700"/>
          <w:tab w:val="left" w:pos="180"/>
          <w:tab w:val="num" w:pos="540"/>
          <w:tab w:val="num" w:pos="1495"/>
          <w:tab w:val="num" w:pos="9858"/>
        </w:tabs>
        <w:ind w:left="538" w:hanging="357"/>
        <w:jc w:val="both"/>
      </w:pPr>
      <w:r w:rsidRPr="001F4CD3">
        <w:t xml:space="preserve">на </w:t>
      </w:r>
      <w:proofErr w:type="spellStart"/>
      <w:r w:rsidRPr="001F4CD3">
        <w:t>социалноосигурителните</w:t>
      </w:r>
      <w:proofErr w:type="spellEnd"/>
      <w:r w:rsidRPr="001F4CD3">
        <w:t xml:space="preserve"> фондове (нето) – 5 621,9 млн. лв.,</w:t>
      </w:r>
      <w:r w:rsidRPr="001F4CD3">
        <w:rPr>
          <w:b/>
        </w:rPr>
        <w:t xml:space="preserve"> </w:t>
      </w:r>
      <w:r w:rsidRPr="001F4CD3">
        <w:t>което представлява 95,8 % от годишния разчет;</w:t>
      </w:r>
    </w:p>
    <w:p w:rsidR="00A26C93" w:rsidRPr="001F4CD3" w:rsidRDefault="00A26C93" w:rsidP="00A26C93">
      <w:pPr>
        <w:numPr>
          <w:ilvl w:val="0"/>
          <w:numId w:val="24"/>
        </w:numPr>
        <w:tabs>
          <w:tab w:val="clear" w:pos="700"/>
          <w:tab w:val="left" w:pos="180"/>
          <w:tab w:val="num" w:pos="540"/>
          <w:tab w:val="num" w:pos="1495"/>
          <w:tab w:val="num" w:pos="9858"/>
        </w:tabs>
        <w:ind w:left="538" w:hanging="357"/>
        <w:jc w:val="both"/>
      </w:pPr>
      <w:r w:rsidRPr="001F4CD3">
        <w:t>на други автономни бюджети (ДВУ, БАН, БНТ, БНР и БТА) – 695,0 млн. лв., 113,4 % спрямо годишния разчет.</w:t>
      </w:r>
    </w:p>
    <w:p w:rsidR="00A26C93" w:rsidRPr="00090573" w:rsidRDefault="00A26C93" w:rsidP="00A26C93">
      <w:pPr>
        <w:numPr>
          <w:ilvl w:val="0"/>
          <w:numId w:val="6"/>
        </w:numPr>
        <w:tabs>
          <w:tab w:val="clear" w:pos="700"/>
          <w:tab w:val="left" w:pos="426"/>
        </w:tabs>
        <w:spacing w:before="120"/>
        <w:ind w:left="0" w:firstLine="0"/>
        <w:jc w:val="both"/>
        <w:rPr>
          <w:bCs/>
        </w:rPr>
      </w:pPr>
      <w:r w:rsidRPr="00090573">
        <w:t>Частта от</w:t>
      </w:r>
      <w:r w:rsidRPr="00090573">
        <w:rPr>
          <w:b/>
        </w:rPr>
        <w:t xml:space="preserve"> вноската на Република България в общия бюджет на ЕС, </w:t>
      </w:r>
      <w:r w:rsidRPr="00090573">
        <w:t>изплатена за 2017</w:t>
      </w:r>
      <w:r w:rsidR="007F19E7" w:rsidRPr="001F4CD3">
        <w:t> </w:t>
      </w:r>
      <w:r w:rsidRPr="00090573">
        <w:t>г. от централния бюджет възлиза на</w:t>
      </w:r>
      <w:r w:rsidRPr="00090573">
        <w:rPr>
          <w:b/>
        </w:rPr>
        <w:t xml:space="preserve"> 888,2 млн. лв., </w:t>
      </w:r>
      <w:r w:rsidRPr="00090573">
        <w:t xml:space="preserve">което е в изпълнение на действащото към момента законодателство в областта на собствените ресурси на ЕС - Решение на Съвета 2014/335/ЕС, </w:t>
      </w:r>
      <w:proofErr w:type="spellStart"/>
      <w:r w:rsidRPr="00090573">
        <w:t>Евратом</w:t>
      </w:r>
      <w:proofErr w:type="spellEnd"/>
      <w:r w:rsidRPr="00090573">
        <w:t xml:space="preserve"> относно системата на собствените ресурси на Европейския съюз, Регламент (ЕС, </w:t>
      </w:r>
      <w:proofErr w:type="spellStart"/>
      <w:r w:rsidRPr="00090573">
        <w:t>Евратом</w:t>
      </w:r>
      <w:proofErr w:type="spellEnd"/>
      <w:r w:rsidRPr="00090573">
        <w:t xml:space="preserve">) № 608/2014 на Съвета от 26 май 2014 г. за определяне на мерки за прилагане на системата на собствените ресурси на ЕС и Регламент (EС, </w:t>
      </w:r>
      <w:proofErr w:type="spellStart"/>
      <w:r w:rsidRPr="00090573">
        <w:t>Евратом</w:t>
      </w:r>
      <w:proofErr w:type="spellEnd"/>
      <w:r w:rsidRPr="00090573">
        <w:t xml:space="preserve">)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изменен с Регламент (EС, </w:t>
      </w:r>
      <w:proofErr w:type="spellStart"/>
      <w:r w:rsidRPr="00090573">
        <w:t>Евратом</w:t>
      </w:r>
      <w:proofErr w:type="spellEnd"/>
      <w:r w:rsidRPr="00090573">
        <w:t xml:space="preserve">) 2016/804 на Съвета от 17 май 2016 г. </w:t>
      </w:r>
    </w:p>
    <w:p w:rsidR="00A26C93" w:rsidRDefault="00A26C93" w:rsidP="00A26C93">
      <w:pPr>
        <w:numPr>
          <w:ilvl w:val="0"/>
          <w:numId w:val="6"/>
        </w:numPr>
        <w:tabs>
          <w:tab w:val="clear" w:pos="700"/>
          <w:tab w:val="num" w:pos="426"/>
          <w:tab w:val="num" w:pos="786"/>
        </w:tabs>
        <w:spacing w:before="240" w:after="240"/>
        <w:ind w:left="0" w:firstLine="0"/>
        <w:jc w:val="both"/>
        <w:rPr>
          <w:b/>
        </w:rPr>
      </w:pPr>
      <w:r w:rsidRPr="00090573">
        <w:rPr>
          <w:b/>
        </w:rPr>
        <w:t xml:space="preserve">Бюджетното салдо по държавния бюджет </w:t>
      </w:r>
      <w:r w:rsidRPr="00090573">
        <w:t>за 2017 г.</w:t>
      </w:r>
      <w:r w:rsidRPr="00090573">
        <w:rPr>
          <w:b/>
        </w:rPr>
        <w:t xml:space="preserve"> е отрицателно в размер на 8,7</w:t>
      </w:r>
      <w:r w:rsidR="007F19E7" w:rsidRPr="001F4CD3">
        <w:t> </w:t>
      </w:r>
      <w:r w:rsidRPr="00090573">
        <w:rPr>
          <w:b/>
        </w:rPr>
        <w:t xml:space="preserve">млн. лева. </w:t>
      </w:r>
    </w:p>
    <w:p w:rsidR="00BD3B54" w:rsidRPr="0061077E" w:rsidRDefault="00BD3B54" w:rsidP="00337CA7">
      <w:pPr>
        <w:numPr>
          <w:ilvl w:val="0"/>
          <w:numId w:val="6"/>
        </w:numPr>
        <w:tabs>
          <w:tab w:val="clear" w:pos="700"/>
          <w:tab w:val="num" w:pos="567"/>
        </w:tabs>
        <w:spacing w:after="240"/>
        <w:ind w:left="0" w:firstLine="181"/>
        <w:jc w:val="both"/>
        <w:rPr>
          <w:b/>
        </w:rPr>
      </w:pPr>
      <w:r w:rsidRPr="0061077E">
        <w:rPr>
          <w:b/>
        </w:rPr>
        <w:t>Финансиране на бюджета чрез операции по дълга</w:t>
      </w:r>
    </w:p>
    <w:p w:rsidR="0061077E" w:rsidRPr="00607AD8" w:rsidRDefault="0061077E" w:rsidP="0061077E">
      <w:pPr>
        <w:spacing w:after="120"/>
        <w:jc w:val="both"/>
      </w:pPr>
      <w:r w:rsidRPr="00607AD8">
        <w:t>Към 31.12.2017 г. е отчетено отрицателно нетно външно финансиране по централния бюджет в размер на 2</w:t>
      </w:r>
      <w:r>
        <w:t> 027,4</w:t>
      </w:r>
      <w:r w:rsidRPr="00607AD8">
        <w:t xml:space="preserve"> млн. лева. </w:t>
      </w:r>
    </w:p>
    <w:p w:rsidR="0061077E" w:rsidRPr="008A1F4F" w:rsidRDefault="0061077E" w:rsidP="0061077E">
      <w:pPr>
        <w:spacing w:after="120"/>
        <w:jc w:val="both"/>
      </w:pPr>
      <w:r w:rsidRPr="008A1F4F">
        <w:t>През отчетния период по централния бюджет няма усвоени средства по заеми от чужбина.</w:t>
      </w:r>
    </w:p>
    <w:p w:rsidR="0061077E" w:rsidRPr="008A1F4F" w:rsidRDefault="0061077E" w:rsidP="0061077E">
      <w:pPr>
        <w:spacing w:before="120" w:after="60"/>
        <w:jc w:val="both"/>
      </w:pPr>
      <w:r w:rsidRPr="008A1F4F">
        <w:t>Извършените погашения по заеми от чужбина по централния бюджет възлизат на 2</w:t>
      </w:r>
      <w:r>
        <w:t> 028,3</w:t>
      </w:r>
      <w:r w:rsidRPr="008A1F4F">
        <w:t xml:space="preserve"> млн. лв., в т.ч.:</w:t>
      </w:r>
    </w:p>
    <w:p w:rsidR="0061077E" w:rsidRPr="00201BDE" w:rsidRDefault="0061077E" w:rsidP="0061077E">
      <w:pPr>
        <w:numPr>
          <w:ilvl w:val="0"/>
          <w:numId w:val="23"/>
        </w:numPr>
        <w:tabs>
          <w:tab w:val="num" w:pos="900"/>
          <w:tab w:val="left" w:pos="993"/>
          <w:tab w:val="left" w:pos="1080"/>
          <w:tab w:val="left" w:pos="10348"/>
        </w:tabs>
        <w:spacing w:after="60"/>
        <w:ind w:left="0" w:right="42" w:firstLine="720"/>
        <w:jc w:val="both"/>
      </w:pPr>
      <w:r w:rsidRPr="00201BDE">
        <w:t>1 842,8 млн. лв. по ДЦК, емитирани на международните капиталови пазари;</w:t>
      </w:r>
    </w:p>
    <w:p w:rsidR="0061077E" w:rsidRPr="00B2112F" w:rsidRDefault="0061077E" w:rsidP="0061077E">
      <w:pPr>
        <w:numPr>
          <w:ilvl w:val="0"/>
          <w:numId w:val="23"/>
        </w:numPr>
        <w:tabs>
          <w:tab w:val="num" w:pos="900"/>
          <w:tab w:val="left" w:pos="993"/>
          <w:tab w:val="left" w:pos="1080"/>
          <w:tab w:val="left" w:pos="10348"/>
        </w:tabs>
        <w:spacing w:after="60"/>
        <w:ind w:left="0" w:right="42" w:firstLine="720"/>
        <w:jc w:val="both"/>
        <w:rPr>
          <w:rFonts w:ascii="Arial" w:hAnsi="Arial" w:cs="Arial"/>
        </w:rPr>
      </w:pPr>
      <w:r w:rsidRPr="00B2112F">
        <w:t>24,6 млн. лв. към правителството на Германия по силата на двустранно споразумение в рамките на Парижкия клуб;</w:t>
      </w:r>
    </w:p>
    <w:p w:rsidR="0061077E" w:rsidRPr="00B2112F" w:rsidRDefault="0061077E" w:rsidP="0061077E">
      <w:pPr>
        <w:numPr>
          <w:ilvl w:val="0"/>
          <w:numId w:val="23"/>
        </w:numPr>
        <w:tabs>
          <w:tab w:val="num" w:pos="900"/>
          <w:tab w:val="left" w:pos="993"/>
          <w:tab w:val="left" w:pos="1080"/>
          <w:tab w:val="left" w:pos="10348"/>
        </w:tabs>
        <w:spacing w:after="60"/>
        <w:ind w:left="0" w:right="42" w:firstLine="720"/>
        <w:jc w:val="both"/>
        <w:rPr>
          <w:rFonts w:ascii="Arial" w:hAnsi="Arial" w:cs="Arial"/>
        </w:rPr>
      </w:pPr>
      <w:r w:rsidRPr="00B2112F">
        <w:t>150,9 млн. лв. по заем към Международната банка за възстановяване и развитие;</w:t>
      </w:r>
    </w:p>
    <w:p w:rsidR="0061077E" w:rsidRPr="00433B43" w:rsidRDefault="0061077E" w:rsidP="0061077E">
      <w:pPr>
        <w:numPr>
          <w:ilvl w:val="0"/>
          <w:numId w:val="23"/>
        </w:numPr>
        <w:tabs>
          <w:tab w:val="num" w:pos="900"/>
          <w:tab w:val="left" w:pos="993"/>
          <w:tab w:val="left" w:pos="1080"/>
          <w:tab w:val="left" w:pos="10348"/>
        </w:tabs>
        <w:spacing w:after="60"/>
        <w:ind w:left="0" w:right="42" w:firstLine="720"/>
        <w:jc w:val="both"/>
        <w:rPr>
          <w:rFonts w:ascii="Arial" w:hAnsi="Arial" w:cs="Arial"/>
        </w:rPr>
      </w:pPr>
      <w:r w:rsidRPr="00433B43">
        <w:t>7,2 млн. лв. по дълга към Япония;</w:t>
      </w:r>
    </w:p>
    <w:p w:rsidR="0061077E" w:rsidRPr="00143448" w:rsidRDefault="0061077E" w:rsidP="0061077E">
      <w:pPr>
        <w:numPr>
          <w:ilvl w:val="0"/>
          <w:numId w:val="23"/>
        </w:numPr>
        <w:tabs>
          <w:tab w:val="num" w:pos="900"/>
          <w:tab w:val="left" w:pos="993"/>
          <w:tab w:val="left" w:pos="1080"/>
          <w:tab w:val="left" w:pos="10348"/>
        </w:tabs>
        <w:spacing w:after="60"/>
        <w:ind w:left="0" w:right="42" w:firstLine="720"/>
        <w:jc w:val="both"/>
        <w:rPr>
          <w:rFonts w:ascii="Arial" w:hAnsi="Arial" w:cs="Arial"/>
        </w:rPr>
      </w:pPr>
      <w:r w:rsidRPr="00143448">
        <w:t>2,8 млн. лв. по държавен заем към Европейската инвестиционна банка.</w:t>
      </w:r>
    </w:p>
    <w:p w:rsidR="0061077E" w:rsidRPr="00291BD2" w:rsidRDefault="0061077E" w:rsidP="0061077E">
      <w:pPr>
        <w:spacing w:after="120"/>
        <w:jc w:val="both"/>
      </w:pPr>
      <w:r w:rsidRPr="00291BD2">
        <w:t xml:space="preserve">По </w:t>
      </w:r>
      <w:r w:rsidRPr="00291BD2">
        <w:rPr>
          <w:b/>
        </w:rPr>
        <w:t>държавните инвестиционни заеми</w:t>
      </w:r>
      <w:r w:rsidRPr="00291BD2">
        <w:t xml:space="preserve">, управлявани от министерства и ведомства през отчетния период са </w:t>
      </w:r>
      <w:r w:rsidRPr="00291BD2">
        <w:rPr>
          <w:b/>
          <w:i/>
        </w:rPr>
        <w:t>усвоени</w:t>
      </w:r>
      <w:r w:rsidRPr="00291BD2">
        <w:t xml:space="preserve"> 16,8</w:t>
      </w:r>
      <w:r w:rsidRPr="00291BD2">
        <w:rPr>
          <w:lang w:val="en-US"/>
        </w:rPr>
        <w:t xml:space="preserve"> </w:t>
      </w:r>
      <w:r w:rsidRPr="00291BD2">
        <w:t>млн. лв. по проект „Развитие на общинската инфраструктура“ с кредитор Международната банка за възстановяване и развитие.</w:t>
      </w:r>
    </w:p>
    <w:p w:rsidR="0061077E" w:rsidRPr="00BB1247" w:rsidRDefault="0061077E" w:rsidP="0061077E">
      <w:pPr>
        <w:spacing w:after="120"/>
        <w:jc w:val="both"/>
      </w:pPr>
      <w:r w:rsidRPr="00BB1247">
        <w:rPr>
          <w:b/>
          <w:i/>
        </w:rPr>
        <w:t>Изплатените погашения</w:t>
      </w:r>
      <w:r w:rsidRPr="00BB1247">
        <w:t xml:space="preserve"> по ДИЗ, управлявани от министерства и ведомства, са в размер на 145,6 млн. лева. По заемите с краен бенефициент търговско дружество са извършени погашения в размер на 19,3 млн. лева. Не са използвани средства, предвидени за покриване на риска от активиране на държавни гаранции.</w:t>
      </w:r>
    </w:p>
    <w:p w:rsidR="0061077E" w:rsidRPr="00FF18FA" w:rsidRDefault="0061077E" w:rsidP="0061077E">
      <w:pPr>
        <w:spacing w:after="120"/>
        <w:jc w:val="both"/>
      </w:pPr>
      <w:r w:rsidRPr="00FF18FA">
        <w:rPr>
          <w:sz w:val="23"/>
          <w:szCs w:val="23"/>
        </w:rPr>
        <w:t>Към 31.12.2017 г. са</w:t>
      </w:r>
      <w:r w:rsidRPr="00FF18FA">
        <w:t xml:space="preserve"> възстановени средства по извършени погашения на главници от ЦБ по активирана държавна гаранция на „Холдинг БДЖ“ ЕАД по заеми към Европейската банка за възстановяване и развитие и Международната банка за възстановяване и развитие в размер на 26,2 млн. лева.</w:t>
      </w:r>
    </w:p>
    <w:p w:rsidR="0061077E" w:rsidRPr="00E86BBA" w:rsidRDefault="0061077E" w:rsidP="0061077E">
      <w:pPr>
        <w:spacing w:after="60"/>
        <w:jc w:val="both"/>
        <w:rPr>
          <w:rFonts w:ascii="Arial" w:hAnsi="Arial" w:cs="Arial"/>
        </w:rPr>
      </w:pPr>
      <w:r w:rsidRPr="00163F9A">
        <w:lastRenderedPageBreak/>
        <w:t xml:space="preserve">Операции с </w:t>
      </w:r>
      <w:r w:rsidRPr="00163F9A">
        <w:rPr>
          <w:b/>
        </w:rPr>
        <w:t xml:space="preserve">държавни ценни книжа </w:t>
      </w:r>
      <w:r w:rsidRPr="00163F9A">
        <w:t xml:space="preserve">по централния бюджет </w:t>
      </w:r>
      <w:r w:rsidRPr="00163F9A">
        <w:rPr>
          <w:b/>
        </w:rPr>
        <w:t>(позиция във вътрешното финансиране):</w:t>
      </w:r>
      <w:r w:rsidRPr="00163F9A">
        <w:t xml:space="preserve"> Към 31 декември 2017 г. е реализирано положително нетно вътрешно </w:t>
      </w:r>
      <w:r w:rsidRPr="00E86BBA">
        <w:t>финансиране на бюджета с държавни ценни книжа (ДЦК) в размер на 4,</w:t>
      </w:r>
      <w:proofErr w:type="spellStart"/>
      <w:r w:rsidRPr="00E86BBA">
        <w:t>4</w:t>
      </w:r>
      <w:proofErr w:type="spellEnd"/>
      <w:r w:rsidRPr="00E86BBA">
        <w:t xml:space="preserve"> млн. лева. Общият размер на постъпления</w:t>
      </w:r>
      <w:r>
        <w:t>та</w:t>
      </w:r>
      <w:r w:rsidRPr="00E86BBA">
        <w:t xml:space="preserve"> от емисии на ДЦК е 789,5 млн. лева. Емитирани </w:t>
      </w:r>
      <w:bookmarkStart w:id="36" w:name="OLE_LINK4"/>
      <w:bookmarkStart w:id="37" w:name="OLE_LINK5"/>
      <w:r w:rsidRPr="00E86BBA">
        <w:t xml:space="preserve">са ДЦК на съвкупна номинална стойност както следва: 339,5 </w:t>
      </w:r>
      <w:bookmarkEnd w:id="36"/>
      <w:bookmarkEnd w:id="37"/>
      <w:r w:rsidRPr="00E86BBA">
        <w:t>млн. лв.</w:t>
      </w:r>
      <w:r w:rsidRPr="00E86BBA">
        <w:rPr>
          <w:lang w:val="en-US"/>
        </w:rPr>
        <w:t>,</w:t>
      </w:r>
      <w:r w:rsidRPr="00E86BBA">
        <w:t xml:space="preserve"> облигации с </w:t>
      </w:r>
      <w:proofErr w:type="spellStart"/>
      <w:r w:rsidRPr="00E86BBA">
        <w:t>матуритет</w:t>
      </w:r>
      <w:proofErr w:type="spellEnd"/>
      <w:r w:rsidRPr="00E86BBA">
        <w:t xml:space="preserve"> десет години и 6 месеца, 250,0 млн. лв. с </w:t>
      </w:r>
      <w:proofErr w:type="spellStart"/>
      <w:r w:rsidRPr="00E86BBA">
        <w:t>матуритет</w:t>
      </w:r>
      <w:proofErr w:type="spellEnd"/>
      <w:r w:rsidRPr="00E86BBA">
        <w:t xml:space="preserve"> седем години и 6 месеца и 200,0 млн. лв. четиригодишни ДЦК. </w:t>
      </w:r>
    </w:p>
    <w:p w:rsidR="0061077E" w:rsidRPr="002D5421" w:rsidRDefault="0061077E" w:rsidP="0061077E">
      <w:pPr>
        <w:spacing w:before="120" w:after="120"/>
        <w:jc w:val="both"/>
      </w:pPr>
      <w:r w:rsidRPr="002D5421">
        <w:t>Погашенията за периода са в размер на 785,1 млн. лв., в т.ч. 750,7 млн. лв. по ДЦК, емитирани за финансиране на дефицита и 34,4 млн. лв. по ДЦК, емитирани за структурната реформа.</w:t>
      </w:r>
    </w:p>
    <w:p w:rsidR="003530A1" w:rsidRPr="00E435A4" w:rsidRDefault="003530A1" w:rsidP="003530A1">
      <w:pPr>
        <w:pStyle w:val="Heading1"/>
        <w:numPr>
          <w:ilvl w:val="1"/>
          <w:numId w:val="35"/>
        </w:numPr>
        <w:spacing w:after="120"/>
        <w:ind w:right="-108"/>
        <w:jc w:val="both"/>
        <w:rPr>
          <w:sz w:val="24"/>
        </w:rPr>
      </w:pPr>
      <w:r w:rsidRPr="00E435A4">
        <w:rPr>
          <w:sz w:val="24"/>
        </w:rPr>
        <w:t xml:space="preserve"> Бюджет на съдебната власт</w:t>
      </w:r>
    </w:p>
    <w:p w:rsidR="003530A1" w:rsidRPr="003E1D4F" w:rsidRDefault="003530A1" w:rsidP="003530A1">
      <w:pPr>
        <w:ind w:firstLine="567"/>
        <w:jc w:val="both"/>
      </w:pPr>
      <w:r w:rsidRPr="00523B6C">
        <w:t xml:space="preserve">Със ЗДБРБ за 2017 г. са предвидени общо </w:t>
      </w:r>
      <w:r w:rsidRPr="00523B6C">
        <w:rPr>
          <w:b/>
        </w:rPr>
        <w:t>приходи</w:t>
      </w:r>
      <w:r w:rsidRPr="00523B6C">
        <w:t xml:space="preserve"> по бюджета на съдебната власт в </w:t>
      </w:r>
      <w:r w:rsidRPr="003E1D4F">
        <w:t>размер на 125,0 млн.</w:t>
      </w:r>
      <w:r w:rsidRPr="003E1D4F">
        <w:rPr>
          <w:lang w:val="en-US"/>
        </w:rPr>
        <w:t xml:space="preserve"> </w:t>
      </w:r>
      <w:r w:rsidRPr="003E1D4F">
        <w:t>лв., от тях 105,0 млн.</w:t>
      </w:r>
      <w:r w:rsidRPr="003E1D4F">
        <w:rPr>
          <w:lang w:val="en-US"/>
        </w:rPr>
        <w:t xml:space="preserve"> </w:t>
      </w:r>
      <w:r w:rsidRPr="003E1D4F">
        <w:t xml:space="preserve">лв. са приходи от съдебни такси. За 2017 г. са отчетени приходи в размер на </w:t>
      </w:r>
      <w:r w:rsidR="00D0719E" w:rsidRPr="003E1D4F">
        <w:t>112,7</w:t>
      </w:r>
      <w:r w:rsidRPr="003E1D4F">
        <w:t xml:space="preserve"> млн. лв. (</w:t>
      </w:r>
      <w:r w:rsidR="00D0719E" w:rsidRPr="003E1D4F">
        <w:t>90,2</w:t>
      </w:r>
      <w:r w:rsidRPr="003E1D4F">
        <w:t xml:space="preserve"> % от закона), от които </w:t>
      </w:r>
      <w:r w:rsidR="003E1D4F" w:rsidRPr="003E1D4F">
        <w:t>97,8</w:t>
      </w:r>
      <w:r w:rsidRPr="003E1D4F">
        <w:t xml:space="preserve"> млн. лв. - приходи от съдебни такси. За сравнение, за 2016 г. са отчетени общо неданъчни приходи в размер на </w:t>
      </w:r>
      <w:r w:rsidR="003E1D4F" w:rsidRPr="003E1D4F">
        <w:t>110,8</w:t>
      </w:r>
      <w:r w:rsidRPr="003E1D4F">
        <w:t xml:space="preserve"> млн. лв. (</w:t>
      </w:r>
      <w:r w:rsidR="003E1D4F" w:rsidRPr="003E1D4F">
        <w:t>79,2</w:t>
      </w:r>
      <w:r w:rsidRPr="003E1D4F">
        <w:t xml:space="preserve"> % от закона), от които </w:t>
      </w:r>
      <w:r w:rsidR="003E1D4F" w:rsidRPr="003E1D4F">
        <w:t>97,6</w:t>
      </w:r>
      <w:r w:rsidRPr="003E1D4F">
        <w:t xml:space="preserve"> млн. лв. - приходи от съдебни такси.</w:t>
      </w:r>
    </w:p>
    <w:p w:rsidR="003530A1" w:rsidRPr="00D2641A" w:rsidRDefault="003530A1" w:rsidP="003530A1">
      <w:pPr>
        <w:ind w:firstLine="567"/>
        <w:jc w:val="both"/>
      </w:pPr>
      <w:r w:rsidRPr="00D2641A">
        <w:rPr>
          <w:b/>
        </w:rPr>
        <w:t xml:space="preserve">Разходите </w:t>
      </w:r>
      <w:r w:rsidRPr="00D2641A">
        <w:t>по бюджета на съдебната власт</w:t>
      </w:r>
      <w:r w:rsidRPr="00D2641A">
        <w:rPr>
          <w:b/>
        </w:rPr>
        <w:t xml:space="preserve"> </w:t>
      </w:r>
      <w:r w:rsidRPr="00D2641A">
        <w:t>за 2017 г.</w:t>
      </w:r>
      <w:r w:rsidRPr="00D2641A">
        <w:rPr>
          <w:b/>
        </w:rPr>
        <w:t xml:space="preserve"> </w:t>
      </w:r>
      <w:r w:rsidRPr="00D2641A">
        <w:t xml:space="preserve">са в размер на </w:t>
      </w:r>
      <w:r w:rsidR="00D2641A" w:rsidRPr="00D2641A">
        <w:t>568,7</w:t>
      </w:r>
      <w:r w:rsidRPr="00D2641A">
        <w:t xml:space="preserve"> млн. лв. или </w:t>
      </w:r>
      <w:r w:rsidR="00D2641A" w:rsidRPr="00D2641A">
        <w:t>100,7</w:t>
      </w:r>
      <w:r w:rsidRPr="00D2641A">
        <w:t xml:space="preserve"> % от планираните за годината (565,0 млн. лв.). За сравнение, </w:t>
      </w:r>
      <w:r w:rsidR="00D2641A" w:rsidRPr="00D2641A">
        <w:t>за</w:t>
      </w:r>
      <w:r w:rsidRPr="00D2641A">
        <w:t xml:space="preserve"> 2016 г. са отчетени разходи в размер </w:t>
      </w:r>
      <w:r w:rsidR="00D2641A" w:rsidRPr="00D2641A">
        <w:t>516,4</w:t>
      </w:r>
      <w:r w:rsidRPr="00D2641A">
        <w:t xml:space="preserve"> млн. лв., които представляват </w:t>
      </w:r>
      <w:r w:rsidR="00D2641A" w:rsidRPr="00D2641A">
        <w:t>99,7</w:t>
      </w:r>
      <w:r w:rsidRPr="00D2641A">
        <w:t> % от определените с годишния закон 518,0 млн. лева.</w:t>
      </w:r>
    </w:p>
    <w:p w:rsidR="000B5100" w:rsidRPr="00103327" w:rsidRDefault="000B5100" w:rsidP="00564156">
      <w:pPr>
        <w:keepNext/>
        <w:numPr>
          <w:ilvl w:val="0"/>
          <w:numId w:val="40"/>
        </w:numPr>
        <w:spacing w:before="240" w:after="120"/>
        <w:ind w:left="748" w:right="-108" w:hanging="391"/>
        <w:jc w:val="both"/>
        <w:outlineLvl w:val="0"/>
        <w:rPr>
          <w:b/>
          <w:bCs/>
        </w:rPr>
      </w:pPr>
      <w:r w:rsidRPr="00103327">
        <w:rPr>
          <w:b/>
          <w:bCs/>
        </w:rPr>
        <w:t xml:space="preserve">Сметки за средства от ЕС на Разплащателната агенция към ДФ „Земеделие“ и на Националния фонд към Министерството на финансите </w:t>
      </w:r>
    </w:p>
    <w:p w:rsidR="000B5100" w:rsidRPr="00103327" w:rsidRDefault="000B5100" w:rsidP="00564156">
      <w:pPr>
        <w:keepNext/>
        <w:numPr>
          <w:ilvl w:val="1"/>
          <w:numId w:val="40"/>
        </w:numPr>
        <w:spacing w:after="120"/>
        <w:ind w:left="788" w:right="-108" w:hanging="431"/>
        <w:jc w:val="both"/>
        <w:outlineLvl w:val="0"/>
        <w:rPr>
          <w:b/>
          <w:bCs/>
          <w:lang w:val="en-US"/>
        </w:rPr>
      </w:pPr>
      <w:r w:rsidRPr="00103327">
        <w:rPr>
          <w:b/>
          <w:bCs/>
        </w:rPr>
        <w:t xml:space="preserve"> Сметка за средства от Европейския съюз на Разплащателна агенция към Държавен фонд „Земеделие” </w:t>
      </w:r>
    </w:p>
    <w:p w:rsidR="000B5100" w:rsidRPr="00103327" w:rsidRDefault="000B5100" w:rsidP="000B5100">
      <w:pPr>
        <w:numPr>
          <w:ilvl w:val="0"/>
          <w:numId w:val="28"/>
        </w:numPr>
        <w:tabs>
          <w:tab w:val="num" w:pos="540"/>
        </w:tabs>
        <w:spacing w:before="120" w:after="120" w:line="276" w:lineRule="auto"/>
        <w:contextualSpacing/>
        <w:jc w:val="both"/>
        <w:rPr>
          <w:b/>
          <w:lang w:eastAsia="bg-BG"/>
        </w:rPr>
      </w:pPr>
      <w:r w:rsidRPr="00103327">
        <w:rPr>
          <w:b/>
          <w:lang w:eastAsia="bg-BG"/>
        </w:rPr>
        <w:t>Приходи</w:t>
      </w:r>
    </w:p>
    <w:p w:rsidR="00103327" w:rsidRPr="00103327" w:rsidRDefault="00103327" w:rsidP="00564156">
      <w:pPr>
        <w:tabs>
          <w:tab w:val="right" w:pos="0"/>
          <w:tab w:val="left" w:pos="709"/>
        </w:tabs>
        <w:jc w:val="both"/>
        <w:rPr>
          <w:szCs w:val="20"/>
        </w:rPr>
      </w:pPr>
      <w:r w:rsidRPr="00103327">
        <w:rPr>
          <w:szCs w:val="20"/>
        </w:rPr>
        <w:t xml:space="preserve">За 2017 г. планираните приходи по утвърдените актуализирани годишни разчети на сметката за средства от Европейския съюз на ДФ „Земеделие” са в размер на </w:t>
      </w:r>
      <w:r w:rsidRPr="00103327">
        <w:rPr>
          <w:szCs w:val="20"/>
          <w:lang w:val="en-US"/>
        </w:rPr>
        <w:t>375</w:t>
      </w:r>
      <w:r w:rsidRPr="00103327">
        <w:rPr>
          <w:szCs w:val="20"/>
        </w:rPr>
        <w:t>,5 млн. л</w:t>
      </w:r>
      <w:r w:rsidR="00743F06">
        <w:rPr>
          <w:szCs w:val="20"/>
        </w:rPr>
        <w:t>ева</w:t>
      </w:r>
      <w:r w:rsidRPr="00103327">
        <w:rPr>
          <w:szCs w:val="20"/>
        </w:rPr>
        <w:t>. Към 3</w:t>
      </w:r>
      <w:r w:rsidRPr="00103327">
        <w:rPr>
          <w:szCs w:val="20"/>
          <w:lang w:val="en-US"/>
        </w:rPr>
        <w:t>1</w:t>
      </w:r>
      <w:r w:rsidRPr="00103327">
        <w:rPr>
          <w:szCs w:val="20"/>
        </w:rPr>
        <w:t>.</w:t>
      </w:r>
      <w:r w:rsidRPr="00103327">
        <w:rPr>
          <w:szCs w:val="20"/>
          <w:lang w:val="en-US"/>
        </w:rPr>
        <w:t>12</w:t>
      </w:r>
      <w:r w:rsidRPr="00103327">
        <w:rPr>
          <w:szCs w:val="20"/>
        </w:rPr>
        <w:t xml:space="preserve">.2017 г. по отчетни данни постъпленията са в размер на </w:t>
      </w:r>
      <w:r w:rsidRPr="00103327">
        <w:rPr>
          <w:szCs w:val="20"/>
          <w:lang w:val="en-US"/>
        </w:rPr>
        <w:t>136</w:t>
      </w:r>
      <w:r w:rsidRPr="00103327">
        <w:rPr>
          <w:szCs w:val="20"/>
        </w:rPr>
        <w:t>,9 млн.</w:t>
      </w:r>
      <w:r w:rsidR="00743F06">
        <w:rPr>
          <w:szCs w:val="20"/>
        </w:rPr>
        <w:t> </w:t>
      </w:r>
      <w:r w:rsidR="00CA25E3">
        <w:rPr>
          <w:szCs w:val="20"/>
        </w:rPr>
        <w:t>лв. - 36,5 </w:t>
      </w:r>
      <w:r w:rsidRPr="00103327">
        <w:rPr>
          <w:szCs w:val="20"/>
        </w:rPr>
        <w:t>% от годишния план.</w:t>
      </w:r>
      <w:r w:rsidR="00743F06">
        <w:rPr>
          <w:szCs w:val="20"/>
        </w:rPr>
        <w:t xml:space="preserve"> </w:t>
      </w:r>
      <w:r w:rsidRPr="00103327">
        <w:rPr>
          <w:szCs w:val="20"/>
        </w:rPr>
        <w:t>Най-голям е делът на помощите от чужбина, които възлизат на 136,8 млн.</w:t>
      </w:r>
      <w:r w:rsidR="00743F06">
        <w:rPr>
          <w:szCs w:val="20"/>
        </w:rPr>
        <w:t> </w:t>
      </w:r>
      <w:r w:rsidRPr="00103327">
        <w:rPr>
          <w:szCs w:val="20"/>
        </w:rPr>
        <w:t>лв. или 36,4 % от годишния уточнен план, разпределени както следва:</w:t>
      </w:r>
    </w:p>
    <w:p w:rsidR="00103327" w:rsidRPr="00103327" w:rsidRDefault="00103327" w:rsidP="00743F06">
      <w:pPr>
        <w:numPr>
          <w:ilvl w:val="0"/>
          <w:numId w:val="25"/>
        </w:numPr>
        <w:tabs>
          <w:tab w:val="left" w:pos="993"/>
        </w:tabs>
        <w:spacing w:before="120" w:after="120" w:line="276" w:lineRule="auto"/>
        <w:ind w:left="1321" w:hanging="612"/>
        <w:jc w:val="both"/>
        <w:rPr>
          <w:b/>
          <w:i/>
          <w:lang w:eastAsia="bg-BG"/>
        </w:rPr>
      </w:pPr>
      <w:r w:rsidRPr="00103327">
        <w:rPr>
          <w:b/>
          <w:i/>
          <w:lang w:eastAsia="bg-BG"/>
        </w:rPr>
        <w:t>Текущи помощи от Европейския съюз</w:t>
      </w:r>
    </w:p>
    <w:p w:rsidR="00103327" w:rsidRPr="00103327" w:rsidRDefault="00103327" w:rsidP="00103327">
      <w:pPr>
        <w:jc w:val="both"/>
        <w:rPr>
          <w:lang w:eastAsia="bg-BG"/>
        </w:rPr>
      </w:pPr>
      <w:r w:rsidRPr="00103327">
        <w:rPr>
          <w:lang w:eastAsia="bg-BG"/>
        </w:rPr>
        <w:t>Общият размер на получените приходи, отчетени в „Текущи помощи и дарения от Европейския съюз“ към 31.12.2017 г. е 52,3 млн. лв., при план от 69,0 млн. л</w:t>
      </w:r>
      <w:r w:rsidR="00743F06">
        <w:rPr>
          <w:lang w:eastAsia="bg-BG"/>
        </w:rPr>
        <w:t>е</w:t>
      </w:r>
      <w:r w:rsidRPr="00103327">
        <w:rPr>
          <w:lang w:eastAsia="bg-BG"/>
        </w:rPr>
        <w:t>в</w:t>
      </w:r>
      <w:r w:rsidR="00743F06">
        <w:rPr>
          <w:lang w:eastAsia="bg-BG"/>
        </w:rPr>
        <w:t>а</w:t>
      </w:r>
      <w:r w:rsidRPr="00103327">
        <w:rPr>
          <w:lang w:eastAsia="bg-BG"/>
        </w:rPr>
        <w:t>. Тяхното разпределение по отделните направления, е както следва:</w:t>
      </w:r>
    </w:p>
    <w:p w:rsidR="00103327" w:rsidRPr="00103327" w:rsidRDefault="00103327" w:rsidP="00CA25E3">
      <w:pPr>
        <w:numPr>
          <w:ilvl w:val="0"/>
          <w:numId w:val="32"/>
        </w:numPr>
        <w:ind w:left="0" w:firstLine="284"/>
        <w:contextualSpacing/>
        <w:jc w:val="both"/>
        <w:rPr>
          <w:color w:val="0070C0"/>
          <w:lang w:eastAsia="bg-BG"/>
        </w:rPr>
      </w:pPr>
      <w:r w:rsidRPr="00103327">
        <w:rPr>
          <w:lang w:eastAsia="bg-BG"/>
        </w:rPr>
        <w:t>получени текущи приходи от възстановяване на средства от</w:t>
      </w:r>
      <w:r w:rsidRPr="00103327">
        <w:t xml:space="preserve"> Европейския земеделски фонд за развитие на селските райони </w:t>
      </w:r>
      <w:r w:rsidRPr="00103327">
        <w:rPr>
          <w:lang w:val="en-US"/>
        </w:rPr>
        <w:t>(</w:t>
      </w:r>
      <w:r w:rsidRPr="00103327">
        <w:t>ЕЗФРСР</w:t>
      </w:r>
      <w:r w:rsidRPr="00103327">
        <w:rPr>
          <w:lang w:val="en-US"/>
        </w:rPr>
        <w:t>)</w:t>
      </w:r>
      <w:r w:rsidRPr="00103327">
        <w:t xml:space="preserve"> по линия на ПРСР без директни плащания към 31.12.2017 г. - 44,8 млн. л</w:t>
      </w:r>
      <w:r w:rsidR="00743F06">
        <w:t>е</w:t>
      </w:r>
      <w:r w:rsidRPr="00103327">
        <w:t>в</w:t>
      </w:r>
      <w:r w:rsidR="00743F06">
        <w:t>а</w:t>
      </w:r>
      <w:r w:rsidRPr="00103327">
        <w:t>. Общото изпълнение е 76,6 % от планираните 58,5 млн. л</w:t>
      </w:r>
      <w:r w:rsidR="00743F06">
        <w:t>е</w:t>
      </w:r>
      <w:r w:rsidRPr="00103327">
        <w:t>в</w:t>
      </w:r>
      <w:r w:rsidR="00743F06">
        <w:t>а</w:t>
      </w:r>
      <w:r w:rsidRPr="00103327">
        <w:t>;</w:t>
      </w:r>
    </w:p>
    <w:p w:rsidR="00103327" w:rsidRPr="00103327" w:rsidRDefault="00103327" w:rsidP="00CA25E3">
      <w:pPr>
        <w:numPr>
          <w:ilvl w:val="0"/>
          <w:numId w:val="32"/>
        </w:numPr>
        <w:ind w:left="0" w:firstLine="284"/>
        <w:contextualSpacing/>
        <w:jc w:val="both"/>
        <w:rPr>
          <w:lang w:eastAsia="bg-BG"/>
        </w:rPr>
      </w:pPr>
      <w:r w:rsidRPr="00103327">
        <w:rPr>
          <w:lang w:eastAsia="bg-BG"/>
        </w:rPr>
        <w:t xml:space="preserve">получени текущи приходи от възстановяване на средства по линия на схеми „Училищен плод“ и „Училищно мляко“ от </w:t>
      </w:r>
      <w:r w:rsidRPr="00103327">
        <w:t xml:space="preserve">Европейския фонд за гарантиране на земеделието </w:t>
      </w:r>
      <w:r w:rsidRPr="00103327">
        <w:rPr>
          <w:lang w:val="en-US"/>
        </w:rPr>
        <w:t>(</w:t>
      </w:r>
      <w:r w:rsidRPr="00103327">
        <w:t>ЕФГЗ</w:t>
      </w:r>
      <w:r w:rsidRPr="00103327">
        <w:rPr>
          <w:lang w:val="en-US"/>
        </w:rPr>
        <w:t>)</w:t>
      </w:r>
      <w:r w:rsidRPr="00103327">
        <w:t xml:space="preserve"> към 31.12.201</w:t>
      </w:r>
      <w:r w:rsidRPr="00103327">
        <w:rPr>
          <w:lang w:val="en-US"/>
        </w:rPr>
        <w:t>7</w:t>
      </w:r>
      <w:r w:rsidRPr="00103327">
        <w:t xml:space="preserve"> г. - 7,5 млн. лв. – 117,2 % </w:t>
      </w:r>
      <w:r w:rsidR="00743F06">
        <w:t>спрямо</w:t>
      </w:r>
      <w:r w:rsidRPr="00103327">
        <w:t xml:space="preserve"> планираните 6,4 млн. л</w:t>
      </w:r>
      <w:r w:rsidR="00743F06">
        <w:t>е</w:t>
      </w:r>
      <w:r w:rsidRPr="00103327">
        <w:t>в</w:t>
      </w:r>
      <w:r w:rsidR="00743F06">
        <w:t>а</w:t>
      </w:r>
      <w:r w:rsidRPr="00103327">
        <w:t>;</w:t>
      </w:r>
    </w:p>
    <w:p w:rsidR="00103327" w:rsidRPr="00103327" w:rsidRDefault="00103327" w:rsidP="00CA25E3">
      <w:pPr>
        <w:numPr>
          <w:ilvl w:val="0"/>
          <w:numId w:val="32"/>
        </w:numPr>
        <w:ind w:left="0" w:firstLine="284"/>
        <w:contextualSpacing/>
        <w:jc w:val="both"/>
        <w:rPr>
          <w:lang w:eastAsia="bg-BG"/>
        </w:rPr>
      </w:pPr>
      <w:r w:rsidRPr="00103327">
        <w:t xml:space="preserve">няма получени текущи приходи от възстановени средства от Европейския фонд за морско дело и рибарство </w:t>
      </w:r>
      <w:r w:rsidRPr="00103327">
        <w:rPr>
          <w:lang w:val="en-US"/>
        </w:rPr>
        <w:t>(</w:t>
      </w:r>
      <w:r w:rsidRPr="00103327">
        <w:t>ЕФМДР</w:t>
      </w:r>
      <w:r w:rsidRPr="00103327">
        <w:rPr>
          <w:lang w:val="en-US"/>
        </w:rPr>
        <w:t>)</w:t>
      </w:r>
      <w:r w:rsidRPr="00103327">
        <w:t xml:space="preserve"> към 31.12.2017 г. при планирани 4,1 млн. лв.</w:t>
      </w:r>
    </w:p>
    <w:p w:rsidR="00103327" w:rsidRPr="00103327" w:rsidRDefault="00103327" w:rsidP="00103327">
      <w:pPr>
        <w:numPr>
          <w:ilvl w:val="0"/>
          <w:numId w:val="25"/>
        </w:numPr>
        <w:tabs>
          <w:tab w:val="left" w:pos="993"/>
        </w:tabs>
        <w:spacing w:before="120" w:after="120" w:line="276" w:lineRule="auto"/>
        <w:ind w:left="1321" w:hanging="612"/>
        <w:jc w:val="both"/>
        <w:rPr>
          <w:b/>
          <w:i/>
          <w:lang w:eastAsia="bg-BG"/>
        </w:rPr>
      </w:pPr>
      <w:r w:rsidRPr="00103327">
        <w:rPr>
          <w:b/>
          <w:i/>
          <w:lang w:eastAsia="bg-BG"/>
        </w:rPr>
        <w:t>Капиталови помощи от Европейския съюз</w:t>
      </w:r>
    </w:p>
    <w:p w:rsidR="00103327" w:rsidRPr="00103327" w:rsidRDefault="00103327" w:rsidP="00103327">
      <w:pPr>
        <w:jc w:val="both"/>
      </w:pPr>
      <w:r w:rsidRPr="00103327">
        <w:t>Общият размер на получените приходи, отчетени в „Капиталови помощи и дарения от Европейския съюз“, за 2017 г. е 84,5 млн. лв., при план</w:t>
      </w:r>
      <w:r w:rsidR="00743F06">
        <w:t>ирани</w:t>
      </w:r>
      <w:r w:rsidRPr="00103327">
        <w:t xml:space="preserve"> 306,5 млн. лв., от които:</w:t>
      </w:r>
    </w:p>
    <w:p w:rsidR="00103327" w:rsidRPr="00103327" w:rsidRDefault="00103327" w:rsidP="00CA25E3">
      <w:pPr>
        <w:numPr>
          <w:ilvl w:val="0"/>
          <w:numId w:val="32"/>
        </w:numPr>
        <w:ind w:left="0" w:firstLine="284"/>
        <w:contextualSpacing/>
        <w:jc w:val="both"/>
      </w:pPr>
      <w:r w:rsidRPr="00103327">
        <w:lastRenderedPageBreak/>
        <w:t>получени капиталови приходи от ЕЗФРСР по линия на ПРСР</w:t>
      </w:r>
      <w:r w:rsidR="00836A33">
        <w:t>,</w:t>
      </w:r>
      <w:r w:rsidRPr="00103327">
        <w:t xml:space="preserve"> без директни плащания</w:t>
      </w:r>
      <w:r w:rsidR="00836A33">
        <w:t>,</w:t>
      </w:r>
      <w:r w:rsidRPr="00103327">
        <w:t xml:space="preserve"> до 31.12.2017 г. </w:t>
      </w:r>
      <w:r w:rsidR="00743F06">
        <w:t>в размер на</w:t>
      </w:r>
      <w:r w:rsidRPr="00103327">
        <w:t xml:space="preserve"> 83,5 млн. л</w:t>
      </w:r>
      <w:r w:rsidR="00743F06">
        <w:t>е</w:t>
      </w:r>
      <w:r w:rsidRPr="00103327">
        <w:t>в</w:t>
      </w:r>
      <w:r w:rsidR="00743F06">
        <w:t>а</w:t>
      </w:r>
      <w:r w:rsidRPr="00103327">
        <w:t>. Общото изпълнение е 28,7 % от заложените по план 290,9 млн. л</w:t>
      </w:r>
      <w:r w:rsidR="00743F06">
        <w:t>е</w:t>
      </w:r>
      <w:r w:rsidRPr="00103327">
        <w:t>в</w:t>
      </w:r>
      <w:r w:rsidR="00743F06">
        <w:t>а</w:t>
      </w:r>
      <w:r w:rsidRPr="00103327">
        <w:t>;</w:t>
      </w:r>
    </w:p>
    <w:p w:rsidR="00103327" w:rsidRPr="00103327" w:rsidRDefault="00103327" w:rsidP="00CA25E3">
      <w:pPr>
        <w:numPr>
          <w:ilvl w:val="0"/>
          <w:numId w:val="32"/>
        </w:numPr>
        <w:ind w:left="0" w:firstLine="284"/>
        <w:contextualSpacing/>
        <w:jc w:val="both"/>
      </w:pPr>
      <w:r w:rsidRPr="00103327">
        <w:t xml:space="preserve">получени капиталови приходи в областта на сектор „Рибарство“ </w:t>
      </w:r>
      <w:r w:rsidR="00743F06">
        <w:t>в размер на</w:t>
      </w:r>
      <w:r w:rsidRPr="00103327">
        <w:t xml:space="preserve"> 1,01 млн. лв. при планирани 15,6 млн. л</w:t>
      </w:r>
      <w:r w:rsidR="00743F06">
        <w:t>е</w:t>
      </w:r>
      <w:r w:rsidRPr="00103327">
        <w:t>в</w:t>
      </w:r>
      <w:r w:rsidR="00743F06">
        <w:t>а</w:t>
      </w:r>
      <w:r w:rsidRPr="00103327">
        <w:t>. Общото изпълнение е 6,5 %.</w:t>
      </w:r>
    </w:p>
    <w:p w:rsidR="00103327" w:rsidRPr="00103327" w:rsidRDefault="00103327" w:rsidP="00103327">
      <w:pPr>
        <w:jc w:val="both"/>
        <w:rPr>
          <w:lang w:eastAsia="bg-BG"/>
        </w:rPr>
      </w:pPr>
      <w:r w:rsidRPr="00103327">
        <w:tab/>
      </w:r>
      <w:r w:rsidRPr="00103327">
        <w:tab/>
      </w:r>
    </w:p>
    <w:p w:rsidR="00103327" w:rsidRPr="00103327" w:rsidRDefault="00103327" w:rsidP="00FD0B3F">
      <w:pPr>
        <w:numPr>
          <w:ilvl w:val="0"/>
          <w:numId w:val="28"/>
        </w:numPr>
        <w:tabs>
          <w:tab w:val="num" w:pos="540"/>
        </w:tabs>
        <w:spacing w:before="120" w:after="120" w:line="276" w:lineRule="auto"/>
        <w:contextualSpacing/>
        <w:jc w:val="both"/>
        <w:rPr>
          <w:b/>
          <w:lang w:eastAsia="bg-BG"/>
        </w:rPr>
      </w:pPr>
      <w:r w:rsidRPr="00103327">
        <w:rPr>
          <w:b/>
          <w:lang w:eastAsia="bg-BG"/>
        </w:rPr>
        <w:t xml:space="preserve">Разходи </w:t>
      </w:r>
    </w:p>
    <w:p w:rsidR="00103327" w:rsidRPr="00103327" w:rsidRDefault="00103327" w:rsidP="00FD0B3F">
      <w:pPr>
        <w:jc w:val="both"/>
        <w:rPr>
          <w:color w:val="0070C0"/>
          <w:lang w:eastAsia="bg-BG"/>
        </w:rPr>
      </w:pPr>
      <w:r w:rsidRPr="00103327">
        <w:rPr>
          <w:lang w:eastAsia="bg-BG"/>
        </w:rPr>
        <w:t>Общият размер на планираните за 2017 г. разходи по утвърдените актуализирани годишни разчети на сметката за средства от Европейския съюз на ДФ „Земеделие” е 531,1 млн. лв., а по отчет сумата възлиза на 294,2 млн. л</w:t>
      </w:r>
      <w:r w:rsidR="005E094B">
        <w:rPr>
          <w:lang w:eastAsia="bg-BG"/>
        </w:rPr>
        <w:t>е</w:t>
      </w:r>
      <w:r w:rsidRPr="00103327">
        <w:rPr>
          <w:lang w:eastAsia="bg-BG"/>
        </w:rPr>
        <w:t>в</w:t>
      </w:r>
      <w:r w:rsidR="005E094B">
        <w:rPr>
          <w:lang w:eastAsia="bg-BG"/>
        </w:rPr>
        <w:t>а</w:t>
      </w:r>
      <w:r w:rsidRPr="00103327">
        <w:rPr>
          <w:lang w:eastAsia="bg-BG"/>
        </w:rPr>
        <w:t>. Уточненият план за изплащане на субсидии за текуща дейност и за капиталови трансфери възлиза на 442,7 млн. лв., а отчетените разходи към 31.12.2017 г. са 66,5 % от годишния план. Разпределението на разходите е, както следва:</w:t>
      </w:r>
    </w:p>
    <w:p w:rsidR="00103327" w:rsidRPr="00103327" w:rsidRDefault="00103327" w:rsidP="00103327">
      <w:pPr>
        <w:numPr>
          <w:ilvl w:val="0"/>
          <w:numId w:val="25"/>
        </w:numPr>
        <w:tabs>
          <w:tab w:val="left" w:pos="993"/>
        </w:tabs>
        <w:spacing w:before="120" w:after="120" w:line="276" w:lineRule="auto"/>
        <w:ind w:left="1321" w:hanging="612"/>
        <w:jc w:val="both"/>
        <w:rPr>
          <w:b/>
          <w:i/>
          <w:lang w:eastAsia="bg-BG"/>
        </w:rPr>
      </w:pPr>
      <w:r w:rsidRPr="00103327">
        <w:rPr>
          <w:b/>
          <w:i/>
          <w:lang w:eastAsia="bg-BG"/>
        </w:rPr>
        <w:t>Субсидии и други текущи трансфери за нефинансови предприятия</w:t>
      </w:r>
    </w:p>
    <w:p w:rsidR="00103327" w:rsidRPr="00103327" w:rsidRDefault="00103327" w:rsidP="005E094B">
      <w:pPr>
        <w:tabs>
          <w:tab w:val="left" w:pos="993"/>
        </w:tabs>
        <w:jc w:val="both"/>
        <w:rPr>
          <w:lang w:eastAsia="bg-BG"/>
        </w:rPr>
      </w:pPr>
      <w:r w:rsidRPr="00103327">
        <w:rPr>
          <w:lang w:eastAsia="bg-BG"/>
        </w:rPr>
        <w:t>За 2017 г. са планирани средства в размер на 186,6 млн. л</w:t>
      </w:r>
      <w:r w:rsidR="005E094B">
        <w:rPr>
          <w:lang w:eastAsia="bg-BG"/>
        </w:rPr>
        <w:t>е</w:t>
      </w:r>
      <w:r w:rsidRPr="00103327">
        <w:rPr>
          <w:lang w:eastAsia="bg-BG"/>
        </w:rPr>
        <w:t>в</w:t>
      </w:r>
      <w:r w:rsidR="005E094B">
        <w:rPr>
          <w:lang w:eastAsia="bg-BG"/>
        </w:rPr>
        <w:t>а</w:t>
      </w:r>
      <w:r w:rsidRPr="00103327">
        <w:rPr>
          <w:lang w:eastAsia="bg-BG"/>
        </w:rPr>
        <w:t>. Изплатените и отчетени средства представляват 72,3 % от планираните и са в размер на 134,9 млн. л</w:t>
      </w:r>
      <w:r w:rsidR="005E094B">
        <w:rPr>
          <w:lang w:eastAsia="bg-BG"/>
        </w:rPr>
        <w:t>е</w:t>
      </w:r>
      <w:r w:rsidRPr="00103327">
        <w:rPr>
          <w:lang w:eastAsia="bg-BG"/>
        </w:rPr>
        <w:t>в</w:t>
      </w:r>
      <w:r w:rsidR="005E094B">
        <w:rPr>
          <w:lang w:eastAsia="bg-BG"/>
        </w:rPr>
        <w:t>а</w:t>
      </w:r>
      <w:r w:rsidRPr="00103327">
        <w:rPr>
          <w:lang w:eastAsia="bg-BG"/>
        </w:rPr>
        <w:t>. Изпълнението по дейности е както следва:</w:t>
      </w:r>
    </w:p>
    <w:p w:rsidR="00103327" w:rsidRPr="00103327" w:rsidRDefault="00103327" w:rsidP="00CA25E3">
      <w:pPr>
        <w:tabs>
          <w:tab w:val="left" w:pos="993"/>
        </w:tabs>
        <w:ind w:firstLine="284"/>
        <w:jc w:val="both"/>
        <w:rPr>
          <w:lang w:eastAsia="bg-BG"/>
        </w:rPr>
      </w:pPr>
      <w:r w:rsidRPr="00103327">
        <w:rPr>
          <w:lang w:eastAsia="bg-BG"/>
        </w:rPr>
        <w:t xml:space="preserve">- национално </w:t>
      </w:r>
      <w:proofErr w:type="spellStart"/>
      <w:r w:rsidRPr="00103327">
        <w:rPr>
          <w:lang w:eastAsia="bg-BG"/>
        </w:rPr>
        <w:t>съфинансиране</w:t>
      </w:r>
      <w:proofErr w:type="spellEnd"/>
      <w:r w:rsidRPr="00103327">
        <w:rPr>
          <w:lang w:eastAsia="bg-BG"/>
        </w:rPr>
        <w:t xml:space="preserve"> към ЕЗФРСР за директни плащания  – 70,6 млн.</w:t>
      </w:r>
      <w:r w:rsidR="005E094B">
        <w:rPr>
          <w:lang w:eastAsia="bg-BG"/>
        </w:rPr>
        <w:t> </w:t>
      </w:r>
      <w:r w:rsidRPr="00103327">
        <w:rPr>
          <w:lang w:eastAsia="bg-BG"/>
        </w:rPr>
        <w:t>лв., изпълнение 81,1 % спрямо планираните 87,1 млн. л</w:t>
      </w:r>
      <w:r w:rsidR="005E094B">
        <w:rPr>
          <w:lang w:eastAsia="bg-BG"/>
        </w:rPr>
        <w:t>е</w:t>
      </w:r>
      <w:r w:rsidRPr="00103327">
        <w:rPr>
          <w:lang w:eastAsia="bg-BG"/>
        </w:rPr>
        <w:t>в</w:t>
      </w:r>
      <w:r w:rsidR="005E094B">
        <w:rPr>
          <w:lang w:eastAsia="bg-BG"/>
        </w:rPr>
        <w:t>а</w:t>
      </w:r>
      <w:r w:rsidRPr="00103327">
        <w:rPr>
          <w:lang w:eastAsia="bg-BG"/>
        </w:rPr>
        <w:t>;</w:t>
      </w:r>
    </w:p>
    <w:p w:rsidR="00103327" w:rsidRPr="00103327" w:rsidRDefault="00103327" w:rsidP="00CA25E3">
      <w:pPr>
        <w:tabs>
          <w:tab w:val="left" w:pos="993"/>
        </w:tabs>
        <w:ind w:firstLine="284"/>
        <w:jc w:val="both"/>
        <w:rPr>
          <w:lang w:eastAsia="bg-BG"/>
        </w:rPr>
      </w:pPr>
      <w:r w:rsidRPr="00103327">
        <w:rPr>
          <w:lang w:eastAsia="bg-BG"/>
        </w:rPr>
        <w:t>- текущи субсидии за сектор „Рибарство“ – 0,03 млн. лв. при планирани 0,9 млн. л</w:t>
      </w:r>
      <w:r w:rsidR="00FF09D9">
        <w:rPr>
          <w:lang w:eastAsia="bg-BG"/>
        </w:rPr>
        <w:t>е</w:t>
      </w:r>
      <w:r w:rsidRPr="00103327">
        <w:rPr>
          <w:lang w:eastAsia="bg-BG"/>
        </w:rPr>
        <w:t>в</w:t>
      </w:r>
      <w:r w:rsidR="00FF09D9">
        <w:rPr>
          <w:lang w:eastAsia="bg-BG"/>
        </w:rPr>
        <w:t>а</w:t>
      </w:r>
      <w:r w:rsidRPr="00103327">
        <w:rPr>
          <w:lang w:eastAsia="bg-BG"/>
        </w:rPr>
        <w:t>;</w:t>
      </w:r>
    </w:p>
    <w:p w:rsidR="00103327" w:rsidRPr="00103327" w:rsidRDefault="00103327" w:rsidP="00CA25E3">
      <w:pPr>
        <w:tabs>
          <w:tab w:val="left" w:pos="993"/>
        </w:tabs>
        <w:ind w:firstLine="284"/>
        <w:jc w:val="both"/>
        <w:rPr>
          <w:lang w:eastAsia="bg-BG"/>
        </w:rPr>
      </w:pPr>
      <w:r w:rsidRPr="00103327">
        <w:rPr>
          <w:lang w:eastAsia="bg-BG"/>
        </w:rPr>
        <w:t>- текущи субсидии по Програмата за развитие на селските райони – 44,3 млн.</w:t>
      </w:r>
      <w:r w:rsidR="00FF09D9">
        <w:rPr>
          <w:lang w:eastAsia="bg-BG"/>
        </w:rPr>
        <w:t> </w:t>
      </w:r>
      <w:r w:rsidRPr="00103327">
        <w:rPr>
          <w:lang w:eastAsia="bg-BG"/>
        </w:rPr>
        <w:t>лв., изпълнение 70,8 % от планираните 62,5 млн. л</w:t>
      </w:r>
      <w:r w:rsidR="00FF09D9">
        <w:rPr>
          <w:lang w:eastAsia="bg-BG"/>
        </w:rPr>
        <w:t>е</w:t>
      </w:r>
      <w:r w:rsidRPr="00103327">
        <w:rPr>
          <w:lang w:eastAsia="bg-BG"/>
        </w:rPr>
        <w:t>в</w:t>
      </w:r>
      <w:r w:rsidR="00FF09D9">
        <w:rPr>
          <w:lang w:eastAsia="bg-BG"/>
        </w:rPr>
        <w:t>а</w:t>
      </w:r>
      <w:r w:rsidRPr="00103327">
        <w:rPr>
          <w:lang w:eastAsia="bg-BG"/>
        </w:rPr>
        <w:t>;</w:t>
      </w:r>
    </w:p>
    <w:p w:rsidR="00103327" w:rsidRPr="00103327" w:rsidRDefault="00103327" w:rsidP="00CA25E3">
      <w:pPr>
        <w:tabs>
          <w:tab w:val="left" w:pos="993"/>
        </w:tabs>
        <w:ind w:firstLine="284"/>
        <w:jc w:val="both"/>
        <w:rPr>
          <w:lang w:eastAsia="bg-BG"/>
        </w:rPr>
      </w:pPr>
      <w:r w:rsidRPr="00103327">
        <w:rPr>
          <w:lang w:eastAsia="bg-BG"/>
        </w:rPr>
        <w:t>- текущи субсидии за пазарни мерки – 20,1 млн. лв., изпълнение 55,7 % от планираните 36,1 млн. л</w:t>
      </w:r>
      <w:r w:rsidR="00FF09D9">
        <w:rPr>
          <w:lang w:eastAsia="bg-BG"/>
        </w:rPr>
        <w:t>е</w:t>
      </w:r>
      <w:r w:rsidRPr="00103327">
        <w:rPr>
          <w:lang w:eastAsia="bg-BG"/>
        </w:rPr>
        <w:t>в</w:t>
      </w:r>
      <w:r w:rsidR="00FF09D9">
        <w:rPr>
          <w:lang w:eastAsia="bg-BG"/>
        </w:rPr>
        <w:t>а</w:t>
      </w:r>
      <w:r w:rsidRPr="00103327">
        <w:rPr>
          <w:lang w:eastAsia="bg-BG"/>
        </w:rPr>
        <w:t>.</w:t>
      </w:r>
    </w:p>
    <w:p w:rsidR="00103327" w:rsidRPr="00103327" w:rsidRDefault="00103327" w:rsidP="00103327">
      <w:pPr>
        <w:numPr>
          <w:ilvl w:val="0"/>
          <w:numId w:val="25"/>
        </w:numPr>
        <w:tabs>
          <w:tab w:val="left" w:pos="993"/>
        </w:tabs>
        <w:spacing w:before="120" w:line="276" w:lineRule="auto"/>
        <w:ind w:left="1321" w:hanging="612"/>
        <w:jc w:val="both"/>
        <w:rPr>
          <w:b/>
          <w:i/>
          <w:lang w:eastAsia="bg-BG"/>
        </w:rPr>
      </w:pPr>
      <w:r w:rsidRPr="00103327">
        <w:rPr>
          <w:b/>
          <w:i/>
          <w:lang w:eastAsia="bg-BG"/>
        </w:rPr>
        <w:t>Субсидии и други текущи трансфери за  юридически лица с нестопанска цел</w:t>
      </w:r>
    </w:p>
    <w:p w:rsidR="00103327" w:rsidRPr="00103327" w:rsidRDefault="00103327" w:rsidP="00FF09D9">
      <w:pPr>
        <w:contextualSpacing/>
        <w:jc w:val="both"/>
        <w:rPr>
          <w:szCs w:val="20"/>
        </w:rPr>
      </w:pPr>
      <w:r w:rsidRPr="00103327">
        <w:t xml:space="preserve">За 2017 г. </w:t>
      </w:r>
      <w:r w:rsidR="00181045">
        <w:t>при</w:t>
      </w:r>
      <w:r w:rsidRPr="00103327">
        <w:t xml:space="preserve"> планирани 6,4 млн. лв.</w:t>
      </w:r>
      <w:r w:rsidR="00181045">
        <w:t xml:space="preserve"> са</w:t>
      </w:r>
      <w:r w:rsidRPr="00103327">
        <w:t xml:space="preserve"> отчетени </w:t>
      </w:r>
      <w:r w:rsidRPr="00103327">
        <w:rPr>
          <w:szCs w:val="20"/>
        </w:rPr>
        <w:t>разходи в размер на 7,2 млн. лв., представляв</w:t>
      </w:r>
      <w:r w:rsidR="00FF09D9">
        <w:rPr>
          <w:szCs w:val="20"/>
        </w:rPr>
        <w:t>а</w:t>
      </w:r>
      <w:r w:rsidRPr="00103327">
        <w:rPr>
          <w:szCs w:val="20"/>
        </w:rPr>
        <w:t xml:space="preserve">щи 112,5 % </w:t>
      </w:r>
      <w:r w:rsidR="00FF09D9">
        <w:rPr>
          <w:szCs w:val="20"/>
        </w:rPr>
        <w:t>спрямо</w:t>
      </w:r>
      <w:r w:rsidRPr="00103327">
        <w:rPr>
          <w:szCs w:val="20"/>
        </w:rPr>
        <w:t xml:space="preserve"> плана.</w:t>
      </w:r>
      <w:r w:rsidR="00FF09D9">
        <w:rPr>
          <w:szCs w:val="20"/>
        </w:rPr>
        <w:t xml:space="preserve"> </w:t>
      </w:r>
      <w:r w:rsidRPr="00103327">
        <w:rPr>
          <w:szCs w:val="20"/>
        </w:rPr>
        <w:t>Разпределението по дейности е както следва:</w:t>
      </w:r>
    </w:p>
    <w:p w:rsidR="00103327" w:rsidRPr="00103327" w:rsidRDefault="00103327" w:rsidP="00CA25E3">
      <w:pPr>
        <w:ind w:firstLine="284"/>
        <w:contextualSpacing/>
        <w:jc w:val="both"/>
        <w:rPr>
          <w:szCs w:val="20"/>
        </w:rPr>
      </w:pPr>
      <w:r w:rsidRPr="00103327">
        <w:rPr>
          <w:szCs w:val="20"/>
        </w:rPr>
        <w:t xml:space="preserve">- национално </w:t>
      </w:r>
      <w:proofErr w:type="spellStart"/>
      <w:r w:rsidRPr="00103327">
        <w:rPr>
          <w:szCs w:val="20"/>
        </w:rPr>
        <w:t>съфинансиране</w:t>
      </w:r>
      <w:proofErr w:type="spellEnd"/>
      <w:r w:rsidRPr="00103327">
        <w:rPr>
          <w:szCs w:val="20"/>
        </w:rPr>
        <w:t xml:space="preserve"> към ЕЗФРСР за директни плащания  – 0,1 млн.лв.; </w:t>
      </w:r>
    </w:p>
    <w:p w:rsidR="00103327" w:rsidRPr="00103327" w:rsidRDefault="00103327" w:rsidP="00CA25E3">
      <w:pPr>
        <w:tabs>
          <w:tab w:val="left" w:pos="851"/>
        </w:tabs>
        <w:ind w:firstLine="284"/>
        <w:contextualSpacing/>
        <w:jc w:val="both"/>
        <w:rPr>
          <w:szCs w:val="20"/>
        </w:rPr>
      </w:pPr>
      <w:r w:rsidRPr="00103327">
        <w:rPr>
          <w:szCs w:val="20"/>
        </w:rPr>
        <w:t>- текущи субсидии за сектор „Рибарство“</w:t>
      </w:r>
      <w:r w:rsidRPr="00103327">
        <w:rPr>
          <w:szCs w:val="20"/>
          <w:lang w:val="en-US"/>
        </w:rPr>
        <w:t xml:space="preserve"> </w:t>
      </w:r>
      <w:r w:rsidRPr="00103327">
        <w:rPr>
          <w:szCs w:val="20"/>
        </w:rPr>
        <w:t>– (-0,1 млн. лв.) при планирани 0,1 млн. л</w:t>
      </w:r>
      <w:r w:rsidR="00181045">
        <w:rPr>
          <w:szCs w:val="20"/>
        </w:rPr>
        <w:t>е</w:t>
      </w:r>
      <w:r w:rsidRPr="00103327">
        <w:rPr>
          <w:szCs w:val="20"/>
        </w:rPr>
        <w:t>в</w:t>
      </w:r>
      <w:r w:rsidR="00181045">
        <w:rPr>
          <w:szCs w:val="20"/>
        </w:rPr>
        <w:t>а</w:t>
      </w:r>
      <w:r w:rsidRPr="00103327">
        <w:rPr>
          <w:szCs w:val="20"/>
        </w:rPr>
        <w:t>;</w:t>
      </w:r>
    </w:p>
    <w:p w:rsidR="00103327" w:rsidRPr="00103327" w:rsidRDefault="00103327" w:rsidP="00CA25E3">
      <w:pPr>
        <w:ind w:firstLine="284"/>
        <w:contextualSpacing/>
        <w:jc w:val="both"/>
        <w:rPr>
          <w:szCs w:val="20"/>
        </w:rPr>
      </w:pPr>
      <w:r w:rsidRPr="00103327">
        <w:rPr>
          <w:szCs w:val="20"/>
        </w:rPr>
        <w:t>- текущи субсидии по Програмата за развитие на селските райони</w:t>
      </w:r>
      <w:r w:rsidRPr="00103327">
        <w:rPr>
          <w:szCs w:val="20"/>
          <w:lang w:val="en-US"/>
        </w:rPr>
        <w:t xml:space="preserve"> </w:t>
      </w:r>
      <w:r w:rsidRPr="00103327">
        <w:rPr>
          <w:szCs w:val="20"/>
        </w:rPr>
        <w:t>– 5,2 млн.</w:t>
      </w:r>
      <w:r w:rsidR="00181045">
        <w:rPr>
          <w:szCs w:val="20"/>
        </w:rPr>
        <w:t> </w:t>
      </w:r>
      <w:r w:rsidRPr="00103327">
        <w:rPr>
          <w:szCs w:val="20"/>
        </w:rPr>
        <w:t xml:space="preserve">лв., което е 115,6 % </w:t>
      </w:r>
      <w:r w:rsidR="00181045">
        <w:rPr>
          <w:szCs w:val="20"/>
        </w:rPr>
        <w:t>спрямо</w:t>
      </w:r>
      <w:r w:rsidRPr="00103327">
        <w:rPr>
          <w:szCs w:val="20"/>
        </w:rPr>
        <w:t xml:space="preserve"> планираните 4,5 млн. л</w:t>
      </w:r>
      <w:r w:rsidR="00181045">
        <w:rPr>
          <w:szCs w:val="20"/>
        </w:rPr>
        <w:t>е</w:t>
      </w:r>
      <w:r w:rsidRPr="00103327">
        <w:rPr>
          <w:szCs w:val="20"/>
        </w:rPr>
        <w:t>в</w:t>
      </w:r>
      <w:r w:rsidR="00181045">
        <w:rPr>
          <w:szCs w:val="20"/>
        </w:rPr>
        <w:t>а</w:t>
      </w:r>
      <w:r w:rsidRPr="00103327">
        <w:rPr>
          <w:szCs w:val="20"/>
        </w:rPr>
        <w:t>.</w:t>
      </w:r>
    </w:p>
    <w:p w:rsidR="00103327" w:rsidRPr="00103327" w:rsidRDefault="00103327" w:rsidP="00CA25E3">
      <w:pPr>
        <w:ind w:firstLine="284"/>
        <w:contextualSpacing/>
        <w:jc w:val="both"/>
        <w:rPr>
          <w:szCs w:val="20"/>
        </w:rPr>
      </w:pPr>
      <w:r w:rsidRPr="00103327">
        <w:rPr>
          <w:szCs w:val="20"/>
        </w:rPr>
        <w:t>- текущи субсидии за пазарни мерки</w:t>
      </w:r>
      <w:r w:rsidRPr="00103327">
        <w:rPr>
          <w:szCs w:val="20"/>
          <w:lang w:val="en-US"/>
        </w:rPr>
        <w:t xml:space="preserve"> </w:t>
      </w:r>
      <w:r w:rsidRPr="00103327">
        <w:rPr>
          <w:szCs w:val="20"/>
        </w:rPr>
        <w:t xml:space="preserve">– 2,1 млн. лв., изпълнение 116,7 % </w:t>
      </w:r>
      <w:r w:rsidR="00181045">
        <w:rPr>
          <w:szCs w:val="20"/>
        </w:rPr>
        <w:t>спрямо</w:t>
      </w:r>
      <w:r w:rsidRPr="00103327">
        <w:rPr>
          <w:szCs w:val="20"/>
        </w:rPr>
        <w:t xml:space="preserve"> планираните 1,8 млн. л</w:t>
      </w:r>
      <w:r w:rsidR="00181045">
        <w:rPr>
          <w:szCs w:val="20"/>
        </w:rPr>
        <w:t>е</w:t>
      </w:r>
      <w:r w:rsidRPr="00103327">
        <w:rPr>
          <w:szCs w:val="20"/>
        </w:rPr>
        <w:t>в</w:t>
      </w:r>
      <w:r w:rsidR="00181045">
        <w:rPr>
          <w:szCs w:val="20"/>
        </w:rPr>
        <w:t>а</w:t>
      </w:r>
      <w:r w:rsidRPr="00103327">
        <w:rPr>
          <w:szCs w:val="20"/>
        </w:rPr>
        <w:t>.</w:t>
      </w:r>
    </w:p>
    <w:p w:rsidR="00103327" w:rsidRPr="00103327" w:rsidRDefault="00103327" w:rsidP="00103327">
      <w:pPr>
        <w:numPr>
          <w:ilvl w:val="0"/>
          <w:numId w:val="25"/>
        </w:numPr>
        <w:tabs>
          <w:tab w:val="left" w:pos="993"/>
        </w:tabs>
        <w:spacing w:before="120" w:after="120" w:line="276" w:lineRule="auto"/>
        <w:ind w:left="1321" w:hanging="612"/>
        <w:jc w:val="both"/>
        <w:rPr>
          <w:lang w:eastAsia="bg-BG"/>
        </w:rPr>
      </w:pPr>
      <w:r w:rsidRPr="00103327">
        <w:rPr>
          <w:b/>
          <w:i/>
          <w:lang w:eastAsia="bg-BG"/>
        </w:rPr>
        <w:t>Капиталови трансфери</w:t>
      </w:r>
      <w:r w:rsidRPr="00103327">
        <w:rPr>
          <w:lang w:eastAsia="bg-BG"/>
        </w:rPr>
        <w:t>, от които за:</w:t>
      </w:r>
    </w:p>
    <w:p w:rsidR="00103327" w:rsidRPr="00103327" w:rsidRDefault="00103327" w:rsidP="00CA25E3">
      <w:pPr>
        <w:tabs>
          <w:tab w:val="left" w:pos="993"/>
        </w:tabs>
        <w:ind w:firstLine="284"/>
        <w:jc w:val="both"/>
        <w:rPr>
          <w:lang w:eastAsia="bg-BG"/>
        </w:rPr>
      </w:pPr>
      <w:r w:rsidRPr="00103327">
        <w:rPr>
          <w:lang w:eastAsia="bg-BG"/>
        </w:rPr>
        <w:t xml:space="preserve">- </w:t>
      </w:r>
      <w:r w:rsidRPr="00103327">
        <w:rPr>
          <w:i/>
          <w:lang w:eastAsia="bg-BG"/>
        </w:rPr>
        <w:t>нефинансови предприятия</w:t>
      </w:r>
      <w:r w:rsidRPr="00103327">
        <w:rPr>
          <w:lang w:eastAsia="bg-BG"/>
        </w:rPr>
        <w:t xml:space="preserve"> - за 2017</w:t>
      </w:r>
      <w:r w:rsidRPr="00103327">
        <w:rPr>
          <w:lang w:val="en-US" w:eastAsia="bg-BG"/>
        </w:rPr>
        <w:t xml:space="preserve"> </w:t>
      </w:r>
      <w:r w:rsidRPr="00103327">
        <w:rPr>
          <w:lang w:eastAsia="bg-BG"/>
        </w:rPr>
        <w:t>г. са планирани 249,</w:t>
      </w:r>
      <w:r w:rsidR="00CA25E3">
        <w:rPr>
          <w:lang w:eastAsia="bg-BG"/>
        </w:rPr>
        <w:t>7 млн. лв., като към 31.12.2017 </w:t>
      </w:r>
      <w:r w:rsidRPr="00103327">
        <w:rPr>
          <w:lang w:eastAsia="bg-BG"/>
        </w:rPr>
        <w:t>г. са отчетени 145,7 млн. лв., разпределени по дейности, както следва:</w:t>
      </w:r>
    </w:p>
    <w:p w:rsidR="00103327" w:rsidRPr="00103327" w:rsidRDefault="00103327" w:rsidP="00CA25E3">
      <w:pPr>
        <w:ind w:firstLine="284"/>
        <w:contextualSpacing/>
        <w:jc w:val="both"/>
      </w:pPr>
      <w:r w:rsidRPr="00103327">
        <w:rPr>
          <w:szCs w:val="20"/>
        </w:rPr>
        <w:t>- капиталови субсидии за сектор „Рибарство“</w:t>
      </w:r>
      <w:r w:rsidRPr="00103327">
        <w:rPr>
          <w:szCs w:val="20"/>
          <w:lang w:val="en-US"/>
        </w:rPr>
        <w:t xml:space="preserve"> </w:t>
      </w:r>
      <w:r w:rsidRPr="00103327">
        <w:rPr>
          <w:szCs w:val="20"/>
        </w:rPr>
        <w:t>– 1,6 млн. лв., 7,4 % от</w:t>
      </w:r>
      <w:r w:rsidRPr="00103327">
        <w:t xml:space="preserve"> планираните 21,5 млн. л</w:t>
      </w:r>
      <w:r w:rsidR="00181045">
        <w:t>е</w:t>
      </w:r>
      <w:r w:rsidRPr="00103327">
        <w:t>в</w:t>
      </w:r>
      <w:r w:rsidR="00181045">
        <w:t>а</w:t>
      </w:r>
      <w:r w:rsidRPr="00103327">
        <w:t>;</w:t>
      </w:r>
    </w:p>
    <w:p w:rsidR="00103327" w:rsidRPr="00103327" w:rsidRDefault="00103327" w:rsidP="00CA25E3">
      <w:pPr>
        <w:ind w:firstLine="284"/>
        <w:contextualSpacing/>
        <w:jc w:val="both"/>
        <w:rPr>
          <w:szCs w:val="20"/>
        </w:rPr>
      </w:pPr>
      <w:r w:rsidRPr="00103327">
        <w:rPr>
          <w:szCs w:val="20"/>
        </w:rPr>
        <w:t xml:space="preserve"> - капиталови субсидии по ПРСР – 135,2 млн. лв. при планирани 214,2 млн. лв., изпълнение 63,1 %;</w:t>
      </w:r>
    </w:p>
    <w:p w:rsidR="00103327" w:rsidRPr="00103327" w:rsidRDefault="00103327" w:rsidP="00CA25E3">
      <w:pPr>
        <w:ind w:firstLine="284"/>
        <w:contextualSpacing/>
        <w:jc w:val="both"/>
        <w:rPr>
          <w:szCs w:val="20"/>
        </w:rPr>
      </w:pPr>
      <w:r w:rsidRPr="00103327">
        <w:rPr>
          <w:szCs w:val="20"/>
        </w:rPr>
        <w:t>- капиталови субсидии за пазарни мерки – 8,9 млн. лв., изпълнение 63,6 % на заложените по план 14,0 млн. л</w:t>
      </w:r>
      <w:r w:rsidR="00181045">
        <w:rPr>
          <w:szCs w:val="20"/>
        </w:rPr>
        <w:t>е</w:t>
      </w:r>
      <w:r w:rsidRPr="00103327">
        <w:rPr>
          <w:szCs w:val="20"/>
        </w:rPr>
        <w:t>в</w:t>
      </w:r>
      <w:r w:rsidR="00181045">
        <w:rPr>
          <w:szCs w:val="20"/>
        </w:rPr>
        <w:t>а</w:t>
      </w:r>
      <w:r w:rsidRPr="00103327">
        <w:rPr>
          <w:szCs w:val="20"/>
        </w:rPr>
        <w:t>.</w:t>
      </w:r>
    </w:p>
    <w:p w:rsidR="00103327" w:rsidRPr="00103327" w:rsidRDefault="00103327" w:rsidP="00CA25E3">
      <w:pPr>
        <w:tabs>
          <w:tab w:val="left" w:pos="993"/>
        </w:tabs>
        <w:ind w:firstLine="284"/>
        <w:jc w:val="both"/>
        <w:rPr>
          <w:lang w:eastAsia="bg-BG"/>
        </w:rPr>
      </w:pPr>
      <w:r w:rsidRPr="00103327">
        <w:rPr>
          <w:lang w:eastAsia="bg-BG"/>
        </w:rPr>
        <w:t xml:space="preserve">- </w:t>
      </w:r>
      <w:r w:rsidRPr="00103327">
        <w:rPr>
          <w:i/>
          <w:lang w:eastAsia="bg-BG"/>
        </w:rPr>
        <w:t xml:space="preserve">организации с нестопанска цел - </w:t>
      </w:r>
      <w:r w:rsidRPr="00103327">
        <w:rPr>
          <w:lang w:eastAsia="bg-BG"/>
        </w:rPr>
        <w:t>з</w:t>
      </w:r>
      <w:r w:rsidRPr="00103327">
        <w:t>а 2017 г. не са планирани капиталови разходи за организации с нестопанска цел. За годината има извършени и отчетени такива разходи по ПРСР в размер на 6,4 млн. л</w:t>
      </w:r>
      <w:r w:rsidR="00181045">
        <w:t>е</w:t>
      </w:r>
      <w:r w:rsidRPr="00103327">
        <w:t>в</w:t>
      </w:r>
      <w:r w:rsidR="00181045">
        <w:t>а</w:t>
      </w:r>
      <w:r w:rsidRPr="00103327">
        <w:t xml:space="preserve">. </w:t>
      </w:r>
      <w:r w:rsidRPr="00103327">
        <w:rPr>
          <w:lang w:eastAsia="bg-BG"/>
        </w:rPr>
        <w:t xml:space="preserve"> </w:t>
      </w:r>
    </w:p>
    <w:p w:rsidR="00103327" w:rsidRPr="00103327" w:rsidRDefault="00103327" w:rsidP="00103327">
      <w:pPr>
        <w:tabs>
          <w:tab w:val="left" w:pos="993"/>
        </w:tabs>
        <w:jc w:val="both"/>
        <w:rPr>
          <w:color w:val="0070C0"/>
          <w:lang w:eastAsia="bg-BG"/>
        </w:rPr>
      </w:pPr>
    </w:p>
    <w:p w:rsidR="00103327" w:rsidRPr="00103327" w:rsidRDefault="00103327" w:rsidP="00103327">
      <w:pPr>
        <w:tabs>
          <w:tab w:val="left" w:pos="709"/>
        </w:tabs>
        <w:jc w:val="both"/>
        <w:rPr>
          <w:lang w:eastAsia="bg-BG"/>
        </w:rPr>
      </w:pPr>
      <w:r w:rsidRPr="00103327">
        <w:tab/>
        <w:t>Планираните разходи за: други възнаграждения и плащания за персонала 8,9 млн. лв., задължителни осигурителни вноски от работодатели 4 млн. лв., издръжка 5,7 млн. лв. и придобиване на ДМА в размер на 69,8 млн. лв., подлежат на отчитане в § 63-00 „Трансфери между сметки за средствата от ЕС“.</w:t>
      </w:r>
    </w:p>
    <w:p w:rsidR="00103327" w:rsidRPr="00103327" w:rsidRDefault="00103327" w:rsidP="00103327">
      <w:pPr>
        <w:tabs>
          <w:tab w:val="left" w:pos="709"/>
        </w:tabs>
        <w:jc w:val="both"/>
        <w:rPr>
          <w:lang w:eastAsia="bg-BG"/>
        </w:rPr>
      </w:pPr>
      <w:r w:rsidRPr="00103327">
        <w:rPr>
          <w:lang w:eastAsia="bg-BG"/>
        </w:rPr>
        <w:tab/>
      </w:r>
    </w:p>
    <w:p w:rsidR="00103327" w:rsidRPr="00103327" w:rsidRDefault="00103327" w:rsidP="00103327">
      <w:pPr>
        <w:numPr>
          <w:ilvl w:val="0"/>
          <w:numId w:val="28"/>
        </w:numPr>
        <w:tabs>
          <w:tab w:val="num" w:pos="540"/>
        </w:tabs>
        <w:spacing w:before="120" w:after="120" w:line="276" w:lineRule="auto"/>
        <w:contextualSpacing/>
        <w:jc w:val="both"/>
        <w:rPr>
          <w:b/>
          <w:lang w:eastAsia="bg-BG"/>
        </w:rPr>
      </w:pPr>
      <w:r w:rsidRPr="00103327">
        <w:rPr>
          <w:b/>
          <w:lang w:eastAsia="bg-BG"/>
        </w:rPr>
        <w:lastRenderedPageBreak/>
        <w:t xml:space="preserve">Трансфери </w:t>
      </w:r>
    </w:p>
    <w:p w:rsidR="00103327" w:rsidRPr="00103327" w:rsidRDefault="00103327" w:rsidP="00103327">
      <w:pPr>
        <w:tabs>
          <w:tab w:val="left" w:pos="540"/>
        </w:tabs>
        <w:jc w:val="both"/>
        <w:rPr>
          <w:rFonts w:ascii="Times New Roman CYR" w:hAnsi="Times New Roman CYR" w:cs="Times New Roman CYR"/>
          <w:lang w:eastAsia="bg-BG"/>
        </w:rPr>
      </w:pPr>
      <w:r w:rsidRPr="00103327">
        <w:rPr>
          <w:rFonts w:ascii="Times New Roman CYR" w:hAnsi="Times New Roman CYR" w:cs="Times New Roman CYR"/>
          <w:lang w:eastAsia="bg-BG"/>
        </w:rPr>
        <w:tab/>
        <w:t>В частта на трансферите в касовия отчет на ДФЗ-РА към 31.12.2017 г. са отразени следните касови потоци</w:t>
      </w:r>
      <w:r w:rsidRPr="00103327">
        <w:rPr>
          <w:rFonts w:ascii="Times New Roman CYR" w:hAnsi="Times New Roman CYR" w:cs="Times New Roman CYR"/>
          <w:lang w:val="en-US" w:eastAsia="bg-BG"/>
        </w:rPr>
        <w:t>:</w:t>
      </w:r>
    </w:p>
    <w:p w:rsidR="00103327" w:rsidRPr="00103327" w:rsidRDefault="00103327" w:rsidP="00103327">
      <w:pPr>
        <w:numPr>
          <w:ilvl w:val="0"/>
          <w:numId w:val="25"/>
        </w:numPr>
        <w:ind w:left="993" w:hanging="284"/>
        <w:contextualSpacing/>
        <w:rPr>
          <w:b/>
          <w:i/>
          <w:lang w:eastAsia="bg-BG"/>
        </w:rPr>
      </w:pPr>
      <w:r w:rsidRPr="00103327">
        <w:rPr>
          <w:b/>
          <w:i/>
          <w:lang w:eastAsia="bg-BG"/>
        </w:rPr>
        <w:t>Трансфери между ЦБ и сметки за средствата от ЕС</w:t>
      </w:r>
    </w:p>
    <w:p w:rsidR="00103327" w:rsidRPr="00103327" w:rsidRDefault="00103327" w:rsidP="00103327">
      <w:pPr>
        <w:spacing w:before="120" w:after="120" w:line="276" w:lineRule="auto"/>
        <w:ind w:firstLine="709"/>
        <w:jc w:val="both"/>
        <w:rPr>
          <w:lang w:eastAsia="bg-BG"/>
        </w:rPr>
      </w:pPr>
      <w:r w:rsidRPr="00103327">
        <w:rPr>
          <w:lang w:eastAsia="bg-BG"/>
        </w:rPr>
        <w:t>Планираният размер на трансфера от ЦБ е 206</w:t>
      </w:r>
      <w:r w:rsidR="00181045">
        <w:rPr>
          <w:lang w:eastAsia="bg-BG"/>
        </w:rPr>
        <w:t>,0</w:t>
      </w:r>
      <w:r w:rsidRPr="00103327">
        <w:rPr>
          <w:lang w:eastAsia="bg-BG"/>
        </w:rPr>
        <w:t xml:space="preserve"> млн. л</w:t>
      </w:r>
      <w:r w:rsidR="00181045">
        <w:rPr>
          <w:lang w:eastAsia="bg-BG"/>
        </w:rPr>
        <w:t>е</w:t>
      </w:r>
      <w:r w:rsidRPr="00103327">
        <w:rPr>
          <w:lang w:eastAsia="bg-BG"/>
        </w:rPr>
        <w:t>в</w:t>
      </w:r>
      <w:r w:rsidR="00181045">
        <w:rPr>
          <w:lang w:eastAsia="bg-BG"/>
        </w:rPr>
        <w:t>а</w:t>
      </w:r>
      <w:r w:rsidRPr="00103327">
        <w:rPr>
          <w:lang w:eastAsia="bg-BG"/>
        </w:rPr>
        <w:t>. Отчетената стойност на получения в края на 2017 г. трансфер от ЦБ е 125</w:t>
      </w:r>
      <w:r w:rsidR="00181045">
        <w:rPr>
          <w:lang w:eastAsia="bg-BG"/>
        </w:rPr>
        <w:t>,0</w:t>
      </w:r>
      <w:r w:rsidRPr="00103327">
        <w:rPr>
          <w:lang w:eastAsia="bg-BG"/>
        </w:rPr>
        <w:t xml:space="preserve"> млн. лв., като със сумата се </w:t>
      </w:r>
      <w:r w:rsidR="00836A33">
        <w:rPr>
          <w:lang w:eastAsia="bg-BG"/>
        </w:rPr>
        <w:t>покриват</w:t>
      </w:r>
      <w:r w:rsidRPr="00103327">
        <w:rPr>
          <w:lang w:eastAsia="bg-BG"/>
        </w:rPr>
        <w:t xml:space="preserve"> средствата, изплатени от РА за сметка на национално </w:t>
      </w:r>
      <w:proofErr w:type="spellStart"/>
      <w:r w:rsidRPr="00103327">
        <w:rPr>
          <w:lang w:eastAsia="bg-BG"/>
        </w:rPr>
        <w:t>съфинансиране</w:t>
      </w:r>
      <w:proofErr w:type="spellEnd"/>
      <w:r w:rsidRPr="00103327">
        <w:rPr>
          <w:lang w:eastAsia="bg-BG"/>
        </w:rPr>
        <w:t xml:space="preserve"> към фондовете ЕФГЗ, ЕЗФРСР, ЕФМДР и ЕФР.</w:t>
      </w:r>
    </w:p>
    <w:p w:rsidR="00103327" w:rsidRPr="00103327" w:rsidRDefault="00103327" w:rsidP="00103327">
      <w:pPr>
        <w:numPr>
          <w:ilvl w:val="0"/>
          <w:numId w:val="25"/>
        </w:numPr>
        <w:tabs>
          <w:tab w:val="left" w:pos="540"/>
          <w:tab w:val="left" w:pos="993"/>
        </w:tabs>
        <w:spacing w:before="120" w:after="120" w:line="276" w:lineRule="auto"/>
        <w:ind w:left="1321" w:hanging="612"/>
        <w:jc w:val="both"/>
        <w:rPr>
          <w:b/>
          <w:i/>
          <w:lang w:eastAsia="bg-BG"/>
        </w:rPr>
      </w:pPr>
      <w:r w:rsidRPr="00103327">
        <w:rPr>
          <w:b/>
          <w:i/>
          <w:lang w:eastAsia="bg-BG"/>
        </w:rPr>
        <w:t>Трансфери между бюджети и сметки за средства от Европейския съюз</w:t>
      </w:r>
    </w:p>
    <w:p w:rsidR="00103327" w:rsidRPr="00103327" w:rsidRDefault="00103327" w:rsidP="00103327">
      <w:pPr>
        <w:jc w:val="both"/>
        <w:rPr>
          <w:lang w:val="en-GB" w:eastAsia="bg-BG"/>
        </w:rPr>
      </w:pPr>
      <w:r w:rsidRPr="00103327">
        <w:t>Към 31.12.2017 г. получените трансфери от бюджетни сметки на бюджетни организации и общини за възстановяване на вземания по ПРСР и ОПРСР са в размер на 0,8 млн. л</w:t>
      </w:r>
      <w:r w:rsidR="00181045">
        <w:t>е</w:t>
      </w:r>
      <w:r w:rsidRPr="00103327">
        <w:t>в</w:t>
      </w:r>
      <w:r w:rsidR="00181045">
        <w:t>а</w:t>
      </w:r>
      <w:r w:rsidRPr="00103327">
        <w:t>. Предоставените трансфери във връзка с чл. 14 от З</w:t>
      </w:r>
      <w:r w:rsidR="005C7943">
        <w:t>акона за подпомагане на земеделските производители</w:t>
      </w:r>
      <w:r w:rsidRPr="00103327">
        <w:t xml:space="preserve"> възлизат на 0,3 млн. л</w:t>
      </w:r>
      <w:r w:rsidR="00181045">
        <w:t>е</w:t>
      </w:r>
      <w:r w:rsidRPr="00103327">
        <w:t>в</w:t>
      </w:r>
      <w:r w:rsidR="00181045">
        <w:t>а</w:t>
      </w:r>
      <w:r w:rsidRPr="00103327">
        <w:t>.</w:t>
      </w:r>
    </w:p>
    <w:p w:rsidR="00103327" w:rsidRPr="00103327" w:rsidRDefault="00103327" w:rsidP="00103327">
      <w:pPr>
        <w:numPr>
          <w:ilvl w:val="0"/>
          <w:numId w:val="25"/>
        </w:numPr>
        <w:tabs>
          <w:tab w:val="left" w:pos="540"/>
          <w:tab w:val="left" w:pos="993"/>
        </w:tabs>
        <w:spacing w:before="120" w:after="120" w:line="276" w:lineRule="auto"/>
        <w:ind w:left="1321" w:hanging="612"/>
        <w:jc w:val="both"/>
        <w:rPr>
          <w:b/>
          <w:i/>
          <w:lang w:eastAsia="bg-BG"/>
        </w:rPr>
      </w:pPr>
      <w:r w:rsidRPr="00103327">
        <w:rPr>
          <w:b/>
          <w:i/>
          <w:lang w:eastAsia="bg-BG"/>
        </w:rPr>
        <w:t xml:space="preserve">Трансфери между сметки за средства от Европейския съюз: </w:t>
      </w:r>
    </w:p>
    <w:p w:rsidR="00103327" w:rsidRPr="00103327" w:rsidRDefault="00103327" w:rsidP="00103327">
      <w:pPr>
        <w:tabs>
          <w:tab w:val="left" w:pos="540"/>
          <w:tab w:val="left" w:pos="993"/>
        </w:tabs>
        <w:ind w:firstLine="709"/>
        <w:jc w:val="both"/>
        <w:rPr>
          <w:lang w:eastAsia="bg-BG"/>
        </w:rPr>
      </w:pPr>
      <w:r w:rsidRPr="00103327">
        <w:rPr>
          <w:lang w:eastAsia="bg-BG"/>
        </w:rPr>
        <w:t xml:space="preserve">- предоставени трансфери – </w:t>
      </w:r>
      <w:r w:rsidRPr="00103327">
        <w:t xml:space="preserve">формирани са от изплатените субсидии и възстановените суми от публични бенефициенти по ПРСР, ОПРСР, схема „Училищен плод“, схема „Училищно мляко“ и национално </w:t>
      </w:r>
      <w:proofErr w:type="spellStart"/>
      <w:r w:rsidRPr="00103327">
        <w:t>съфинансиране</w:t>
      </w:r>
      <w:proofErr w:type="spellEnd"/>
      <w:r w:rsidRPr="00103327">
        <w:t xml:space="preserve"> към директни плащания. За 2017 г. са отчетени </w:t>
      </w:r>
      <w:r w:rsidR="00A71944">
        <w:t xml:space="preserve">предоставени трансфери </w:t>
      </w:r>
      <w:r w:rsidRPr="00103327">
        <w:t>14,6 млн. лв., в т.ч.</w:t>
      </w:r>
      <w:r w:rsidRPr="00103327">
        <w:rPr>
          <w:lang w:val="en-US"/>
        </w:rPr>
        <w:t>:</w:t>
      </w:r>
      <w:r w:rsidRPr="00103327">
        <w:t xml:space="preserve"> по Програмата за развитие на селските райони: 13,6 млн. лв.; пазарни мерки: 0,4 млн. лв.; национално </w:t>
      </w:r>
      <w:proofErr w:type="spellStart"/>
      <w:r w:rsidRPr="00103327">
        <w:t>съфинансиране</w:t>
      </w:r>
      <w:proofErr w:type="spellEnd"/>
      <w:r w:rsidRPr="00103327">
        <w:t xml:space="preserve"> към директни плащания: 0,1 млн. лв.; рибарство: 0,5 млн. л</w:t>
      </w:r>
      <w:r w:rsidR="005C7943">
        <w:t>е</w:t>
      </w:r>
      <w:r w:rsidRPr="00103327">
        <w:t>в</w:t>
      </w:r>
      <w:r w:rsidR="005C7943">
        <w:t>а</w:t>
      </w:r>
      <w:r w:rsidRPr="00103327">
        <w:t>.</w:t>
      </w:r>
      <w:r w:rsidRPr="00103327">
        <w:rPr>
          <w:lang w:eastAsia="bg-BG"/>
        </w:rPr>
        <w:t xml:space="preserve"> </w:t>
      </w:r>
    </w:p>
    <w:p w:rsidR="00103327" w:rsidRPr="00103327" w:rsidRDefault="00103327" w:rsidP="00103327">
      <w:pPr>
        <w:tabs>
          <w:tab w:val="left" w:pos="540"/>
          <w:tab w:val="left" w:pos="993"/>
        </w:tabs>
        <w:ind w:firstLine="709"/>
        <w:jc w:val="both"/>
        <w:rPr>
          <w:color w:val="0070C0"/>
          <w:lang w:eastAsia="bg-BG"/>
        </w:rPr>
      </w:pPr>
    </w:p>
    <w:p w:rsidR="00103327" w:rsidRPr="00103327" w:rsidRDefault="00103327" w:rsidP="00103327">
      <w:pPr>
        <w:numPr>
          <w:ilvl w:val="0"/>
          <w:numId w:val="28"/>
        </w:numPr>
        <w:tabs>
          <w:tab w:val="num" w:pos="540"/>
        </w:tabs>
        <w:spacing w:before="120" w:after="120" w:line="276" w:lineRule="auto"/>
        <w:contextualSpacing/>
        <w:jc w:val="both"/>
        <w:rPr>
          <w:b/>
          <w:lang w:eastAsia="bg-BG"/>
        </w:rPr>
      </w:pPr>
      <w:r w:rsidRPr="00103327">
        <w:rPr>
          <w:b/>
          <w:lang w:eastAsia="bg-BG"/>
        </w:rPr>
        <w:t>Финансиране</w:t>
      </w:r>
    </w:p>
    <w:p w:rsidR="00103327" w:rsidRPr="00103327" w:rsidRDefault="00103327" w:rsidP="00103327">
      <w:pPr>
        <w:spacing w:after="120"/>
        <w:jc w:val="both"/>
        <w:rPr>
          <w:lang w:eastAsia="bg-BG"/>
        </w:rPr>
      </w:pPr>
      <w:r w:rsidRPr="00103327">
        <w:rPr>
          <w:lang w:eastAsia="bg-BG"/>
        </w:rPr>
        <w:t>Към 31.12.2017</w:t>
      </w:r>
      <w:r w:rsidRPr="00103327">
        <w:rPr>
          <w:lang w:val="en-US" w:eastAsia="bg-BG"/>
        </w:rPr>
        <w:t xml:space="preserve"> </w:t>
      </w:r>
      <w:r w:rsidRPr="00103327">
        <w:rPr>
          <w:lang w:eastAsia="bg-BG"/>
        </w:rPr>
        <w:t>г. извършените плащания, възстановените суми, разчета с централния бюджет и чуждите средства от други лица, включени в отчетността в „Друго финансиране“ са общо 46,4 млн. лв., при (-50,3) млн. лв. по разчет.</w:t>
      </w:r>
    </w:p>
    <w:p w:rsidR="00103327" w:rsidRPr="00103327" w:rsidRDefault="00103327" w:rsidP="00103327">
      <w:pPr>
        <w:spacing w:after="120"/>
        <w:jc w:val="both"/>
        <w:rPr>
          <w:b/>
          <w:i/>
          <w:lang w:eastAsia="bg-BG"/>
        </w:rPr>
      </w:pPr>
      <w:r w:rsidRPr="00103327">
        <w:rPr>
          <w:b/>
          <w:i/>
          <w:lang w:eastAsia="bg-BG"/>
        </w:rPr>
        <w:t>Към 31.12.2017 г. са изплатени средства по следните направления:</w:t>
      </w:r>
    </w:p>
    <w:p w:rsidR="00103327" w:rsidRPr="00103327" w:rsidRDefault="00103327" w:rsidP="00103327">
      <w:pPr>
        <w:numPr>
          <w:ilvl w:val="0"/>
          <w:numId w:val="30"/>
        </w:numPr>
        <w:tabs>
          <w:tab w:val="left" w:pos="993"/>
        </w:tabs>
        <w:ind w:left="0" w:firstLine="709"/>
        <w:contextualSpacing/>
        <w:jc w:val="both"/>
        <w:rPr>
          <w:szCs w:val="20"/>
        </w:rPr>
      </w:pPr>
      <w:r w:rsidRPr="00103327">
        <w:rPr>
          <w:szCs w:val="20"/>
        </w:rPr>
        <w:t>1 629,1 млн. лв. за директни плащания за сметка на ЕФГЗ, представляващи 97,9 % от планираните 1 664,0 млн. л</w:t>
      </w:r>
      <w:r w:rsidR="005C7943">
        <w:rPr>
          <w:szCs w:val="20"/>
        </w:rPr>
        <w:t>е</w:t>
      </w:r>
      <w:r w:rsidRPr="00103327">
        <w:rPr>
          <w:szCs w:val="20"/>
        </w:rPr>
        <w:t>в</w:t>
      </w:r>
      <w:r w:rsidR="005C7943">
        <w:rPr>
          <w:szCs w:val="20"/>
        </w:rPr>
        <w:t>а</w:t>
      </w:r>
      <w:r w:rsidRPr="00103327">
        <w:rPr>
          <w:szCs w:val="20"/>
        </w:rPr>
        <w:t>;</w:t>
      </w:r>
    </w:p>
    <w:p w:rsidR="00103327" w:rsidRPr="00103327" w:rsidRDefault="00103327" w:rsidP="00103327">
      <w:pPr>
        <w:numPr>
          <w:ilvl w:val="0"/>
          <w:numId w:val="30"/>
        </w:numPr>
        <w:tabs>
          <w:tab w:val="left" w:pos="993"/>
        </w:tabs>
        <w:ind w:left="0" w:firstLine="709"/>
        <w:contextualSpacing/>
        <w:jc w:val="both"/>
        <w:rPr>
          <w:szCs w:val="20"/>
        </w:rPr>
      </w:pPr>
      <w:r w:rsidRPr="00103327">
        <w:rPr>
          <w:szCs w:val="20"/>
          <w:lang w:val="en-US"/>
        </w:rPr>
        <w:t>2</w:t>
      </w:r>
      <w:r w:rsidRPr="00103327">
        <w:rPr>
          <w:szCs w:val="20"/>
        </w:rPr>
        <w:t>11</w:t>
      </w:r>
      <w:proofErr w:type="gramStart"/>
      <w:r w:rsidRPr="00103327">
        <w:rPr>
          <w:szCs w:val="20"/>
        </w:rPr>
        <w:t>,</w:t>
      </w:r>
      <w:r w:rsidRPr="00103327">
        <w:rPr>
          <w:szCs w:val="20"/>
          <w:lang w:val="en-US"/>
        </w:rPr>
        <w:t>9</w:t>
      </w:r>
      <w:proofErr w:type="gramEnd"/>
      <w:r w:rsidRPr="00103327">
        <w:rPr>
          <w:szCs w:val="20"/>
        </w:rPr>
        <w:t xml:space="preserve"> млн. лв. - средства от ЕЗФРСР, прехвърлени към директни плащания, което е 96 % от планираните 220,7 млн. л</w:t>
      </w:r>
      <w:r w:rsidR="005C7943">
        <w:rPr>
          <w:szCs w:val="20"/>
        </w:rPr>
        <w:t>е</w:t>
      </w:r>
      <w:r w:rsidRPr="00103327">
        <w:rPr>
          <w:szCs w:val="20"/>
        </w:rPr>
        <w:t>в</w:t>
      </w:r>
      <w:r w:rsidR="005C7943">
        <w:rPr>
          <w:szCs w:val="20"/>
        </w:rPr>
        <w:t>а</w:t>
      </w:r>
      <w:r w:rsidRPr="00103327">
        <w:rPr>
          <w:szCs w:val="20"/>
        </w:rPr>
        <w:t>;</w:t>
      </w:r>
    </w:p>
    <w:p w:rsidR="00103327" w:rsidRPr="00103327" w:rsidRDefault="00103327" w:rsidP="00103327">
      <w:pPr>
        <w:numPr>
          <w:ilvl w:val="0"/>
          <w:numId w:val="30"/>
        </w:numPr>
        <w:tabs>
          <w:tab w:val="left" w:pos="993"/>
        </w:tabs>
        <w:ind w:left="0" w:firstLine="709"/>
        <w:contextualSpacing/>
        <w:jc w:val="both"/>
        <w:rPr>
          <w:szCs w:val="20"/>
        </w:rPr>
      </w:pPr>
      <w:r w:rsidRPr="00103327">
        <w:rPr>
          <w:szCs w:val="20"/>
        </w:rPr>
        <w:t>11,0 млн. лв. за пазарни мерки - изпълнение 41,8 % от планираните 26,3 млн.</w:t>
      </w:r>
      <w:r w:rsidR="005C7943">
        <w:rPr>
          <w:szCs w:val="20"/>
        </w:rPr>
        <w:t> </w:t>
      </w:r>
      <w:r w:rsidRPr="00103327">
        <w:rPr>
          <w:szCs w:val="20"/>
        </w:rPr>
        <w:t>л</w:t>
      </w:r>
      <w:r w:rsidR="005C7943">
        <w:rPr>
          <w:szCs w:val="20"/>
        </w:rPr>
        <w:t>е</w:t>
      </w:r>
      <w:r w:rsidRPr="00103327">
        <w:rPr>
          <w:szCs w:val="20"/>
        </w:rPr>
        <w:t>в</w:t>
      </w:r>
      <w:r w:rsidR="005C7943">
        <w:rPr>
          <w:szCs w:val="20"/>
        </w:rPr>
        <w:t>а</w:t>
      </w:r>
      <w:r w:rsidRPr="00103327">
        <w:rPr>
          <w:szCs w:val="20"/>
        </w:rPr>
        <w:t>;</w:t>
      </w:r>
    </w:p>
    <w:p w:rsidR="00103327" w:rsidRPr="00103327" w:rsidRDefault="00103327" w:rsidP="00103327">
      <w:pPr>
        <w:numPr>
          <w:ilvl w:val="0"/>
          <w:numId w:val="30"/>
        </w:numPr>
        <w:tabs>
          <w:tab w:val="left" w:pos="993"/>
        </w:tabs>
        <w:ind w:left="0" w:firstLine="709"/>
        <w:contextualSpacing/>
        <w:jc w:val="both"/>
        <w:rPr>
          <w:szCs w:val="20"/>
        </w:rPr>
      </w:pPr>
      <w:r w:rsidRPr="00103327">
        <w:rPr>
          <w:szCs w:val="20"/>
        </w:rPr>
        <w:t>45,2 млн. лв. – суми за преструктуриране, 85 % от планираните 53,2 млн.</w:t>
      </w:r>
      <w:r w:rsidR="005C7943">
        <w:rPr>
          <w:szCs w:val="20"/>
        </w:rPr>
        <w:t> </w:t>
      </w:r>
      <w:r w:rsidRPr="00103327">
        <w:rPr>
          <w:szCs w:val="20"/>
        </w:rPr>
        <w:t>л</w:t>
      </w:r>
      <w:r w:rsidR="005C7943">
        <w:rPr>
          <w:szCs w:val="20"/>
        </w:rPr>
        <w:t>е</w:t>
      </w:r>
      <w:r w:rsidRPr="00103327">
        <w:rPr>
          <w:szCs w:val="20"/>
        </w:rPr>
        <w:t>в</w:t>
      </w:r>
      <w:r w:rsidR="005C7943">
        <w:rPr>
          <w:szCs w:val="20"/>
        </w:rPr>
        <w:t>а</w:t>
      </w:r>
      <w:r w:rsidRPr="00103327">
        <w:rPr>
          <w:szCs w:val="20"/>
        </w:rPr>
        <w:t>.</w:t>
      </w:r>
    </w:p>
    <w:p w:rsidR="00103327" w:rsidRPr="00103327" w:rsidRDefault="00103327" w:rsidP="00103327">
      <w:pPr>
        <w:spacing w:before="120" w:after="120"/>
        <w:jc w:val="both"/>
        <w:rPr>
          <w:b/>
          <w:i/>
          <w:color w:val="0070C0"/>
          <w:lang w:eastAsia="bg-BG"/>
        </w:rPr>
      </w:pPr>
      <w:r w:rsidRPr="00103327">
        <w:rPr>
          <w:b/>
          <w:i/>
          <w:lang w:eastAsia="bg-BG"/>
        </w:rPr>
        <w:t>Възстановените суми от Европейския съюз към 31.12.2017 г. са, както следва:</w:t>
      </w:r>
    </w:p>
    <w:p w:rsidR="00103327" w:rsidRPr="00103327" w:rsidRDefault="00103327" w:rsidP="00103327">
      <w:pPr>
        <w:numPr>
          <w:ilvl w:val="0"/>
          <w:numId w:val="30"/>
        </w:numPr>
        <w:tabs>
          <w:tab w:val="left" w:pos="993"/>
        </w:tabs>
        <w:ind w:left="0" w:firstLine="709"/>
        <w:contextualSpacing/>
        <w:jc w:val="both"/>
        <w:rPr>
          <w:szCs w:val="20"/>
        </w:rPr>
      </w:pPr>
      <w:r w:rsidRPr="00103327">
        <w:rPr>
          <w:szCs w:val="20"/>
          <w:lang w:val="en-US"/>
        </w:rPr>
        <w:t>1 48</w:t>
      </w:r>
      <w:r w:rsidRPr="00103327">
        <w:rPr>
          <w:szCs w:val="20"/>
        </w:rPr>
        <w:t>8</w:t>
      </w:r>
      <w:proofErr w:type="gramStart"/>
      <w:r w:rsidRPr="00103327">
        <w:rPr>
          <w:szCs w:val="20"/>
        </w:rPr>
        <w:t>,3</w:t>
      </w:r>
      <w:proofErr w:type="gramEnd"/>
      <w:r w:rsidRPr="00103327">
        <w:rPr>
          <w:szCs w:val="20"/>
        </w:rPr>
        <w:t xml:space="preserve"> млн. лв. за директни плащания от ЕФГЗ – 105,7 % спрямо заложените 1 408,2 млн. л</w:t>
      </w:r>
      <w:r w:rsidR="005C7943">
        <w:rPr>
          <w:szCs w:val="20"/>
        </w:rPr>
        <w:t>е</w:t>
      </w:r>
      <w:r w:rsidRPr="00103327">
        <w:rPr>
          <w:szCs w:val="20"/>
        </w:rPr>
        <w:t>в</w:t>
      </w:r>
      <w:r w:rsidR="005C7943">
        <w:rPr>
          <w:szCs w:val="20"/>
        </w:rPr>
        <w:t>а</w:t>
      </w:r>
      <w:r w:rsidRPr="00103327">
        <w:rPr>
          <w:szCs w:val="20"/>
        </w:rPr>
        <w:t>;</w:t>
      </w:r>
    </w:p>
    <w:p w:rsidR="00103327" w:rsidRPr="00103327" w:rsidRDefault="00103327" w:rsidP="00103327">
      <w:pPr>
        <w:numPr>
          <w:ilvl w:val="0"/>
          <w:numId w:val="30"/>
        </w:numPr>
        <w:tabs>
          <w:tab w:val="left" w:pos="993"/>
        </w:tabs>
        <w:ind w:left="0" w:firstLine="709"/>
        <w:contextualSpacing/>
        <w:jc w:val="both"/>
        <w:rPr>
          <w:szCs w:val="20"/>
        </w:rPr>
      </w:pPr>
      <w:r w:rsidRPr="00103327">
        <w:rPr>
          <w:szCs w:val="20"/>
        </w:rPr>
        <w:t>при планирани за получаване 441,2 млн. лв. от ЕЗФРСР, прехвърлени към директни плащания са постъпили 208,8 млн. л</w:t>
      </w:r>
      <w:r w:rsidR="005C7943">
        <w:rPr>
          <w:szCs w:val="20"/>
        </w:rPr>
        <w:t>е</w:t>
      </w:r>
      <w:r w:rsidRPr="00103327">
        <w:rPr>
          <w:szCs w:val="20"/>
        </w:rPr>
        <w:t>в</w:t>
      </w:r>
      <w:r w:rsidR="005C7943">
        <w:rPr>
          <w:szCs w:val="20"/>
        </w:rPr>
        <w:t>а</w:t>
      </w:r>
      <w:r w:rsidRPr="00103327">
        <w:rPr>
          <w:szCs w:val="20"/>
        </w:rPr>
        <w:t>;</w:t>
      </w:r>
    </w:p>
    <w:p w:rsidR="00103327" w:rsidRPr="00103327" w:rsidRDefault="00103327" w:rsidP="00103327">
      <w:pPr>
        <w:numPr>
          <w:ilvl w:val="0"/>
          <w:numId w:val="30"/>
        </w:numPr>
        <w:tabs>
          <w:tab w:val="left" w:pos="993"/>
        </w:tabs>
        <w:ind w:left="0" w:firstLine="709"/>
        <w:contextualSpacing/>
        <w:jc w:val="both"/>
        <w:rPr>
          <w:szCs w:val="20"/>
        </w:rPr>
      </w:pPr>
      <w:r w:rsidRPr="00103327">
        <w:rPr>
          <w:szCs w:val="20"/>
        </w:rPr>
        <w:t>22,3 млн. лв. за пазарни мерки, 68,6 % изпълнение на планираните 32,5 млн.</w:t>
      </w:r>
      <w:r w:rsidR="005C7943">
        <w:rPr>
          <w:szCs w:val="20"/>
        </w:rPr>
        <w:t> </w:t>
      </w:r>
      <w:r w:rsidRPr="00103327">
        <w:rPr>
          <w:szCs w:val="20"/>
        </w:rPr>
        <w:t>л</w:t>
      </w:r>
      <w:r w:rsidR="005C7943">
        <w:rPr>
          <w:szCs w:val="20"/>
        </w:rPr>
        <w:t>е</w:t>
      </w:r>
      <w:r w:rsidRPr="00103327">
        <w:rPr>
          <w:szCs w:val="20"/>
        </w:rPr>
        <w:t>в</w:t>
      </w:r>
      <w:r w:rsidR="005C7943">
        <w:rPr>
          <w:szCs w:val="20"/>
        </w:rPr>
        <w:t>а</w:t>
      </w:r>
      <w:r w:rsidRPr="00103327">
        <w:rPr>
          <w:szCs w:val="20"/>
        </w:rPr>
        <w:t>;</w:t>
      </w:r>
    </w:p>
    <w:p w:rsidR="00103327" w:rsidRPr="00103327" w:rsidRDefault="00103327" w:rsidP="00103327">
      <w:pPr>
        <w:numPr>
          <w:ilvl w:val="0"/>
          <w:numId w:val="30"/>
        </w:numPr>
        <w:tabs>
          <w:tab w:val="left" w:pos="993"/>
        </w:tabs>
        <w:ind w:left="0" w:firstLine="709"/>
        <w:contextualSpacing/>
        <w:jc w:val="both"/>
        <w:rPr>
          <w:szCs w:val="20"/>
        </w:rPr>
      </w:pPr>
      <w:r w:rsidRPr="00103327">
        <w:rPr>
          <w:szCs w:val="20"/>
        </w:rPr>
        <w:t>42,9 млн. лв. – суми за преструктуриране, 92,5 % изпълнение на планираните 46,4 млн. л</w:t>
      </w:r>
      <w:r w:rsidR="00803EEA">
        <w:rPr>
          <w:szCs w:val="20"/>
        </w:rPr>
        <w:t>е</w:t>
      </w:r>
      <w:r w:rsidRPr="00103327">
        <w:rPr>
          <w:szCs w:val="20"/>
        </w:rPr>
        <w:t>в</w:t>
      </w:r>
      <w:r w:rsidR="00803EEA">
        <w:rPr>
          <w:szCs w:val="20"/>
        </w:rPr>
        <w:t>а</w:t>
      </w:r>
      <w:r w:rsidRPr="00103327">
        <w:rPr>
          <w:szCs w:val="20"/>
        </w:rPr>
        <w:t>.</w:t>
      </w:r>
    </w:p>
    <w:p w:rsidR="00103327" w:rsidRPr="00103327" w:rsidRDefault="00103327" w:rsidP="00103327">
      <w:pPr>
        <w:jc w:val="both"/>
        <w:rPr>
          <w:rFonts w:ascii="Times New Roman CYR" w:hAnsi="Times New Roman CYR" w:cs="Times New Roman CYR"/>
        </w:rPr>
      </w:pPr>
      <w:r w:rsidRPr="00103327">
        <w:rPr>
          <w:lang w:eastAsia="bg-BG"/>
        </w:rPr>
        <w:t xml:space="preserve">Сумите (нето) по разчети с ЦБ за финансиране на плащания при недостиг на средства по сметки за годината са </w:t>
      </w:r>
      <w:r w:rsidR="00803EEA">
        <w:rPr>
          <w:lang w:eastAsia="bg-BG"/>
        </w:rPr>
        <w:t xml:space="preserve">в размер на </w:t>
      </w:r>
      <w:r w:rsidRPr="00103327">
        <w:rPr>
          <w:lang w:eastAsia="bg-BG"/>
        </w:rPr>
        <w:t>181,3 млн. лева. Предоставените ч</w:t>
      </w:r>
      <w:r w:rsidRPr="00103327">
        <w:t xml:space="preserve">ужди средства от други лица са (-0,02) млн. лв., </w:t>
      </w:r>
      <w:r w:rsidRPr="00103327">
        <w:rPr>
          <w:rFonts w:ascii="Times New Roman CYR" w:hAnsi="Times New Roman CYR" w:cs="Times New Roman CYR"/>
        </w:rPr>
        <w:t xml:space="preserve">представляващи резултативна величина между постъпилите и възстановени </w:t>
      </w:r>
      <w:proofErr w:type="spellStart"/>
      <w:r w:rsidRPr="00103327">
        <w:rPr>
          <w:rFonts w:ascii="Times New Roman CYR" w:hAnsi="Times New Roman CYR" w:cs="Times New Roman CYR"/>
        </w:rPr>
        <w:t>кешови</w:t>
      </w:r>
      <w:proofErr w:type="spellEnd"/>
      <w:r w:rsidRPr="00103327">
        <w:rPr>
          <w:rFonts w:ascii="Times New Roman CYR" w:hAnsi="Times New Roman CYR" w:cs="Times New Roman CYR"/>
        </w:rPr>
        <w:t xml:space="preserve"> гаранции и чужди средства.</w:t>
      </w:r>
    </w:p>
    <w:p w:rsidR="00103327" w:rsidRPr="00103327" w:rsidRDefault="00103327" w:rsidP="00103327">
      <w:pPr>
        <w:jc w:val="both"/>
        <w:rPr>
          <w:rFonts w:ascii="Times New Roman CYR" w:hAnsi="Times New Roman CYR" w:cs="Times New Roman CYR"/>
          <w:color w:val="0070C0"/>
        </w:rPr>
      </w:pPr>
    </w:p>
    <w:p w:rsidR="000B5100" w:rsidRPr="00103327" w:rsidRDefault="000B5100" w:rsidP="00564156">
      <w:pPr>
        <w:keepNext/>
        <w:numPr>
          <w:ilvl w:val="1"/>
          <w:numId w:val="40"/>
        </w:numPr>
        <w:spacing w:after="120"/>
        <w:ind w:left="788" w:right="-108" w:hanging="431"/>
        <w:jc w:val="both"/>
        <w:outlineLvl w:val="0"/>
        <w:rPr>
          <w:b/>
          <w:bCs/>
        </w:rPr>
      </w:pPr>
      <w:r w:rsidRPr="00103327">
        <w:rPr>
          <w:b/>
          <w:bCs/>
        </w:rPr>
        <w:t>Национален фонд към Министерство на финансите</w:t>
      </w:r>
    </w:p>
    <w:p w:rsidR="00103327" w:rsidRPr="00CA25E3" w:rsidRDefault="00103327" w:rsidP="00CA25E3">
      <w:pPr>
        <w:pStyle w:val="BodyText"/>
        <w:spacing w:after="120"/>
      </w:pPr>
      <w:r w:rsidRPr="00CA25E3">
        <w:t xml:space="preserve">По сметките на Национален фонд (НФ) към 31.12.2017 г. са постъпили приходи  (нето) в размер на 1 105,5 млн. лв. по програмите, финансирани от Европейския фонд за регионално </w:t>
      </w:r>
      <w:r w:rsidRPr="00CA25E3">
        <w:lastRenderedPageBreak/>
        <w:t xml:space="preserve">развитие, Европейския социален фонд (включително Инициативата за младежка заетост), </w:t>
      </w:r>
      <w:proofErr w:type="spellStart"/>
      <w:r w:rsidRPr="00CA25E3">
        <w:t>Кохезионния</w:t>
      </w:r>
      <w:proofErr w:type="spellEnd"/>
      <w:r w:rsidRPr="00CA25E3">
        <w:t xml:space="preserve"> фонд и Фонда за европейско подпомагане на най-нуждаещите се лица (ФЕПН) на ЕС за финансовата рамка 2014 – 2020 г., Финансовия механизъм на Европейското икономическо пространство (ЕИП) 2009-2014 г., Норвежкия финансов механизъм (НФМ) 2009-2014 г. и за периода  2014-2021 г., двустранните програми за трансгранично сътрудничество по външните граници на EС за периода 2014 – 2020 г. и Българо-швейцарската програма за сътрудничество (БШПС),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двустранните програми за трансгранично сътрудничество по външните граници на ЕС и изплатените средства от получения ресурс към бенефициенти извън страната. </w:t>
      </w:r>
    </w:p>
    <w:p w:rsidR="00103327" w:rsidRPr="008D2385" w:rsidRDefault="00103327" w:rsidP="008D2385">
      <w:pPr>
        <w:pStyle w:val="BodyText"/>
        <w:spacing w:after="120"/>
      </w:pPr>
      <w:r w:rsidRPr="008D2385">
        <w:t>Извършените разходи (нето) за периода чрез сметките на НФ възлизат на 549,5 млн. лева. По видове разходи изпълнението е както следва: 78,85 % от общия размер са капиталови трансфери, 20,65 % са субсидии и 0,50 % - издръжка.</w:t>
      </w:r>
    </w:p>
    <w:p w:rsidR="00103327" w:rsidRPr="0096051A" w:rsidRDefault="00103327" w:rsidP="008D2385">
      <w:pPr>
        <w:pStyle w:val="BodyText"/>
        <w:spacing w:after="120"/>
        <w:rPr>
          <w:bCs/>
          <w:color w:val="0070C0"/>
        </w:rPr>
      </w:pPr>
      <w:r w:rsidRPr="008D2385">
        <w:t>Трансферите (нето) и временните</w:t>
      </w:r>
      <w:r w:rsidRPr="000F7B3E">
        <w:rPr>
          <w:bCs/>
        </w:rPr>
        <w:t xml:space="preserve"> безлихвени заеми (нето) за разглеждания период са в размер на 990,5 млн. лв.</w:t>
      </w:r>
      <w:r w:rsidRPr="000F7B3E">
        <w:rPr>
          <w:szCs w:val="20"/>
        </w:rPr>
        <w:t xml:space="preserve"> </w:t>
      </w:r>
      <w:r w:rsidRPr="000F7B3E">
        <w:t xml:space="preserve">(включват предоставените трансфери към бенефициенти по Оперативните програми (ОП) на ЕС - програмни периоди 2007 – 2013 г. и 2014 – 2020 г., по </w:t>
      </w:r>
      <w:r w:rsidRPr="000F7B3E">
        <w:rPr>
          <w:bCs/>
        </w:rPr>
        <w:t>двустранните програми за трансгранично сътрудничество по външни граници на EС за периода 2007 – 2013 г. и 2014 – 2020 г., ФМ на ЕИП 2009 – 2014 г., НФМ 2009 – 2014 г. и за периода 2014-2021 г. и БШПС,</w:t>
      </w:r>
      <w:r w:rsidRPr="000F7B3E">
        <w:t xml:space="preserve"> възстановени суми по приключили проекти, възстановени недопустими разходи и др. от бенефициенти-бюджетни организации)</w:t>
      </w:r>
      <w:r w:rsidRPr="000F7B3E">
        <w:rPr>
          <w:szCs w:val="20"/>
        </w:rPr>
        <w:t>.</w:t>
      </w:r>
      <w:r w:rsidRPr="000F7B3E">
        <w:rPr>
          <w:bCs/>
        </w:rPr>
        <w:t xml:space="preserve"> В консолидираната </w:t>
      </w:r>
      <w:r w:rsidRPr="000F7B3E">
        <w:rPr>
          <w:szCs w:val="20"/>
        </w:rPr>
        <w:t>отчетност на НФ</w:t>
      </w:r>
      <w:r w:rsidRPr="000F7B3E">
        <w:rPr>
          <w:bCs/>
        </w:rPr>
        <w:t xml:space="preserve"> са отразени и трансфери (нето) към бенефициенти, които са за сметка на средства, предоставени на МРРБ от държавите-партньори по </w:t>
      </w:r>
      <w:r w:rsidRPr="000F7B3E">
        <w:rPr>
          <w:szCs w:val="20"/>
        </w:rPr>
        <w:t>двустранните програми за трансгранично сътрудничество.</w:t>
      </w:r>
    </w:p>
    <w:p w:rsidR="00103327" w:rsidRPr="00583E1F" w:rsidRDefault="00103327" w:rsidP="00703D84">
      <w:pPr>
        <w:jc w:val="both"/>
        <w:rPr>
          <w:bCs/>
        </w:rPr>
      </w:pPr>
      <w:r w:rsidRPr="00583E1F">
        <w:rPr>
          <w:bCs/>
        </w:rPr>
        <w:t>Във връзка с изпълнението на ОП</w:t>
      </w:r>
      <w:r w:rsidRPr="00583E1F">
        <w:rPr>
          <w:rFonts w:ascii="Arial" w:hAnsi="Arial"/>
        </w:rPr>
        <w:t xml:space="preserve"> - </w:t>
      </w:r>
      <w:r w:rsidRPr="00583E1F">
        <w:rPr>
          <w:bCs/>
        </w:rPr>
        <w:t>програмен период 2007 – 2013 г. и програмен период 2014 – 2020 г., двустранните програми за трансгранично сътрудничество по външните граници на EС 2007 – 2013 г. и периода 2014 – 2020 г., ФМ на ЕИП</w:t>
      </w:r>
      <w:r>
        <w:rPr>
          <w:bCs/>
        </w:rPr>
        <w:t xml:space="preserve"> 2009 – 2014 г. и</w:t>
      </w:r>
      <w:r w:rsidRPr="00583E1F">
        <w:rPr>
          <w:bCs/>
        </w:rPr>
        <w:t xml:space="preserve"> НФМ 2009 – 2014 г. и за периода 2014-2021 г. по сметките на Националния фонд са получени трансфери от централния бюджет на стойност 824,4 млн. лева.</w:t>
      </w:r>
    </w:p>
    <w:p w:rsidR="00103327" w:rsidRPr="00A05FBD" w:rsidRDefault="00103327" w:rsidP="00703D84">
      <w:pPr>
        <w:jc w:val="both"/>
        <w:rPr>
          <w:bCs/>
        </w:rPr>
      </w:pPr>
      <w:r w:rsidRPr="00A05FBD">
        <w:rPr>
          <w:bCs/>
        </w:rPr>
        <w:t>Неданъчните приходи, постъпили по сметките на НФ, са в размер на 0,6 млн. лв. Част от тях са натрупаните лихви в резултат на управлението на свободните средства в обслужващите търговски банки, като към 31.12.2017 г. те възлизат на 0,3 млн. лева.</w:t>
      </w:r>
    </w:p>
    <w:p w:rsidR="00103327" w:rsidRPr="00A05FBD" w:rsidRDefault="00B825FE" w:rsidP="00703D84">
      <w:pPr>
        <w:jc w:val="both"/>
        <w:rPr>
          <w:szCs w:val="20"/>
        </w:rPr>
      </w:pPr>
      <w:r>
        <w:rPr>
          <w:bCs/>
        </w:rPr>
        <w:t xml:space="preserve"> </w:t>
      </w:r>
      <w:r w:rsidR="00103327" w:rsidRPr="00A05FBD">
        <w:rPr>
          <w:szCs w:val="20"/>
        </w:rPr>
        <w:t xml:space="preserve">Наличностите по сметките за средства от ЕС на НФ към </w:t>
      </w:r>
      <w:r w:rsidR="00103327" w:rsidRPr="00A05FBD">
        <w:rPr>
          <w:bCs/>
        </w:rPr>
        <w:t>31.12.2017 г.</w:t>
      </w:r>
      <w:r w:rsidR="00103327" w:rsidRPr="00A05FBD">
        <w:rPr>
          <w:szCs w:val="20"/>
        </w:rPr>
        <w:t xml:space="preserve"> възлизат на 2 735,6 млн. лв. (в отчета на НФ са включени и наличностите на Фонда мениджър на финансови инструменти в България (Фонд на фондовете), които са в размер на 233,</w:t>
      </w:r>
      <w:r w:rsidR="00103327" w:rsidRPr="00A05FBD">
        <w:rPr>
          <w:szCs w:val="20"/>
          <w:lang w:val="en-US"/>
        </w:rPr>
        <w:t>8</w:t>
      </w:r>
      <w:r w:rsidR="00103327" w:rsidRPr="00A05FBD">
        <w:rPr>
          <w:szCs w:val="20"/>
        </w:rPr>
        <w:t xml:space="preserve"> млн. лв.), като в БНБ са в размер на 2 703,1 млн. лв., а в търговските банки - в размер на 32,5 млн. лева.</w:t>
      </w:r>
    </w:p>
    <w:p w:rsidR="00103327" w:rsidRPr="00CE4B32" w:rsidRDefault="00103327" w:rsidP="00103327">
      <w:pPr>
        <w:spacing w:before="240"/>
        <w:ind w:firstLine="567"/>
        <w:jc w:val="both"/>
        <w:rPr>
          <w:b/>
          <w:snapToGrid w:val="0"/>
          <w:szCs w:val="20"/>
        </w:rPr>
      </w:pPr>
      <w:r w:rsidRPr="00CE4B32">
        <w:rPr>
          <w:b/>
          <w:bCs/>
        </w:rPr>
        <w:t xml:space="preserve">Структурни и </w:t>
      </w:r>
      <w:proofErr w:type="spellStart"/>
      <w:r w:rsidRPr="00CE4B32">
        <w:rPr>
          <w:b/>
          <w:bCs/>
        </w:rPr>
        <w:t>Кохезионен</w:t>
      </w:r>
      <w:proofErr w:type="spellEnd"/>
      <w:r w:rsidRPr="00CE4B32">
        <w:rPr>
          <w:b/>
          <w:bCs/>
        </w:rPr>
        <w:t xml:space="preserve"> фондове </w:t>
      </w:r>
      <w:r w:rsidRPr="00CE4B32">
        <w:rPr>
          <w:b/>
          <w:snapToGrid w:val="0"/>
          <w:szCs w:val="20"/>
        </w:rPr>
        <w:t>(СКФ) 2007 – 2013 г.</w:t>
      </w:r>
    </w:p>
    <w:p w:rsidR="00103327" w:rsidRPr="008D2385" w:rsidRDefault="00103327" w:rsidP="008D2385">
      <w:pPr>
        <w:pStyle w:val="BodyText"/>
        <w:spacing w:after="120"/>
      </w:pPr>
      <w:r w:rsidRPr="008D2385">
        <w:t>Направените разходи (нето) по Оперативни програми и трансферите (нето) към бюджетни организации за периода са отразени в отчета със знак „минус“ (-29,1 млн. лв.), защото извършените плащания за периода в размер на 8,</w:t>
      </w:r>
      <w:proofErr w:type="spellStart"/>
      <w:r w:rsidRPr="008D2385">
        <w:t>8</w:t>
      </w:r>
      <w:proofErr w:type="spellEnd"/>
      <w:r w:rsidRPr="008D2385">
        <w:t xml:space="preserve"> млн. лева, са по-малко в сравнение с възстановените средства от бенефициенти към Национален фонд, които са 37,9 млн. лева. </w:t>
      </w:r>
    </w:p>
    <w:p w:rsidR="00103327" w:rsidRPr="008D2385" w:rsidRDefault="00103327" w:rsidP="008D2385">
      <w:pPr>
        <w:pStyle w:val="BodyText"/>
        <w:spacing w:after="120"/>
      </w:pPr>
      <w:r w:rsidRPr="008D2385">
        <w:t>През отчетния период е възстановено авансово фина</w:t>
      </w:r>
      <w:r w:rsidR="008D2385">
        <w:t>нсиране в размер на 30,4 млн. л</w:t>
      </w:r>
      <w:r w:rsidRPr="008D2385">
        <w:t>в.</w:t>
      </w:r>
    </w:p>
    <w:p w:rsidR="00103327" w:rsidRPr="0096051A" w:rsidRDefault="00103327" w:rsidP="00103327">
      <w:pPr>
        <w:tabs>
          <w:tab w:val="left" w:pos="570"/>
          <w:tab w:val="num" w:pos="741"/>
        </w:tabs>
        <w:spacing w:before="120"/>
        <w:ind w:firstLine="567"/>
        <w:jc w:val="both"/>
        <w:rPr>
          <w:b/>
          <w:bCs/>
          <w:color w:val="0070C0"/>
        </w:rPr>
      </w:pPr>
      <w:r w:rsidRPr="0096051A">
        <w:rPr>
          <w:color w:val="0070C0"/>
          <w:szCs w:val="20"/>
        </w:rPr>
        <w:tab/>
      </w:r>
      <w:r w:rsidRPr="00367A36">
        <w:rPr>
          <w:b/>
          <w:bCs/>
        </w:rPr>
        <w:t xml:space="preserve">Европейски фонд за регионално развитие, Европейски социален фонд (включително Инициативата за младежка заетост), </w:t>
      </w:r>
      <w:proofErr w:type="spellStart"/>
      <w:r w:rsidRPr="00367A36">
        <w:rPr>
          <w:b/>
          <w:bCs/>
        </w:rPr>
        <w:t>Кохезионния</w:t>
      </w:r>
      <w:proofErr w:type="spellEnd"/>
      <w:r w:rsidRPr="00367A36">
        <w:rPr>
          <w:b/>
          <w:bCs/>
        </w:rPr>
        <w:t xml:space="preserve"> фонд и ФЕПН на Европейския съюз за финансова рамка 2014 – 2020 г.</w:t>
      </w:r>
    </w:p>
    <w:p w:rsidR="00103327" w:rsidRDefault="00103327" w:rsidP="008D2385">
      <w:pPr>
        <w:tabs>
          <w:tab w:val="left" w:pos="570"/>
          <w:tab w:val="num" w:pos="741"/>
        </w:tabs>
        <w:jc w:val="both"/>
        <w:rPr>
          <w:szCs w:val="20"/>
        </w:rPr>
      </w:pPr>
      <w:r w:rsidRPr="0096051A">
        <w:rPr>
          <w:color w:val="0070C0"/>
          <w:szCs w:val="20"/>
        </w:rPr>
        <w:tab/>
      </w:r>
      <w:r w:rsidRPr="00367A36">
        <w:rPr>
          <w:bCs/>
        </w:rPr>
        <w:t xml:space="preserve">Общо получените средства за периода са в размер на 1 098,5 </w:t>
      </w:r>
      <w:r w:rsidRPr="00367A36">
        <w:rPr>
          <w:bCs/>
          <w:szCs w:val="20"/>
        </w:rPr>
        <w:t xml:space="preserve">млн. лв., включващи годишни аванси и </w:t>
      </w:r>
      <w:r w:rsidRPr="00367A36">
        <w:rPr>
          <w:szCs w:val="20"/>
        </w:rPr>
        <w:t>въз</w:t>
      </w:r>
      <w:r w:rsidR="008D2385">
        <w:rPr>
          <w:szCs w:val="20"/>
        </w:rPr>
        <w:t>становени средства от ЕК</w:t>
      </w:r>
      <w:r w:rsidRPr="00367A36">
        <w:rPr>
          <w:szCs w:val="20"/>
        </w:rPr>
        <w:t>, както следва:</w:t>
      </w:r>
    </w:p>
    <w:p w:rsidR="008D2385" w:rsidRPr="008D2385" w:rsidRDefault="008D2385" w:rsidP="00103327">
      <w:pPr>
        <w:tabs>
          <w:tab w:val="left" w:pos="570"/>
          <w:tab w:val="num" w:pos="741"/>
        </w:tabs>
        <w:ind w:firstLine="567"/>
        <w:jc w:val="both"/>
        <w:rPr>
          <w:bCs/>
          <w:sz w:val="8"/>
          <w:szCs w:val="8"/>
        </w:rPr>
      </w:pPr>
    </w:p>
    <w:p w:rsidR="00103327" w:rsidRPr="00367A36" w:rsidRDefault="00103327" w:rsidP="008D2385">
      <w:pPr>
        <w:numPr>
          <w:ilvl w:val="0"/>
          <w:numId w:val="12"/>
        </w:numPr>
        <w:tabs>
          <w:tab w:val="num" w:pos="741"/>
          <w:tab w:val="num" w:pos="786"/>
        </w:tabs>
        <w:ind w:left="737" w:hanging="311"/>
        <w:jc w:val="both"/>
        <w:rPr>
          <w:bCs/>
          <w:lang w:eastAsia="bg-BG"/>
        </w:rPr>
      </w:pPr>
      <w:r w:rsidRPr="00367A36">
        <w:rPr>
          <w:bCs/>
          <w:lang w:eastAsia="bg-BG"/>
        </w:rPr>
        <w:t xml:space="preserve">ОП „Иновации и конкурентоспособност” – 285,0 млн. лв.;  </w:t>
      </w:r>
    </w:p>
    <w:p w:rsidR="00103327" w:rsidRPr="00367A36" w:rsidRDefault="00103327" w:rsidP="008D2385">
      <w:pPr>
        <w:numPr>
          <w:ilvl w:val="0"/>
          <w:numId w:val="12"/>
        </w:numPr>
        <w:tabs>
          <w:tab w:val="num" w:pos="741"/>
          <w:tab w:val="num" w:pos="786"/>
        </w:tabs>
        <w:ind w:left="737" w:hanging="311"/>
        <w:jc w:val="both"/>
        <w:rPr>
          <w:bCs/>
          <w:lang w:eastAsia="bg-BG"/>
        </w:rPr>
      </w:pPr>
      <w:r w:rsidRPr="00367A36">
        <w:rPr>
          <w:bCs/>
          <w:lang w:eastAsia="bg-BG"/>
        </w:rPr>
        <w:t>ОП „Добро управление” – 19,2 млн. лв.;</w:t>
      </w:r>
    </w:p>
    <w:p w:rsidR="00103327" w:rsidRPr="00367A36" w:rsidRDefault="00103327" w:rsidP="008D2385">
      <w:pPr>
        <w:numPr>
          <w:ilvl w:val="0"/>
          <w:numId w:val="12"/>
        </w:numPr>
        <w:tabs>
          <w:tab w:val="num" w:pos="741"/>
          <w:tab w:val="num" w:pos="786"/>
        </w:tabs>
        <w:ind w:left="737" w:hanging="311"/>
        <w:jc w:val="both"/>
        <w:rPr>
          <w:bCs/>
          <w:lang w:eastAsia="bg-BG"/>
        </w:rPr>
      </w:pPr>
      <w:r w:rsidRPr="00367A36">
        <w:rPr>
          <w:bCs/>
          <w:lang w:eastAsia="bg-BG"/>
        </w:rPr>
        <w:lastRenderedPageBreak/>
        <w:t xml:space="preserve">ОП „Транспорт и транспортна инфраструктура” – 288,3 млн. лв.; </w:t>
      </w:r>
    </w:p>
    <w:p w:rsidR="00103327" w:rsidRPr="00367A36" w:rsidRDefault="00103327" w:rsidP="008D2385">
      <w:pPr>
        <w:numPr>
          <w:ilvl w:val="0"/>
          <w:numId w:val="12"/>
        </w:numPr>
        <w:tabs>
          <w:tab w:val="num" w:pos="741"/>
          <w:tab w:val="num" w:pos="786"/>
        </w:tabs>
        <w:ind w:left="737" w:hanging="311"/>
        <w:jc w:val="both"/>
        <w:rPr>
          <w:bCs/>
          <w:lang w:eastAsia="bg-BG"/>
        </w:rPr>
      </w:pPr>
      <w:r w:rsidRPr="00367A36">
        <w:rPr>
          <w:bCs/>
          <w:lang w:eastAsia="bg-BG"/>
        </w:rPr>
        <w:t>ОП „Развитие на човешките ресурси 2014 - 2020 г.” – 165,2 млн. лв.;</w:t>
      </w:r>
    </w:p>
    <w:p w:rsidR="00103327" w:rsidRPr="00367A36" w:rsidRDefault="00103327" w:rsidP="008D2385">
      <w:pPr>
        <w:numPr>
          <w:ilvl w:val="0"/>
          <w:numId w:val="12"/>
        </w:numPr>
        <w:tabs>
          <w:tab w:val="num" w:pos="741"/>
          <w:tab w:val="num" w:pos="786"/>
        </w:tabs>
        <w:ind w:left="737" w:hanging="311"/>
        <w:jc w:val="both"/>
        <w:rPr>
          <w:bCs/>
          <w:lang w:eastAsia="bg-BG"/>
        </w:rPr>
      </w:pPr>
      <w:r w:rsidRPr="00367A36">
        <w:rPr>
          <w:bCs/>
          <w:lang w:eastAsia="bg-BG"/>
        </w:rPr>
        <w:t>Инициативата за младежка заетост – 52,5 млн. лв.;</w:t>
      </w:r>
    </w:p>
    <w:p w:rsidR="00103327" w:rsidRPr="00367A36" w:rsidRDefault="00103327" w:rsidP="008D2385">
      <w:pPr>
        <w:numPr>
          <w:ilvl w:val="0"/>
          <w:numId w:val="12"/>
        </w:numPr>
        <w:tabs>
          <w:tab w:val="num" w:pos="741"/>
          <w:tab w:val="num" w:pos="786"/>
        </w:tabs>
        <w:ind w:left="737" w:hanging="311"/>
        <w:jc w:val="both"/>
        <w:rPr>
          <w:bCs/>
          <w:lang w:eastAsia="bg-BG"/>
        </w:rPr>
      </w:pPr>
      <w:r w:rsidRPr="00367A36">
        <w:rPr>
          <w:bCs/>
          <w:lang w:eastAsia="bg-BG"/>
        </w:rPr>
        <w:t>ОП за храни и/или основно материално подпомагане от Фонда за европейско подпомагане на най-нуждаещите се лица в България за периода 2014 – 2020 г. – 45,6 млн. лв.;</w:t>
      </w:r>
    </w:p>
    <w:p w:rsidR="00103327" w:rsidRPr="00367A36" w:rsidRDefault="00103327" w:rsidP="008D2385">
      <w:pPr>
        <w:numPr>
          <w:ilvl w:val="0"/>
          <w:numId w:val="12"/>
        </w:numPr>
        <w:tabs>
          <w:tab w:val="num" w:pos="741"/>
          <w:tab w:val="num" w:pos="786"/>
        </w:tabs>
        <w:ind w:left="737" w:hanging="311"/>
        <w:jc w:val="both"/>
        <w:rPr>
          <w:bCs/>
          <w:lang w:eastAsia="bg-BG"/>
        </w:rPr>
      </w:pPr>
      <w:r w:rsidRPr="00367A36">
        <w:rPr>
          <w:bCs/>
          <w:lang w:eastAsia="bg-BG"/>
        </w:rPr>
        <w:t>ОП „Околна среда 2014 – 2020 г.“ – 103,6</w:t>
      </w:r>
      <w:r w:rsidRPr="00367A36">
        <w:rPr>
          <w:rFonts w:ascii="Arial" w:hAnsi="Arial"/>
          <w:bCs/>
          <w:lang w:eastAsia="bg-BG"/>
        </w:rPr>
        <w:t xml:space="preserve"> </w:t>
      </w:r>
      <w:r w:rsidRPr="00367A36">
        <w:rPr>
          <w:bCs/>
          <w:lang w:eastAsia="bg-BG"/>
        </w:rPr>
        <w:t xml:space="preserve">млн. лв.; </w:t>
      </w:r>
    </w:p>
    <w:p w:rsidR="00103327" w:rsidRPr="00367A36" w:rsidRDefault="00103327" w:rsidP="008D2385">
      <w:pPr>
        <w:numPr>
          <w:ilvl w:val="0"/>
          <w:numId w:val="12"/>
        </w:numPr>
        <w:tabs>
          <w:tab w:val="num" w:pos="741"/>
          <w:tab w:val="num" w:pos="786"/>
        </w:tabs>
        <w:ind w:left="737" w:hanging="311"/>
        <w:jc w:val="both"/>
        <w:rPr>
          <w:bCs/>
          <w:lang w:eastAsia="bg-BG"/>
        </w:rPr>
      </w:pPr>
      <w:r w:rsidRPr="00367A36">
        <w:rPr>
          <w:bCs/>
          <w:lang w:eastAsia="bg-BG"/>
        </w:rPr>
        <w:t>ОП „Региони в растеж“ – 131,0</w:t>
      </w:r>
      <w:r w:rsidRPr="00367A36">
        <w:rPr>
          <w:rFonts w:ascii="Arial" w:hAnsi="Arial"/>
          <w:bCs/>
          <w:lang w:eastAsia="bg-BG"/>
        </w:rPr>
        <w:t xml:space="preserve"> </w:t>
      </w:r>
      <w:r w:rsidRPr="00367A36">
        <w:rPr>
          <w:bCs/>
          <w:lang w:eastAsia="bg-BG"/>
        </w:rPr>
        <w:t xml:space="preserve">млн. лв.; </w:t>
      </w:r>
    </w:p>
    <w:p w:rsidR="00103327" w:rsidRPr="00367A36" w:rsidRDefault="00103327" w:rsidP="008D2385">
      <w:pPr>
        <w:numPr>
          <w:ilvl w:val="0"/>
          <w:numId w:val="12"/>
        </w:numPr>
        <w:tabs>
          <w:tab w:val="num" w:pos="741"/>
          <w:tab w:val="num" w:pos="786"/>
        </w:tabs>
        <w:ind w:left="737" w:hanging="311"/>
        <w:jc w:val="both"/>
        <w:rPr>
          <w:bCs/>
          <w:lang w:eastAsia="bg-BG"/>
        </w:rPr>
      </w:pPr>
      <w:r w:rsidRPr="00367A36">
        <w:rPr>
          <w:bCs/>
          <w:lang w:eastAsia="bg-BG"/>
        </w:rPr>
        <w:t>ОП „Наука и образование за интелигентен растеж” – 6,8 млн. лв.;</w:t>
      </w:r>
      <w:r w:rsidRPr="00367A36">
        <w:rPr>
          <w:bCs/>
          <w:lang w:val="en-US" w:eastAsia="bg-BG"/>
        </w:rPr>
        <w:t xml:space="preserve"> </w:t>
      </w:r>
    </w:p>
    <w:p w:rsidR="00103327" w:rsidRPr="00367A36" w:rsidRDefault="00103327" w:rsidP="008D2385">
      <w:pPr>
        <w:numPr>
          <w:ilvl w:val="0"/>
          <w:numId w:val="12"/>
        </w:numPr>
        <w:tabs>
          <w:tab w:val="num" w:pos="741"/>
          <w:tab w:val="num" w:pos="786"/>
        </w:tabs>
        <w:ind w:left="737" w:hanging="311"/>
        <w:jc w:val="both"/>
        <w:rPr>
          <w:bCs/>
          <w:lang w:eastAsia="bg-BG"/>
        </w:rPr>
      </w:pPr>
      <w:r w:rsidRPr="00367A36">
        <w:rPr>
          <w:bCs/>
          <w:lang w:eastAsia="bg-BG"/>
        </w:rPr>
        <w:t>ОП „Инициатива за малки и средни предприятия 2014-2020“ - 1,3 млн. лв.</w:t>
      </w:r>
    </w:p>
    <w:p w:rsidR="00103327" w:rsidRDefault="00103327" w:rsidP="008D2385">
      <w:pPr>
        <w:jc w:val="both"/>
        <w:rPr>
          <w:bCs/>
          <w:szCs w:val="20"/>
        </w:rPr>
      </w:pPr>
      <w:r w:rsidRPr="00367A36">
        <w:rPr>
          <w:bCs/>
          <w:szCs w:val="20"/>
        </w:rPr>
        <w:t>Направените разходи (нето) по Оперативни програми и трансферите (нето) към бюджетни организации за периода са в размер на 1 460,3 млн. лв., като разпределението по Оперативни програми е следното:</w:t>
      </w:r>
    </w:p>
    <w:p w:rsidR="008D2385" w:rsidRPr="008D2385" w:rsidRDefault="008D2385" w:rsidP="008D2385">
      <w:pPr>
        <w:jc w:val="both"/>
        <w:rPr>
          <w:bCs/>
          <w:sz w:val="8"/>
          <w:szCs w:val="8"/>
        </w:rPr>
      </w:pPr>
    </w:p>
    <w:p w:rsidR="00103327" w:rsidRPr="00367A36" w:rsidRDefault="00103327" w:rsidP="008D2385">
      <w:pPr>
        <w:numPr>
          <w:ilvl w:val="0"/>
          <w:numId w:val="12"/>
        </w:numPr>
        <w:tabs>
          <w:tab w:val="num" w:pos="741"/>
          <w:tab w:val="num" w:pos="786"/>
          <w:tab w:val="left" w:pos="1560"/>
        </w:tabs>
        <w:ind w:left="786"/>
        <w:jc w:val="both"/>
        <w:rPr>
          <w:bCs/>
          <w:szCs w:val="20"/>
        </w:rPr>
      </w:pPr>
      <w:r w:rsidRPr="00367A36">
        <w:rPr>
          <w:bCs/>
          <w:lang w:eastAsia="bg-BG"/>
        </w:rPr>
        <w:t>ОП</w:t>
      </w:r>
      <w:r w:rsidRPr="00367A36">
        <w:rPr>
          <w:bCs/>
          <w:szCs w:val="20"/>
        </w:rPr>
        <w:t xml:space="preserve"> „Развитие на човешките ресурси 2014 - 2020 г.” – 201,3 млн. лв.;</w:t>
      </w:r>
    </w:p>
    <w:p w:rsidR="00103327" w:rsidRPr="00367A36" w:rsidRDefault="00103327" w:rsidP="008D2385">
      <w:pPr>
        <w:numPr>
          <w:ilvl w:val="0"/>
          <w:numId w:val="12"/>
        </w:numPr>
        <w:tabs>
          <w:tab w:val="num" w:pos="741"/>
          <w:tab w:val="num" w:pos="786"/>
          <w:tab w:val="left" w:pos="1560"/>
        </w:tabs>
        <w:ind w:left="786"/>
        <w:jc w:val="both"/>
        <w:rPr>
          <w:bCs/>
          <w:szCs w:val="20"/>
        </w:rPr>
      </w:pPr>
      <w:r w:rsidRPr="00367A36">
        <w:rPr>
          <w:bCs/>
          <w:szCs w:val="20"/>
        </w:rPr>
        <w:t>Инициативата за младежка заетост – 37,8 млн. лв.;</w:t>
      </w:r>
    </w:p>
    <w:p w:rsidR="00103327" w:rsidRPr="00367A36" w:rsidRDefault="00103327" w:rsidP="008D2385">
      <w:pPr>
        <w:numPr>
          <w:ilvl w:val="0"/>
          <w:numId w:val="12"/>
        </w:numPr>
        <w:tabs>
          <w:tab w:val="num" w:pos="741"/>
          <w:tab w:val="num" w:pos="786"/>
          <w:tab w:val="left" w:pos="1560"/>
        </w:tabs>
        <w:ind w:left="786"/>
        <w:jc w:val="both"/>
        <w:rPr>
          <w:bCs/>
          <w:szCs w:val="20"/>
        </w:rPr>
      </w:pPr>
      <w:r w:rsidRPr="00367A36">
        <w:rPr>
          <w:bCs/>
          <w:szCs w:val="20"/>
        </w:rPr>
        <w:t>ОП за храни и/или основно материално подпомагане от Фонда за европейско подпомагане на най-нуждаещите се лица в България за периода 2014 – 2020 г. – 57,4 млн. лева;</w:t>
      </w:r>
    </w:p>
    <w:p w:rsidR="00103327" w:rsidRPr="00367A36" w:rsidRDefault="00103327" w:rsidP="008D2385">
      <w:pPr>
        <w:numPr>
          <w:ilvl w:val="0"/>
          <w:numId w:val="12"/>
        </w:numPr>
        <w:tabs>
          <w:tab w:val="num" w:pos="741"/>
          <w:tab w:val="num" w:pos="786"/>
        </w:tabs>
        <w:ind w:left="737"/>
        <w:jc w:val="both"/>
        <w:rPr>
          <w:bCs/>
          <w:szCs w:val="20"/>
        </w:rPr>
      </w:pPr>
      <w:r w:rsidRPr="00367A36">
        <w:rPr>
          <w:bCs/>
          <w:szCs w:val="20"/>
        </w:rPr>
        <w:t>ОП „Иновации и конкурентоспособност” – 307,7 млн. лв.;</w:t>
      </w:r>
    </w:p>
    <w:p w:rsidR="00103327" w:rsidRPr="00367A36" w:rsidRDefault="00103327" w:rsidP="008D2385">
      <w:pPr>
        <w:numPr>
          <w:ilvl w:val="0"/>
          <w:numId w:val="12"/>
        </w:numPr>
        <w:tabs>
          <w:tab w:val="num" w:pos="741"/>
          <w:tab w:val="num" w:pos="786"/>
        </w:tabs>
        <w:ind w:left="737"/>
        <w:jc w:val="both"/>
        <w:rPr>
          <w:bCs/>
          <w:szCs w:val="20"/>
        </w:rPr>
      </w:pPr>
      <w:r w:rsidRPr="00367A36">
        <w:rPr>
          <w:bCs/>
          <w:szCs w:val="20"/>
        </w:rPr>
        <w:t>ОП „Добро управление” – 30,5 млн. лв.;</w:t>
      </w:r>
    </w:p>
    <w:p w:rsidR="00103327" w:rsidRPr="00367A36" w:rsidRDefault="00103327" w:rsidP="008D2385">
      <w:pPr>
        <w:numPr>
          <w:ilvl w:val="0"/>
          <w:numId w:val="12"/>
        </w:numPr>
        <w:tabs>
          <w:tab w:val="num" w:pos="741"/>
          <w:tab w:val="num" w:pos="786"/>
        </w:tabs>
        <w:ind w:left="737"/>
        <w:jc w:val="both"/>
        <w:rPr>
          <w:bCs/>
          <w:szCs w:val="20"/>
        </w:rPr>
      </w:pPr>
      <w:r w:rsidRPr="00367A36">
        <w:rPr>
          <w:bCs/>
          <w:szCs w:val="20"/>
        </w:rPr>
        <w:t>ОП „Региони в растеж“ – 338,6 млн. лв.;</w:t>
      </w:r>
    </w:p>
    <w:p w:rsidR="00103327" w:rsidRPr="00367A36" w:rsidRDefault="00103327" w:rsidP="008D2385">
      <w:pPr>
        <w:numPr>
          <w:ilvl w:val="0"/>
          <w:numId w:val="12"/>
        </w:numPr>
        <w:tabs>
          <w:tab w:val="num" w:pos="741"/>
          <w:tab w:val="num" w:pos="786"/>
        </w:tabs>
        <w:ind w:left="737"/>
        <w:jc w:val="both"/>
        <w:rPr>
          <w:bCs/>
          <w:szCs w:val="20"/>
        </w:rPr>
      </w:pPr>
      <w:r w:rsidRPr="00367A36">
        <w:rPr>
          <w:bCs/>
          <w:lang w:eastAsia="bg-BG"/>
        </w:rPr>
        <w:t>ОП „Транспорт и транспортна инфраструктура” – 282,0 млн. лв.;</w:t>
      </w:r>
    </w:p>
    <w:p w:rsidR="00103327" w:rsidRPr="00367A36" w:rsidRDefault="00103327" w:rsidP="008D2385">
      <w:pPr>
        <w:numPr>
          <w:ilvl w:val="0"/>
          <w:numId w:val="12"/>
        </w:numPr>
        <w:tabs>
          <w:tab w:val="num" w:pos="741"/>
          <w:tab w:val="num" w:pos="786"/>
        </w:tabs>
        <w:ind w:left="737"/>
        <w:jc w:val="both"/>
        <w:rPr>
          <w:bCs/>
          <w:lang w:eastAsia="bg-BG"/>
        </w:rPr>
      </w:pPr>
      <w:r w:rsidRPr="00367A36">
        <w:rPr>
          <w:bCs/>
          <w:lang w:eastAsia="bg-BG"/>
        </w:rPr>
        <w:t>ОП „Наука и образование за интелигентен растеж” – 89,6 млн. лв. и</w:t>
      </w:r>
    </w:p>
    <w:p w:rsidR="00103327" w:rsidRPr="00367A36" w:rsidRDefault="00103327" w:rsidP="008D2385">
      <w:pPr>
        <w:numPr>
          <w:ilvl w:val="0"/>
          <w:numId w:val="12"/>
        </w:numPr>
        <w:tabs>
          <w:tab w:val="num" w:pos="741"/>
          <w:tab w:val="num" w:pos="786"/>
        </w:tabs>
        <w:ind w:left="737"/>
        <w:jc w:val="both"/>
        <w:rPr>
          <w:bCs/>
          <w:lang w:eastAsia="bg-BG"/>
        </w:rPr>
      </w:pPr>
      <w:r w:rsidRPr="00367A36">
        <w:rPr>
          <w:bCs/>
          <w:lang w:eastAsia="bg-BG"/>
        </w:rPr>
        <w:t>ОП „Околна среда 2014 – 2020 г.“ – 115,4 млн. лв.</w:t>
      </w:r>
    </w:p>
    <w:p w:rsidR="00103327" w:rsidRPr="008D2385" w:rsidRDefault="00103327" w:rsidP="008D2385">
      <w:pPr>
        <w:pStyle w:val="BodyText"/>
        <w:spacing w:after="120"/>
      </w:pPr>
      <w:r w:rsidRPr="008D2385">
        <w:t>Извършените касови разходи (нето) по авансовото финансиране до 31.12.2017 г. са в размер на 59,4 млн. лева.</w:t>
      </w:r>
    </w:p>
    <w:p w:rsidR="00103327" w:rsidRPr="00367A36" w:rsidRDefault="00103327" w:rsidP="00103327">
      <w:pPr>
        <w:spacing w:before="120"/>
        <w:ind w:firstLine="567"/>
        <w:jc w:val="both"/>
        <w:rPr>
          <w:b/>
          <w:bCs/>
        </w:rPr>
      </w:pPr>
      <w:r w:rsidRPr="00367A36">
        <w:rPr>
          <w:b/>
          <w:bCs/>
        </w:rPr>
        <w:t>Програма ФАР и Преходен финансов инструмент</w:t>
      </w:r>
    </w:p>
    <w:p w:rsidR="00103327" w:rsidRPr="008D2385" w:rsidRDefault="00103327" w:rsidP="008D2385">
      <w:pPr>
        <w:pStyle w:val="BodyText"/>
        <w:spacing w:after="120"/>
      </w:pPr>
      <w:r w:rsidRPr="008D2385">
        <w:t>През отчетния период са постъпили възстановени суми от бенефициенти по сметките на Националния фонд в размер на 0,8 млн. лева.</w:t>
      </w:r>
    </w:p>
    <w:p w:rsidR="00103327" w:rsidRPr="00367A36" w:rsidRDefault="00103327" w:rsidP="008D2385">
      <w:pPr>
        <w:pStyle w:val="BodyText"/>
        <w:spacing w:after="120"/>
        <w:rPr>
          <w:bCs/>
          <w:lang w:eastAsia="bg-BG"/>
        </w:rPr>
      </w:pPr>
      <w:r w:rsidRPr="008D2385">
        <w:t>Възстановените средства към ЕК за отчетния период са в размер</w:t>
      </w:r>
      <w:r w:rsidRPr="00367A36">
        <w:rPr>
          <w:bCs/>
          <w:lang w:eastAsia="bg-BG"/>
        </w:rPr>
        <w:t xml:space="preserve"> на 2,7 млн. лева.</w:t>
      </w:r>
    </w:p>
    <w:p w:rsidR="00103327" w:rsidRPr="00C250B2" w:rsidRDefault="00103327" w:rsidP="00103327">
      <w:pPr>
        <w:spacing w:before="120"/>
        <w:ind w:firstLine="567"/>
        <w:jc w:val="both"/>
        <w:rPr>
          <w:b/>
        </w:rPr>
      </w:pPr>
      <w:r w:rsidRPr="00C250B2">
        <w:rPr>
          <w:b/>
        </w:rPr>
        <w:t>Програма ИСПА/</w:t>
      </w:r>
      <w:proofErr w:type="spellStart"/>
      <w:r w:rsidRPr="00C250B2">
        <w:rPr>
          <w:b/>
        </w:rPr>
        <w:t>Кохезионен</w:t>
      </w:r>
      <w:proofErr w:type="spellEnd"/>
      <w:r w:rsidRPr="00C250B2">
        <w:rPr>
          <w:b/>
        </w:rPr>
        <w:t xml:space="preserve"> фонд (Регламент 1164/94)</w:t>
      </w:r>
    </w:p>
    <w:p w:rsidR="00103327" w:rsidRPr="008D2385" w:rsidRDefault="00103327" w:rsidP="008D2385">
      <w:pPr>
        <w:pStyle w:val="BodyText"/>
        <w:spacing w:after="120"/>
      </w:pPr>
      <w:r w:rsidRPr="008D2385">
        <w:t>За периода по тази програма няма възстановени средства от ЕК.</w:t>
      </w:r>
    </w:p>
    <w:p w:rsidR="00103327" w:rsidRPr="008D2385" w:rsidRDefault="00103327" w:rsidP="008D2385">
      <w:pPr>
        <w:pStyle w:val="BodyText"/>
        <w:spacing w:after="120"/>
      </w:pPr>
      <w:r w:rsidRPr="008D2385">
        <w:t>През 2017 г. са постъпили възстановени суми от бенефициенти по сметките на Национален фонд в размер на 1,6 млн. лв.</w:t>
      </w:r>
    </w:p>
    <w:p w:rsidR="00103327" w:rsidRPr="00C250B2" w:rsidRDefault="00103327" w:rsidP="00103327">
      <w:pPr>
        <w:spacing w:before="120"/>
        <w:ind w:firstLine="567"/>
        <w:jc w:val="both"/>
        <w:rPr>
          <w:b/>
        </w:rPr>
      </w:pPr>
      <w:r w:rsidRPr="00C250B2">
        <w:rPr>
          <w:b/>
        </w:rPr>
        <w:t xml:space="preserve">Програма САПАРД </w:t>
      </w:r>
    </w:p>
    <w:p w:rsidR="00103327" w:rsidRPr="008D2385" w:rsidRDefault="00103327" w:rsidP="008D2385">
      <w:pPr>
        <w:pStyle w:val="BodyText"/>
        <w:spacing w:after="120"/>
      </w:pPr>
      <w:r w:rsidRPr="008D2385">
        <w:t>На 31.12.2009 г. изтече валидността на Годишното финансово споразумение (ГФС) 2006, с което се прекрати и изплащането на субсидии към крайни бенефициенти по програма САПАРД.</w:t>
      </w:r>
    </w:p>
    <w:p w:rsidR="00103327" w:rsidRPr="00C250B2" w:rsidRDefault="00103327" w:rsidP="008D2385">
      <w:pPr>
        <w:pStyle w:val="BodyText"/>
        <w:spacing w:after="120"/>
      </w:pPr>
      <w:r w:rsidRPr="00C250B2">
        <w:t>През годината са извършени възстановявания от Агенция САПАРД и НАП по дългове в размер на 0,2 млн. лева.</w:t>
      </w:r>
    </w:p>
    <w:p w:rsidR="00103327" w:rsidRPr="008D2385" w:rsidRDefault="00103327" w:rsidP="008D2385">
      <w:pPr>
        <w:pStyle w:val="BodyText"/>
        <w:spacing w:after="120"/>
      </w:pPr>
      <w:r w:rsidRPr="008D2385">
        <w:t>Възстановените средства към ЕК за отчетния период са в размер на 6,1 млн. лева.</w:t>
      </w:r>
    </w:p>
    <w:p w:rsidR="00103327" w:rsidRPr="00C250B2" w:rsidRDefault="00103327" w:rsidP="00103327">
      <w:pPr>
        <w:spacing w:before="120"/>
        <w:ind w:firstLine="567"/>
        <w:jc w:val="both"/>
        <w:rPr>
          <w:b/>
          <w:szCs w:val="20"/>
        </w:rPr>
      </w:pPr>
      <w:r w:rsidRPr="00C250B2">
        <w:rPr>
          <w:szCs w:val="20"/>
        </w:rPr>
        <w:tab/>
      </w:r>
      <w:r w:rsidRPr="00C250B2">
        <w:rPr>
          <w:b/>
          <w:szCs w:val="20"/>
        </w:rPr>
        <w:t>Двустранни програми за трансгранично сътрудничество по външните граници на Европейския съюз 2007 – 2013 г.</w:t>
      </w:r>
    </w:p>
    <w:p w:rsidR="00103327" w:rsidRPr="00C250B2" w:rsidRDefault="00103327" w:rsidP="008D2385">
      <w:pPr>
        <w:spacing w:before="120"/>
        <w:jc w:val="both"/>
        <w:rPr>
          <w:b/>
          <w:szCs w:val="20"/>
        </w:rPr>
      </w:pPr>
      <w:r w:rsidRPr="00C250B2">
        <w:rPr>
          <w:snapToGrid w:val="0"/>
        </w:rPr>
        <w:t xml:space="preserve">За отчетния период сумата на разходите и трансферите (нето) към бюджетни организации в страната, които са направени по двустранните програми са на обща стойност 3,0 млн. лв., включително за плащания към бенефициенти в страната </w:t>
      </w:r>
      <w:r w:rsidRPr="00C250B2">
        <w:t>за сметка на финансиране от страната-партньор по тези програми. Разпределените към администратори в чужбина за сметка на средства от страната-партньор са в размер на -0,07 млн. лева.</w:t>
      </w:r>
    </w:p>
    <w:p w:rsidR="00103327" w:rsidRPr="005B0199" w:rsidRDefault="00103327" w:rsidP="00103327">
      <w:pPr>
        <w:spacing w:before="120"/>
        <w:ind w:firstLine="567"/>
        <w:jc w:val="both"/>
        <w:rPr>
          <w:b/>
          <w:szCs w:val="20"/>
        </w:rPr>
      </w:pPr>
      <w:r w:rsidRPr="005B0199">
        <w:rPr>
          <w:b/>
          <w:szCs w:val="20"/>
        </w:rPr>
        <w:lastRenderedPageBreak/>
        <w:t>Двустранни програми за трансгранично сътрудничество по външните граници на Европейския съюз 2014 – 2020 г.</w:t>
      </w:r>
    </w:p>
    <w:p w:rsidR="00103327" w:rsidRPr="008D2385" w:rsidRDefault="00103327" w:rsidP="008D2385">
      <w:pPr>
        <w:pStyle w:val="BodyText"/>
        <w:spacing w:after="120"/>
      </w:pPr>
      <w:r w:rsidRPr="008D2385">
        <w:t>Получените средства от началото на годината са в размер на 6,7 млн. лв., включващи годишни аванси, възстановени средства от ЕК и средства от страните-партньори.</w:t>
      </w:r>
    </w:p>
    <w:p w:rsidR="00103327" w:rsidRPr="008D2385" w:rsidRDefault="00103327" w:rsidP="008D2385">
      <w:pPr>
        <w:pStyle w:val="BodyText"/>
        <w:spacing w:after="120"/>
      </w:pPr>
      <w:r w:rsidRPr="008D2385">
        <w:t>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16,6 млн. лв.,</w:t>
      </w:r>
      <w:r w:rsidRPr="005B0199">
        <w:t xml:space="preserve"> </w:t>
      </w:r>
      <w:r w:rsidRPr="008D2385">
        <w:t>включително за плащания към бенефициенти в страната за сметка на финансиране от страната-партньор по тези програми.</w:t>
      </w:r>
    </w:p>
    <w:p w:rsidR="00103327" w:rsidRPr="005B0199" w:rsidRDefault="00103327" w:rsidP="00103327">
      <w:pPr>
        <w:spacing w:before="120"/>
        <w:ind w:firstLine="567"/>
        <w:jc w:val="both"/>
        <w:rPr>
          <w:b/>
          <w:szCs w:val="20"/>
        </w:rPr>
      </w:pPr>
      <w:r w:rsidRPr="005B0199">
        <w:rPr>
          <w:b/>
          <w:szCs w:val="20"/>
        </w:rPr>
        <w:t>Финансов механизъм на Европейското икономическо пространство 2009-2014 г. и Норвежки финансов механизъм 2009-2014 г. и 2014-2021 г.</w:t>
      </w:r>
    </w:p>
    <w:p w:rsidR="00103327" w:rsidRPr="005B0199" w:rsidRDefault="00103327" w:rsidP="00703D84">
      <w:pPr>
        <w:jc w:val="both"/>
        <w:rPr>
          <w:snapToGrid w:val="0"/>
          <w:szCs w:val="20"/>
        </w:rPr>
      </w:pPr>
      <w:r w:rsidRPr="005B0199">
        <w:rPr>
          <w:snapToGrid w:val="0"/>
        </w:rPr>
        <w:t>Получените средства общо по ЕИП и НФМ за периода са в размер на 8,</w:t>
      </w:r>
      <w:proofErr w:type="spellStart"/>
      <w:r w:rsidRPr="005B0199">
        <w:rPr>
          <w:snapToGrid w:val="0"/>
        </w:rPr>
        <w:t>8</w:t>
      </w:r>
      <w:proofErr w:type="spellEnd"/>
      <w:r w:rsidRPr="005B0199">
        <w:rPr>
          <w:snapToGrid w:val="0"/>
        </w:rPr>
        <w:t xml:space="preserve"> млн. лева.</w:t>
      </w:r>
    </w:p>
    <w:p w:rsidR="00103327" w:rsidRPr="008D2385" w:rsidRDefault="00103327" w:rsidP="008D2385">
      <w:pPr>
        <w:pStyle w:val="BodyText"/>
        <w:spacing w:after="120"/>
      </w:pPr>
      <w:r w:rsidRPr="008D2385">
        <w:t>Сумата на разходите и трансферите (нето) към 31.12.2017 г., които са направени по тези две програми са на обща стойност 54,9 млн. лева.</w:t>
      </w:r>
    </w:p>
    <w:p w:rsidR="00103327" w:rsidRPr="008D2385" w:rsidRDefault="00103327" w:rsidP="008D2385">
      <w:pPr>
        <w:pStyle w:val="BodyText"/>
        <w:spacing w:after="120"/>
      </w:pPr>
      <w:r w:rsidRPr="008D2385">
        <w:t>За периода 01.</w:t>
      </w:r>
      <w:proofErr w:type="spellStart"/>
      <w:r w:rsidRPr="008D2385">
        <w:t>01</w:t>
      </w:r>
      <w:proofErr w:type="spellEnd"/>
      <w:r w:rsidRPr="008D2385">
        <w:t>.2017 г. – 31.12.2017 г. дирекция „Национален фонд“ е процедирала към ОФМ на ЕИП 33 бр. междинни финансови доклада и 3 бр. Окончателни финансови доклада с нетна стойност на заявените (предложени за получаване) средства 11,0 млн. лева.</w:t>
      </w:r>
    </w:p>
    <w:p w:rsidR="00103327" w:rsidRPr="005B0199" w:rsidRDefault="00103327" w:rsidP="00103327">
      <w:pPr>
        <w:spacing w:before="120"/>
        <w:ind w:firstLine="567"/>
        <w:jc w:val="both"/>
        <w:rPr>
          <w:b/>
          <w:szCs w:val="20"/>
        </w:rPr>
      </w:pPr>
      <w:r w:rsidRPr="005B0199">
        <w:rPr>
          <w:b/>
          <w:szCs w:val="20"/>
        </w:rPr>
        <w:t>Българо-швейцарска програма за сътрудничество за намаляване на икономическите и социални неравенства в рамките на разширения Европейски съюз</w:t>
      </w:r>
    </w:p>
    <w:p w:rsidR="00103327" w:rsidRPr="0057720C" w:rsidRDefault="00103327" w:rsidP="00564156">
      <w:pPr>
        <w:jc w:val="both"/>
        <w:rPr>
          <w:snapToGrid w:val="0"/>
          <w:szCs w:val="20"/>
        </w:rPr>
      </w:pPr>
      <w:r w:rsidRPr="0057720C">
        <w:rPr>
          <w:snapToGrid w:val="0"/>
          <w:szCs w:val="20"/>
        </w:rPr>
        <w:t>Получените средства по програмата за периода са в размер на 0,4 млн. лева.</w:t>
      </w:r>
    </w:p>
    <w:p w:rsidR="00103327" w:rsidRPr="0057720C" w:rsidRDefault="00103327" w:rsidP="00564156">
      <w:pPr>
        <w:jc w:val="both"/>
        <w:rPr>
          <w:bCs/>
          <w:lang w:val="en-US"/>
        </w:rPr>
      </w:pPr>
      <w:r w:rsidRPr="0057720C">
        <w:rPr>
          <w:bCs/>
        </w:rPr>
        <w:t>Извършените изходящи трансфери към бенефициенти-бюджетни организации от началото на годината са в размер на 0,5 млн. лева.</w:t>
      </w:r>
    </w:p>
    <w:p w:rsidR="0092459E" w:rsidRPr="00567B33" w:rsidRDefault="0092459E" w:rsidP="00564156">
      <w:pPr>
        <w:pStyle w:val="Heading1"/>
        <w:numPr>
          <w:ilvl w:val="0"/>
          <w:numId w:val="40"/>
        </w:numPr>
        <w:spacing w:before="240" w:after="120"/>
        <w:ind w:right="-108"/>
        <w:jc w:val="both"/>
        <w:rPr>
          <w:sz w:val="24"/>
        </w:rPr>
      </w:pPr>
      <w:r w:rsidRPr="00567B33">
        <w:rPr>
          <w:sz w:val="24"/>
        </w:rPr>
        <w:t>Бюджети на социално и здравно-осигурителните фондове и бюджети по чл. 13, ал. 2 и ал. 3 на Закона за публичните финанси</w:t>
      </w:r>
    </w:p>
    <w:p w:rsidR="00FD30B0" w:rsidRPr="00567B33" w:rsidRDefault="00FD30B0" w:rsidP="00564156">
      <w:pPr>
        <w:pStyle w:val="Heading1"/>
        <w:numPr>
          <w:ilvl w:val="1"/>
          <w:numId w:val="40"/>
        </w:numPr>
        <w:spacing w:before="240" w:after="120"/>
        <w:ind w:left="788" w:right="-108" w:hanging="431"/>
        <w:jc w:val="both"/>
        <w:rPr>
          <w:sz w:val="24"/>
        </w:rPr>
      </w:pPr>
      <w:r w:rsidRPr="00567B33">
        <w:rPr>
          <w:sz w:val="24"/>
        </w:rPr>
        <w:t>Социално и здравно-осигурителни фондове</w:t>
      </w:r>
    </w:p>
    <w:p w:rsidR="006705D9" w:rsidRPr="00567B33" w:rsidRDefault="006705D9" w:rsidP="006705D9">
      <w:pPr>
        <w:pStyle w:val="BodyText2"/>
        <w:numPr>
          <w:ilvl w:val="1"/>
          <w:numId w:val="6"/>
        </w:numPr>
        <w:tabs>
          <w:tab w:val="clear" w:pos="1440"/>
        </w:tabs>
        <w:spacing w:after="0" w:line="240" w:lineRule="auto"/>
        <w:ind w:left="851" w:firstLine="0"/>
        <w:jc w:val="both"/>
        <w:rPr>
          <w:b/>
          <w:bCs/>
        </w:rPr>
      </w:pPr>
      <w:r w:rsidRPr="00567B33">
        <w:rPr>
          <w:b/>
        </w:rPr>
        <w:t>Държавно обществено осигуряване</w:t>
      </w:r>
    </w:p>
    <w:p w:rsidR="006705D9" w:rsidRPr="0096051A" w:rsidRDefault="006705D9" w:rsidP="006705D9">
      <w:pPr>
        <w:pStyle w:val="BodyText2"/>
        <w:spacing w:after="0" w:line="240" w:lineRule="auto"/>
        <w:jc w:val="both"/>
        <w:rPr>
          <w:b/>
          <w:color w:val="0070C0"/>
          <w:sz w:val="12"/>
          <w:szCs w:val="12"/>
        </w:rPr>
      </w:pPr>
    </w:p>
    <w:p w:rsidR="001574E4" w:rsidRPr="00056DAB" w:rsidRDefault="006705D9" w:rsidP="00703D84">
      <w:pPr>
        <w:spacing w:after="120"/>
        <w:jc w:val="both"/>
        <w:rPr>
          <w:bCs/>
          <w:lang w:val="en-US"/>
        </w:rPr>
      </w:pPr>
      <w:r w:rsidRPr="00056DAB">
        <w:t xml:space="preserve">Общата сума на </w:t>
      </w:r>
      <w:r w:rsidRPr="00056DAB">
        <w:rPr>
          <w:b/>
        </w:rPr>
        <w:t>приходите и помощите</w:t>
      </w:r>
      <w:r w:rsidRPr="00056DAB">
        <w:t xml:space="preserve"> по бюджета на Държавното обществено осигуряване (ДОО) </w:t>
      </w:r>
      <w:r w:rsidR="00056DAB" w:rsidRPr="00056DAB">
        <w:t xml:space="preserve">за </w:t>
      </w:r>
      <w:r w:rsidRPr="00056DAB">
        <w:t xml:space="preserve">2017 г. възлиза на </w:t>
      </w:r>
      <w:r w:rsidR="001574E4" w:rsidRPr="00056DAB">
        <w:rPr>
          <w:lang w:val="en-US"/>
        </w:rPr>
        <w:t>6</w:t>
      </w:r>
      <w:r w:rsidR="00056DAB" w:rsidRPr="00056DAB">
        <w:t> 023,0</w:t>
      </w:r>
      <w:r w:rsidRPr="00056DAB">
        <w:t xml:space="preserve"> млн. лв., което представлява </w:t>
      </w:r>
      <w:r w:rsidR="00056DAB" w:rsidRPr="00056DAB">
        <w:t>106,6</w:t>
      </w:r>
      <w:r w:rsidRPr="00056DAB">
        <w:t xml:space="preserve"> % </w:t>
      </w:r>
      <w:r w:rsidR="00056DAB" w:rsidRPr="00056DAB">
        <w:t>спрямо</w:t>
      </w:r>
      <w:r w:rsidRPr="00056DAB">
        <w:t xml:space="preserve"> заложените в Закона за бюджета на държавното обществено осигуряване за 2017 г. (ЗБДОО) 5 652,0 млн. лева. Най-голям е делът на прих</w:t>
      </w:r>
      <w:r w:rsidR="001574E4" w:rsidRPr="00056DAB">
        <w:t>одите от осигурителни вноски (9</w:t>
      </w:r>
      <w:r w:rsidR="001574E4" w:rsidRPr="00056DAB">
        <w:rPr>
          <w:lang w:val="en-US"/>
        </w:rPr>
        <w:t>8</w:t>
      </w:r>
      <w:r w:rsidRPr="00056DAB">
        <w:t>,</w:t>
      </w:r>
      <w:r w:rsidR="00056DAB" w:rsidRPr="00056DAB">
        <w:t>2</w:t>
      </w:r>
      <w:r w:rsidR="00CA25E3">
        <w:t> </w:t>
      </w:r>
      <w:r w:rsidRPr="00056DAB">
        <w:t xml:space="preserve">% от общите приходи), които за отчетния период са в размер на </w:t>
      </w:r>
      <w:r w:rsidR="00056DAB" w:rsidRPr="00056DAB">
        <w:t>5 914</w:t>
      </w:r>
      <w:r w:rsidRPr="00056DAB">
        <w:t>,</w:t>
      </w:r>
      <w:r w:rsidR="001574E4" w:rsidRPr="00056DAB">
        <w:rPr>
          <w:lang w:val="en-US"/>
        </w:rPr>
        <w:t>0</w:t>
      </w:r>
      <w:r w:rsidRPr="00056DAB">
        <w:t xml:space="preserve"> млн. лв., </w:t>
      </w:r>
      <w:r w:rsidR="00056DAB" w:rsidRPr="00056DAB">
        <w:t>105,3</w:t>
      </w:r>
      <w:r w:rsidR="00CA25E3">
        <w:t> </w:t>
      </w:r>
      <w:r w:rsidRPr="00056DAB">
        <w:t xml:space="preserve">% </w:t>
      </w:r>
      <w:r w:rsidR="00056DAB" w:rsidRPr="00056DAB">
        <w:t>спрямо</w:t>
      </w:r>
      <w:r w:rsidRPr="00056DAB">
        <w:t xml:space="preserve"> заложените в ЗБДОО за 2017 година. </w:t>
      </w:r>
      <w:r w:rsidR="005236CC" w:rsidRPr="00056DAB">
        <w:t xml:space="preserve">Съпоставени с </w:t>
      </w:r>
      <w:r w:rsidR="00056DAB" w:rsidRPr="00056DAB">
        <w:t>2</w:t>
      </w:r>
      <w:r w:rsidR="005236CC" w:rsidRPr="00056DAB">
        <w:t>016 г. приходите по бюджета на ДОО нарастват с</w:t>
      </w:r>
      <w:r w:rsidR="00056DAB" w:rsidRPr="00056DAB">
        <w:t>ъс</w:t>
      </w:r>
      <w:r w:rsidR="005236CC" w:rsidRPr="00056DAB">
        <w:t xml:space="preserve"> </w:t>
      </w:r>
      <w:r w:rsidR="00056DAB" w:rsidRPr="00056DAB">
        <w:t>784</w:t>
      </w:r>
      <w:r w:rsidR="00A46E63" w:rsidRPr="00056DAB">
        <w:rPr>
          <w:bCs/>
        </w:rPr>
        <w:t>,</w:t>
      </w:r>
      <w:r w:rsidR="00A46E63" w:rsidRPr="00056DAB">
        <w:rPr>
          <w:bCs/>
          <w:lang w:val="en-US"/>
        </w:rPr>
        <w:t>9</w:t>
      </w:r>
      <w:r w:rsidR="001574E4" w:rsidRPr="00056DAB">
        <w:rPr>
          <w:bCs/>
        </w:rPr>
        <w:t xml:space="preserve">  млн.</w:t>
      </w:r>
      <w:r w:rsidR="005236CC" w:rsidRPr="00056DAB">
        <w:rPr>
          <w:bCs/>
          <w:lang w:val="en-US"/>
        </w:rPr>
        <w:t xml:space="preserve"> </w:t>
      </w:r>
      <w:r w:rsidR="001574E4" w:rsidRPr="00056DAB">
        <w:rPr>
          <w:bCs/>
        </w:rPr>
        <w:t xml:space="preserve">лв. </w:t>
      </w:r>
      <w:r w:rsidR="005236CC" w:rsidRPr="00056DAB">
        <w:rPr>
          <w:bCs/>
          <w:lang w:val="en-US"/>
        </w:rPr>
        <w:t>(</w:t>
      </w:r>
      <w:r w:rsidR="001574E4" w:rsidRPr="00056DAB">
        <w:rPr>
          <w:bCs/>
        </w:rPr>
        <w:t>1</w:t>
      </w:r>
      <w:r w:rsidR="00A46E63" w:rsidRPr="00056DAB">
        <w:rPr>
          <w:bCs/>
          <w:lang w:val="en-US"/>
        </w:rPr>
        <w:t>5</w:t>
      </w:r>
      <w:proofErr w:type="gramStart"/>
      <w:r w:rsidR="00056DAB" w:rsidRPr="00056DAB">
        <w:rPr>
          <w:bCs/>
        </w:rPr>
        <w:t>,0</w:t>
      </w:r>
      <w:proofErr w:type="gramEnd"/>
      <w:r w:rsidR="005236CC" w:rsidRPr="00056DAB">
        <w:rPr>
          <w:bCs/>
        </w:rPr>
        <w:t xml:space="preserve"> </w:t>
      </w:r>
      <w:r w:rsidR="001574E4" w:rsidRPr="00056DAB">
        <w:rPr>
          <w:bCs/>
        </w:rPr>
        <w:t>%</w:t>
      </w:r>
      <w:r w:rsidR="005236CC" w:rsidRPr="00056DAB">
        <w:rPr>
          <w:bCs/>
          <w:lang w:val="en-US"/>
        </w:rPr>
        <w:t>).</w:t>
      </w:r>
      <w:r w:rsidR="001574E4" w:rsidRPr="00056DAB">
        <w:rPr>
          <w:bCs/>
        </w:rPr>
        <w:t xml:space="preserve"> Върху състоянието на приходите през 2017 г. оказват</w:t>
      </w:r>
      <w:r w:rsidR="005236CC" w:rsidRPr="00056DAB">
        <w:rPr>
          <w:bCs/>
        </w:rPr>
        <w:t xml:space="preserve"> влияние</w:t>
      </w:r>
      <w:r w:rsidR="001574E4" w:rsidRPr="00056DAB">
        <w:rPr>
          <w:bCs/>
        </w:rPr>
        <w:t xml:space="preserve"> следните основни фактори:</w:t>
      </w:r>
    </w:p>
    <w:p w:rsidR="006705D9" w:rsidRPr="00056DAB" w:rsidRDefault="006705D9" w:rsidP="006705D9">
      <w:pPr>
        <w:numPr>
          <w:ilvl w:val="0"/>
          <w:numId w:val="21"/>
        </w:numPr>
        <w:tabs>
          <w:tab w:val="num" w:pos="1499"/>
          <w:tab w:val="num" w:pos="2148"/>
        </w:tabs>
        <w:spacing w:after="120"/>
        <w:ind w:firstLine="567"/>
        <w:jc w:val="both"/>
      </w:pPr>
      <w:r w:rsidRPr="00056DAB">
        <w:t xml:space="preserve">увеличение </w:t>
      </w:r>
      <w:r w:rsidR="005431D1" w:rsidRPr="00056DAB">
        <w:t xml:space="preserve">на размера </w:t>
      </w:r>
      <w:r w:rsidRPr="00056DAB">
        <w:t>на осигурителната вноска за фонд „Пенсии” с един процентен пункт от 1 януари 2017 г. – на 18,8 на сто за родените преди 1 януари 1960 г. и на 13,8 на сто за лицата родени след 31 декември 1959 г.;</w:t>
      </w:r>
    </w:p>
    <w:p w:rsidR="006705D9" w:rsidRPr="00056DAB" w:rsidRDefault="006705D9" w:rsidP="006705D9">
      <w:pPr>
        <w:numPr>
          <w:ilvl w:val="0"/>
          <w:numId w:val="21"/>
        </w:numPr>
        <w:tabs>
          <w:tab w:val="num" w:pos="1499"/>
          <w:tab w:val="num" w:pos="2148"/>
        </w:tabs>
        <w:spacing w:after="120"/>
        <w:ind w:firstLine="567"/>
        <w:jc w:val="both"/>
      </w:pPr>
      <w:r w:rsidRPr="00056DAB">
        <w:t>увеличени</w:t>
      </w:r>
      <w:r w:rsidR="004E7034" w:rsidRPr="00056DAB">
        <w:t>е на</w:t>
      </w:r>
      <w:r w:rsidRPr="00056DAB">
        <w:t xml:space="preserve"> размер</w:t>
      </w:r>
      <w:r w:rsidR="004E7034" w:rsidRPr="00056DAB">
        <w:t>а</w:t>
      </w:r>
      <w:r w:rsidRPr="00056DAB">
        <w:t xml:space="preserve"> на осигурителната вноска за фонд „Пенсии за лицата по чл. 69“ с 20 процентни пункта – на </w:t>
      </w:r>
      <w:r w:rsidRPr="00056DAB">
        <w:rPr>
          <w:lang w:val="ru-RU"/>
        </w:rPr>
        <w:t>60</w:t>
      </w:r>
      <w:r w:rsidRPr="00056DAB">
        <w:t xml:space="preserve">,8 на сто за родените преди 1 януари 1960 г., и на </w:t>
      </w:r>
      <w:r w:rsidRPr="00056DAB">
        <w:rPr>
          <w:lang w:val="ru-RU"/>
        </w:rPr>
        <w:t>55</w:t>
      </w:r>
      <w:r w:rsidRPr="00056DAB">
        <w:t>,8 на сто за лицата родени след 31 декември 1959 г.;</w:t>
      </w:r>
    </w:p>
    <w:p w:rsidR="006705D9" w:rsidRPr="00056DAB" w:rsidRDefault="006705D9" w:rsidP="006705D9">
      <w:pPr>
        <w:numPr>
          <w:ilvl w:val="0"/>
          <w:numId w:val="21"/>
        </w:numPr>
        <w:tabs>
          <w:tab w:val="num" w:pos="1499"/>
          <w:tab w:val="num" w:pos="2148"/>
        </w:tabs>
        <w:spacing w:after="120"/>
        <w:ind w:firstLine="567"/>
        <w:jc w:val="both"/>
      </w:pPr>
      <w:r w:rsidRPr="00056DAB">
        <w:t>нарастване на минималните осигурителни прагове по основните икономически дейности и групи професии средно с 2</w:t>
      </w:r>
      <w:r w:rsidR="004E7034" w:rsidRPr="00056DAB">
        <w:t>,</w:t>
      </w:r>
      <w:r w:rsidRPr="00056DAB">
        <w:t>6 % за 2017 г. в сравнение с 2016 г. Най-ниският минимален осигурителен доход е 460 лв.</w:t>
      </w:r>
      <w:r w:rsidR="004E7034" w:rsidRPr="00056DAB">
        <w:t xml:space="preserve"> -</w:t>
      </w:r>
      <w:r w:rsidRPr="00056DAB">
        <w:t xml:space="preserve"> размерът на минималната работна заплата от началото на 2017 г.</w:t>
      </w:r>
    </w:p>
    <w:p w:rsidR="006705D9" w:rsidRPr="001C65B6" w:rsidRDefault="006705D9" w:rsidP="00703D84">
      <w:pPr>
        <w:spacing w:after="120"/>
        <w:jc w:val="both"/>
        <w:rPr>
          <w:bCs/>
        </w:rPr>
      </w:pPr>
      <w:r w:rsidRPr="001C65B6">
        <w:rPr>
          <w:bCs/>
        </w:rPr>
        <w:t>Отчетените н</w:t>
      </w:r>
      <w:r w:rsidR="00A46E63" w:rsidRPr="001C65B6">
        <w:rPr>
          <w:bCs/>
        </w:rPr>
        <w:t xml:space="preserve">еданъчни приходи </w:t>
      </w:r>
      <w:r w:rsidR="001C65B6" w:rsidRPr="001C65B6">
        <w:rPr>
          <w:bCs/>
        </w:rPr>
        <w:t>з</w:t>
      </w:r>
      <w:r w:rsidR="00A46E63" w:rsidRPr="001C65B6">
        <w:rPr>
          <w:bCs/>
        </w:rPr>
        <w:t xml:space="preserve">а </w:t>
      </w:r>
      <w:r w:rsidRPr="001C65B6">
        <w:rPr>
          <w:bCs/>
        </w:rPr>
        <w:t xml:space="preserve">2017 г. </w:t>
      </w:r>
      <w:r w:rsidR="00A46E63" w:rsidRPr="001C65B6">
        <w:rPr>
          <w:bCs/>
        </w:rPr>
        <w:t xml:space="preserve">по бюджета на ДОО възлизат на </w:t>
      </w:r>
      <w:r w:rsidR="001C65B6" w:rsidRPr="001C65B6">
        <w:rPr>
          <w:bCs/>
        </w:rPr>
        <w:t>109,0</w:t>
      </w:r>
      <w:r w:rsidR="00A46E63" w:rsidRPr="001C65B6">
        <w:rPr>
          <w:bCs/>
        </w:rPr>
        <w:t xml:space="preserve"> млн</w:t>
      </w:r>
      <w:r w:rsidR="001C65B6" w:rsidRPr="001C65B6">
        <w:rPr>
          <w:bCs/>
        </w:rPr>
        <w:t>. </w:t>
      </w:r>
      <w:r w:rsidR="00A46E63" w:rsidRPr="001C65B6">
        <w:rPr>
          <w:bCs/>
        </w:rPr>
        <w:t xml:space="preserve"> лв., в т.ч. </w:t>
      </w:r>
      <w:r w:rsidR="001C65B6" w:rsidRPr="001C65B6">
        <w:rPr>
          <w:bCs/>
        </w:rPr>
        <w:t>75,8</w:t>
      </w:r>
      <w:r w:rsidRPr="001C65B6">
        <w:rPr>
          <w:bCs/>
        </w:rPr>
        <w:t xml:space="preserve"> млн. лв. постъпили средства от п</w:t>
      </w:r>
      <w:r w:rsidRPr="001C65B6">
        <w:t xml:space="preserve">рехвърлени </w:t>
      </w:r>
      <w:r w:rsidRPr="001C65B6">
        <w:rPr>
          <w:lang w:val="en-US"/>
        </w:rPr>
        <w:t>(</w:t>
      </w:r>
      <w:r w:rsidRPr="001C65B6">
        <w:t>възстановени</w:t>
      </w:r>
      <w:r w:rsidRPr="001C65B6">
        <w:rPr>
          <w:lang w:val="en-US"/>
        </w:rPr>
        <w:t>)</w:t>
      </w:r>
      <w:r w:rsidRPr="001C65B6">
        <w:t xml:space="preserve"> акумулирани средства от осигурителни вноски</w:t>
      </w:r>
      <w:r w:rsidR="00FB3597" w:rsidRPr="00FB3597">
        <w:t xml:space="preserve"> </w:t>
      </w:r>
      <w:r w:rsidR="00FB3597">
        <w:t>за лицата, решили да променят осигуряването си</w:t>
      </w:r>
      <w:r w:rsidRPr="001C65B6">
        <w:t>.</w:t>
      </w:r>
      <w:r w:rsidRPr="001C65B6">
        <w:rPr>
          <w:bCs/>
        </w:rPr>
        <w:t xml:space="preserve"> </w:t>
      </w:r>
    </w:p>
    <w:p w:rsidR="006705D9" w:rsidRPr="00851685" w:rsidRDefault="006705D9" w:rsidP="00703D84">
      <w:pPr>
        <w:tabs>
          <w:tab w:val="num" w:pos="1499"/>
          <w:tab w:val="num" w:pos="2148"/>
        </w:tabs>
        <w:spacing w:after="120"/>
        <w:jc w:val="both"/>
        <w:rPr>
          <w:lang w:val="en-US"/>
        </w:rPr>
      </w:pPr>
      <w:r w:rsidRPr="00767C69">
        <w:rPr>
          <w:bCs/>
        </w:rPr>
        <w:lastRenderedPageBreak/>
        <w:t xml:space="preserve">Размерът на извършените </w:t>
      </w:r>
      <w:r w:rsidRPr="00767C69">
        <w:rPr>
          <w:b/>
          <w:bCs/>
        </w:rPr>
        <w:t xml:space="preserve">разходи </w:t>
      </w:r>
      <w:r w:rsidR="009A716A" w:rsidRPr="00767C69">
        <w:rPr>
          <w:bCs/>
        </w:rPr>
        <w:t>за</w:t>
      </w:r>
      <w:r w:rsidRPr="00767C69">
        <w:rPr>
          <w:bCs/>
        </w:rPr>
        <w:t xml:space="preserve"> 2017 г. по бюджета на ДОО е</w:t>
      </w:r>
      <w:r w:rsidR="00A46E63" w:rsidRPr="00767C69">
        <w:rPr>
          <w:bCs/>
        </w:rPr>
        <w:t xml:space="preserve"> </w:t>
      </w:r>
      <w:r w:rsidR="009A716A" w:rsidRPr="00767C69">
        <w:rPr>
          <w:bCs/>
        </w:rPr>
        <w:t>10 558,6</w:t>
      </w:r>
      <w:r w:rsidR="00A46E63" w:rsidRPr="00767C69">
        <w:rPr>
          <w:bCs/>
        </w:rPr>
        <w:t xml:space="preserve"> млн. лв., което представлява </w:t>
      </w:r>
      <w:r w:rsidR="009A716A" w:rsidRPr="00767C69">
        <w:rPr>
          <w:bCs/>
        </w:rPr>
        <w:t>101,8</w:t>
      </w:r>
      <w:r w:rsidR="00E97A65" w:rsidRPr="00767C69">
        <w:rPr>
          <w:bCs/>
        </w:rPr>
        <w:t xml:space="preserve"> % </w:t>
      </w:r>
      <w:r w:rsidR="009A716A" w:rsidRPr="00767C69">
        <w:rPr>
          <w:bCs/>
        </w:rPr>
        <w:t>спрямо</w:t>
      </w:r>
      <w:r w:rsidR="00E97A65" w:rsidRPr="00767C69">
        <w:rPr>
          <w:bCs/>
        </w:rPr>
        <w:t xml:space="preserve"> предвидените</w:t>
      </w:r>
      <w:r w:rsidRPr="00767C69">
        <w:rPr>
          <w:bCs/>
        </w:rPr>
        <w:t xml:space="preserve"> в ЗБДОО за 2017 г. средства. Спрямо миналата година разходите</w:t>
      </w:r>
      <w:r w:rsidR="00E97A65" w:rsidRPr="00767C69">
        <w:rPr>
          <w:bCs/>
        </w:rPr>
        <w:t xml:space="preserve"> по бюджета на ДОО </w:t>
      </w:r>
      <w:r w:rsidR="00767C69" w:rsidRPr="00767C69">
        <w:rPr>
          <w:bCs/>
        </w:rPr>
        <w:t>нарастват с</w:t>
      </w:r>
      <w:r w:rsidR="00266282" w:rsidRPr="00767C69">
        <w:rPr>
          <w:bCs/>
        </w:rPr>
        <w:t xml:space="preserve"> </w:t>
      </w:r>
      <w:r w:rsidR="00767C69" w:rsidRPr="00767C69">
        <w:rPr>
          <w:bCs/>
        </w:rPr>
        <w:t>370,6</w:t>
      </w:r>
      <w:r w:rsidR="00266282" w:rsidRPr="00767C69">
        <w:rPr>
          <w:bCs/>
        </w:rPr>
        <w:t xml:space="preserve"> млн. лв. (3,</w:t>
      </w:r>
      <w:r w:rsidR="00767C69" w:rsidRPr="00767C69">
        <w:rPr>
          <w:bCs/>
        </w:rPr>
        <w:t>6</w:t>
      </w:r>
      <w:r w:rsidR="008D2385">
        <w:rPr>
          <w:bCs/>
        </w:rPr>
        <w:t> </w:t>
      </w:r>
      <w:r w:rsidRPr="00767C69">
        <w:rPr>
          <w:bCs/>
        </w:rPr>
        <w:t xml:space="preserve">%) . От структурна гледна точка с най-голям относителен дял в общите разходи са разходите за пенсии и обезщетенията и помощите </w:t>
      </w:r>
      <w:r w:rsidRPr="00851685">
        <w:rPr>
          <w:bCs/>
        </w:rPr>
        <w:t xml:space="preserve">изплащани на основание Кодекса за социално осигуряване – общо </w:t>
      </w:r>
      <w:r w:rsidR="00767C69" w:rsidRPr="00851685">
        <w:rPr>
          <w:bCs/>
        </w:rPr>
        <w:t>10 481,1</w:t>
      </w:r>
      <w:r w:rsidRPr="00851685">
        <w:rPr>
          <w:bCs/>
        </w:rPr>
        <w:t xml:space="preserve"> млн. лв</w:t>
      </w:r>
      <w:r w:rsidR="00266282" w:rsidRPr="00851685">
        <w:rPr>
          <w:bCs/>
        </w:rPr>
        <w:t>., или 99,3</w:t>
      </w:r>
      <w:r w:rsidRPr="00851685">
        <w:rPr>
          <w:bCs/>
        </w:rPr>
        <w:t xml:space="preserve"> % от общия размер на разходите за</w:t>
      </w:r>
      <w:r w:rsidR="00767C69" w:rsidRPr="00851685">
        <w:rPr>
          <w:bCs/>
        </w:rPr>
        <w:t xml:space="preserve"> годината</w:t>
      </w:r>
      <w:r w:rsidRPr="00851685">
        <w:rPr>
          <w:bCs/>
        </w:rPr>
        <w:t xml:space="preserve">. Отчетените разходи за </w:t>
      </w:r>
      <w:r w:rsidRPr="00851685">
        <w:rPr>
          <w:b/>
          <w:bCs/>
        </w:rPr>
        <w:t>пенсии</w:t>
      </w:r>
      <w:r w:rsidR="00266282" w:rsidRPr="00851685">
        <w:rPr>
          <w:bCs/>
        </w:rPr>
        <w:t xml:space="preserve"> по бюджета на ДОО </w:t>
      </w:r>
      <w:r w:rsidR="00767C69" w:rsidRPr="00851685">
        <w:rPr>
          <w:bCs/>
        </w:rPr>
        <w:t xml:space="preserve">за </w:t>
      </w:r>
      <w:r w:rsidR="00266282" w:rsidRPr="00851685">
        <w:rPr>
          <w:bCs/>
        </w:rPr>
        <w:t xml:space="preserve">2017 г. възлизат на </w:t>
      </w:r>
      <w:r w:rsidR="00767C69" w:rsidRPr="00851685">
        <w:rPr>
          <w:bCs/>
        </w:rPr>
        <w:t>9 007,2</w:t>
      </w:r>
      <w:r w:rsidRPr="00851685">
        <w:rPr>
          <w:bCs/>
        </w:rPr>
        <w:t> млн. лв., което е с</w:t>
      </w:r>
      <w:r w:rsidR="00266282" w:rsidRPr="00851685">
        <w:rPr>
          <w:bCs/>
        </w:rPr>
        <w:t xml:space="preserve"> </w:t>
      </w:r>
      <w:r w:rsidR="00851685" w:rsidRPr="00851685">
        <w:rPr>
          <w:bCs/>
        </w:rPr>
        <w:t>300,8</w:t>
      </w:r>
      <w:r w:rsidRPr="00851685">
        <w:rPr>
          <w:bCs/>
        </w:rPr>
        <w:t xml:space="preserve"> млн. лв. повече спрямо 2016 г. </w:t>
      </w:r>
      <w:r w:rsidRPr="00851685">
        <w:t xml:space="preserve">Отчетените разходи за </w:t>
      </w:r>
      <w:r w:rsidRPr="00851685">
        <w:rPr>
          <w:b/>
        </w:rPr>
        <w:t>краткосрочни обезщетения и помощи по КСО</w:t>
      </w:r>
      <w:r w:rsidR="00266282" w:rsidRPr="00851685">
        <w:t xml:space="preserve"> са в размер на </w:t>
      </w:r>
      <w:r w:rsidR="00E97A65" w:rsidRPr="00851685">
        <w:rPr>
          <w:lang w:val="en-US"/>
        </w:rPr>
        <w:t>1</w:t>
      </w:r>
      <w:r w:rsidR="00851685" w:rsidRPr="00851685">
        <w:rPr>
          <w:lang w:val="en-US"/>
        </w:rPr>
        <w:t> </w:t>
      </w:r>
      <w:r w:rsidR="00851685" w:rsidRPr="00851685">
        <w:t>473,9</w:t>
      </w:r>
      <w:r w:rsidRPr="00851685">
        <w:t xml:space="preserve"> млн. лева. Спрямо миналата година изплат</w:t>
      </w:r>
      <w:r w:rsidR="000B6736" w:rsidRPr="00851685">
        <w:t xml:space="preserve">ените обезщетения по КСО са с </w:t>
      </w:r>
      <w:r w:rsidR="00851685" w:rsidRPr="00851685">
        <w:t xml:space="preserve">92,6 </w:t>
      </w:r>
      <w:r w:rsidR="000B6736" w:rsidRPr="00851685">
        <w:t>млн. лв. (6,</w:t>
      </w:r>
      <w:r w:rsidR="00851685" w:rsidRPr="00851685">
        <w:t>7</w:t>
      </w:r>
      <w:r w:rsidRPr="00851685">
        <w:t xml:space="preserve"> %) повече.</w:t>
      </w:r>
    </w:p>
    <w:p w:rsidR="006705D9" w:rsidRPr="00851685" w:rsidRDefault="006705D9" w:rsidP="006705D9">
      <w:pPr>
        <w:numPr>
          <w:ilvl w:val="1"/>
          <w:numId w:val="6"/>
        </w:numPr>
        <w:spacing w:after="120"/>
        <w:jc w:val="both"/>
        <w:rPr>
          <w:b/>
          <w:bCs/>
        </w:rPr>
      </w:pPr>
      <w:r w:rsidRPr="00851685">
        <w:rPr>
          <w:b/>
          <w:bCs/>
        </w:rPr>
        <w:t>Национална здравноосигурителна каса</w:t>
      </w:r>
    </w:p>
    <w:p w:rsidR="006705D9" w:rsidRPr="004D2CCF" w:rsidRDefault="006705D9" w:rsidP="00703D84">
      <w:pPr>
        <w:pStyle w:val="BodyText"/>
        <w:spacing w:after="120"/>
      </w:pPr>
      <w:r w:rsidRPr="004D2CCF">
        <w:t xml:space="preserve">Общият размер на събраните </w:t>
      </w:r>
      <w:r w:rsidRPr="004D2CCF">
        <w:rPr>
          <w:b/>
        </w:rPr>
        <w:t>приходи</w:t>
      </w:r>
      <w:r w:rsidRPr="004D2CCF">
        <w:t xml:space="preserve"> по бюджета на</w:t>
      </w:r>
      <w:r w:rsidR="004B6FD0" w:rsidRPr="004D2CCF">
        <w:t xml:space="preserve"> НЗОК </w:t>
      </w:r>
      <w:r w:rsidR="00851685" w:rsidRPr="004D2CCF">
        <w:t xml:space="preserve">за </w:t>
      </w:r>
      <w:r w:rsidR="00123857" w:rsidRPr="004D2CCF">
        <w:t xml:space="preserve">2017 г. възлиза на </w:t>
      </w:r>
      <w:r w:rsidR="004D2CCF" w:rsidRPr="004D2CCF">
        <w:t xml:space="preserve">2 423,4 </w:t>
      </w:r>
      <w:r w:rsidR="00123857" w:rsidRPr="004D2CCF">
        <w:t xml:space="preserve">млн. лв., което представлява </w:t>
      </w:r>
      <w:r w:rsidR="004D2CCF" w:rsidRPr="004D2CCF">
        <w:t>105,6</w:t>
      </w:r>
      <w:r w:rsidRPr="004D2CCF">
        <w:t xml:space="preserve"> % </w:t>
      </w:r>
      <w:r w:rsidR="004D2CCF" w:rsidRPr="004D2CCF">
        <w:t>спрямо</w:t>
      </w:r>
      <w:r w:rsidRPr="004D2CCF">
        <w:t xml:space="preserve"> предвидените със Закона за бюджета на НЗОК (ЗБНЗОК) за 2017 г. – 2 294,7 млн. лева. Постъпленията от здравноосигур</w:t>
      </w:r>
      <w:r w:rsidR="00123857" w:rsidRPr="004D2CCF">
        <w:t xml:space="preserve">ителни вноски са в размер на </w:t>
      </w:r>
      <w:r w:rsidR="004D2CCF" w:rsidRPr="004D2CCF">
        <w:t>2 404,2</w:t>
      </w:r>
      <w:r w:rsidRPr="004D2CCF">
        <w:t xml:space="preserve"> млн. лв.,</w:t>
      </w:r>
      <w:r w:rsidR="00123857" w:rsidRPr="004D2CCF">
        <w:t xml:space="preserve"> </w:t>
      </w:r>
      <w:r w:rsidR="005236CC" w:rsidRPr="004D2CCF">
        <w:t xml:space="preserve">което представлява </w:t>
      </w:r>
      <w:r w:rsidR="004D2CCF" w:rsidRPr="004D2CCF">
        <w:t>105,5</w:t>
      </w:r>
      <w:r w:rsidR="0045510C" w:rsidRPr="004D2CCF">
        <w:t> </w:t>
      </w:r>
      <w:r w:rsidRPr="004D2CCF">
        <w:t xml:space="preserve">% изпълнение на утвърдените със ЗБНЗОК за 2017 г. средства в размер на 2 279,7 млн. лева. Събраните неданъчни приходи </w:t>
      </w:r>
      <w:r w:rsidR="004D2CCF" w:rsidRPr="004D2CCF">
        <w:t>за</w:t>
      </w:r>
      <w:r w:rsidR="00123857" w:rsidRPr="004D2CCF">
        <w:t xml:space="preserve"> 2017 г. са 1</w:t>
      </w:r>
      <w:r w:rsidR="004D2CCF" w:rsidRPr="004D2CCF">
        <w:t>9,2</w:t>
      </w:r>
      <w:r w:rsidR="00123857" w:rsidRPr="004D2CCF">
        <w:t xml:space="preserve"> млн. лв., </w:t>
      </w:r>
      <w:r w:rsidR="004D2CCF" w:rsidRPr="004D2CCF">
        <w:t>128,0</w:t>
      </w:r>
      <w:r w:rsidRPr="004D2CCF">
        <w:t xml:space="preserve"> % </w:t>
      </w:r>
      <w:r w:rsidR="004D2CCF" w:rsidRPr="004D2CCF">
        <w:t>спрямо</w:t>
      </w:r>
      <w:r w:rsidRPr="004D2CCF">
        <w:t xml:space="preserve"> заложените в ЗБНЗОК за 2017 г., като основната част от тях са от глоби и санкции. </w:t>
      </w:r>
    </w:p>
    <w:p w:rsidR="006705D9" w:rsidRPr="00103327" w:rsidRDefault="006705D9" w:rsidP="00703D84">
      <w:pPr>
        <w:pStyle w:val="BodyText"/>
        <w:spacing w:after="120"/>
      </w:pPr>
      <w:r w:rsidRPr="00103327">
        <w:t xml:space="preserve">Полученият трансфер от МЗ за финансиране на разходите за лекарствени продукти – ваксини и дейности по прилагането им за здравните дейности по чл. 82, ал. 2, т. 3 от Закона за здравето (ЗЗ); за дейности за </w:t>
      </w:r>
      <w:proofErr w:type="spellStart"/>
      <w:r w:rsidRPr="00103327">
        <w:t>здравнонеосигурени</w:t>
      </w:r>
      <w:proofErr w:type="spellEnd"/>
      <w:r w:rsidRPr="00103327">
        <w:t xml:space="preserve"> лица, включващи: комплексно диспансерно (амбулаторно) наблюдение при пациенти с кожно-венерически и психиатрични заболявания; интензивно лечение; дейности по чл. 82, ал. 1, т. 2 от ЗЗ и за сумите по чл. 37, ал. 6 от Закона за здравн</w:t>
      </w:r>
      <w:r w:rsidR="006477E9" w:rsidRPr="00103327">
        <w:t>ото осигуряване е в размер на 2</w:t>
      </w:r>
      <w:r w:rsidR="00103327" w:rsidRPr="00103327">
        <w:t xml:space="preserve">4,1 </w:t>
      </w:r>
      <w:r w:rsidRPr="00103327">
        <w:t>млн</w:t>
      </w:r>
      <w:r w:rsidR="006477E9" w:rsidRPr="00103327">
        <w:t xml:space="preserve">. лв., </w:t>
      </w:r>
      <w:r w:rsidR="00103327" w:rsidRPr="00103327">
        <w:t>при заложени в</w:t>
      </w:r>
      <w:r w:rsidRPr="00103327">
        <w:t xml:space="preserve"> ЗБНЗОК за 2017 г. с</w:t>
      </w:r>
      <w:r w:rsidR="008D2385">
        <w:t>редства в размер на 24,0 млн. л</w:t>
      </w:r>
      <w:r w:rsidRPr="00103327">
        <w:t xml:space="preserve">в. </w:t>
      </w:r>
    </w:p>
    <w:p w:rsidR="006705D9" w:rsidRPr="00ED5775" w:rsidRDefault="006477E9" w:rsidP="00703D84">
      <w:pPr>
        <w:pStyle w:val="BodyText"/>
      </w:pPr>
      <w:r w:rsidRPr="00ED5775">
        <w:t xml:space="preserve">Отчетените разходи </w:t>
      </w:r>
      <w:r w:rsidR="00ED5775" w:rsidRPr="00ED5775">
        <w:t xml:space="preserve">за </w:t>
      </w:r>
      <w:r w:rsidR="00550ED7" w:rsidRPr="00ED5775">
        <w:t xml:space="preserve">2017 г. са в размер на </w:t>
      </w:r>
      <w:r w:rsidRPr="00ED5775">
        <w:t>3</w:t>
      </w:r>
      <w:r w:rsidR="00ED5775" w:rsidRPr="00ED5775">
        <w:t> 484,9</w:t>
      </w:r>
      <w:r w:rsidRPr="00ED5775">
        <w:t xml:space="preserve"> млн. лв. и представляват </w:t>
      </w:r>
      <w:r w:rsidR="00ED5775" w:rsidRPr="00ED5775">
        <w:t>101,</w:t>
      </w:r>
      <w:r w:rsidR="00646549">
        <w:t>0</w:t>
      </w:r>
      <w:r w:rsidR="006705D9" w:rsidRPr="00ED5775">
        <w:t xml:space="preserve"> % </w:t>
      </w:r>
      <w:r w:rsidR="00ED5775" w:rsidRPr="00ED5775">
        <w:t>спрямо</w:t>
      </w:r>
      <w:r w:rsidR="006705D9" w:rsidRPr="00ED5775">
        <w:t xml:space="preserve"> предвидените в ЗБНЗОК за 2017 г. 3 448,8 млн. лева. Най-голям относителен дял (98,</w:t>
      </w:r>
      <w:r w:rsidR="00ED5775" w:rsidRPr="00ED5775">
        <w:t>0</w:t>
      </w:r>
      <w:r w:rsidR="006705D9" w:rsidRPr="00ED5775">
        <w:t xml:space="preserve"> %) заемат здравноосигурителните плащания, които възлизат на </w:t>
      </w:r>
      <w:r w:rsidR="00ED5775" w:rsidRPr="00ED5775">
        <w:t>3 415,1</w:t>
      </w:r>
      <w:r w:rsidR="006705D9" w:rsidRPr="00ED5775">
        <w:t xml:space="preserve"> млн. лева. В отделните направления на здравноосигурителни плащания, изпълнението на бюджета по предварител</w:t>
      </w:r>
      <w:r w:rsidRPr="00ED5775">
        <w:t xml:space="preserve">ни данни за </w:t>
      </w:r>
      <w:r w:rsidR="006705D9" w:rsidRPr="00ED5775">
        <w:t>2017 г. е следното:</w:t>
      </w:r>
    </w:p>
    <w:p w:rsidR="006705D9" w:rsidRPr="00ED5775" w:rsidRDefault="006705D9" w:rsidP="00CA25E3">
      <w:pPr>
        <w:pStyle w:val="BodyText2"/>
        <w:numPr>
          <w:ilvl w:val="0"/>
          <w:numId w:val="18"/>
        </w:numPr>
        <w:tabs>
          <w:tab w:val="num" w:pos="0"/>
          <w:tab w:val="left" w:pos="720"/>
          <w:tab w:val="left" w:pos="1134"/>
        </w:tabs>
        <w:spacing w:after="0" w:line="240" w:lineRule="auto"/>
        <w:ind w:left="0" w:firstLine="426"/>
        <w:jc w:val="both"/>
        <w:rPr>
          <w:bCs/>
        </w:rPr>
      </w:pPr>
      <w:r w:rsidRPr="00ED5775">
        <w:rPr>
          <w:b/>
          <w:i/>
        </w:rPr>
        <w:t xml:space="preserve">Първична </w:t>
      </w:r>
      <w:proofErr w:type="spellStart"/>
      <w:r w:rsidRPr="00ED5775">
        <w:rPr>
          <w:b/>
          <w:i/>
        </w:rPr>
        <w:t>извънболнична</w:t>
      </w:r>
      <w:proofErr w:type="spellEnd"/>
      <w:r w:rsidRPr="00ED5775">
        <w:rPr>
          <w:b/>
          <w:i/>
        </w:rPr>
        <w:t xml:space="preserve"> медицинска помощ</w:t>
      </w:r>
      <w:r w:rsidRPr="00ED5775">
        <w:rPr>
          <w:i/>
        </w:rPr>
        <w:t xml:space="preserve"> –</w:t>
      </w:r>
      <w:r w:rsidR="006477E9" w:rsidRPr="00ED5775">
        <w:t xml:space="preserve"> 1</w:t>
      </w:r>
      <w:r w:rsidR="00ED5775" w:rsidRPr="00ED5775">
        <w:t>98,9</w:t>
      </w:r>
      <w:r w:rsidRPr="00ED5775">
        <w:t xml:space="preserve"> млн. лева;</w:t>
      </w:r>
      <w:r w:rsidRPr="00ED5775">
        <w:rPr>
          <w:bCs/>
        </w:rPr>
        <w:t xml:space="preserve"> </w:t>
      </w:r>
    </w:p>
    <w:p w:rsidR="006705D9" w:rsidRPr="00ED5775" w:rsidRDefault="006705D9" w:rsidP="00CA25E3">
      <w:pPr>
        <w:pStyle w:val="BodyText2"/>
        <w:numPr>
          <w:ilvl w:val="0"/>
          <w:numId w:val="18"/>
        </w:numPr>
        <w:tabs>
          <w:tab w:val="num" w:pos="0"/>
          <w:tab w:val="left" w:pos="720"/>
          <w:tab w:val="left" w:pos="1134"/>
        </w:tabs>
        <w:spacing w:after="0" w:line="240" w:lineRule="auto"/>
        <w:ind w:left="0" w:firstLine="426"/>
        <w:jc w:val="both"/>
        <w:rPr>
          <w:i/>
        </w:rPr>
      </w:pPr>
      <w:r w:rsidRPr="00ED5775">
        <w:rPr>
          <w:b/>
          <w:i/>
        </w:rPr>
        <w:t xml:space="preserve">Специализирана </w:t>
      </w:r>
      <w:proofErr w:type="spellStart"/>
      <w:r w:rsidRPr="00ED5775">
        <w:rPr>
          <w:b/>
          <w:i/>
        </w:rPr>
        <w:t>извънболнична</w:t>
      </w:r>
      <w:proofErr w:type="spellEnd"/>
      <w:r w:rsidRPr="00ED5775">
        <w:rPr>
          <w:b/>
          <w:i/>
        </w:rPr>
        <w:t xml:space="preserve"> медицинска помощ </w:t>
      </w:r>
      <w:r w:rsidR="006477E9" w:rsidRPr="00ED5775">
        <w:t xml:space="preserve">– </w:t>
      </w:r>
      <w:r w:rsidR="00ED5775" w:rsidRPr="00ED5775">
        <w:t>218,0</w:t>
      </w:r>
      <w:r w:rsidRPr="00ED5775">
        <w:t> млн. лева;</w:t>
      </w:r>
    </w:p>
    <w:p w:rsidR="006705D9" w:rsidRPr="00ED5775" w:rsidRDefault="006705D9" w:rsidP="00CA25E3">
      <w:pPr>
        <w:pStyle w:val="BodyText2"/>
        <w:numPr>
          <w:ilvl w:val="0"/>
          <w:numId w:val="18"/>
        </w:numPr>
        <w:tabs>
          <w:tab w:val="num" w:pos="0"/>
          <w:tab w:val="left" w:pos="720"/>
          <w:tab w:val="left" w:pos="1134"/>
        </w:tabs>
        <w:spacing w:after="0" w:line="240" w:lineRule="auto"/>
        <w:ind w:left="0" w:firstLine="426"/>
        <w:jc w:val="both"/>
        <w:rPr>
          <w:b/>
        </w:rPr>
      </w:pPr>
      <w:proofErr w:type="spellStart"/>
      <w:r w:rsidRPr="00ED5775">
        <w:rPr>
          <w:b/>
          <w:i/>
        </w:rPr>
        <w:t>Дентална</w:t>
      </w:r>
      <w:proofErr w:type="spellEnd"/>
      <w:r w:rsidRPr="00ED5775">
        <w:rPr>
          <w:b/>
          <w:i/>
        </w:rPr>
        <w:t xml:space="preserve"> помощ – </w:t>
      </w:r>
      <w:r w:rsidR="006477E9" w:rsidRPr="00ED5775">
        <w:t>1</w:t>
      </w:r>
      <w:r w:rsidR="00ED5775" w:rsidRPr="00ED5775">
        <w:t>59,8</w:t>
      </w:r>
      <w:r w:rsidRPr="00ED5775">
        <w:t xml:space="preserve"> млн. лева;</w:t>
      </w:r>
    </w:p>
    <w:p w:rsidR="006705D9" w:rsidRPr="00ED5775" w:rsidRDefault="006705D9" w:rsidP="00CA25E3">
      <w:pPr>
        <w:pStyle w:val="BodyText2"/>
        <w:numPr>
          <w:ilvl w:val="0"/>
          <w:numId w:val="18"/>
        </w:numPr>
        <w:tabs>
          <w:tab w:val="num" w:pos="0"/>
          <w:tab w:val="left" w:pos="720"/>
          <w:tab w:val="left" w:pos="1134"/>
        </w:tabs>
        <w:spacing w:after="0" w:line="240" w:lineRule="auto"/>
        <w:ind w:left="0" w:firstLine="426"/>
        <w:jc w:val="both"/>
        <w:rPr>
          <w:b/>
          <w:i/>
        </w:rPr>
      </w:pPr>
      <w:r w:rsidRPr="00ED5775">
        <w:rPr>
          <w:b/>
          <w:i/>
        </w:rPr>
        <w:t xml:space="preserve">Медико-диагностична дейност – </w:t>
      </w:r>
      <w:r w:rsidR="006477E9" w:rsidRPr="00ED5775">
        <w:t>7</w:t>
      </w:r>
      <w:r w:rsidR="00ED5775" w:rsidRPr="00ED5775">
        <w:t>8,8</w:t>
      </w:r>
      <w:r w:rsidRPr="00ED5775">
        <w:t xml:space="preserve"> млн. лева;</w:t>
      </w:r>
      <w:r w:rsidRPr="00ED5775">
        <w:rPr>
          <w:b/>
          <w:i/>
        </w:rPr>
        <w:t xml:space="preserve"> </w:t>
      </w:r>
    </w:p>
    <w:p w:rsidR="006705D9" w:rsidRPr="00ED5775" w:rsidRDefault="006705D9" w:rsidP="00CA25E3">
      <w:pPr>
        <w:pStyle w:val="BodyText2"/>
        <w:numPr>
          <w:ilvl w:val="0"/>
          <w:numId w:val="18"/>
        </w:numPr>
        <w:tabs>
          <w:tab w:val="num" w:pos="709"/>
          <w:tab w:val="left" w:pos="1134"/>
        </w:tabs>
        <w:spacing w:after="0" w:line="240" w:lineRule="auto"/>
        <w:ind w:left="709" w:hanging="283"/>
        <w:jc w:val="both"/>
      </w:pPr>
      <w:r w:rsidRPr="00ED5775">
        <w:rPr>
          <w:b/>
          <w:i/>
        </w:rPr>
        <w:t>Лекарствени продукти, медиц</w:t>
      </w:r>
      <w:r w:rsidR="002B5FF6" w:rsidRPr="00ED5775">
        <w:rPr>
          <w:b/>
          <w:i/>
        </w:rPr>
        <w:t>ински изделия и диетични храни</w:t>
      </w:r>
      <w:r w:rsidRPr="00ED5775">
        <w:rPr>
          <w:b/>
          <w:i/>
        </w:rPr>
        <w:t xml:space="preserve"> за домашно лечение на територията на страната и за лекарствени продукти за лечение на злокачествени заболявания в условията на болнична медицинска помощ </w:t>
      </w:r>
      <w:r w:rsidRPr="00ED5775">
        <w:t>–</w:t>
      </w:r>
      <w:r w:rsidR="003115DE" w:rsidRPr="00ED5775">
        <w:t xml:space="preserve"> 9</w:t>
      </w:r>
      <w:r w:rsidR="00ED5775" w:rsidRPr="00ED5775">
        <w:t>79,2</w:t>
      </w:r>
      <w:r w:rsidRPr="00ED5775">
        <w:t xml:space="preserve"> млн. лв., в т.ч. </w:t>
      </w:r>
    </w:p>
    <w:p w:rsidR="006705D9" w:rsidRPr="00ED5775" w:rsidRDefault="006705D9" w:rsidP="00CA25E3">
      <w:pPr>
        <w:numPr>
          <w:ilvl w:val="0"/>
          <w:numId w:val="29"/>
        </w:numPr>
        <w:tabs>
          <w:tab w:val="right" w:pos="851"/>
        </w:tabs>
        <w:spacing w:after="120"/>
        <w:ind w:left="851" w:hanging="425"/>
        <w:jc w:val="both"/>
      </w:pPr>
      <w:r w:rsidRPr="00ED5775">
        <w:t xml:space="preserve">за лекарствени продукти, медицински изделия и диетични храни за домашно лечение </w:t>
      </w:r>
      <w:r w:rsidR="003115DE" w:rsidRPr="00ED5775">
        <w:t xml:space="preserve">на територията на страната – </w:t>
      </w:r>
      <w:r w:rsidR="00ED5775" w:rsidRPr="00ED5775">
        <w:t>697,7</w:t>
      </w:r>
      <w:r w:rsidRPr="00ED5775">
        <w:t xml:space="preserve"> млн. лв.; </w:t>
      </w:r>
    </w:p>
    <w:p w:rsidR="006705D9" w:rsidRPr="00BD0FDB" w:rsidRDefault="006705D9" w:rsidP="00CA25E3">
      <w:pPr>
        <w:numPr>
          <w:ilvl w:val="0"/>
          <w:numId w:val="29"/>
        </w:numPr>
        <w:tabs>
          <w:tab w:val="right" w:pos="851"/>
        </w:tabs>
        <w:spacing w:after="120"/>
        <w:ind w:left="851" w:hanging="425"/>
        <w:jc w:val="both"/>
      </w:pPr>
      <w:r w:rsidRPr="00ED5775">
        <w:t>за лекарствени продукти за лечение на злокачествени заболявания в условията на</w:t>
      </w:r>
      <w:r w:rsidR="003115DE" w:rsidRPr="00ED5775">
        <w:t xml:space="preserve"> </w:t>
      </w:r>
      <w:r w:rsidR="003115DE" w:rsidRPr="00BD0FDB">
        <w:t>болнична медицинска помощ – 28</w:t>
      </w:r>
      <w:r w:rsidR="00ED5775" w:rsidRPr="00BD0FDB">
        <w:t>1</w:t>
      </w:r>
      <w:r w:rsidR="003115DE" w:rsidRPr="00BD0FDB">
        <w:t>,5</w:t>
      </w:r>
      <w:r w:rsidRPr="00BD0FDB">
        <w:t xml:space="preserve"> млн. л</w:t>
      </w:r>
      <w:r w:rsidR="005F0318" w:rsidRPr="00BD0FDB">
        <w:t>е</w:t>
      </w:r>
      <w:r w:rsidRPr="00BD0FDB">
        <w:t>в</w:t>
      </w:r>
      <w:r w:rsidR="005F0318" w:rsidRPr="00BD0FDB">
        <w:t>а</w:t>
      </w:r>
      <w:r w:rsidRPr="00BD0FDB">
        <w:t>.</w:t>
      </w:r>
    </w:p>
    <w:p w:rsidR="006705D9" w:rsidRPr="00BD0FDB" w:rsidRDefault="006705D9" w:rsidP="00CA25E3">
      <w:pPr>
        <w:pStyle w:val="BodyText2"/>
        <w:numPr>
          <w:ilvl w:val="0"/>
          <w:numId w:val="18"/>
        </w:numPr>
        <w:tabs>
          <w:tab w:val="num" w:pos="709"/>
          <w:tab w:val="left" w:pos="1134"/>
        </w:tabs>
        <w:spacing w:after="0" w:line="240" w:lineRule="auto"/>
        <w:ind w:left="709" w:hanging="283"/>
        <w:jc w:val="both"/>
      </w:pPr>
      <w:r w:rsidRPr="00BD0FDB">
        <w:rPr>
          <w:b/>
          <w:i/>
        </w:rPr>
        <w:t>Медицински изделия, прилагани в болничната медицинска помощ –</w:t>
      </w:r>
      <w:r w:rsidR="003115DE" w:rsidRPr="00BD0FDB">
        <w:t xml:space="preserve"> </w:t>
      </w:r>
      <w:r w:rsidR="00BD0FDB" w:rsidRPr="00BD0FDB">
        <w:t>94,7</w:t>
      </w:r>
      <w:r w:rsidRPr="00BD0FDB">
        <w:t xml:space="preserve"> млн. лева;</w:t>
      </w:r>
    </w:p>
    <w:p w:rsidR="006705D9" w:rsidRPr="00BD0FDB" w:rsidRDefault="006705D9" w:rsidP="00CA25E3">
      <w:pPr>
        <w:pStyle w:val="BodyText2"/>
        <w:numPr>
          <w:ilvl w:val="0"/>
          <w:numId w:val="18"/>
        </w:numPr>
        <w:tabs>
          <w:tab w:val="num" w:pos="0"/>
          <w:tab w:val="left" w:pos="720"/>
          <w:tab w:val="left" w:pos="1134"/>
        </w:tabs>
        <w:spacing w:after="0" w:line="240" w:lineRule="auto"/>
        <w:ind w:left="0" w:firstLine="426"/>
        <w:jc w:val="both"/>
      </w:pPr>
      <w:r w:rsidRPr="00BD0FDB">
        <w:rPr>
          <w:b/>
          <w:i/>
        </w:rPr>
        <w:t>Болнична медицинска помощ –</w:t>
      </w:r>
      <w:r w:rsidR="003115DE" w:rsidRPr="00BD0FDB">
        <w:t xml:space="preserve"> 1</w:t>
      </w:r>
      <w:r w:rsidR="00BD0FDB" w:rsidRPr="00BD0FDB">
        <w:t> 624,7</w:t>
      </w:r>
      <w:r w:rsidRPr="00BD0FDB">
        <w:t xml:space="preserve"> млн. лева.</w:t>
      </w:r>
      <w:r w:rsidRPr="00BD0FDB">
        <w:tab/>
        <w:t xml:space="preserve"> </w:t>
      </w:r>
    </w:p>
    <w:p w:rsidR="006705D9" w:rsidRPr="00BD0FDB" w:rsidRDefault="006705D9" w:rsidP="00CA25E3">
      <w:pPr>
        <w:pStyle w:val="BodyText2"/>
        <w:numPr>
          <w:ilvl w:val="0"/>
          <w:numId w:val="18"/>
        </w:numPr>
        <w:tabs>
          <w:tab w:val="num" w:pos="0"/>
          <w:tab w:val="left" w:pos="720"/>
          <w:tab w:val="left" w:pos="1134"/>
        </w:tabs>
        <w:spacing w:line="240" w:lineRule="auto"/>
        <w:ind w:left="0" w:firstLine="426"/>
        <w:jc w:val="both"/>
      </w:pPr>
      <w:r w:rsidRPr="00BD0FDB">
        <w:rPr>
          <w:b/>
          <w:i/>
        </w:rPr>
        <w:t xml:space="preserve">Други здравноосигурителни плащания – </w:t>
      </w:r>
      <w:r w:rsidR="00BD0FDB" w:rsidRPr="00BD0FDB">
        <w:t>60,9</w:t>
      </w:r>
      <w:r w:rsidRPr="00BD0FDB">
        <w:t xml:space="preserve"> млн. лева.</w:t>
      </w:r>
    </w:p>
    <w:p w:rsidR="006705D9" w:rsidRPr="00BD0FDB" w:rsidRDefault="006705D9" w:rsidP="00703D84">
      <w:pPr>
        <w:pStyle w:val="BodyText"/>
        <w:spacing w:after="120"/>
      </w:pPr>
      <w:r w:rsidRPr="00BD0FDB">
        <w:t xml:space="preserve">Като здравноосигурителни плащания следва </w:t>
      </w:r>
      <w:r w:rsidR="003115DE" w:rsidRPr="00BD0FDB">
        <w:t xml:space="preserve">да се третират  и  преведените </w:t>
      </w:r>
      <w:r w:rsidR="00BD0FDB" w:rsidRPr="00BD0FDB">
        <w:t>82</w:t>
      </w:r>
      <w:r w:rsidR="003115DE" w:rsidRPr="00BD0FDB">
        <w:t>,</w:t>
      </w:r>
      <w:r w:rsidR="005236CC" w:rsidRPr="00BD0FDB">
        <w:t>4</w:t>
      </w:r>
      <w:r w:rsidRPr="00BD0FDB">
        <w:t xml:space="preserve"> млн.</w:t>
      </w:r>
      <w:r w:rsidR="00D57F74" w:rsidRPr="00D57F74">
        <w:t xml:space="preserve"> </w:t>
      </w:r>
      <w:r w:rsidR="00D57F74" w:rsidRPr="00BD0FDB">
        <w:t> </w:t>
      </w:r>
      <w:r w:rsidRPr="00BD0FDB">
        <w:t xml:space="preserve">лв. трансфери по договори за извършване на медицински услуги към </w:t>
      </w:r>
      <w:r w:rsidR="008D4989" w:rsidRPr="008D4989">
        <w:t>първостепенни разпоредители с бюджет, в структурата на които има лечебни заведения</w:t>
      </w:r>
      <w:r w:rsidR="003115DE" w:rsidRPr="00BD0FDB">
        <w:t xml:space="preserve"> </w:t>
      </w:r>
      <w:r w:rsidRPr="00BD0FDB">
        <w:t xml:space="preserve">по чл. 5 от Закона </w:t>
      </w:r>
      <w:r w:rsidRPr="00BD0FDB">
        <w:lastRenderedPageBreak/>
        <w:t>за лечебните заведения. Реално усвоените средства за болнична помощ</w:t>
      </w:r>
      <w:r w:rsidR="003115DE" w:rsidRPr="00BD0FDB">
        <w:t xml:space="preserve">, вкл. трансферите възлизат на </w:t>
      </w:r>
      <w:r w:rsidR="00BD0FDB" w:rsidRPr="00BD0FDB">
        <w:t>3 497,5</w:t>
      </w:r>
      <w:r w:rsidRPr="00BD0FDB">
        <w:t xml:space="preserve"> млн. лева.</w:t>
      </w:r>
    </w:p>
    <w:p w:rsidR="006705D9" w:rsidRPr="00BD0FDB" w:rsidRDefault="006705D9" w:rsidP="00703D84">
      <w:pPr>
        <w:pStyle w:val="BodyText"/>
        <w:spacing w:after="120"/>
      </w:pPr>
      <w:r w:rsidRPr="00BD0FDB">
        <w:t xml:space="preserve">За </w:t>
      </w:r>
      <w:r w:rsidR="00BD0FDB" w:rsidRPr="00BD0FDB">
        <w:t>2017 г.</w:t>
      </w:r>
      <w:r w:rsidRPr="00BD0FDB">
        <w:t xml:space="preserve"> са </w:t>
      </w:r>
      <w:r w:rsidR="003115DE" w:rsidRPr="00BD0FDB">
        <w:t xml:space="preserve">отчетени плащания в размер на </w:t>
      </w:r>
      <w:r w:rsidR="00BD0FDB" w:rsidRPr="00BD0FDB">
        <w:t>23,6</w:t>
      </w:r>
      <w:r w:rsidRPr="00BD0FDB">
        <w:t xml:space="preserve"> млн. лв. от предоставения трансфер  от Министерството на здравеопазването за дейности за </w:t>
      </w:r>
      <w:proofErr w:type="spellStart"/>
      <w:r w:rsidRPr="00BD0FDB">
        <w:t>здравнонеосигурени</w:t>
      </w:r>
      <w:proofErr w:type="spellEnd"/>
      <w:r w:rsidRPr="00BD0FDB">
        <w:t xml:space="preserve"> лица, лекарствени продукти и за потребителска такса.</w:t>
      </w:r>
    </w:p>
    <w:p w:rsidR="006705D9" w:rsidRPr="0096051A" w:rsidRDefault="006705D9" w:rsidP="00703D84">
      <w:pPr>
        <w:pStyle w:val="BodyText"/>
        <w:spacing w:after="120"/>
        <w:rPr>
          <w:color w:val="0070C0"/>
        </w:rPr>
      </w:pPr>
      <w:r w:rsidRPr="00BD0FDB">
        <w:t xml:space="preserve">По бюджета на НЗОК за 2017 година са утвърдени 45,4 млн. лв. за административни разходи на институцията, които включват разходите за персонал и за текуща издръжка. </w:t>
      </w:r>
      <w:r w:rsidR="003115DE" w:rsidRPr="00BD0FDB">
        <w:t xml:space="preserve">За </w:t>
      </w:r>
      <w:r w:rsidR="00BD0FDB" w:rsidRPr="00BD0FDB">
        <w:t>годината</w:t>
      </w:r>
      <w:r w:rsidR="003115DE" w:rsidRPr="00BD0FDB">
        <w:t xml:space="preserve"> са отчетени </w:t>
      </w:r>
      <w:r w:rsidR="00BD0FDB" w:rsidRPr="00BD0FDB">
        <w:t>43,3</w:t>
      </w:r>
      <w:r w:rsidR="003115DE" w:rsidRPr="00BD0FDB">
        <w:t xml:space="preserve"> млн. лв., което представлява </w:t>
      </w:r>
      <w:r w:rsidR="00BD0FDB" w:rsidRPr="00BD0FDB">
        <w:t>95</w:t>
      </w:r>
      <w:r w:rsidR="003115DE" w:rsidRPr="00BD0FDB">
        <w:t>,</w:t>
      </w:r>
      <w:r w:rsidR="007A7176" w:rsidRPr="00BD0FDB">
        <w:t>4</w:t>
      </w:r>
      <w:r w:rsidRPr="00BD0FDB">
        <w:t xml:space="preserve"> % от годишния разчет. Усвоените средства за административни разходи заемат 1,2 на сто в структурата на общите разходи за отчетния период.</w:t>
      </w:r>
    </w:p>
    <w:p w:rsidR="007A7176" w:rsidRPr="00103327" w:rsidRDefault="007A7176" w:rsidP="00564156">
      <w:pPr>
        <w:pStyle w:val="Heading1"/>
        <w:numPr>
          <w:ilvl w:val="1"/>
          <w:numId w:val="40"/>
        </w:numPr>
        <w:spacing w:before="240" w:after="120"/>
        <w:ind w:left="788" w:right="-108" w:hanging="431"/>
        <w:jc w:val="both"/>
        <w:rPr>
          <w:sz w:val="24"/>
        </w:rPr>
      </w:pPr>
      <w:r w:rsidRPr="00103327">
        <w:rPr>
          <w:sz w:val="24"/>
        </w:rPr>
        <w:t>Общински бюджети</w:t>
      </w:r>
    </w:p>
    <w:p w:rsidR="007A7176" w:rsidRPr="00103327" w:rsidRDefault="007A7176" w:rsidP="007A7176">
      <w:pPr>
        <w:numPr>
          <w:ilvl w:val="0"/>
          <w:numId w:val="8"/>
        </w:numPr>
        <w:tabs>
          <w:tab w:val="num" w:pos="540"/>
        </w:tabs>
        <w:spacing w:after="200" w:line="276" w:lineRule="auto"/>
        <w:jc w:val="both"/>
        <w:rPr>
          <w:b/>
        </w:rPr>
      </w:pPr>
      <w:r w:rsidRPr="00103327">
        <w:rPr>
          <w:b/>
        </w:rPr>
        <w:t>Приходи</w:t>
      </w:r>
    </w:p>
    <w:p w:rsidR="00540E10" w:rsidRPr="0005305D" w:rsidRDefault="00540E10" w:rsidP="00703D84">
      <w:pPr>
        <w:jc w:val="both"/>
        <w:rPr>
          <w:b/>
          <w:color w:val="365F91" w:themeColor="accent1" w:themeShade="BF"/>
        </w:rPr>
      </w:pPr>
      <w:r w:rsidRPr="0005305D">
        <w:t xml:space="preserve">Собствените приходи по бюджетите на общините за </w:t>
      </w:r>
      <w:r w:rsidRPr="00501D3E">
        <w:t>201</w:t>
      </w:r>
      <w:r w:rsidRPr="00501D3E">
        <w:rPr>
          <w:lang w:val="en-US"/>
        </w:rPr>
        <w:t>7</w:t>
      </w:r>
      <w:r w:rsidRPr="0005305D">
        <w:t xml:space="preserve"> г. са в размер на 2</w:t>
      </w:r>
      <w:r w:rsidRPr="00501D3E">
        <w:t> </w:t>
      </w:r>
      <w:r w:rsidRPr="00501D3E">
        <w:rPr>
          <w:lang w:val="en-US"/>
        </w:rPr>
        <w:t>221</w:t>
      </w:r>
      <w:r w:rsidRPr="00501D3E">
        <w:t>,</w:t>
      </w:r>
      <w:r w:rsidRPr="00501D3E">
        <w:rPr>
          <w:lang w:val="en-US"/>
        </w:rPr>
        <w:t>1</w:t>
      </w:r>
      <w:r w:rsidRPr="0005305D">
        <w:t xml:space="preserve"> млн. лв., което представлява </w:t>
      </w:r>
      <w:r w:rsidRPr="00501D3E">
        <w:t>10</w:t>
      </w:r>
      <w:r w:rsidRPr="00501D3E">
        <w:rPr>
          <w:lang w:val="en-US"/>
        </w:rPr>
        <w:t>5</w:t>
      </w:r>
      <w:r w:rsidRPr="00501D3E">
        <w:t>,</w:t>
      </w:r>
      <w:r w:rsidRPr="00501D3E">
        <w:rPr>
          <w:lang w:val="en-US"/>
        </w:rPr>
        <w:t>4</w:t>
      </w:r>
      <w:r w:rsidRPr="0005305D">
        <w:t> % спрямо</w:t>
      </w:r>
      <w:r w:rsidRPr="00501D3E">
        <w:t xml:space="preserve"> разчетените към ЗДБРБ за 201</w:t>
      </w:r>
      <w:r w:rsidRPr="00501D3E">
        <w:rPr>
          <w:lang w:val="en-US"/>
        </w:rPr>
        <w:t>7</w:t>
      </w:r>
      <w:r w:rsidRPr="0005305D">
        <w:t xml:space="preserve"> </w:t>
      </w:r>
      <w:r w:rsidRPr="00501D3E">
        <w:t>г. постъпления в размер на 2 </w:t>
      </w:r>
      <w:r w:rsidRPr="00501D3E">
        <w:rPr>
          <w:lang w:val="en-US"/>
        </w:rPr>
        <w:t>106</w:t>
      </w:r>
      <w:r w:rsidRPr="00501D3E">
        <w:t>,</w:t>
      </w:r>
      <w:r w:rsidRPr="00501D3E">
        <w:rPr>
          <w:lang w:val="en-US"/>
        </w:rPr>
        <w:t>5</w:t>
      </w:r>
      <w:r w:rsidRPr="00501D3E">
        <w:t xml:space="preserve"> млн. лева. Съпоставени с 201</w:t>
      </w:r>
      <w:r w:rsidRPr="00501D3E">
        <w:rPr>
          <w:lang w:val="en-US"/>
        </w:rPr>
        <w:t>6</w:t>
      </w:r>
      <w:r w:rsidRPr="00501D3E">
        <w:t xml:space="preserve"> г. приходите нарастват с </w:t>
      </w:r>
      <w:r w:rsidRPr="00501D3E">
        <w:rPr>
          <w:lang w:val="en-US"/>
        </w:rPr>
        <w:t>4</w:t>
      </w:r>
      <w:r w:rsidRPr="0005305D">
        <w:t>,</w:t>
      </w:r>
      <w:r w:rsidRPr="00501D3E">
        <w:rPr>
          <w:lang w:val="en-US"/>
        </w:rPr>
        <w:t>1</w:t>
      </w:r>
      <w:r w:rsidRPr="0005305D">
        <w:t xml:space="preserve"> % </w:t>
      </w:r>
      <w:r w:rsidRPr="0005305D">
        <w:rPr>
          <w:lang w:val="en-US"/>
        </w:rPr>
        <w:t>(</w:t>
      </w:r>
      <w:r w:rsidRPr="00501D3E">
        <w:t>8</w:t>
      </w:r>
      <w:r w:rsidRPr="00501D3E">
        <w:rPr>
          <w:lang w:val="en-US"/>
        </w:rPr>
        <w:t>8</w:t>
      </w:r>
      <w:r w:rsidRPr="00501D3E">
        <w:t>,</w:t>
      </w:r>
      <w:r w:rsidRPr="00501D3E">
        <w:rPr>
          <w:lang w:val="en-US"/>
        </w:rPr>
        <w:t>0</w:t>
      </w:r>
      <w:r w:rsidRPr="0005305D">
        <w:t xml:space="preserve"> млн. лв.</w:t>
      </w:r>
      <w:r w:rsidRPr="0005305D">
        <w:rPr>
          <w:lang w:val="en-US"/>
        </w:rPr>
        <w:t>)</w:t>
      </w:r>
      <w:r w:rsidRPr="0005305D">
        <w:t xml:space="preserve">. </w:t>
      </w:r>
      <w:r w:rsidRPr="0005305D">
        <w:rPr>
          <w:i/>
        </w:rPr>
        <w:t>Данъчните приходи</w:t>
      </w:r>
      <w:r w:rsidRPr="0005305D">
        <w:t xml:space="preserve"> по общинските бюджети са в размер на </w:t>
      </w:r>
      <w:r w:rsidRPr="00621389">
        <w:rPr>
          <w:lang w:val="en-US"/>
        </w:rPr>
        <w:t>925</w:t>
      </w:r>
      <w:r w:rsidRPr="00621389">
        <w:t>,</w:t>
      </w:r>
      <w:r w:rsidRPr="00621389">
        <w:rPr>
          <w:lang w:val="en-US"/>
        </w:rPr>
        <w:t>0</w:t>
      </w:r>
      <w:r w:rsidRPr="0005305D">
        <w:t xml:space="preserve"> млн. лв. или </w:t>
      </w:r>
      <w:r w:rsidRPr="00621389">
        <w:t>1</w:t>
      </w:r>
      <w:r w:rsidRPr="00621389">
        <w:rPr>
          <w:lang w:val="en-US"/>
        </w:rPr>
        <w:t>05</w:t>
      </w:r>
      <w:r w:rsidRPr="00621389">
        <w:t>,</w:t>
      </w:r>
      <w:r w:rsidRPr="00621389">
        <w:rPr>
          <w:lang w:val="en-US"/>
        </w:rPr>
        <w:t>1</w:t>
      </w:r>
      <w:r w:rsidRPr="0005305D">
        <w:t xml:space="preserve"> % спрямо годишните </w:t>
      </w:r>
      <w:r w:rsidRPr="00621389">
        <w:t>разчети към ЗДБРБ за 201</w:t>
      </w:r>
      <w:r w:rsidRPr="00621389">
        <w:rPr>
          <w:lang w:val="en-US"/>
        </w:rPr>
        <w:t>7</w:t>
      </w:r>
      <w:r w:rsidRPr="00621389">
        <w:t xml:space="preserve"> г. и нарастват с </w:t>
      </w:r>
      <w:r w:rsidRPr="0005305D">
        <w:t xml:space="preserve">5,7 % </w:t>
      </w:r>
      <w:r w:rsidRPr="0005305D">
        <w:rPr>
          <w:lang w:val="en-US"/>
        </w:rPr>
        <w:t>(</w:t>
      </w:r>
      <w:r w:rsidRPr="00621389">
        <w:rPr>
          <w:lang w:val="en-US"/>
        </w:rPr>
        <w:t>49</w:t>
      </w:r>
      <w:r w:rsidRPr="00621389">
        <w:t>,</w:t>
      </w:r>
      <w:r w:rsidRPr="00621389">
        <w:rPr>
          <w:lang w:val="en-US"/>
        </w:rPr>
        <w:t>5</w:t>
      </w:r>
      <w:r w:rsidRPr="0005305D">
        <w:t xml:space="preserve"> млн. лв.</w:t>
      </w:r>
      <w:r w:rsidRPr="0005305D">
        <w:rPr>
          <w:lang w:val="en-US"/>
        </w:rPr>
        <w:t>)</w:t>
      </w:r>
      <w:r w:rsidRPr="0005305D">
        <w:t xml:space="preserve"> спрямо предходната година.</w:t>
      </w:r>
      <w:r w:rsidRPr="0005305D">
        <w:rPr>
          <w:color w:val="365F91" w:themeColor="accent1" w:themeShade="BF"/>
        </w:rPr>
        <w:t xml:space="preserve"> </w:t>
      </w:r>
      <w:r w:rsidRPr="0005305D">
        <w:rPr>
          <w:bCs/>
        </w:rPr>
        <w:t xml:space="preserve">От </w:t>
      </w:r>
      <w:r w:rsidRPr="0005305D">
        <w:rPr>
          <w:bCs/>
          <w:i/>
        </w:rPr>
        <w:t>имуществени данъци по Закона за местните данъци и такси</w:t>
      </w:r>
      <w:r w:rsidRPr="0005305D">
        <w:rPr>
          <w:bCs/>
        </w:rPr>
        <w:t xml:space="preserve"> в местните бюджети през</w:t>
      </w:r>
      <w:r w:rsidRPr="00621389">
        <w:rPr>
          <w:bCs/>
        </w:rPr>
        <w:t xml:space="preserve"> 201</w:t>
      </w:r>
      <w:r w:rsidRPr="00621389">
        <w:rPr>
          <w:bCs/>
          <w:lang w:val="en-US"/>
        </w:rPr>
        <w:t>7</w:t>
      </w:r>
      <w:r w:rsidRPr="0005305D">
        <w:rPr>
          <w:bCs/>
        </w:rPr>
        <w:t xml:space="preserve"> г. са постъпили общо </w:t>
      </w:r>
      <w:r w:rsidRPr="00621389">
        <w:rPr>
          <w:bCs/>
          <w:lang w:val="en-US"/>
        </w:rPr>
        <w:t>903</w:t>
      </w:r>
      <w:r w:rsidRPr="0005305D">
        <w:rPr>
          <w:bCs/>
        </w:rPr>
        <w:t xml:space="preserve">,0 млн. лв., което представлява </w:t>
      </w:r>
      <w:r w:rsidRPr="00621389">
        <w:rPr>
          <w:bCs/>
        </w:rPr>
        <w:t>1</w:t>
      </w:r>
      <w:r w:rsidRPr="00621389">
        <w:rPr>
          <w:bCs/>
          <w:lang w:val="en-US"/>
        </w:rPr>
        <w:t>04</w:t>
      </w:r>
      <w:r w:rsidRPr="00621389">
        <w:rPr>
          <w:bCs/>
        </w:rPr>
        <w:t>,</w:t>
      </w:r>
      <w:r w:rsidRPr="00621389">
        <w:rPr>
          <w:bCs/>
          <w:lang w:val="en-US"/>
        </w:rPr>
        <w:t>9</w:t>
      </w:r>
      <w:r w:rsidR="00CA25E3">
        <w:rPr>
          <w:bCs/>
        </w:rPr>
        <w:t> </w:t>
      </w:r>
      <w:r w:rsidRPr="0005305D">
        <w:rPr>
          <w:bCs/>
        </w:rPr>
        <w:t xml:space="preserve">% спрямо годишния разчет, при </w:t>
      </w:r>
      <w:r w:rsidRPr="00621389">
        <w:rPr>
          <w:bCs/>
          <w:lang w:val="en-US"/>
        </w:rPr>
        <w:t>858,7</w:t>
      </w:r>
      <w:r w:rsidRPr="00621389">
        <w:rPr>
          <w:bCs/>
        </w:rPr>
        <w:t xml:space="preserve"> млн. лв. за 201</w:t>
      </w:r>
      <w:r w:rsidRPr="00621389">
        <w:rPr>
          <w:bCs/>
          <w:lang w:val="en-US"/>
        </w:rPr>
        <w:t>6</w:t>
      </w:r>
      <w:r w:rsidRPr="0005305D">
        <w:rPr>
          <w:bCs/>
        </w:rPr>
        <w:t xml:space="preserve"> г. С най-значителен дял в приходите от имуществени данъци е данъкът върху недвижимите имоти – 3</w:t>
      </w:r>
      <w:r>
        <w:rPr>
          <w:bCs/>
          <w:lang w:val="en-US"/>
        </w:rPr>
        <w:t>5</w:t>
      </w:r>
      <w:r w:rsidRPr="0005305D">
        <w:rPr>
          <w:bCs/>
        </w:rPr>
        <w:t>,</w:t>
      </w:r>
      <w:r>
        <w:rPr>
          <w:bCs/>
          <w:lang w:val="en-US"/>
        </w:rPr>
        <w:t>7</w:t>
      </w:r>
      <w:r w:rsidRPr="0005305D">
        <w:rPr>
          <w:bCs/>
        </w:rPr>
        <w:t xml:space="preserve"> %, следват данъка върху превозните средства – 3</w:t>
      </w:r>
      <w:r>
        <w:rPr>
          <w:bCs/>
          <w:lang w:val="en-US"/>
        </w:rPr>
        <w:t>2</w:t>
      </w:r>
      <w:r w:rsidRPr="00A435A4">
        <w:rPr>
          <w:bCs/>
        </w:rPr>
        <w:t>,</w:t>
      </w:r>
      <w:r>
        <w:rPr>
          <w:bCs/>
          <w:lang w:val="en-US"/>
        </w:rPr>
        <w:t>4</w:t>
      </w:r>
      <w:r w:rsidRPr="0005305D">
        <w:rPr>
          <w:bCs/>
        </w:rPr>
        <w:t> %, данъка върху придобиване на имущество по дарения и възмезден начин – 2</w:t>
      </w:r>
      <w:r>
        <w:rPr>
          <w:bCs/>
          <w:lang w:val="en-US"/>
        </w:rPr>
        <w:t>9</w:t>
      </w:r>
      <w:r w:rsidRPr="00A435A4">
        <w:rPr>
          <w:bCs/>
        </w:rPr>
        <w:t>,</w:t>
      </w:r>
      <w:r w:rsidR="00D249F5">
        <w:rPr>
          <w:bCs/>
        </w:rPr>
        <w:t>5</w:t>
      </w:r>
      <w:r w:rsidRPr="0005305D">
        <w:rPr>
          <w:bCs/>
        </w:rPr>
        <w:t xml:space="preserve"> % и туристически данък – </w:t>
      </w:r>
      <w:r>
        <w:rPr>
          <w:bCs/>
          <w:lang w:val="en-US"/>
        </w:rPr>
        <w:t>2</w:t>
      </w:r>
      <w:r w:rsidRPr="00A435A4">
        <w:rPr>
          <w:bCs/>
        </w:rPr>
        <w:t>,</w:t>
      </w:r>
      <w:r>
        <w:rPr>
          <w:bCs/>
          <w:lang w:val="en-US"/>
        </w:rPr>
        <w:t>3</w:t>
      </w:r>
      <w:r w:rsidRPr="0005305D">
        <w:rPr>
          <w:bCs/>
        </w:rPr>
        <w:t xml:space="preserve"> %.</w:t>
      </w:r>
      <w:r w:rsidRPr="0005305D">
        <w:t xml:space="preserve"> През </w:t>
      </w:r>
      <w:r w:rsidRPr="0026765F">
        <w:t>201</w:t>
      </w:r>
      <w:r w:rsidRPr="0026765F">
        <w:rPr>
          <w:lang w:val="en-US"/>
        </w:rPr>
        <w:t>7</w:t>
      </w:r>
      <w:r w:rsidRPr="0005305D">
        <w:t xml:space="preserve"> г. по бюджетите на общините са постъпили </w:t>
      </w:r>
      <w:r w:rsidRPr="0026765F">
        <w:rPr>
          <w:lang w:val="en-US"/>
        </w:rPr>
        <w:t>21</w:t>
      </w:r>
      <w:r w:rsidRPr="0026765F">
        <w:t>,</w:t>
      </w:r>
      <w:r w:rsidRPr="0026765F">
        <w:rPr>
          <w:lang w:val="en-US"/>
        </w:rPr>
        <w:t>9</w:t>
      </w:r>
      <w:r w:rsidRPr="0005305D">
        <w:t xml:space="preserve"> млн. лв. от </w:t>
      </w:r>
      <w:r w:rsidRPr="0005305D">
        <w:rPr>
          <w:i/>
        </w:rPr>
        <w:t>патентен данък</w:t>
      </w:r>
      <w:r w:rsidRPr="0005305D">
        <w:rPr>
          <w:color w:val="365F91" w:themeColor="accent1" w:themeShade="BF"/>
        </w:rPr>
        <w:t xml:space="preserve"> </w:t>
      </w:r>
      <w:r w:rsidRPr="0005305D">
        <w:t>(</w:t>
      </w:r>
      <w:r w:rsidRPr="0026765F">
        <w:t>1</w:t>
      </w:r>
      <w:r w:rsidRPr="0026765F">
        <w:rPr>
          <w:lang w:val="en-US"/>
        </w:rPr>
        <w:t>13</w:t>
      </w:r>
      <w:r w:rsidRPr="0026765F">
        <w:t>,</w:t>
      </w:r>
      <w:r w:rsidRPr="0026765F">
        <w:rPr>
          <w:lang w:val="en-US"/>
        </w:rPr>
        <w:t>5</w:t>
      </w:r>
      <w:r w:rsidRPr="0005305D">
        <w:t xml:space="preserve"> % спрямо годишния разчет). </w:t>
      </w:r>
    </w:p>
    <w:p w:rsidR="00540E10" w:rsidRPr="0005305D" w:rsidRDefault="00540E10" w:rsidP="00703D84">
      <w:pPr>
        <w:tabs>
          <w:tab w:val="center" w:pos="4153"/>
          <w:tab w:val="right" w:pos="8306"/>
        </w:tabs>
        <w:jc w:val="both"/>
        <w:rPr>
          <w:color w:val="365F91" w:themeColor="accent1" w:themeShade="BF"/>
          <w:sz w:val="4"/>
          <w:szCs w:val="4"/>
          <w:lang w:eastAsia="bg-BG"/>
        </w:rPr>
      </w:pPr>
      <w:r w:rsidRPr="0005305D">
        <w:rPr>
          <w:lang w:eastAsia="bg-BG"/>
        </w:rPr>
        <w:t xml:space="preserve">Общият размер на </w:t>
      </w:r>
      <w:r w:rsidRPr="0005305D">
        <w:rPr>
          <w:i/>
          <w:lang w:eastAsia="bg-BG"/>
        </w:rPr>
        <w:t>неданъчните приходи</w:t>
      </w:r>
      <w:r w:rsidRPr="0005305D">
        <w:rPr>
          <w:lang w:eastAsia="bg-BG"/>
        </w:rPr>
        <w:t xml:space="preserve"> по местните бюджети за </w:t>
      </w:r>
      <w:r w:rsidRPr="0026765F">
        <w:rPr>
          <w:lang w:eastAsia="bg-BG"/>
        </w:rPr>
        <w:t>201</w:t>
      </w:r>
      <w:r w:rsidRPr="0026765F">
        <w:rPr>
          <w:lang w:val="en-US" w:eastAsia="bg-BG"/>
        </w:rPr>
        <w:t>7</w:t>
      </w:r>
      <w:r w:rsidRPr="0005305D">
        <w:rPr>
          <w:lang w:eastAsia="bg-BG"/>
        </w:rPr>
        <w:t xml:space="preserve"> г. е </w:t>
      </w:r>
      <w:r w:rsidRPr="0026765F">
        <w:rPr>
          <w:lang w:eastAsia="bg-BG"/>
        </w:rPr>
        <w:t>1 2</w:t>
      </w:r>
      <w:r w:rsidRPr="0026765F">
        <w:rPr>
          <w:lang w:val="en-US" w:eastAsia="bg-BG"/>
        </w:rPr>
        <w:t>67</w:t>
      </w:r>
      <w:r w:rsidRPr="0026765F">
        <w:rPr>
          <w:lang w:eastAsia="bg-BG"/>
        </w:rPr>
        <w:t>,</w:t>
      </w:r>
      <w:r w:rsidRPr="0026765F">
        <w:rPr>
          <w:lang w:val="en-US" w:eastAsia="bg-BG"/>
        </w:rPr>
        <w:t>8</w:t>
      </w:r>
      <w:r w:rsidRPr="0005305D">
        <w:t xml:space="preserve"> млн. лв. или </w:t>
      </w:r>
      <w:r w:rsidRPr="00ED1398">
        <w:t>10</w:t>
      </w:r>
      <w:r w:rsidRPr="00ED1398">
        <w:rPr>
          <w:lang w:val="en-US"/>
        </w:rPr>
        <w:t>4</w:t>
      </w:r>
      <w:r w:rsidRPr="00ED1398">
        <w:t>,</w:t>
      </w:r>
      <w:r w:rsidRPr="00ED1398">
        <w:rPr>
          <w:lang w:val="en-US"/>
        </w:rPr>
        <w:t>8</w:t>
      </w:r>
      <w:r w:rsidRPr="0005305D">
        <w:t xml:space="preserve"> % спрямо планираните, което е с </w:t>
      </w:r>
      <w:r w:rsidRPr="00ED1398">
        <w:rPr>
          <w:lang w:val="en-US"/>
        </w:rPr>
        <w:t>3</w:t>
      </w:r>
      <w:r w:rsidRPr="0005305D">
        <w:t>,</w:t>
      </w:r>
      <w:r w:rsidRPr="00ED1398">
        <w:rPr>
          <w:lang w:val="en-US"/>
        </w:rPr>
        <w:t>0</w:t>
      </w:r>
      <w:r w:rsidRPr="0005305D">
        <w:t xml:space="preserve"> % </w:t>
      </w:r>
      <w:r w:rsidRPr="0005305D">
        <w:rPr>
          <w:lang w:val="en-US"/>
        </w:rPr>
        <w:t>(</w:t>
      </w:r>
      <w:r w:rsidRPr="00ED1398">
        <w:rPr>
          <w:lang w:val="en-US"/>
        </w:rPr>
        <w:t>36</w:t>
      </w:r>
      <w:r w:rsidRPr="00ED1398">
        <w:t>,</w:t>
      </w:r>
      <w:r w:rsidRPr="00ED1398">
        <w:rPr>
          <w:lang w:val="en-US"/>
        </w:rPr>
        <w:t>3</w:t>
      </w:r>
      <w:r w:rsidRPr="0005305D">
        <w:t xml:space="preserve"> млн. лв.</w:t>
      </w:r>
      <w:r w:rsidRPr="0005305D">
        <w:rPr>
          <w:lang w:val="en-US"/>
        </w:rPr>
        <w:t>)</w:t>
      </w:r>
      <w:r w:rsidRPr="0005305D">
        <w:t xml:space="preserve"> повече спрямо  предходната година.</w:t>
      </w:r>
      <w:r w:rsidRPr="0005305D">
        <w:rPr>
          <w:color w:val="365F91" w:themeColor="accent1" w:themeShade="BF"/>
          <w:lang w:eastAsia="bg-BG"/>
        </w:rPr>
        <w:t xml:space="preserve"> </w:t>
      </w:r>
      <w:r w:rsidRPr="0005305D">
        <w:rPr>
          <w:lang w:eastAsia="bg-BG"/>
        </w:rPr>
        <w:t xml:space="preserve">Най-голям относителен дял заемат приходите от общински такси, които възлизат на </w:t>
      </w:r>
      <w:r w:rsidRPr="00ED1398">
        <w:rPr>
          <w:lang w:eastAsia="bg-BG"/>
        </w:rPr>
        <w:t>7</w:t>
      </w:r>
      <w:r w:rsidRPr="00ED1398">
        <w:rPr>
          <w:lang w:val="en-US" w:eastAsia="bg-BG"/>
        </w:rPr>
        <w:t>82</w:t>
      </w:r>
      <w:r w:rsidRPr="0005305D">
        <w:rPr>
          <w:lang w:eastAsia="bg-BG"/>
        </w:rPr>
        <w:t xml:space="preserve">,2 млн. лв. </w:t>
      </w:r>
      <w:r w:rsidRPr="0005305D">
        <w:rPr>
          <w:lang w:val="en-US" w:eastAsia="bg-BG"/>
        </w:rPr>
        <w:t>(</w:t>
      </w:r>
      <w:r w:rsidRPr="00ED1398">
        <w:rPr>
          <w:lang w:eastAsia="bg-BG"/>
        </w:rPr>
        <w:t>10</w:t>
      </w:r>
      <w:r w:rsidRPr="00ED1398">
        <w:rPr>
          <w:lang w:val="en-US" w:eastAsia="bg-BG"/>
        </w:rPr>
        <w:t>0</w:t>
      </w:r>
      <w:proofErr w:type="gramStart"/>
      <w:r w:rsidRPr="00ED1398">
        <w:rPr>
          <w:lang w:eastAsia="bg-BG"/>
        </w:rPr>
        <w:t>,</w:t>
      </w:r>
      <w:r w:rsidRPr="00ED1398">
        <w:rPr>
          <w:lang w:val="en-US" w:eastAsia="bg-BG"/>
        </w:rPr>
        <w:t>5</w:t>
      </w:r>
      <w:proofErr w:type="gramEnd"/>
      <w:r w:rsidRPr="0005305D">
        <w:rPr>
          <w:lang w:eastAsia="bg-BG"/>
        </w:rPr>
        <w:t xml:space="preserve"> % спрямо разчетените за годината</w:t>
      </w:r>
      <w:r w:rsidRPr="0005305D">
        <w:rPr>
          <w:lang w:val="en-US" w:eastAsia="bg-BG"/>
        </w:rPr>
        <w:t>)</w:t>
      </w:r>
      <w:r w:rsidRPr="0005305D">
        <w:rPr>
          <w:lang w:eastAsia="bg-BG"/>
        </w:rPr>
        <w:t xml:space="preserve">, следват приходите и доходите от собственост – </w:t>
      </w:r>
      <w:r w:rsidRPr="00ED1398">
        <w:rPr>
          <w:lang w:eastAsia="bg-BG"/>
        </w:rPr>
        <w:t>2</w:t>
      </w:r>
      <w:r w:rsidRPr="00ED1398">
        <w:rPr>
          <w:lang w:val="en-US" w:eastAsia="bg-BG"/>
        </w:rPr>
        <w:t>74</w:t>
      </w:r>
      <w:r w:rsidRPr="0005305D">
        <w:rPr>
          <w:lang w:eastAsia="bg-BG"/>
        </w:rPr>
        <w:t xml:space="preserve">,9 млн. лв. </w:t>
      </w:r>
      <w:r w:rsidRPr="0005305D">
        <w:rPr>
          <w:lang w:val="en-US" w:eastAsia="bg-BG"/>
        </w:rPr>
        <w:t>(</w:t>
      </w:r>
      <w:r w:rsidRPr="00ED1398">
        <w:rPr>
          <w:lang w:eastAsia="bg-BG"/>
        </w:rPr>
        <w:t>10</w:t>
      </w:r>
      <w:r w:rsidRPr="00ED1398">
        <w:rPr>
          <w:lang w:val="en-US" w:eastAsia="bg-BG"/>
        </w:rPr>
        <w:t>5</w:t>
      </w:r>
      <w:proofErr w:type="gramStart"/>
      <w:r w:rsidRPr="00ED1398">
        <w:rPr>
          <w:lang w:eastAsia="bg-BG"/>
        </w:rPr>
        <w:t>,</w:t>
      </w:r>
      <w:r w:rsidRPr="00ED1398">
        <w:rPr>
          <w:lang w:val="en-US" w:eastAsia="bg-BG"/>
        </w:rPr>
        <w:t>2</w:t>
      </w:r>
      <w:proofErr w:type="gramEnd"/>
      <w:r w:rsidRPr="0005305D">
        <w:rPr>
          <w:lang w:eastAsia="bg-BG"/>
        </w:rPr>
        <w:t xml:space="preserve"> % спрямо</w:t>
      </w:r>
      <w:r w:rsidRPr="00ED1398">
        <w:rPr>
          <w:lang w:eastAsia="bg-BG"/>
        </w:rPr>
        <w:t xml:space="preserve"> разчетените за 201</w:t>
      </w:r>
      <w:r w:rsidRPr="00ED1398">
        <w:rPr>
          <w:lang w:val="en-US" w:eastAsia="bg-BG"/>
        </w:rPr>
        <w:t>7</w:t>
      </w:r>
      <w:r w:rsidRPr="0005305D">
        <w:rPr>
          <w:lang w:eastAsia="bg-BG"/>
        </w:rPr>
        <w:t xml:space="preserve"> г.</w:t>
      </w:r>
      <w:r w:rsidRPr="0005305D">
        <w:rPr>
          <w:lang w:val="en-US" w:eastAsia="bg-BG"/>
        </w:rPr>
        <w:t>)</w:t>
      </w:r>
      <w:r w:rsidRPr="0005305D">
        <w:rPr>
          <w:lang w:eastAsia="bg-BG"/>
        </w:rPr>
        <w:t>, постъпленията</w:t>
      </w:r>
      <w:r w:rsidRPr="0005305D">
        <w:rPr>
          <w:lang w:val="en-US" w:eastAsia="bg-BG"/>
        </w:rPr>
        <w:t xml:space="preserve"> </w:t>
      </w:r>
      <w:r w:rsidRPr="0005305D">
        <w:rPr>
          <w:lang w:eastAsia="bg-BG"/>
        </w:rPr>
        <w:t xml:space="preserve">от продажба на нефинансови активи – </w:t>
      </w:r>
      <w:r w:rsidRPr="00ED1398">
        <w:rPr>
          <w:lang w:eastAsia="bg-BG"/>
        </w:rPr>
        <w:t>1</w:t>
      </w:r>
      <w:r w:rsidRPr="00ED1398">
        <w:rPr>
          <w:lang w:val="en-US" w:eastAsia="bg-BG"/>
        </w:rPr>
        <w:t>43</w:t>
      </w:r>
      <w:r w:rsidRPr="00ED1398">
        <w:rPr>
          <w:lang w:eastAsia="bg-BG"/>
        </w:rPr>
        <w:t>,</w:t>
      </w:r>
      <w:r w:rsidRPr="00ED1398">
        <w:rPr>
          <w:lang w:val="en-US" w:eastAsia="bg-BG"/>
        </w:rPr>
        <w:t>5</w:t>
      </w:r>
      <w:r w:rsidRPr="0005305D">
        <w:rPr>
          <w:lang w:eastAsia="bg-BG"/>
        </w:rPr>
        <w:t xml:space="preserve"> млн. лв. </w:t>
      </w:r>
      <w:r w:rsidRPr="0005305D">
        <w:rPr>
          <w:lang w:val="en-US" w:eastAsia="bg-BG"/>
        </w:rPr>
        <w:t>(</w:t>
      </w:r>
      <w:r w:rsidRPr="00ED1398">
        <w:rPr>
          <w:lang w:val="en-US" w:eastAsia="bg-BG"/>
        </w:rPr>
        <w:t>141</w:t>
      </w:r>
      <w:proofErr w:type="gramStart"/>
      <w:r w:rsidRPr="00ED1398">
        <w:rPr>
          <w:lang w:eastAsia="bg-BG"/>
        </w:rPr>
        <w:t>,</w:t>
      </w:r>
      <w:r w:rsidRPr="00ED1398">
        <w:rPr>
          <w:lang w:val="en-US" w:eastAsia="bg-BG"/>
        </w:rPr>
        <w:t>8</w:t>
      </w:r>
      <w:proofErr w:type="gramEnd"/>
      <w:r w:rsidRPr="0005305D">
        <w:rPr>
          <w:lang w:eastAsia="bg-BG"/>
        </w:rPr>
        <w:t xml:space="preserve"> % от разчета за годината</w:t>
      </w:r>
      <w:r w:rsidRPr="0005305D">
        <w:rPr>
          <w:lang w:val="en-US" w:eastAsia="bg-BG"/>
        </w:rPr>
        <w:t>)</w:t>
      </w:r>
      <w:r w:rsidRPr="0005305D">
        <w:rPr>
          <w:lang w:eastAsia="bg-BG"/>
        </w:rPr>
        <w:t>,</w:t>
      </w:r>
      <w:r>
        <w:rPr>
          <w:color w:val="365F91" w:themeColor="accent1" w:themeShade="BF"/>
          <w:lang w:eastAsia="bg-BG"/>
        </w:rPr>
        <w:t xml:space="preserve"> </w:t>
      </w:r>
      <w:r w:rsidRPr="0005305D">
        <w:rPr>
          <w:lang w:eastAsia="bg-BG"/>
        </w:rPr>
        <w:t xml:space="preserve">постъпленията от глоби, санкции и наказателни лихви – </w:t>
      </w:r>
      <w:r w:rsidRPr="006704FD">
        <w:rPr>
          <w:lang w:eastAsia="bg-BG"/>
        </w:rPr>
        <w:t>7</w:t>
      </w:r>
      <w:r w:rsidRPr="006704FD">
        <w:rPr>
          <w:lang w:val="en-US" w:eastAsia="bg-BG"/>
        </w:rPr>
        <w:t>0</w:t>
      </w:r>
      <w:r w:rsidRPr="006704FD">
        <w:rPr>
          <w:lang w:eastAsia="bg-BG"/>
        </w:rPr>
        <w:t>,</w:t>
      </w:r>
      <w:r w:rsidRPr="006704FD">
        <w:rPr>
          <w:lang w:val="en-US" w:eastAsia="bg-BG"/>
        </w:rPr>
        <w:t>8</w:t>
      </w:r>
      <w:r w:rsidRPr="0005305D">
        <w:rPr>
          <w:lang w:eastAsia="bg-BG"/>
        </w:rPr>
        <w:t xml:space="preserve"> млн. лв.  </w:t>
      </w:r>
      <w:r w:rsidRPr="0005305D">
        <w:rPr>
          <w:lang w:val="en-US" w:eastAsia="bg-BG"/>
        </w:rPr>
        <w:t>(</w:t>
      </w:r>
      <w:r w:rsidRPr="006704FD">
        <w:rPr>
          <w:lang w:eastAsia="bg-BG"/>
        </w:rPr>
        <w:t>1</w:t>
      </w:r>
      <w:r w:rsidRPr="006704FD">
        <w:rPr>
          <w:lang w:val="en-US" w:eastAsia="bg-BG"/>
        </w:rPr>
        <w:t>04</w:t>
      </w:r>
      <w:proofErr w:type="gramStart"/>
      <w:r w:rsidRPr="006704FD">
        <w:rPr>
          <w:lang w:eastAsia="bg-BG"/>
        </w:rPr>
        <w:t>,</w:t>
      </w:r>
      <w:r w:rsidRPr="006704FD">
        <w:rPr>
          <w:lang w:val="en-US" w:eastAsia="bg-BG"/>
        </w:rPr>
        <w:t>4</w:t>
      </w:r>
      <w:proofErr w:type="gramEnd"/>
      <w:r w:rsidRPr="0005305D">
        <w:rPr>
          <w:lang w:eastAsia="bg-BG"/>
        </w:rPr>
        <w:t xml:space="preserve"> % спрямо</w:t>
      </w:r>
      <w:r w:rsidRPr="006704FD">
        <w:rPr>
          <w:lang w:eastAsia="bg-BG"/>
        </w:rPr>
        <w:t xml:space="preserve"> разчета за </w:t>
      </w:r>
      <w:r w:rsidRPr="00481992">
        <w:rPr>
          <w:lang w:eastAsia="bg-BG"/>
        </w:rPr>
        <w:t>201</w:t>
      </w:r>
      <w:r w:rsidRPr="00481992">
        <w:rPr>
          <w:lang w:val="en-US" w:eastAsia="bg-BG"/>
        </w:rPr>
        <w:t>7</w:t>
      </w:r>
      <w:r w:rsidRPr="00481992">
        <w:rPr>
          <w:lang w:eastAsia="bg-BG"/>
        </w:rPr>
        <w:t xml:space="preserve"> г. и </w:t>
      </w:r>
      <w:r w:rsidRPr="006704FD">
        <w:rPr>
          <w:lang w:eastAsia="bg-BG"/>
        </w:rPr>
        <w:t xml:space="preserve">приходите от концесии – </w:t>
      </w:r>
      <w:r w:rsidRPr="006704FD">
        <w:rPr>
          <w:lang w:val="en-US" w:eastAsia="bg-BG"/>
        </w:rPr>
        <w:t>46</w:t>
      </w:r>
      <w:r w:rsidRPr="006704FD">
        <w:rPr>
          <w:lang w:eastAsia="bg-BG"/>
        </w:rPr>
        <w:t>,</w:t>
      </w:r>
      <w:r w:rsidRPr="006704FD">
        <w:rPr>
          <w:lang w:val="en-US" w:eastAsia="bg-BG"/>
        </w:rPr>
        <w:t>6</w:t>
      </w:r>
      <w:r w:rsidRPr="0005305D">
        <w:rPr>
          <w:lang w:eastAsia="bg-BG"/>
        </w:rPr>
        <w:t xml:space="preserve"> млн. лв. </w:t>
      </w:r>
      <w:r w:rsidRPr="0005305D">
        <w:rPr>
          <w:lang w:val="en-US" w:eastAsia="bg-BG"/>
        </w:rPr>
        <w:t>(</w:t>
      </w:r>
      <w:r w:rsidRPr="0005305D">
        <w:rPr>
          <w:lang w:eastAsia="bg-BG"/>
        </w:rPr>
        <w:t>1</w:t>
      </w:r>
      <w:r w:rsidRPr="006704FD">
        <w:rPr>
          <w:lang w:val="en-US" w:eastAsia="bg-BG"/>
        </w:rPr>
        <w:t>08</w:t>
      </w:r>
      <w:proofErr w:type="gramStart"/>
      <w:r w:rsidRPr="006704FD">
        <w:rPr>
          <w:lang w:eastAsia="bg-BG"/>
        </w:rPr>
        <w:t>,</w:t>
      </w:r>
      <w:r w:rsidRPr="006704FD">
        <w:rPr>
          <w:lang w:val="en-US" w:eastAsia="bg-BG"/>
        </w:rPr>
        <w:t>0</w:t>
      </w:r>
      <w:proofErr w:type="gramEnd"/>
      <w:r w:rsidRPr="0005305D">
        <w:rPr>
          <w:lang w:eastAsia="bg-BG"/>
        </w:rPr>
        <w:t xml:space="preserve"> % спрямо планираните</w:t>
      </w:r>
      <w:r w:rsidRPr="0005305D">
        <w:rPr>
          <w:lang w:val="en-US" w:eastAsia="bg-BG"/>
        </w:rPr>
        <w:t>)</w:t>
      </w:r>
      <w:r>
        <w:rPr>
          <w:lang w:eastAsia="bg-BG"/>
        </w:rPr>
        <w:t>.</w:t>
      </w:r>
    </w:p>
    <w:p w:rsidR="00540E10" w:rsidRPr="0005305D" w:rsidRDefault="00540E10" w:rsidP="00703D84">
      <w:pPr>
        <w:tabs>
          <w:tab w:val="center" w:pos="4153"/>
          <w:tab w:val="right" w:pos="8306"/>
        </w:tabs>
        <w:jc w:val="both"/>
        <w:rPr>
          <w:lang w:eastAsia="bg-BG"/>
        </w:rPr>
      </w:pPr>
      <w:r w:rsidRPr="0005305D">
        <w:rPr>
          <w:lang w:eastAsia="bg-BG"/>
        </w:rPr>
        <w:t xml:space="preserve">През отчетния период по общинските бюджети са постъпили </w:t>
      </w:r>
      <w:r w:rsidRPr="006704FD">
        <w:rPr>
          <w:lang w:eastAsia="bg-BG"/>
        </w:rPr>
        <w:t>2</w:t>
      </w:r>
      <w:r w:rsidRPr="006704FD">
        <w:rPr>
          <w:lang w:val="en-US" w:eastAsia="bg-BG"/>
        </w:rPr>
        <w:t>8</w:t>
      </w:r>
      <w:r w:rsidRPr="006704FD">
        <w:rPr>
          <w:lang w:eastAsia="bg-BG"/>
        </w:rPr>
        <w:t>,</w:t>
      </w:r>
      <w:r w:rsidRPr="006704FD">
        <w:rPr>
          <w:lang w:val="en-US" w:eastAsia="bg-BG"/>
        </w:rPr>
        <w:t>3</w:t>
      </w:r>
      <w:r w:rsidRPr="0005305D">
        <w:rPr>
          <w:lang w:eastAsia="bg-BG"/>
        </w:rPr>
        <w:t xml:space="preserve"> млн. лв. приходи от </w:t>
      </w:r>
      <w:r w:rsidRPr="0005305D">
        <w:rPr>
          <w:i/>
          <w:lang w:eastAsia="bg-BG"/>
        </w:rPr>
        <w:t>помощи</w:t>
      </w:r>
      <w:r w:rsidRPr="0005305D">
        <w:rPr>
          <w:lang w:eastAsia="bg-BG"/>
        </w:rPr>
        <w:t xml:space="preserve">, което е </w:t>
      </w:r>
      <w:r w:rsidRPr="006704FD">
        <w:rPr>
          <w:lang w:eastAsia="bg-BG"/>
        </w:rPr>
        <w:t>1</w:t>
      </w:r>
      <w:r w:rsidRPr="006704FD">
        <w:rPr>
          <w:lang w:val="en-US" w:eastAsia="bg-BG"/>
        </w:rPr>
        <w:t>73</w:t>
      </w:r>
      <w:r w:rsidRPr="0005305D">
        <w:rPr>
          <w:lang w:eastAsia="bg-BG"/>
        </w:rPr>
        <w:t>,</w:t>
      </w:r>
      <w:r w:rsidRPr="006704FD">
        <w:rPr>
          <w:lang w:val="en-US" w:eastAsia="bg-BG"/>
        </w:rPr>
        <w:t>2</w:t>
      </w:r>
      <w:r w:rsidRPr="0005305D">
        <w:rPr>
          <w:lang w:eastAsia="bg-BG"/>
        </w:rPr>
        <w:t xml:space="preserve"> % спрямо</w:t>
      </w:r>
      <w:r w:rsidRPr="006704FD">
        <w:rPr>
          <w:lang w:eastAsia="bg-BG"/>
        </w:rPr>
        <w:t xml:space="preserve"> разчетените за годината 16,</w:t>
      </w:r>
      <w:r w:rsidRPr="006704FD">
        <w:rPr>
          <w:lang w:val="en-US" w:eastAsia="bg-BG"/>
        </w:rPr>
        <w:t>3</w:t>
      </w:r>
      <w:r w:rsidRPr="0005305D">
        <w:rPr>
          <w:lang w:eastAsia="bg-BG"/>
        </w:rPr>
        <w:t xml:space="preserve"> млн. лева. </w:t>
      </w:r>
    </w:p>
    <w:p w:rsidR="00540E10" w:rsidRPr="0005305D" w:rsidRDefault="00540E10" w:rsidP="00540E10">
      <w:pPr>
        <w:numPr>
          <w:ilvl w:val="0"/>
          <w:numId w:val="8"/>
        </w:numPr>
        <w:tabs>
          <w:tab w:val="num" w:pos="540"/>
        </w:tabs>
        <w:spacing w:before="240" w:after="120"/>
        <w:jc w:val="both"/>
        <w:rPr>
          <w:b/>
        </w:rPr>
      </w:pPr>
      <w:r w:rsidRPr="0005305D">
        <w:rPr>
          <w:b/>
        </w:rPr>
        <w:t>Разходи</w:t>
      </w:r>
    </w:p>
    <w:p w:rsidR="00540E10" w:rsidRPr="0005305D" w:rsidRDefault="00540E10" w:rsidP="00703D84">
      <w:pPr>
        <w:tabs>
          <w:tab w:val="center" w:pos="4153"/>
          <w:tab w:val="right" w:pos="8306"/>
        </w:tabs>
        <w:spacing w:after="120"/>
        <w:jc w:val="both"/>
        <w:rPr>
          <w:color w:val="365F91" w:themeColor="accent1" w:themeShade="BF"/>
          <w:lang w:eastAsia="bg-BG"/>
        </w:rPr>
      </w:pPr>
      <w:r w:rsidRPr="0005305D">
        <w:rPr>
          <w:lang w:eastAsia="bg-BG"/>
        </w:rPr>
        <w:t xml:space="preserve">За </w:t>
      </w:r>
      <w:r w:rsidRPr="006704FD">
        <w:rPr>
          <w:lang w:eastAsia="bg-BG"/>
        </w:rPr>
        <w:t>201</w:t>
      </w:r>
      <w:r w:rsidRPr="006704FD">
        <w:rPr>
          <w:lang w:val="en-US" w:eastAsia="bg-BG"/>
        </w:rPr>
        <w:t>7</w:t>
      </w:r>
      <w:r w:rsidRPr="0005305D">
        <w:rPr>
          <w:lang w:eastAsia="bg-BG"/>
        </w:rPr>
        <w:t xml:space="preserve"> г. общините са отчели общо разходи в размер на </w:t>
      </w:r>
      <w:r w:rsidRPr="006704FD">
        <w:rPr>
          <w:lang w:eastAsia="bg-BG"/>
        </w:rPr>
        <w:t>5 </w:t>
      </w:r>
      <w:r w:rsidRPr="006704FD">
        <w:rPr>
          <w:lang w:val="en-US" w:eastAsia="bg-BG"/>
        </w:rPr>
        <w:t>512</w:t>
      </w:r>
      <w:r w:rsidRPr="006704FD">
        <w:rPr>
          <w:lang w:eastAsia="bg-BG"/>
        </w:rPr>
        <w:t>,</w:t>
      </w:r>
      <w:r w:rsidRPr="006704FD">
        <w:rPr>
          <w:lang w:val="en-US" w:eastAsia="bg-BG"/>
        </w:rPr>
        <w:t>1</w:t>
      </w:r>
      <w:r w:rsidRPr="0005305D">
        <w:rPr>
          <w:lang w:eastAsia="bg-BG"/>
        </w:rPr>
        <w:t xml:space="preserve"> млн. лв., които представляват </w:t>
      </w:r>
      <w:r w:rsidRPr="005E1561">
        <w:rPr>
          <w:lang w:eastAsia="bg-BG"/>
        </w:rPr>
        <w:t>11</w:t>
      </w:r>
      <w:r w:rsidRPr="005E1561">
        <w:rPr>
          <w:lang w:val="en-US" w:eastAsia="bg-BG"/>
        </w:rPr>
        <w:t>2</w:t>
      </w:r>
      <w:r w:rsidRPr="005E1561">
        <w:rPr>
          <w:lang w:eastAsia="bg-BG"/>
        </w:rPr>
        <w:t>,</w:t>
      </w:r>
      <w:r w:rsidRPr="005E1561">
        <w:rPr>
          <w:lang w:val="en-US" w:eastAsia="bg-BG"/>
        </w:rPr>
        <w:t>6</w:t>
      </w:r>
      <w:r w:rsidRPr="0005305D">
        <w:rPr>
          <w:lang w:eastAsia="bg-BG"/>
        </w:rPr>
        <w:t xml:space="preserve"> % спрямо</w:t>
      </w:r>
      <w:r w:rsidRPr="005E1561">
        <w:rPr>
          <w:lang w:eastAsia="bg-BG"/>
        </w:rPr>
        <w:t xml:space="preserve"> разчетите към ЗДБРБ за 201</w:t>
      </w:r>
      <w:r w:rsidRPr="005E1561">
        <w:rPr>
          <w:lang w:val="en-US" w:eastAsia="bg-BG"/>
        </w:rPr>
        <w:t>7</w:t>
      </w:r>
      <w:r w:rsidRPr="0005305D">
        <w:rPr>
          <w:lang w:eastAsia="bg-BG"/>
        </w:rPr>
        <w:t xml:space="preserve"> г</w:t>
      </w:r>
      <w:r w:rsidRPr="0005305D">
        <w:rPr>
          <w:color w:val="365F91" w:themeColor="accent1" w:themeShade="BF"/>
          <w:lang w:eastAsia="bg-BG"/>
        </w:rPr>
        <w:t xml:space="preserve">. </w:t>
      </w:r>
      <w:r w:rsidRPr="0005305D">
        <w:rPr>
          <w:lang w:eastAsia="bg-BG"/>
        </w:rPr>
        <w:t xml:space="preserve">Текущите разходи възлизат на </w:t>
      </w:r>
      <w:r w:rsidRPr="005E1561">
        <w:rPr>
          <w:lang w:eastAsia="bg-BG"/>
        </w:rPr>
        <w:t>4 </w:t>
      </w:r>
      <w:r w:rsidRPr="0005305D">
        <w:rPr>
          <w:lang w:eastAsia="bg-BG"/>
        </w:rPr>
        <w:t>8</w:t>
      </w:r>
      <w:r w:rsidRPr="005E1561">
        <w:rPr>
          <w:lang w:val="en-US" w:eastAsia="bg-BG"/>
        </w:rPr>
        <w:t>35,7</w:t>
      </w:r>
      <w:r w:rsidRPr="0005305D">
        <w:rPr>
          <w:lang w:eastAsia="bg-BG"/>
        </w:rPr>
        <w:t xml:space="preserve"> млн. лв. или </w:t>
      </w:r>
      <w:r w:rsidRPr="005E1561">
        <w:rPr>
          <w:lang w:eastAsia="bg-BG"/>
        </w:rPr>
        <w:t>11</w:t>
      </w:r>
      <w:r w:rsidRPr="005E1561">
        <w:rPr>
          <w:lang w:val="en-US" w:eastAsia="bg-BG"/>
        </w:rPr>
        <w:t>7</w:t>
      </w:r>
      <w:r w:rsidRPr="005E1561">
        <w:rPr>
          <w:lang w:eastAsia="bg-BG"/>
        </w:rPr>
        <w:t>,</w:t>
      </w:r>
      <w:r w:rsidRPr="005E1561">
        <w:rPr>
          <w:lang w:val="en-US" w:eastAsia="bg-BG"/>
        </w:rPr>
        <w:t>3</w:t>
      </w:r>
      <w:r w:rsidRPr="0005305D">
        <w:rPr>
          <w:lang w:eastAsia="bg-BG"/>
        </w:rPr>
        <w:t> % спрямо годишния разчет. Разходите за персонал (</w:t>
      </w:r>
      <w:r w:rsidRPr="0005305D">
        <w:rPr>
          <w:bCs/>
        </w:rPr>
        <w:t>заплати и възнаграждения, други възнаграждения и плащания за персонала и осигурителни вноски)</w:t>
      </w:r>
      <w:r w:rsidRPr="0005305D">
        <w:rPr>
          <w:lang w:eastAsia="bg-BG"/>
        </w:rPr>
        <w:t xml:space="preserve"> са в размер на </w:t>
      </w:r>
      <w:r w:rsidRPr="005E1561">
        <w:rPr>
          <w:lang w:eastAsia="bg-BG"/>
        </w:rPr>
        <w:t>2 </w:t>
      </w:r>
      <w:r w:rsidRPr="005E1561">
        <w:rPr>
          <w:lang w:val="en-US" w:eastAsia="bg-BG"/>
        </w:rPr>
        <w:t>707</w:t>
      </w:r>
      <w:r w:rsidRPr="005E1561">
        <w:rPr>
          <w:lang w:eastAsia="bg-BG"/>
        </w:rPr>
        <w:t>,</w:t>
      </w:r>
      <w:r w:rsidRPr="005E1561">
        <w:rPr>
          <w:lang w:val="en-US" w:eastAsia="bg-BG"/>
        </w:rPr>
        <w:t>5</w:t>
      </w:r>
      <w:r w:rsidRPr="0005305D">
        <w:rPr>
          <w:lang w:eastAsia="bg-BG"/>
        </w:rPr>
        <w:t xml:space="preserve"> млн. лв. и заемат най-голям относителен дял в текущите разходи на общините – 5</w:t>
      </w:r>
      <w:r w:rsidRPr="005E1561">
        <w:rPr>
          <w:lang w:val="en-US" w:eastAsia="bg-BG"/>
        </w:rPr>
        <w:t>6</w:t>
      </w:r>
      <w:r w:rsidRPr="0005305D">
        <w:rPr>
          <w:lang w:eastAsia="bg-BG"/>
        </w:rPr>
        <w:t xml:space="preserve">,0 %. Разходите за издръжка </w:t>
      </w:r>
      <w:r w:rsidRPr="0005305D">
        <w:rPr>
          <w:bCs/>
        </w:rPr>
        <w:t>(вкл. разходи за членски внос и участие в нетърговски организации и дейности, платени данъци, такси и административни санкции)</w:t>
      </w:r>
      <w:r w:rsidRPr="0005305D">
        <w:rPr>
          <w:lang w:eastAsia="bg-BG"/>
        </w:rPr>
        <w:t xml:space="preserve"> са в размер на 1</w:t>
      </w:r>
      <w:r w:rsidRPr="005E1561">
        <w:rPr>
          <w:lang w:eastAsia="bg-BG"/>
        </w:rPr>
        <w:t> </w:t>
      </w:r>
      <w:r w:rsidRPr="005E1561">
        <w:rPr>
          <w:lang w:val="en-US" w:eastAsia="bg-BG"/>
        </w:rPr>
        <w:t>742</w:t>
      </w:r>
      <w:r w:rsidRPr="005E1561">
        <w:rPr>
          <w:lang w:eastAsia="bg-BG"/>
        </w:rPr>
        <w:t>,</w:t>
      </w:r>
      <w:r w:rsidRPr="005E1561">
        <w:rPr>
          <w:lang w:val="en-US" w:eastAsia="bg-BG"/>
        </w:rPr>
        <w:t>2</w:t>
      </w:r>
      <w:r w:rsidRPr="0005305D">
        <w:rPr>
          <w:lang w:eastAsia="bg-BG"/>
        </w:rPr>
        <w:t xml:space="preserve"> млн. лв.,</w:t>
      </w:r>
      <w:r w:rsidRPr="005E1561">
        <w:rPr>
          <w:lang w:eastAsia="bg-BG"/>
        </w:rPr>
        <w:t xml:space="preserve"> 11</w:t>
      </w:r>
      <w:r w:rsidRPr="005E1561">
        <w:rPr>
          <w:lang w:val="en-US" w:eastAsia="bg-BG"/>
        </w:rPr>
        <w:t>8</w:t>
      </w:r>
      <w:r w:rsidRPr="005E1561">
        <w:rPr>
          <w:lang w:eastAsia="bg-BG"/>
        </w:rPr>
        <w:t>,</w:t>
      </w:r>
      <w:r w:rsidRPr="005E1561">
        <w:rPr>
          <w:lang w:val="en-US" w:eastAsia="bg-BG"/>
        </w:rPr>
        <w:t>4</w:t>
      </w:r>
      <w:r w:rsidRPr="0005305D">
        <w:rPr>
          <w:lang w:eastAsia="bg-BG"/>
        </w:rPr>
        <w:t xml:space="preserve"> % спрямо годишния разчет. Разходите за субсидии са в размер на 1</w:t>
      </w:r>
      <w:r w:rsidRPr="009D631C">
        <w:rPr>
          <w:lang w:val="en-US" w:eastAsia="bg-BG"/>
        </w:rPr>
        <w:t>72</w:t>
      </w:r>
      <w:r w:rsidRPr="009D631C">
        <w:rPr>
          <w:lang w:eastAsia="bg-BG"/>
        </w:rPr>
        <w:t>,</w:t>
      </w:r>
      <w:r w:rsidRPr="009D631C">
        <w:rPr>
          <w:lang w:val="en-US" w:eastAsia="bg-BG"/>
        </w:rPr>
        <w:t>9</w:t>
      </w:r>
      <w:r w:rsidRPr="0005305D">
        <w:rPr>
          <w:lang w:eastAsia="bg-BG"/>
        </w:rPr>
        <w:t xml:space="preserve"> млн. лева. </w:t>
      </w:r>
      <w:r w:rsidRPr="0005305D">
        <w:rPr>
          <w:rFonts w:eastAsia="Calibri"/>
        </w:rPr>
        <w:t xml:space="preserve">Тук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 </w:t>
      </w:r>
      <w:r w:rsidRPr="0005305D">
        <w:rPr>
          <w:lang w:eastAsia="bg-BG"/>
        </w:rPr>
        <w:t>Текущите трансфери, обезщетения и помощи за домакинствата са в размер на 1</w:t>
      </w:r>
      <w:r w:rsidRPr="009D631C">
        <w:rPr>
          <w:lang w:val="en-US" w:eastAsia="bg-BG"/>
        </w:rPr>
        <w:t>62</w:t>
      </w:r>
      <w:r w:rsidRPr="0005305D">
        <w:rPr>
          <w:lang w:eastAsia="bg-BG"/>
        </w:rPr>
        <w:t>,6 млн. лв., което е 1</w:t>
      </w:r>
      <w:r w:rsidRPr="009D631C">
        <w:rPr>
          <w:lang w:eastAsia="bg-BG"/>
        </w:rPr>
        <w:t>5</w:t>
      </w:r>
      <w:r w:rsidRPr="009D631C">
        <w:rPr>
          <w:lang w:val="en-US" w:eastAsia="bg-BG"/>
        </w:rPr>
        <w:t>4</w:t>
      </w:r>
      <w:r w:rsidRPr="009D631C">
        <w:rPr>
          <w:lang w:eastAsia="bg-BG"/>
        </w:rPr>
        <w:t>,</w:t>
      </w:r>
      <w:r w:rsidRPr="009D631C">
        <w:rPr>
          <w:lang w:val="en-US" w:eastAsia="bg-BG"/>
        </w:rPr>
        <w:t>6</w:t>
      </w:r>
      <w:r w:rsidRPr="0005305D">
        <w:rPr>
          <w:lang w:eastAsia="bg-BG"/>
        </w:rPr>
        <w:t xml:space="preserve"> % спрямо</w:t>
      </w:r>
      <w:r w:rsidRPr="009D631C">
        <w:rPr>
          <w:lang w:eastAsia="bg-BG"/>
        </w:rPr>
        <w:t xml:space="preserve"> разчетите към ЗДБРБ за 201</w:t>
      </w:r>
      <w:r w:rsidRPr="009D631C">
        <w:rPr>
          <w:lang w:val="en-US" w:eastAsia="bg-BG"/>
        </w:rPr>
        <w:t>7</w:t>
      </w:r>
      <w:r w:rsidRPr="0005305D">
        <w:rPr>
          <w:lang w:eastAsia="bg-BG"/>
        </w:rPr>
        <w:t xml:space="preserve"> г.  </w:t>
      </w:r>
    </w:p>
    <w:p w:rsidR="00540E10" w:rsidRPr="0005305D" w:rsidRDefault="00540E10" w:rsidP="00703D84">
      <w:pPr>
        <w:tabs>
          <w:tab w:val="center" w:pos="4153"/>
          <w:tab w:val="right" w:pos="8306"/>
        </w:tabs>
        <w:jc w:val="both"/>
        <w:rPr>
          <w:lang w:eastAsia="bg-BG"/>
        </w:rPr>
      </w:pPr>
      <w:r w:rsidRPr="0005305D">
        <w:rPr>
          <w:lang w:eastAsia="bg-BG"/>
        </w:rPr>
        <w:lastRenderedPageBreak/>
        <w:t xml:space="preserve">Разходите за лихви възлизат на </w:t>
      </w:r>
      <w:r w:rsidRPr="00FE0BD1">
        <w:rPr>
          <w:lang w:val="en-US" w:eastAsia="bg-BG"/>
        </w:rPr>
        <w:t>36</w:t>
      </w:r>
      <w:r w:rsidRPr="00FE0BD1">
        <w:rPr>
          <w:lang w:eastAsia="bg-BG"/>
        </w:rPr>
        <w:t>,</w:t>
      </w:r>
      <w:r w:rsidRPr="00FE0BD1">
        <w:rPr>
          <w:lang w:val="en-US" w:eastAsia="bg-BG"/>
        </w:rPr>
        <w:t>7</w:t>
      </w:r>
      <w:r w:rsidRPr="00FE0BD1">
        <w:rPr>
          <w:lang w:eastAsia="bg-BG"/>
        </w:rPr>
        <w:t xml:space="preserve"> млн. лв.,</w:t>
      </w:r>
      <w:r w:rsidRPr="0005305D">
        <w:rPr>
          <w:lang w:eastAsia="bg-BG"/>
        </w:rPr>
        <w:t xml:space="preserve"> 1</w:t>
      </w:r>
      <w:r w:rsidRPr="00FE0BD1">
        <w:rPr>
          <w:lang w:val="en-US" w:eastAsia="bg-BG"/>
        </w:rPr>
        <w:t>08</w:t>
      </w:r>
      <w:r w:rsidRPr="00FE0BD1">
        <w:rPr>
          <w:lang w:eastAsia="bg-BG"/>
        </w:rPr>
        <w:t>,</w:t>
      </w:r>
      <w:r w:rsidRPr="00FE0BD1">
        <w:rPr>
          <w:lang w:val="en-US" w:eastAsia="bg-BG"/>
        </w:rPr>
        <w:t>5</w:t>
      </w:r>
      <w:r w:rsidRPr="0005305D">
        <w:rPr>
          <w:lang w:eastAsia="bg-BG"/>
        </w:rPr>
        <w:t xml:space="preserve"> % спрямо</w:t>
      </w:r>
      <w:r w:rsidRPr="00FE0BD1">
        <w:rPr>
          <w:lang w:eastAsia="bg-BG"/>
        </w:rPr>
        <w:t xml:space="preserve"> разчета за 201</w:t>
      </w:r>
      <w:r w:rsidRPr="00FE0BD1">
        <w:rPr>
          <w:lang w:val="en-US" w:eastAsia="bg-BG"/>
        </w:rPr>
        <w:t>7</w:t>
      </w:r>
      <w:r w:rsidRPr="0005305D">
        <w:rPr>
          <w:lang w:eastAsia="bg-BG"/>
        </w:rPr>
        <w:t xml:space="preserve"> година. </w:t>
      </w:r>
    </w:p>
    <w:p w:rsidR="00540E10" w:rsidRPr="0005305D" w:rsidRDefault="00540E10" w:rsidP="00703D84">
      <w:pPr>
        <w:tabs>
          <w:tab w:val="center" w:pos="4153"/>
          <w:tab w:val="right" w:pos="8306"/>
        </w:tabs>
        <w:jc w:val="both"/>
        <w:rPr>
          <w:lang w:eastAsia="bg-BG"/>
        </w:rPr>
      </w:pPr>
      <w:r w:rsidRPr="0005305D">
        <w:rPr>
          <w:lang w:eastAsia="bg-BG"/>
        </w:rPr>
        <w:t xml:space="preserve">Капиталовите разходи са в размер на </w:t>
      </w:r>
      <w:r w:rsidRPr="008D7D9A">
        <w:rPr>
          <w:lang w:val="en-US" w:eastAsia="bg-BG"/>
        </w:rPr>
        <w:t>676</w:t>
      </w:r>
      <w:r w:rsidRPr="008D7D9A">
        <w:rPr>
          <w:lang w:eastAsia="bg-BG"/>
        </w:rPr>
        <w:t>,</w:t>
      </w:r>
      <w:r w:rsidRPr="008D7D9A">
        <w:rPr>
          <w:lang w:val="en-US" w:eastAsia="bg-BG"/>
        </w:rPr>
        <w:t>4</w:t>
      </w:r>
      <w:r w:rsidRPr="0005305D">
        <w:rPr>
          <w:lang w:eastAsia="bg-BG"/>
        </w:rPr>
        <w:t xml:space="preserve"> млн. лв. или </w:t>
      </w:r>
      <w:r w:rsidRPr="008D7D9A">
        <w:rPr>
          <w:lang w:val="en-US" w:eastAsia="bg-BG"/>
        </w:rPr>
        <w:t>87</w:t>
      </w:r>
      <w:r w:rsidRPr="008D7D9A">
        <w:rPr>
          <w:lang w:eastAsia="bg-BG"/>
        </w:rPr>
        <w:t>,</w:t>
      </w:r>
      <w:r w:rsidRPr="008D7D9A">
        <w:rPr>
          <w:lang w:val="en-US" w:eastAsia="bg-BG"/>
        </w:rPr>
        <w:t>3</w:t>
      </w:r>
      <w:r w:rsidRPr="0005305D">
        <w:rPr>
          <w:lang w:eastAsia="bg-BG"/>
        </w:rPr>
        <w:t xml:space="preserve"> % спрямо</w:t>
      </w:r>
      <w:r w:rsidRPr="008D7D9A">
        <w:rPr>
          <w:lang w:eastAsia="bg-BG"/>
        </w:rPr>
        <w:t xml:space="preserve"> разчетите към ЗДБРБ за 201</w:t>
      </w:r>
      <w:r w:rsidRPr="008D7D9A">
        <w:rPr>
          <w:lang w:val="en-US" w:eastAsia="bg-BG"/>
        </w:rPr>
        <w:t>7</w:t>
      </w:r>
      <w:r w:rsidRPr="0005305D">
        <w:rPr>
          <w:lang w:eastAsia="bg-BG"/>
        </w:rPr>
        <w:t xml:space="preserve"> година.</w:t>
      </w:r>
    </w:p>
    <w:p w:rsidR="00540E10" w:rsidRDefault="00540E10" w:rsidP="00703D84">
      <w:pPr>
        <w:tabs>
          <w:tab w:val="center" w:pos="4153"/>
          <w:tab w:val="right" w:pos="8306"/>
        </w:tabs>
        <w:jc w:val="both"/>
        <w:rPr>
          <w:rFonts w:eastAsia="Calibri"/>
          <w:color w:val="548DD4" w:themeColor="text2" w:themeTint="99"/>
          <w:lang w:val="en-US"/>
        </w:rPr>
      </w:pPr>
      <w:r w:rsidRPr="00481992">
        <w:rPr>
          <w:rFonts w:eastAsia="Calibri"/>
        </w:rPr>
        <w:t xml:space="preserve">Общият размер на отчетените разходи за </w:t>
      </w:r>
      <w:proofErr w:type="spellStart"/>
      <w:r w:rsidRPr="00481992">
        <w:rPr>
          <w:rFonts w:eastAsia="Calibri"/>
        </w:rPr>
        <w:t>дофинансиране</w:t>
      </w:r>
      <w:proofErr w:type="spellEnd"/>
      <w:r w:rsidRPr="00481992">
        <w:rPr>
          <w:rFonts w:eastAsia="Calibri"/>
        </w:rPr>
        <w:t xml:space="preserve"> на делегираните от държавата дейности с местни приходи е 175,6 млн. лв., от които 156,2 млн. лв. текущи разходи и 19,4 млн. лв. капиталови разходи.</w:t>
      </w:r>
    </w:p>
    <w:p w:rsidR="00540E10" w:rsidRPr="00E57CA8" w:rsidRDefault="00540E10" w:rsidP="00540E10">
      <w:pPr>
        <w:tabs>
          <w:tab w:val="center" w:pos="4153"/>
          <w:tab w:val="right" w:pos="8306"/>
        </w:tabs>
        <w:ind w:firstLine="567"/>
        <w:jc w:val="both"/>
        <w:rPr>
          <w:rFonts w:eastAsia="Calibri"/>
          <w:color w:val="548DD4" w:themeColor="text2" w:themeTint="99"/>
          <w:lang w:val="en-US"/>
        </w:rPr>
      </w:pPr>
    </w:p>
    <w:p w:rsidR="00540E10" w:rsidRPr="00481992" w:rsidRDefault="00540E10" w:rsidP="00540E10">
      <w:pPr>
        <w:numPr>
          <w:ilvl w:val="0"/>
          <w:numId w:val="8"/>
        </w:numPr>
        <w:tabs>
          <w:tab w:val="num" w:pos="540"/>
        </w:tabs>
        <w:spacing w:after="120"/>
        <w:jc w:val="both"/>
        <w:rPr>
          <w:b/>
        </w:rPr>
      </w:pPr>
      <w:r w:rsidRPr="00481992">
        <w:rPr>
          <w:b/>
        </w:rPr>
        <w:t>Финансиране</w:t>
      </w:r>
    </w:p>
    <w:p w:rsidR="00540E10" w:rsidRPr="00481992" w:rsidRDefault="00D249F5" w:rsidP="00703D84">
      <w:pPr>
        <w:tabs>
          <w:tab w:val="center" w:pos="4153"/>
          <w:tab w:val="right" w:pos="8306"/>
        </w:tabs>
        <w:spacing w:before="120"/>
        <w:jc w:val="both"/>
        <w:rPr>
          <w:lang w:eastAsia="bg-BG"/>
        </w:rPr>
      </w:pPr>
      <w:r>
        <w:t>Към 31.12.</w:t>
      </w:r>
      <w:r w:rsidR="00540E10" w:rsidRPr="00481992">
        <w:t>201</w:t>
      </w:r>
      <w:r w:rsidR="00540E10" w:rsidRPr="00481992">
        <w:rPr>
          <w:lang w:val="en-US"/>
        </w:rPr>
        <w:t>7</w:t>
      </w:r>
      <w:r w:rsidR="00540E10" w:rsidRPr="00481992">
        <w:t xml:space="preserve"> г. </w:t>
      </w:r>
      <w:r w:rsidR="00540E10" w:rsidRPr="00481992">
        <w:rPr>
          <w:i/>
        </w:rPr>
        <w:t>получените</w:t>
      </w:r>
      <w:r w:rsidR="00540E10" w:rsidRPr="00481992">
        <w:t xml:space="preserve"> </w:t>
      </w:r>
      <w:r w:rsidR="00540E10" w:rsidRPr="00481992">
        <w:rPr>
          <w:i/>
        </w:rPr>
        <w:t>външни заеми</w:t>
      </w:r>
      <w:r w:rsidR="00540E10" w:rsidRPr="00481992">
        <w:t xml:space="preserve"> са в размер на </w:t>
      </w:r>
      <w:r w:rsidR="00540E10" w:rsidRPr="00481992">
        <w:rPr>
          <w:lang w:val="en-US"/>
        </w:rPr>
        <w:t>28</w:t>
      </w:r>
      <w:r w:rsidR="00540E10" w:rsidRPr="00481992">
        <w:t>,</w:t>
      </w:r>
      <w:r>
        <w:t>2</w:t>
      </w:r>
      <w:r w:rsidR="00540E10" w:rsidRPr="00481992">
        <w:t> млн. лв., като средствата са за изпълнение на големи инвестиционни проекти в три общини</w:t>
      </w:r>
      <w:r w:rsidR="00540E10" w:rsidRPr="00481992">
        <w:rPr>
          <w:lang w:val="en-US"/>
        </w:rPr>
        <w:t>.</w:t>
      </w:r>
      <w:r w:rsidR="00540E10" w:rsidRPr="00481992">
        <w:t xml:space="preserve"> </w:t>
      </w:r>
      <w:r w:rsidR="00540E10" w:rsidRPr="00481992">
        <w:rPr>
          <w:i/>
        </w:rPr>
        <w:t>Изплатените</w:t>
      </w:r>
      <w:r w:rsidR="00540E10" w:rsidRPr="00481992">
        <w:t xml:space="preserve"> </w:t>
      </w:r>
      <w:r w:rsidR="00540E10" w:rsidRPr="00481992">
        <w:rPr>
          <w:i/>
        </w:rPr>
        <w:t>главници по външни заеми</w:t>
      </w:r>
      <w:r w:rsidR="00540E10" w:rsidRPr="00481992">
        <w:t xml:space="preserve"> за </w:t>
      </w:r>
      <w:r w:rsidR="004A7D65">
        <w:t>2017 г.</w:t>
      </w:r>
      <w:r w:rsidR="00540E10" w:rsidRPr="00481992">
        <w:t xml:space="preserve"> са в размер на </w:t>
      </w:r>
      <w:r w:rsidR="00540E10" w:rsidRPr="00481992">
        <w:rPr>
          <w:lang w:val="en-US"/>
        </w:rPr>
        <w:t>2</w:t>
      </w:r>
      <w:r w:rsidR="00540E10" w:rsidRPr="00481992">
        <w:t>6</w:t>
      </w:r>
      <w:r w:rsidR="00540E10" w:rsidRPr="00481992">
        <w:rPr>
          <w:lang w:val="en-US"/>
        </w:rPr>
        <w:t>,</w:t>
      </w:r>
      <w:r w:rsidR="00540E10" w:rsidRPr="00481992">
        <w:t>5 млн. лева.</w:t>
      </w:r>
    </w:p>
    <w:p w:rsidR="00540E10" w:rsidRPr="00046EA6" w:rsidRDefault="00540E10" w:rsidP="00703D84">
      <w:pPr>
        <w:tabs>
          <w:tab w:val="center" w:pos="4153"/>
          <w:tab w:val="right" w:pos="8306"/>
        </w:tabs>
        <w:spacing w:before="120"/>
        <w:jc w:val="both"/>
        <w:rPr>
          <w:color w:val="0070C0"/>
          <w:lang w:eastAsia="bg-BG"/>
        </w:rPr>
      </w:pPr>
      <w:r w:rsidRPr="007C511C">
        <w:rPr>
          <w:lang w:eastAsia="bg-BG"/>
        </w:rPr>
        <w:t>Получените по бюджетите на общините към 31.12.201</w:t>
      </w:r>
      <w:r w:rsidRPr="007C511C">
        <w:rPr>
          <w:lang w:val="en-US" w:eastAsia="bg-BG"/>
        </w:rPr>
        <w:t>7</w:t>
      </w:r>
      <w:r w:rsidRPr="007C511C">
        <w:rPr>
          <w:lang w:eastAsia="bg-BG"/>
        </w:rPr>
        <w:t xml:space="preserve"> г. заеми от банки в страната са в размер на 78,0 млн. лв., а погашенията към същите са 67,9 млн. лева. От други лица в страната общините са получили заеми в размер на 51,5 млн. лв. (основно от „ФЛАГ“ </w:t>
      </w:r>
      <w:r w:rsidRPr="00046EA6">
        <w:rPr>
          <w:lang w:eastAsia="bg-BG"/>
        </w:rPr>
        <w:t>ЕАД), а направените погашения са 45,6 млн. лв. (в т.ч. 43,4 млн. лв. към „ФЛАГ“ ЕАД).</w:t>
      </w:r>
      <w:r w:rsidRPr="00046EA6">
        <w:rPr>
          <w:color w:val="0070C0"/>
          <w:lang w:eastAsia="bg-BG"/>
        </w:rPr>
        <w:t xml:space="preserve"> </w:t>
      </w:r>
      <w:r w:rsidRPr="00046EA6">
        <w:rPr>
          <w:lang w:eastAsia="bg-BG"/>
        </w:rPr>
        <w:t>Със заемите от фонда се финансира изпълнението на европейски проекти, като една част от тях се ползват за финансиране на допустимите разходи, които след това се възстановяват от управляващите органи, а другата част на заемите от ФЛАГ са свързани с финансиране на собственото участие на общините в проектите. Други кредитори от тази група са Фонд „Енергийна ефективност“, с който общините сключват договори за заеми с цел финансиране на проекти за саниране на сгради, общинска собственост и въвеждане на мерки за енергийна ефективност</w:t>
      </w:r>
      <w:r w:rsidRPr="00046EA6">
        <w:t>, „Регионален фонд за градско развитие“ АД за реализиране на инвестиционни обекти</w:t>
      </w:r>
      <w:r w:rsidRPr="00046EA6">
        <w:rPr>
          <w:lang w:eastAsia="bg-BG"/>
        </w:rPr>
        <w:t xml:space="preserve"> и др.</w:t>
      </w:r>
    </w:p>
    <w:p w:rsidR="00540E10" w:rsidRDefault="00540E10" w:rsidP="00703D84">
      <w:pPr>
        <w:tabs>
          <w:tab w:val="center" w:pos="4153"/>
          <w:tab w:val="right" w:pos="8306"/>
        </w:tabs>
        <w:spacing w:before="120"/>
        <w:jc w:val="both"/>
      </w:pPr>
      <w:r w:rsidRPr="00046EA6">
        <w:t>Към 31.12.2017 г. са емитирани общински ценни книжа в размер на 18,0 млн. лв., а погашенията по тях са в размер на 18,4 млн. лева.</w:t>
      </w:r>
      <w:r w:rsidRPr="007C511C">
        <w:t xml:space="preserve"> </w:t>
      </w:r>
    </w:p>
    <w:p w:rsidR="00540E10" w:rsidRDefault="00540E10" w:rsidP="00703D84">
      <w:pPr>
        <w:tabs>
          <w:tab w:val="center" w:pos="4153"/>
          <w:tab w:val="right" w:pos="8306"/>
        </w:tabs>
        <w:jc w:val="both"/>
        <w:rPr>
          <w:lang w:eastAsia="bg-BG"/>
        </w:rPr>
      </w:pPr>
      <w:r w:rsidRPr="001B1188">
        <w:rPr>
          <w:lang w:eastAsia="bg-BG"/>
        </w:rPr>
        <w:t>Постъпилите средства от приватизация на дялове, акции и участия в общинските бюджети през периода са в размер на 2,5 млн. лева.</w:t>
      </w:r>
    </w:p>
    <w:p w:rsidR="0092459E" w:rsidRPr="008D2385" w:rsidRDefault="00540E10" w:rsidP="008D2385">
      <w:pPr>
        <w:jc w:val="both"/>
        <w:rPr>
          <w:b/>
          <w:color w:val="0070C0"/>
        </w:rPr>
      </w:pPr>
      <w:r w:rsidRPr="001B1188">
        <w:rPr>
          <w:lang w:eastAsia="bg-BG"/>
        </w:rPr>
        <w:t>Общините приключиха 2017 г. с бюджетни наличности (по банкови сметки и в каса) в размер на 836,3 млн. лева.</w:t>
      </w:r>
      <w:r w:rsidRPr="001B1188">
        <w:t xml:space="preserve"> От общият размер на наличностите 612,4 млн. лв. (73,2 %) са в местните дейности, а останалите 223,9 млн. лв. (26,8 %) са в делегираните от държавата дейности.</w:t>
      </w:r>
    </w:p>
    <w:p w:rsidR="007A7176" w:rsidRPr="005B1928" w:rsidRDefault="007A7176" w:rsidP="00564156">
      <w:pPr>
        <w:pStyle w:val="Heading1"/>
        <w:numPr>
          <w:ilvl w:val="1"/>
          <w:numId w:val="40"/>
        </w:numPr>
        <w:spacing w:before="240" w:after="120"/>
        <w:ind w:left="788" w:right="-108" w:hanging="431"/>
        <w:jc w:val="both"/>
        <w:rPr>
          <w:sz w:val="24"/>
        </w:rPr>
      </w:pPr>
      <w:r w:rsidRPr="005B1928">
        <w:rPr>
          <w:sz w:val="24"/>
        </w:rPr>
        <w:t>Бюджети на Българската национална телевизия (БНТ), Българското национално радио (БНР) и Българската телеграфна агенция (БТА)</w:t>
      </w:r>
    </w:p>
    <w:p w:rsidR="007A7176" w:rsidRPr="00703D84" w:rsidRDefault="007A7176" w:rsidP="00703D84">
      <w:pPr>
        <w:tabs>
          <w:tab w:val="center" w:pos="4153"/>
          <w:tab w:val="right" w:pos="8306"/>
        </w:tabs>
        <w:spacing w:after="120"/>
        <w:jc w:val="both"/>
        <w:rPr>
          <w:color w:val="000000" w:themeColor="text1"/>
          <w:lang w:eastAsia="bg-BG"/>
        </w:rPr>
      </w:pPr>
      <w:r w:rsidRPr="00564156">
        <w:rPr>
          <w:b/>
          <w:color w:val="000000" w:themeColor="text1"/>
          <w:lang w:eastAsia="bg-BG"/>
        </w:rPr>
        <w:t>Приходите на БНТ</w:t>
      </w:r>
      <w:r w:rsidRPr="00703D84">
        <w:rPr>
          <w:color w:val="000000" w:themeColor="text1"/>
          <w:lang w:eastAsia="bg-BG"/>
        </w:rPr>
        <w:t xml:space="preserve"> </w:t>
      </w:r>
      <w:r w:rsidR="005B1928" w:rsidRPr="00564156">
        <w:rPr>
          <w:b/>
          <w:color w:val="000000" w:themeColor="text1"/>
          <w:lang w:eastAsia="bg-BG"/>
        </w:rPr>
        <w:t xml:space="preserve">за </w:t>
      </w:r>
      <w:r w:rsidRPr="00564156">
        <w:rPr>
          <w:b/>
          <w:color w:val="000000" w:themeColor="text1"/>
          <w:lang w:eastAsia="bg-BG"/>
        </w:rPr>
        <w:t>2017</w:t>
      </w:r>
      <w:r w:rsidRPr="00703D84">
        <w:rPr>
          <w:color w:val="000000" w:themeColor="text1"/>
          <w:lang w:eastAsia="bg-BG"/>
        </w:rPr>
        <w:t xml:space="preserve"> г. са в размер на </w:t>
      </w:r>
      <w:r w:rsidR="005B1928" w:rsidRPr="00703D84">
        <w:rPr>
          <w:color w:val="000000" w:themeColor="text1"/>
          <w:lang w:eastAsia="bg-BG"/>
        </w:rPr>
        <w:t>3,5</w:t>
      </w:r>
      <w:r w:rsidRPr="00703D84">
        <w:rPr>
          <w:color w:val="000000" w:themeColor="text1"/>
          <w:lang w:eastAsia="bg-BG"/>
        </w:rPr>
        <w:t xml:space="preserve"> млн. лв. при планирани за годината 7,5 млн. лв. или за отчетния период са постъпили </w:t>
      </w:r>
      <w:r w:rsidR="005B1928" w:rsidRPr="00703D84">
        <w:rPr>
          <w:color w:val="000000" w:themeColor="text1"/>
          <w:lang w:eastAsia="bg-BG"/>
        </w:rPr>
        <w:t>46,4</w:t>
      </w:r>
      <w:r w:rsidRPr="00703D84">
        <w:rPr>
          <w:color w:val="000000" w:themeColor="text1"/>
          <w:lang w:eastAsia="bg-BG"/>
        </w:rPr>
        <w:t xml:space="preserve"> % от планираните за годината. </w:t>
      </w:r>
    </w:p>
    <w:p w:rsidR="007A7176" w:rsidRPr="00703D84" w:rsidRDefault="007A7176" w:rsidP="00703D84">
      <w:pPr>
        <w:tabs>
          <w:tab w:val="center" w:pos="4153"/>
          <w:tab w:val="right" w:pos="8306"/>
        </w:tabs>
        <w:spacing w:after="120"/>
        <w:jc w:val="both"/>
        <w:rPr>
          <w:color w:val="000000" w:themeColor="text1"/>
          <w:lang w:eastAsia="bg-BG"/>
        </w:rPr>
      </w:pPr>
      <w:r w:rsidRPr="00703D84">
        <w:rPr>
          <w:color w:val="000000" w:themeColor="text1"/>
          <w:lang w:eastAsia="bg-BG"/>
        </w:rPr>
        <w:t xml:space="preserve">Спрямо </w:t>
      </w:r>
      <w:r w:rsidR="00B5161A" w:rsidRPr="00703D84">
        <w:rPr>
          <w:color w:val="000000" w:themeColor="text1"/>
          <w:lang w:eastAsia="bg-BG"/>
        </w:rPr>
        <w:t>2016 г.</w:t>
      </w:r>
      <w:r w:rsidRPr="00703D84">
        <w:rPr>
          <w:color w:val="000000" w:themeColor="text1"/>
          <w:lang w:eastAsia="bg-BG"/>
        </w:rPr>
        <w:t xml:space="preserve"> неданъчните приходи са с 3,</w:t>
      </w:r>
      <w:r w:rsidR="00B5161A" w:rsidRPr="00703D84">
        <w:rPr>
          <w:color w:val="000000" w:themeColor="text1"/>
          <w:lang w:eastAsia="bg-BG"/>
        </w:rPr>
        <w:t>7</w:t>
      </w:r>
      <w:r w:rsidRPr="00703D84">
        <w:rPr>
          <w:color w:val="000000" w:themeColor="text1"/>
          <w:lang w:eastAsia="bg-BG"/>
        </w:rPr>
        <w:t xml:space="preserve"> мл</w:t>
      </w:r>
      <w:r w:rsidR="0009724C" w:rsidRPr="00703D84">
        <w:rPr>
          <w:color w:val="000000" w:themeColor="text1"/>
          <w:lang w:eastAsia="bg-BG"/>
        </w:rPr>
        <w:t xml:space="preserve">н. лв. по-малко или спад от </w:t>
      </w:r>
      <w:r w:rsidR="00B5161A" w:rsidRPr="00703D84">
        <w:rPr>
          <w:color w:val="000000" w:themeColor="text1"/>
          <w:lang w:eastAsia="bg-BG"/>
        </w:rPr>
        <w:t>51,6</w:t>
      </w:r>
      <w:r w:rsidRPr="00703D84">
        <w:rPr>
          <w:color w:val="000000" w:themeColor="text1"/>
          <w:lang w:eastAsia="bg-BG"/>
        </w:rPr>
        <w:t xml:space="preserve"> % в резултат от отчетени по-ниски постъпления от реклама, спонсорски и технически услуги, както и изплатен ДДС на НАП за предходната година във връзка с издаден ревизионен акт в размер на 1,6 млн. л</w:t>
      </w:r>
      <w:r w:rsidR="00AF0F34" w:rsidRPr="00703D84">
        <w:rPr>
          <w:color w:val="000000" w:themeColor="text1"/>
          <w:lang w:eastAsia="bg-BG"/>
        </w:rPr>
        <w:t>е</w:t>
      </w:r>
      <w:r w:rsidRPr="00703D84">
        <w:rPr>
          <w:color w:val="000000" w:themeColor="text1"/>
          <w:lang w:eastAsia="bg-BG"/>
        </w:rPr>
        <w:t>в</w:t>
      </w:r>
      <w:r w:rsidR="00AF0F34" w:rsidRPr="00703D84">
        <w:rPr>
          <w:color w:val="000000" w:themeColor="text1"/>
          <w:lang w:eastAsia="bg-BG"/>
        </w:rPr>
        <w:t>а</w:t>
      </w:r>
      <w:r w:rsidRPr="00703D84">
        <w:rPr>
          <w:color w:val="000000" w:themeColor="text1"/>
          <w:lang w:eastAsia="bg-BG"/>
        </w:rPr>
        <w:t>.</w:t>
      </w:r>
    </w:p>
    <w:p w:rsidR="007A7176" w:rsidRPr="00703D84" w:rsidRDefault="007A7176" w:rsidP="00703D84">
      <w:pPr>
        <w:tabs>
          <w:tab w:val="center" w:pos="4153"/>
          <w:tab w:val="right" w:pos="8306"/>
        </w:tabs>
        <w:spacing w:after="120"/>
        <w:jc w:val="both"/>
        <w:rPr>
          <w:color w:val="000000" w:themeColor="text1"/>
          <w:lang w:eastAsia="bg-BG"/>
        </w:rPr>
      </w:pPr>
      <w:r w:rsidRPr="00703D84">
        <w:rPr>
          <w:color w:val="000000" w:themeColor="text1"/>
          <w:lang w:eastAsia="bg-BG"/>
        </w:rPr>
        <w:t xml:space="preserve">Отчетените неданъчни приходи са постъпления от продажби на услуги, стоки и продукция (реклама, спонсорство, технически услуги, почивно дело, продажба на програми) и наеми на имущество. </w:t>
      </w:r>
    </w:p>
    <w:p w:rsidR="00371B8F" w:rsidRPr="00703D84" w:rsidRDefault="007A7176" w:rsidP="00703D84">
      <w:pPr>
        <w:tabs>
          <w:tab w:val="center" w:pos="4153"/>
          <w:tab w:val="right" w:pos="8306"/>
        </w:tabs>
        <w:spacing w:after="120"/>
        <w:jc w:val="both"/>
        <w:rPr>
          <w:color w:val="000000" w:themeColor="text1"/>
          <w:lang w:eastAsia="bg-BG"/>
        </w:rPr>
      </w:pPr>
      <w:r w:rsidRPr="00703D84">
        <w:rPr>
          <w:color w:val="000000" w:themeColor="text1"/>
          <w:lang w:eastAsia="bg-BG"/>
        </w:rPr>
        <w:t xml:space="preserve">Отчетените </w:t>
      </w:r>
      <w:r w:rsidRPr="00564156">
        <w:rPr>
          <w:b/>
          <w:color w:val="000000" w:themeColor="text1"/>
          <w:lang w:eastAsia="bg-BG"/>
        </w:rPr>
        <w:t xml:space="preserve">разходи на БНТ </w:t>
      </w:r>
      <w:r w:rsidR="00772107" w:rsidRPr="00564156">
        <w:rPr>
          <w:b/>
          <w:color w:val="000000" w:themeColor="text1"/>
          <w:lang w:eastAsia="bg-BG"/>
        </w:rPr>
        <w:t xml:space="preserve">за </w:t>
      </w:r>
      <w:r w:rsidRPr="00564156">
        <w:rPr>
          <w:b/>
          <w:color w:val="000000" w:themeColor="text1"/>
          <w:lang w:eastAsia="bg-BG"/>
        </w:rPr>
        <w:t>2017</w:t>
      </w:r>
      <w:r w:rsidRPr="00703D84">
        <w:rPr>
          <w:color w:val="000000" w:themeColor="text1"/>
          <w:lang w:eastAsia="bg-BG"/>
        </w:rPr>
        <w:t xml:space="preserve"> г. са в размер на </w:t>
      </w:r>
      <w:r w:rsidR="00772107" w:rsidRPr="00703D84">
        <w:rPr>
          <w:color w:val="000000" w:themeColor="text1"/>
          <w:lang w:eastAsia="bg-BG"/>
        </w:rPr>
        <w:t>88,3</w:t>
      </w:r>
      <w:r w:rsidRPr="00703D84">
        <w:rPr>
          <w:color w:val="000000" w:themeColor="text1"/>
          <w:lang w:eastAsia="bg-BG"/>
        </w:rPr>
        <w:t xml:space="preserve"> млн. лв. или </w:t>
      </w:r>
      <w:r w:rsidR="00772107" w:rsidRPr="00703D84">
        <w:rPr>
          <w:color w:val="000000" w:themeColor="text1"/>
          <w:lang w:eastAsia="bg-BG"/>
        </w:rPr>
        <w:t>120,9</w:t>
      </w:r>
      <w:r w:rsidRPr="00703D84">
        <w:rPr>
          <w:color w:val="000000" w:themeColor="text1"/>
          <w:lang w:eastAsia="bg-BG"/>
        </w:rPr>
        <w:t xml:space="preserve"> % от годишния разчет по ЗДБРБ за 2017 г. За периода са отчетени </w:t>
      </w:r>
      <w:r w:rsidR="00772107" w:rsidRPr="00703D84">
        <w:rPr>
          <w:color w:val="000000" w:themeColor="text1"/>
          <w:lang w:eastAsia="bg-BG"/>
        </w:rPr>
        <w:t>69,5</w:t>
      </w:r>
      <w:r w:rsidRPr="00703D84">
        <w:rPr>
          <w:color w:val="000000" w:themeColor="text1"/>
          <w:lang w:eastAsia="bg-BG"/>
        </w:rPr>
        <w:t xml:space="preserve"> млн. лв. текущи разходи и </w:t>
      </w:r>
      <w:r w:rsidR="00772107" w:rsidRPr="00703D84">
        <w:rPr>
          <w:color w:val="000000" w:themeColor="text1"/>
          <w:lang w:eastAsia="bg-BG"/>
        </w:rPr>
        <w:t>18,8</w:t>
      </w:r>
      <w:r w:rsidRPr="00703D84">
        <w:rPr>
          <w:color w:val="000000" w:themeColor="text1"/>
          <w:lang w:eastAsia="bg-BG"/>
        </w:rPr>
        <w:t xml:space="preserve"> млн. лв. капиталови разходи. </w:t>
      </w:r>
      <w:r w:rsidR="004563FD" w:rsidRPr="00703D84">
        <w:rPr>
          <w:color w:val="000000" w:themeColor="text1"/>
          <w:lang w:eastAsia="bg-BG"/>
        </w:rPr>
        <w:t xml:space="preserve">За отчетния период  средствата са усвоени за 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 </w:t>
      </w:r>
      <w:r w:rsidR="00371B8F" w:rsidRPr="00703D84">
        <w:rPr>
          <w:color w:val="000000" w:themeColor="text1"/>
          <w:lang w:eastAsia="bg-BG"/>
        </w:rPr>
        <w:t>В разпределението  на разходите по бюджета на обществената медия е включен преходния остатък за 2016 г. /съгл. чл. 70, ал. 6 от ЗРТ/ в размер на 2,8 млн. л</w:t>
      </w:r>
      <w:r w:rsidR="00AF0F34" w:rsidRPr="00703D84">
        <w:rPr>
          <w:color w:val="000000" w:themeColor="text1"/>
          <w:lang w:eastAsia="bg-BG"/>
        </w:rPr>
        <w:t>е</w:t>
      </w:r>
      <w:r w:rsidR="00371B8F" w:rsidRPr="00703D84">
        <w:rPr>
          <w:color w:val="000000" w:themeColor="text1"/>
          <w:lang w:eastAsia="bg-BG"/>
        </w:rPr>
        <w:t>в</w:t>
      </w:r>
      <w:r w:rsidR="00AF0F34" w:rsidRPr="00703D84">
        <w:rPr>
          <w:color w:val="000000" w:themeColor="text1"/>
          <w:lang w:eastAsia="bg-BG"/>
        </w:rPr>
        <w:t>а</w:t>
      </w:r>
      <w:r w:rsidR="00371B8F" w:rsidRPr="00703D84">
        <w:rPr>
          <w:color w:val="000000" w:themeColor="text1"/>
          <w:lang w:eastAsia="bg-BG"/>
        </w:rPr>
        <w:t xml:space="preserve">. </w:t>
      </w:r>
    </w:p>
    <w:p w:rsidR="007A7176" w:rsidRPr="00703D84" w:rsidRDefault="007A7176" w:rsidP="00703D84">
      <w:pPr>
        <w:tabs>
          <w:tab w:val="center" w:pos="4153"/>
          <w:tab w:val="right" w:pos="8306"/>
        </w:tabs>
        <w:spacing w:after="120"/>
        <w:jc w:val="both"/>
        <w:rPr>
          <w:color w:val="000000" w:themeColor="text1"/>
          <w:szCs w:val="20"/>
          <w:lang w:val="en-US"/>
        </w:rPr>
      </w:pPr>
      <w:r w:rsidRPr="00703D84">
        <w:rPr>
          <w:color w:val="000000" w:themeColor="text1"/>
          <w:lang w:eastAsia="bg-BG"/>
        </w:rPr>
        <w:lastRenderedPageBreak/>
        <w:t xml:space="preserve">По бюджета на БНТ, в частта на </w:t>
      </w:r>
      <w:r w:rsidRPr="003B6C30">
        <w:rPr>
          <w:b/>
          <w:color w:val="000000" w:themeColor="text1"/>
          <w:lang w:eastAsia="bg-BG"/>
        </w:rPr>
        <w:t>финансирането</w:t>
      </w:r>
      <w:r w:rsidRPr="00703D84">
        <w:rPr>
          <w:color w:val="000000" w:themeColor="text1"/>
          <w:lang w:eastAsia="bg-BG"/>
        </w:rPr>
        <w:t xml:space="preserve"> са отчетени погашения по търговски кредит в размер на </w:t>
      </w:r>
      <w:r w:rsidR="00C63410" w:rsidRPr="00703D84">
        <w:rPr>
          <w:color w:val="000000" w:themeColor="text1"/>
          <w:lang w:eastAsia="bg-BG"/>
        </w:rPr>
        <w:t>15,2</w:t>
      </w:r>
      <w:r w:rsidRPr="00703D84">
        <w:rPr>
          <w:color w:val="000000" w:themeColor="text1"/>
          <w:lang w:eastAsia="bg-BG"/>
        </w:rPr>
        <w:t xml:space="preserve"> млн. лв. /погашения</w:t>
      </w:r>
      <w:r w:rsidRPr="00703D84">
        <w:rPr>
          <w:color w:val="000000" w:themeColor="text1"/>
          <w:szCs w:val="20"/>
        </w:rPr>
        <w:t xml:space="preserve"> на задължения по договори от предходната година за такси за разпространение на програмите на БНТ, придобиване на права за излъчване на европейски и световни първенства и за придобиване на машини и съоръжения/ и 9,3 млн. лв. задължения по търговски кредит /такси за разпространение на програмите на БНТ</w:t>
      </w:r>
      <w:r w:rsidR="00C63410" w:rsidRPr="00703D84">
        <w:rPr>
          <w:color w:val="000000" w:themeColor="text1"/>
          <w:szCs w:val="20"/>
        </w:rPr>
        <w:t xml:space="preserve"> и възнаграждения за авторски и сродни права на колективни сдружения </w:t>
      </w:r>
      <w:r w:rsidRPr="00703D84">
        <w:rPr>
          <w:color w:val="000000" w:themeColor="text1"/>
          <w:szCs w:val="20"/>
        </w:rPr>
        <w:t xml:space="preserve">/.  </w:t>
      </w:r>
    </w:p>
    <w:p w:rsidR="00B67FA8" w:rsidRPr="00E36D79" w:rsidRDefault="007A7176" w:rsidP="00703D84">
      <w:pPr>
        <w:tabs>
          <w:tab w:val="center" w:pos="4153"/>
          <w:tab w:val="right" w:pos="8306"/>
        </w:tabs>
        <w:spacing w:after="120"/>
        <w:jc w:val="both"/>
        <w:rPr>
          <w:color w:val="000000" w:themeColor="text1"/>
          <w:lang w:eastAsia="bg-BG"/>
        </w:rPr>
      </w:pPr>
      <w:r w:rsidRPr="00703D84">
        <w:rPr>
          <w:color w:val="000000" w:themeColor="text1"/>
          <w:lang w:eastAsia="bg-BG"/>
        </w:rPr>
        <w:t xml:space="preserve">Общо утвърдените </w:t>
      </w:r>
      <w:r w:rsidR="008D4FF3" w:rsidRPr="00E70025">
        <w:rPr>
          <w:b/>
          <w:i/>
        </w:rPr>
        <w:t xml:space="preserve">бюджетни </w:t>
      </w:r>
      <w:r w:rsidR="008D4FF3" w:rsidRPr="00E36D79">
        <w:rPr>
          <w:b/>
          <w:i/>
        </w:rPr>
        <w:t>взаимоотношения на БНТ с централния бюджет</w:t>
      </w:r>
      <w:r w:rsidR="008D4FF3" w:rsidRPr="00E36D79">
        <w:t xml:space="preserve"> </w:t>
      </w:r>
      <w:r w:rsidR="00703D84" w:rsidRPr="00E36D79">
        <w:rPr>
          <w:color w:val="000000" w:themeColor="text1"/>
          <w:lang w:eastAsia="bg-BG"/>
        </w:rPr>
        <w:t>за 2017 </w:t>
      </w:r>
      <w:r w:rsidRPr="00E36D79">
        <w:rPr>
          <w:color w:val="000000" w:themeColor="text1"/>
          <w:lang w:eastAsia="bg-BG"/>
        </w:rPr>
        <w:t xml:space="preserve">г. са в размер на </w:t>
      </w:r>
      <w:r w:rsidR="00E70025" w:rsidRPr="00E36D79">
        <w:rPr>
          <w:color w:val="000000" w:themeColor="text1"/>
          <w:lang w:eastAsia="bg-BG"/>
        </w:rPr>
        <w:t>90,6</w:t>
      </w:r>
      <w:r w:rsidRPr="00E36D79">
        <w:rPr>
          <w:color w:val="000000" w:themeColor="text1"/>
          <w:lang w:eastAsia="bg-BG"/>
        </w:rPr>
        <w:t xml:space="preserve"> млн. лв., в т.ч.: 65,3 млн. лв. съгласно чл. 49, т. 2 от ЗДБРБ за 2017 г. и одобрени допълнителни трансфери общо в размер на </w:t>
      </w:r>
      <w:r w:rsidR="00E70025" w:rsidRPr="00E36D79">
        <w:rPr>
          <w:color w:val="000000" w:themeColor="text1"/>
          <w:lang w:eastAsia="bg-BG"/>
        </w:rPr>
        <w:t>25,3</w:t>
      </w:r>
      <w:r w:rsidRPr="00E36D79">
        <w:rPr>
          <w:color w:val="000000" w:themeColor="text1"/>
          <w:lang w:eastAsia="bg-BG"/>
        </w:rPr>
        <w:t xml:space="preserve"> млн. лв. (5,0 млн. лв. за заплащане на </w:t>
      </w:r>
      <w:r w:rsidR="00637001" w:rsidRPr="00E36D79">
        <w:rPr>
          <w:color w:val="000000" w:themeColor="text1"/>
          <w:lang w:eastAsia="bg-BG"/>
        </w:rPr>
        <w:t xml:space="preserve">електронни съобщителни услуги </w:t>
      </w:r>
      <w:r w:rsidRPr="00E36D79">
        <w:rPr>
          <w:color w:val="000000" w:themeColor="text1"/>
          <w:lang w:eastAsia="bg-BG"/>
        </w:rPr>
        <w:t xml:space="preserve">за разпространение на телевизионните програми </w:t>
      </w:r>
      <w:r w:rsidR="00637001" w:rsidRPr="00E36D79">
        <w:rPr>
          <w:color w:val="000000" w:themeColor="text1"/>
          <w:lang w:eastAsia="bg-BG"/>
        </w:rPr>
        <w:t xml:space="preserve">чрез наземно цифрово радиоразпръскване </w:t>
      </w:r>
      <w:r w:rsidRPr="00E36D79">
        <w:rPr>
          <w:color w:val="000000" w:themeColor="text1"/>
          <w:lang w:eastAsia="bg-BG"/>
        </w:rPr>
        <w:t>съгл. ПМС № 25 от 2017 г.; 0,5 млн. лв. за разходи по подготовката и произвеждането на избори за народни представители на 26.03.2017 г. съгл. ПМС № 31 от 2017 г.; 5,6 млн. лв. за закупуване на техника за разпространяване на картина и звук от събитията по време на Българското председателство на Съвета на Е</w:t>
      </w:r>
      <w:r w:rsidR="00703D84" w:rsidRPr="00E36D79">
        <w:rPr>
          <w:color w:val="000000" w:themeColor="text1"/>
          <w:lang w:eastAsia="bg-BG"/>
        </w:rPr>
        <w:t>С</w:t>
      </w:r>
      <w:r w:rsidRPr="00E36D79">
        <w:rPr>
          <w:color w:val="000000" w:themeColor="text1"/>
          <w:lang w:eastAsia="bg-BG"/>
        </w:rPr>
        <w:t xml:space="preserve"> през 2018 г. съгл. ПМС № 67 от 2017 г.</w:t>
      </w:r>
      <w:r w:rsidR="00412CF4" w:rsidRPr="00E36D79">
        <w:rPr>
          <w:color w:val="000000" w:themeColor="text1"/>
          <w:lang w:eastAsia="bg-BG"/>
        </w:rPr>
        <w:t xml:space="preserve">, </w:t>
      </w:r>
      <w:r w:rsidRPr="00E36D79">
        <w:rPr>
          <w:color w:val="000000" w:themeColor="text1"/>
          <w:lang w:eastAsia="bg-BG"/>
        </w:rPr>
        <w:t>0,02  млн. лв. за реализиране на поредица от инициативи под мотото „Левски в моя роден град“ съгл. ПМС № 74 от 2017 г.</w:t>
      </w:r>
      <w:r w:rsidR="00412CF4" w:rsidRPr="00E36D79">
        <w:rPr>
          <w:color w:val="000000" w:themeColor="text1"/>
          <w:lang w:eastAsia="bg-BG"/>
        </w:rPr>
        <w:t xml:space="preserve"> и 14,2 млн. лв. за разплащане на задължения по договори за предоставяне на електронни съобщителни услуги за разпространение на телевизионни програми чрез наземно цифрово радиоразпръскване съгл. ПМС № 309 от 2017 г.</w:t>
      </w:r>
      <w:r w:rsidRPr="00E36D79">
        <w:rPr>
          <w:color w:val="000000" w:themeColor="text1"/>
          <w:lang w:eastAsia="bg-BG"/>
        </w:rPr>
        <w:t xml:space="preserve">). За отчетния период е усвоена сума в размер на </w:t>
      </w:r>
      <w:r w:rsidR="002B5E7E" w:rsidRPr="00E36D79">
        <w:rPr>
          <w:color w:val="000000" w:themeColor="text1"/>
          <w:lang w:eastAsia="bg-BG"/>
        </w:rPr>
        <w:t>90,6</w:t>
      </w:r>
      <w:r w:rsidRPr="00E36D79">
        <w:rPr>
          <w:color w:val="000000" w:themeColor="text1"/>
          <w:lang w:eastAsia="bg-BG"/>
        </w:rPr>
        <w:t xml:space="preserve"> млн. лв. или </w:t>
      </w:r>
      <w:r w:rsidR="002B5E7E" w:rsidRPr="00E36D79">
        <w:rPr>
          <w:color w:val="000000" w:themeColor="text1"/>
          <w:lang w:eastAsia="bg-BG"/>
        </w:rPr>
        <w:t>100,0</w:t>
      </w:r>
      <w:r w:rsidRPr="00E36D79">
        <w:rPr>
          <w:color w:val="000000" w:themeColor="text1"/>
          <w:lang w:eastAsia="bg-BG"/>
        </w:rPr>
        <w:t xml:space="preserve"> % от размера на утвърдените бюджетни взаимоотношения на БНТ с централния бюджет</w:t>
      </w:r>
      <w:r w:rsidR="00B67FA8" w:rsidRPr="00E36D79">
        <w:rPr>
          <w:color w:val="000000" w:themeColor="text1"/>
          <w:lang w:eastAsia="bg-BG"/>
        </w:rPr>
        <w:t>.</w:t>
      </w:r>
    </w:p>
    <w:p w:rsidR="007A7176" w:rsidRPr="00E36D79" w:rsidRDefault="007A7176" w:rsidP="00703D84">
      <w:pPr>
        <w:tabs>
          <w:tab w:val="center" w:pos="4153"/>
          <w:tab w:val="right" w:pos="8306"/>
        </w:tabs>
        <w:spacing w:after="120"/>
        <w:jc w:val="both"/>
        <w:rPr>
          <w:color w:val="000000" w:themeColor="text1"/>
          <w:lang w:eastAsia="bg-BG"/>
        </w:rPr>
      </w:pPr>
      <w:r w:rsidRPr="00E36D79">
        <w:rPr>
          <w:b/>
        </w:rPr>
        <w:t>Приходите по бюджета на БНР</w:t>
      </w:r>
      <w:r w:rsidRPr="00E36D79">
        <w:rPr>
          <w:color w:val="000000" w:themeColor="text1"/>
          <w:lang w:eastAsia="bg-BG"/>
        </w:rPr>
        <w:t xml:space="preserve"> </w:t>
      </w:r>
      <w:r w:rsidR="00AC2FF9" w:rsidRPr="00E36D79">
        <w:rPr>
          <w:color w:val="000000" w:themeColor="text1"/>
          <w:lang w:eastAsia="bg-BG"/>
        </w:rPr>
        <w:t xml:space="preserve">за </w:t>
      </w:r>
      <w:r w:rsidR="00851A0D" w:rsidRPr="00E36D79">
        <w:rPr>
          <w:color w:val="000000" w:themeColor="text1"/>
          <w:lang w:eastAsia="bg-BG"/>
        </w:rPr>
        <w:t>2017</w:t>
      </w:r>
      <w:r w:rsidRPr="00E36D79">
        <w:rPr>
          <w:color w:val="000000" w:themeColor="text1"/>
          <w:lang w:eastAsia="bg-BG"/>
        </w:rPr>
        <w:t xml:space="preserve"> г. са в размер на 1,</w:t>
      </w:r>
      <w:r w:rsidR="00AC2FF9" w:rsidRPr="00E36D79">
        <w:rPr>
          <w:color w:val="000000" w:themeColor="text1"/>
          <w:lang w:eastAsia="bg-BG"/>
        </w:rPr>
        <w:t>7</w:t>
      </w:r>
      <w:r w:rsidRPr="00E36D79">
        <w:rPr>
          <w:color w:val="000000" w:themeColor="text1"/>
          <w:lang w:eastAsia="bg-BG"/>
        </w:rPr>
        <w:t xml:space="preserve"> млн. лв., което представлява </w:t>
      </w:r>
      <w:r w:rsidR="00AC2FF9" w:rsidRPr="00E36D79">
        <w:rPr>
          <w:color w:val="000000" w:themeColor="text1"/>
          <w:lang w:eastAsia="bg-BG"/>
        </w:rPr>
        <w:t>82,5</w:t>
      </w:r>
      <w:r w:rsidRPr="00E36D79">
        <w:rPr>
          <w:color w:val="000000" w:themeColor="text1"/>
          <w:lang w:eastAsia="bg-BG"/>
        </w:rPr>
        <w:t xml:space="preserve"> % от планираните за годината 2,1 млн. лв. Отчетените приходи са постъпления от продажби на услуги, стоки и продукция /реклама, спонсорски съобщения, технически услуги, съвместни проекти, приходи от концертна дейност и др./, наеми на имущество и др.  </w:t>
      </w:r>
    </w:p>
    <w:p w:rsidR="007A7176" w:rsidRPr="00E36D79" w:rsidRDefault="007A7176" w:rsidP="00703D84">
      <w:pPr>
        <w:tabs>
          <w:tab w:val="center" w:pos="4153"/>
          <w:tab w:val="right" w:pos="8306"/>
        </w:tabs>
        <w:spacing w:after="120"/>
        <w:jc w:val="both"/>
        <w:rPr>
          <w:color w:val="000000" w:themeColor="text1"/>
          <w:lang w:eastAsia="bg-BG"/>
        </w:rPr>
      </w:pPr>
      <w:r w:rsidRPr="00E36D79">
        <w:rPr>
          <w:color w:val="000000" w:themeColor="text1"/>
          <w:lang w:eastAsia="bg-BG"/>
        </w:rPr>
        <w:t xml:space="preserve">Изпълнението на </w:t>
      </w:r>
      <w:r w:rsidRPr="00E36D79">
        <w:rPr>
          <w:b/>
          <w:szCs w:val="20"/>
        </w:rPr>
        <w:t>разходите по бюджета на БНР</w:t>
      </w:r>
      <w:r w:rsidRPr="00E36D79">
        <w:rPr>
          <w:color w:val="000000" w:themeColor="text1"/>
          <w:lang w:eastAsia="bg-BG"/>
        </w:rPr>
        <w:t xml:space="preserve"> възлиза на </w:t>
      </w:r>
      <w:r w:rsidR="004563FD" w:rsidRPr="00E36D79">
        <w:rPr>
          <w:color w:val="000000" w:themeColor="text1"/>
          <w:lang w:eastAsia="bg-BG"/>
        </w:rPr>
        <w:t>45</w:t>
      </w:r>
      <w:r w:rsidRPr="00E36D79">
        <w:rPr>
          <w:color w:val="000000" w:themeColor="text1"/>
          <w:lang w:eastAsia="bg-BG"/>
        </w:rPr>
        <w:t xml:space="preserve">,4 млн. лв. или </w:t>
      </w:r>
      <w:r w:rsidR="004563FD" w:rsidRPr="00E36D79">
        <w:rPr>
          <w:color w:val="000000" w:themeColor="text1"/>
          <w:lang w:eastAsia="bg-BG"/>
        </w:rPr>
        <w:t>101,8</w:t>
      </w:r>
      <w:r w:rsidRPr="00E36D79">
        <w:rPr>
          <w:color w:val="000000" w:themeColor="text1"/>
          <w:lang w:eastAsia="bg-BG"/>
        </w:rPr>
        <w:t xml:space="preserve"> % от предвидените в ЗДБРБ за 2017 г.  За периода са отчетени </w:t>
      </w:r>
      <w:r w:rsidR="004563FD" w:rsidRPr="00E36D79">
        <w:rPr>
          <w:color w:val="000000" w:themeColor="text1"/>
          <w:lang w:eastAsia="bg-BG"/>
        </w:rPr>
        <w:t>41,6</w:t>
      </w:r>
      <w:r w:rsidRPr="00E36D79">
        <w:rPr>
          <w:color w:val="000000" w:themeColor="text1"/>
          <w:lang w:eastAsia="bg-BG"/>
        </w:rPr>
        <w:t xml:space="preserve"> млн. лв. текущи разходи и </w:t>
      </w:r>
      <w:r w:rsidR="004563FD" w:rsidRPr="00E36D79">
        <w:rPr>
          <w:color w:val="000000" w:themeColor="text1"/>
          <w:lang w:eastAsia="bg-BG"/>
        </w:rPr>
        <w:t>3,9</w:t>
      </w:r>
      <w:r w:rsidRPr="00E36D79">
        <w:rPr>
          <w:color w:val="000000" w:themeColor="text1"/>
          <w:lang w:eastAsia="bg-BG"/>
        </w:rPr>
        <w:t xml:space="preserve"> млн. лв. капиталови разходи. Средствата са усвоени за реализирането на основните цели и дейности на БНР по подготовката, създаването и разпространението на национални и регионални радиопрограми</w:t>
      </w:r>
      <w:r w:rsidR="00AF0F34" w:rsidRPr="00E36D79">
        <w:rPr>
          <w:color w:val="000000" w:themeColor="text1"/>
          <w:lang w:eastAsia="bg-BG"/>
        </w:rPr>
        <w:t>,</w:t>
      </w:r>
      <w:r w:rsidRPr="00E36D79">
        <w:rPr>
          <w:color w:val="000000" w:themeColor="text1"/>
          <w:lang w:eastAsia="bg-BG"/>
        </w:rPr>
        <w:t xml:space="preserve"> съгласно разпоредбите на Закона за радиото и телевизията. В разпределението на разходите по бюджета на БНР е включен и преходния остатък за 2016 г. (съгл. чл. 70, ал. 6 от Закона за радиото и телевизията) в размер на 3,2 млн. лева. </w:t>
      </w:r>
    </w:p>
    <w:p w:rsidR="007A7176" w:rsidRPr="00E36D79" w:rsidRDefault="007A7176" w:rsidP="002A763A">
      <w:pPr>
        <w:spacing w:after="120"/>
        <w:jc w:val="both"/>
      </w:pPr>
      <w:r w:rsidRPr="00E36D79">
        <w:t xml:space="preserve">Общо утвърдените </w:t>
      </w:r>
      <w:r w:rsidRPr="00E36D79">
        <w:rPr>
          <w:b/>
          <w:i/>
        </w:rPr>
        <w:t>бюджетни взаимоотношения на БНР с централния бюджет</w:t>
      </w:r>
      <w:r w:rsidRPr="00E36D79">
        <w:t xml:space="preserve"> за 2017 г. са в размер на </w:t>
      </w:r>
      <w:r w:rsidRPr="00E36D79">
        <w:rPr>
          <w:szCs w:val="20"/>
        </w:rPr>
        <w:t>42,4 млн. лв.</w:t>
      </w:r>
      <w:r w:rsidRPr="00E36D79">
        <w:rPr>
          <w:b/>
          <w:szCs w:val="20"/>
        </w:rPr>
        <w:t xml:space="preserve"> </w:t>
      </w:r>
      <w:r w:rsidRPr="00E36D79">
        <w:rPr>
          <w:szCs w:val="20"/>
        </w:rPr>
        <w:t>в т.ч.: 42,2 млн. лв. съгласно чл. 49, т. 1 от ЗДБРБ за 2017 г.</w:t>
      </w:r>
      <w:r w:rsidRPr="00E36D79">
        <w:rPr>
          <w:szCs w:val="20"/>
          <w:lang w:val="en-US"/>
        </w:rPr>
        <w:t xml:space="preserve"> </w:t>
      </w:r>
      <w:r w:rsidRPr="00E36D79">
        <w:rPr>
          <w:szCs w:val="20"/>
        </w:rPr>
        <w:t xml:space="preserve">и 0,2 млн. лв. одобрен допълнителен трансфер съгласно ПМС № 31 от 2017 г. за разходи по подготовката и произвеждането на избори за народни представители на 26.03.2017 г. </w:t>
      </w:r>
      <w:r w:rsidR="00D45C7F" w:rsidRPr="00E36D79">
        <w:t xml:space="preserve">За </w:t>
      </w:r>
      <w:r w:rsidR="00851A0D" w:rsidRPr="00E36D79">
        <w:t>201</w:t>
      </w:r>
      <w:r w:rsidR="00851A0D" w:rsidRPr="00E36D79">
        <w:rPr>
          <w:lang w:val="en-US"/>
        </w:rPr>
        <w:t>7</w:t>
      </w:r>
      <w:r w:rsidRPr="00E36D79">
        <w:t xml:space="preserve"> г. отчетените трансфери от </w:t>
      </w:r>
      <w:r w:rsidR="00703D84" w:rsidRPr="00E36D79">
        <w:t>държавни</w:t>
      </w:r>
      <w:r w:rsidRPr="00E36D79">
        <w:t xml:space="preserve">я бюджет са в размер на </w:t>
      </w:r>
      <w:r w:rsidR="00D45C7F" w:rsidRPr="00E36D79">
        <w:t>42,4</w:t>
      </w:r>
      <w:r w:rsidRPr="00E36D79">
        <w:t xml:space="preserve"> млн. лв. </w:t>
      </w:r>
      <w:r w:rsidRPr="00E36D79">
        <w:rPr>
          <w:szCs w:val="20"/>
        </w:rPr>
        <w:t>(</w:t>
      </w:r>
      <w:r w:rsidR="00D45C7F" w:rsidRPr="00E36D79">
        <w:rPr>
          <w:szCs w:val="20"/>
        </w:rPr>
        <w:t>100,</w:t>
      </w:r>
      <w:r w:rsidR="00AC2DB6" w:rsidRPr="00E36D79">
        <w:rPr>
          <w:szCs w:val="20"/>
        </w:rPr>
        <w:t>0</w:t>
      </w:r>
      <w:r w:rsidR="00851A0D" w:rsidRPr="00E36D79">
        <w:rPr>
          <w:szCs w:val="20"/>
          <w:lang w:val="en-US"/>
        </w:rPr>
        <w:t> </w:t>
      </w:r>
      <w:r w:rsidRPr="00E36D79">
        <w:t xml:space="preserve">% </w:t>
      </w:r>
      <w:r w:rsidR="00AC2DB6" w:rsidRPr="00E36D79">
        <w:t>от размера на утвърдените бюджетни взаимоотношения</w:t>
      </w:r>
      <w:r w:rsidR="00703D84" w:rsidRPr="00E36D79">
        <w:t>)</w:t>
      </w:r>
      <w:r w:rsidRPr="00E36D79">
        <w:t xml:space="preserve">. </w:t>
      </w:r>
    </w:p>
    <w:p w:rsidR="007A7176" w:rsidRPr="00E36D79" w:rsidRDefault="007A7176" w:rsidP="002A763A">
      <w:pPr>
        <w:spacing w:after="120"/>
        <w:jc w:val="both"/>
        <w:rPr>
          <w:b/>
          <w:szCs w:val="20"/>
        </w:rPr>
      </w:pPr>
      <w:r w:rsidRPr="00E36D79">
        <w:rPr>
          <w:b/>
          <w:szCs w:val="20"/>
        </w:rPr>
        <w:t xml:space="preserve">Приходите на БТА </w:t>
      </w:r>
      <w:r w:rsidR="001A6FA6" w:rsidRPr="00E36D79">
        <w:rPr>
          <w:szCs w:val="20"/>
        </w:rPr>
        <w:t xml:space="preserve">за </w:t>
      </w:r>
      <w:r w:rsidRPr="00E36D79">
        <w:rPr>
          <w:szCs w:val="20"/>
        </w:rPr>
        <w:t>201</w:t>
      </w:r>
      <w:r w:rsidRPr="00E36D79">
        <w:rPr>
          <w:szCs w:val="20"/>
          <w:lang w:val="en-US"/>
        </w:rPr>
        <w:t>7</w:t>
      </w:r>
      <w:r w:rsidRPr="00E36D79">
        <w:rPr>
          <w:szCs w:val="20"/>
        </w:rPr>
        <w:t xml:space="preserve"> г. са 1,</w:t>
      </w:r>
      <w:r w:rsidR="001A6FA6" w:rsidRPr="00E36D79">
        <w:rPr>
          <w:szCs w:val="20"/>
        </w:rPr>
        <w:t>7</w:t>
      </w:r>
      <w:r w:rsidRPr="00E36D79">
        <w:rPr>
          <w:szCs w:val="20"/>
        </w:rPr>
        <w:t xml:space="preserve"> млн. лв. или </w:t>
      </w:r>
      <w:r w:rsidR="001A6FA6" w:rsidRPr="00E36D79">
        <w:rPr>
          <w:szCs w:val="20"/>
        </w:rPr>
        <w:t>9</w:t>
      </w:r>
      <w:r w:rsidRPr="00E36D79">
        <w:rPr>
          <w:szCs w:val="20"/>
          <w:lang w:val="en-US"/>
        </w:rPr>
        <w:t>8</w:t>
      </w:r>
      <w:r w:rsidRPr="00E36D79">
        <w:rPr>
          <w:szCs w:val="20"/>
        </w:rPr>
        <w:t>,</w:t>
      </w:r>
      <w:r w:rsidR="001A6FA6" w:rsidRPr="00E36D79">
        <w:rPr>
          <w:szCs w:val="20"/>
        </w:rPr>
        <w:t>7</w:t>
      </w:r>
      <w:r w:rsidRPr="00E36D79">
        <w:rPr>
          <w:szCs w:val="20"/>
        </w:rPr>
        <w:t xml:space="preserve"> % от предвидените за годината, като това са основно постъпления от продажба на информационни продукти и услуги.</w:t>
      </w:r>
    </w:p>
    <w:p w:rsidR="008D0DFE" w:rsidRPr="00B129CC" w:rsidRDefault="007A7176" w:rsidP="00D70231">
      <w:pPr>
        <w:spacing w:after="240"/>
        <w:jc w:val="both"/>
      </w:pPr>
      <w:r w:rsidRPr="00E36D79">
        <w:rPr>
          <w:b/>
        </w:rPr>
        <w:t>Отчетените разходи на БТА</w:t>
      </w:r>
      <w:r w:rsidRPr="00E36D79">
        <w:t xml:space="preserve"> за периода са </w:t>
      </w:r>
      <w:r w:rsidR="00281414" w:rsidRPr="00E36D79">
        <w:t>6,8</w:t>
      </w:r>
      <w:r w:rsidRPr="00E36D79">
        <w:t xml:space="preserve"> млн. лв., което е </w:t>
      </w:r>
      <w:r w:rsidR="00281414" w:rsidRPr="00E36D79">
        <w:t>104</w:t>
      </w:r>
      <w:r w:rsidRPr="00E36D79">
        <w:t>,5 % от годишния разчет по ЗДБРБ за 201</w:t>
      </w:r>
      <w:r w:rsidRPr="00E36D79">
        <w:rPr>
          <w:lang w:val="en-US"/>
        </w:rPr>
        <w:t>7</w:t>
      </w:r>
      <w:r w:rsidRPr="00E36D79">
        <w:t xml:space="preserve"> г., в т.ч. разходи за персонал – </w:t>
      </w:r>
      <w:r w:rsidR="00281414" w:rsidRPr="00E36D79">
        <w:t>4,9</w:t>
      </w:r>
      <w:r w:rsidRPr="00E36D79">
        <w:t xml:space="preserve"> млн. лв. и разходи за издръжка – </w:t>
      </w:r>
      <w:r w:rsidRPr="00E36D79">
        <w:rPr>
          <w:lang w:val="en-US"/>
        </w:rPr>
        <w:t>1</w:t>
      </w:r>
      <w:r w:rsidRPr="00E36D79">
        <w:t>,</w:t>
      </w:r>
      <w:r w:rsidR="00281414" w:rsidRPr="00E36D79">
        <w:t>4</w:t>
      </w:r>
      <w:r w:rsidRPr="00E36D79">
        <w:t xml:space="preserve"> млн. лв. Общо утвърдените</w:t>
      </w:r>
      <w:r w:rsidRPr="00E36D79">
        <w:rPr>
          <w:b/>
          <w:i/>
        </w:rPr>
        <w:t xml:space="preserve"> бюджетни взаимоотношения на БТА с централния бюджет</w:t>
      </w:r>
      <w:r w:rsidRPr="00E36D79">
        <w:t xml:space="preserve"> за 2017 г. са в размер на 4,8 млн. лв. </w:t>
      </w:r>
      <w:r w:rsidR="000374BB" w:rsidRPr="00E36D79">
        <w:rPr>
          <w:szCs w:val="20"/>
        </w:rPr>
        <w:t xml:space="preserve">съгласно чл. 49, т. </w:t>
      </w:r>
      <w:r w:rsidR="000374BB" w:rsidRPr="00E36D79">
        <w:rPr>
          <w:szCs w:val="20"/>
          <w:lang w:val="en-US"/>
        </w:rPr>
        <w:t>3</w:t>
      </w:r>
      <w:r w:rsidR="000374BB" w:rsidRPr="00E36D79">
        <w:rPr>
          <w:szCs w:val="20"/>
        </w:rPr>
        <w:t xml:space="preserve"> от ЗДБРБ за 2017 г.</w:t>
      </w:r>
      <w:r w:rsidR="000374BB" w:rsidRPr="00E36D79">
        <w:rPr>
          <w:szCs w:val="20"/>
          <w:lang w:val="en-US"/>
        </w:rPr>
        <w:t xml:space="preserve"> </w:t>
      </w:r>
      <w:r w:rsidR="000374BB" w:rsidRPr="00E36D79">
        <w:rPr>
          <w:szCs w:val="20"/>
        </w:rPr>
        <w:t>и 0</w:t>
      </w:r>
      <w:proofErr w:type="gramStart"/>
      <w:r w:rsidR="000374BB" w:rsidRPr="00E36D79">
        <w:rPr>
          <w:szCs w:val="20"/>
        </w:rPr>
        <w:t>,</w:t>
      </w:r>
      <w:r w:rsidR="000374BB" w:rsidRPr="00E36D79">
        <w:rPr>
          <w:szCs w:val="20"/>
          <w:lang w:val="en-US"/>
        </w:rPr>
        <w:t>7</w:t>
      </w:r>
      <w:proofErr w:type="gramEnd"/>
      <w:r w:rsidR="000374BB" w:rsidRPr="00E36D79">
        <w:rPr>
          <w:szCs w:val="20"/>
        </w:rPr>
        <w:t xml:space="preserve"> млн. лв. одобрени допълнителни трансфери съгласно ПМС  №</w:t>
      </w:r>
      <w:r w:rsidR="001F185C" w:rsidRPr="00E36D79">
        <w:rPr>
          <w:szCs w:val="20"/>
        </w:rPr>
        <w:t xml:space="preserve"> </w:t>
      </w:r>
      <w:r w:rsidR="000374BB" w:rsidRPr="00E36D79">
        <w:rPr>
          <w:szCs w:val="20"/>
          <w:lang w:val="en-US"/>
        </w:rPr>
        <w:t>3</w:t>
      </w:r>
      <w:r w:rsidR="000374BB" w:rsidRPr="00E36D79">
        <w:rPr>
          <w:szCs w:val="20"/>
        </w:rPr>
        <w:t>1</w:t>
      </w:r>
      <w:r w:rsidR="000374BB" w:rsidRPr="00E36D79">
        <w:rPr>
          <w:szCs w:val="20"/>
          <w:lang w:val="en-US"/>
        </w:rPr>
        <w:t xml:space="preserve"> </w:t>
      </w:r>
      <w:r w:rsidR="000374BB" w:rsidRPr="00E36D79">
        <w:rPr>
          <w:szCs w:val="20"/>
        </w:rPr>
        <w:t xml:space="preserve">и </w:t>
      </w:r>
      <w:r w:rsidR="001F185C" w:rsidRPr="00E36D79">
        <w:rPr>
          <w:szCs w:val="20"/>
        </w:rPr>
        <w:t xml:space="preserve">ПМС № </w:t>
      </w:r>
      <w:r w:rsidR="000374BB" w:rsidRPr="00E36D79">
        <w:rPr>
          <w:szCs w:val="20"/>
        </w:rPr>
        <w:t>33 от 2017 г. за разходи по подготовката и произвеждането на избори за народни представители на 26.03.2017</w:t>
      </w:r>
      <w:r w:rsidR="00AF0F34" w:rsidRPr="00E36D79">
        <w:rPr>
          <w:szCs w:val="20"/>
        </w:rPr>
        <w:t> </w:t>
      </w:r>
      <w:r w:rsidR="000374BB" w:rsidRPr="00E36D79">
        <w:rPr>
          <w:szCs w:val="20"/>
        </w:rPr>
        <w:t xml:space="preserve">г. и ПМС № </w:t>
      </w:r>
      <w:r w:rsidR="000374BB" w:rsidRPr="00E36D79">
        <w:rPr>
          <w:szCs w:val="20"/>
          <w:lang w:val="en-US"/>
        </w:rPr>
        <w:t>45</w:t>
      </w:r>
      <w:r w:rsidR="000374BB" w:rsidRPr="00E36D79">
        <w:rPr>
          <w:szCs w:val="20"/>
        </w:rPr>
        <w:t xml:space="preserve"> от 2017 г. за изграждане на Национален мултимедиен информационен център.</w:t>
      </w:r>
      <w:r w:rsidR="000374BB" w:rsidRPr="00E36D79">
        <w:t xml:space="preserve"> </w:t>
      </w:r>
      <w:r w:rsidRPr="00E36D79">
        <w:t xml:space="preserve">За отчетния период е усвоена сума в размер на </w:t>
      </w:r>
      <w:r w:rsidR="00B129CC" w:rsidRPr="00E36D79">
        <w:t>5,</w:t>
      </w:r>
      <w:proofErr w:type="spellStart"/>
      <w:r w:rsidR="00B129CC" w:rsidRPr="00E36D79">
        <w:t>5</w:t>
      </w:r>
      <w:proofErr w:type="spellEnd"/>
      <w:r w:rsidRPr="00E36D79">
        <w:t xml:space="preserve"> млн. лв. или </w:t>
      </w:r>
      <w:r w:rsidR="00B129CC" w:rsidRPr="00E36D79">
        <w:t>100,0</w:t>
      </w:r>
      <w:r w:rsidR="00B129CC" w:rsidRPr="00E36D79">
        <w:rPr>
          <w:szCs w:val="20"/>
          <w:lang w:val="en-US"/>
        </w:rPr>
        <w:t> </w:t>
      </w:r>
      <w:r w:rsidRPr="00E36D79">
        <w:t>% от размера на утвърдените бюджетни взаимоотношения на БТА с централния бюджет.</w:t>
      </w:r>
    </w:p>
    <w:p w:rsidR="00D21DB7" w:rsidRPr="00B129CC" w:rsidRDefault="00D21DB7" w:rsidP="00D21DB7">
      <w:pPr>
        <w:pStyle w:val="Title"/>
        <w:jc w:val="both"/>
        <w:rPr>
          <w:sz w:val="12"/>
        </w:rPr>
      </w:pPr>
    </w:p>
    <w:p w:rsidR="009F7A80" w:rsidRDefault="00D21DB7" w:rsidP="00D21DB7">
      <w:pPr>
        <w:pStyle w:val="Title"/>
        <w:jc w:val="both"/>
      </w:pPr>
      <w:r w:rsidRPr="002D777C">
        <w:t>Министерство на финансите, февруари 201</w:t>
      </w:r>
      <w:r w:rsidRPr="002D777C">
        <w:rPr>
          <w:lang w:val="en-US"/>
        </w:rPr>
        <w:t>8</w:t>
      </w:r>
      <w:r w:rsidRPr="002D777C">
        <w:t xml:space="preserve"> г.</w:t>
      </w:r>
      <w:bookmarkStart w:id="38" w:name="_GoBack"/>
      <w:bookmarkEnd w:id="38"/>
    </w:p>
    <w:sectPr w:rsidR="009F7A80" w:rsidSect="00CA25E3">
      <w:footerReference w:type="even" r:id="rId13"/>
      <w:footerReference w:type="default" r:id="rId14"/>
      <w:endnotePr>
        <w:numFmt w:val="decimal"/>
      </w:endnotePr>
      <w:type w:val="continuous"/>
      <w:pgSz w:w="11906" w:h="16838"/>
      <w:pgMar w:top="851" w:right="1106"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024" w:rsidRDefault="002A0024">
      <w:r>
        <w:separator/>
      </w:r>
    </w:p>
  </w:endnote>
  <w:endnote w:type="continuationSeparator" w:id="0">
    <w:p w:rsidR="002A0024" w:rsidRDefault="002A0024">
      <w:r>
        <w:continuationSeparator/>
      </w:r>
    </w:p>
  </w:endnote>
  <w:endnote w:type="continuationNotice" w:id="1">
    <w:p w:rsidR="002A0024" w:rsidRDefault="002A0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utura Bk">
    <w:altName w:val="AvantGarde"/>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Antiqua,Bold">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95" w:rsidRDefault="00504295"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4295" w:rsidRDefault="00504295" w:rsidP="00A741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295" w:rsidRDefault="00504295"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649D">
      <w:rPr>
        <w:rStyle w:val="PageNumber"/>
        <w:noProof/>
      </w:rPr>
      <w:t>25</w:t>
    </w:r>
    <w:r>
      <w:rPr>
        <w:rStyle w:val="PageNumber"/>
      </w:rPr>
      <w:fldChar w:fldCharType="end"/>
    </w:r>
  </w:p>
  <w:p w:rsidR="00504295" w:rsidRDefault="00504295" w:rsidP="00A741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024" w:rsidRDefault="002A0024">
      <w:r>
        <w:separator/>
      </w:r>
    </w:p>
  </w:footnote>
  <w:footnote w:type="continuationSeparator" w:id="0">
    <w:p w:rsidR="002A0024" w:rsidRDefault="002A0024">
      <w:r>
        <w:continuationSeparator/>
      </w:r>
    </w:p>
  </w:footnote>
  <w:footnote w:type="continuationNotice" w:id="1">
    <w:p w:rsidR="002A0024" w:rsidRDefault="002A0024"/>
  </w:footnote>
  <w:footnote w:id="2">
    <w:p w:rsidR="00504295" w:rsidRPr="004C1354" w:rsidRDefault="00504295" w:rsidP="004C1354">
      <w:pPr>
        <w:pStyle w:val="FootnoteText"/>
        <w:jc w:val="both"/>
        <w:rPr>
          <w:lang w:val="bg-BG"/>
        </w:rPr>
      </w:pPr>
      <w:r w:rsidRPr="004C1354">
        <w:rPr>
          <w:rStyle w:val="FootnoteReference"/>
          <w:lang w:val="bg-BG"/>
        </w:rPr>
        <w:footnoteRef/>
      </w:r>
      <w:r w:rsidRPr="004C1354">
        <w:rPr>
          <w:lang w:val="bg-BG"/>
        </w:rPr>
        <w:t xml:space="preserve"> Показателят е изчислен като отношение между БВП по цени от 2010 г. и броя на заетите лица (СНС).</w:t>
      </w:r>
    </w:p>
  </w:footnote>
  <w:footnote w:id="3">
    <w:p w:rsidR="00504295" w:rsidRPr="004C1354" w:rsidRDefault="00504295" w:rsidP="004C1354">
      <w:pPr>
        <w:jc w:val="both"/>
        <w:rPr>
          <w:rFonts w:ascii="Calibri" w:hAnsi="Calibri"/>
          <w:color w:val="1F497D"/>
          <w:sz w:val="22"/>
          <w:szCs w:val="22"/>
        </w:rPr>
      </w:pPr>
      <w:r w:rsidRPr="004C1354">
        <w:rPr>
          <w:rStyle w:val="FootnoteReference"/>
        </w:rPr>
        <w:footnoteRef/>
      </w:r>
      <w:r w:rsidRPr="004C1354">
        <w:t xml:space="preserve"> </w:t>
      </w:r>
      <w:r w:rsidRPr="004C1354">
        <w:rPr>
          <w:sz w:val="20"/>
          <w:szCs w:val="20"/>
        </w:rPr>
        <w:t>Показателят е изчислен като отношение между Компенсацията на един нает и БВП на един зает (СНС).</w:t>
      </w:r>
    </w:p>
  </w:footnote>
  <w:footnote w:id="4">
    <w:p w:rsidR="00504295" w:rsidRPr="00F5168B" w:rsidRDefault="00504295" w:rsidP="002B0332">
      <w:pPr>
        <w:pStyle w:val="FootnoteText"/>
        <w:rPr>
          <w:lang w:val="bg-BG"/>
        </w:rPr>
      </w:pPr>
      <w:r w:rsidRPr="00F5168B">
        <w:rPr>
          <w:rStyle w:val="FootnoteReference"/>
          <w:lang w:val="bg-BG"/>
        </w:rPr>
        <w:footnoteRef/>
      </w:r>
      <w:r w:rsidRPr="00F5168B">
        <w:rPr>
          <w:lang w:val="bg-BG"/>
        </w:rPr>
        <w:t>Изчисляван по Наредба № 11 на БНБ.</w:t>
      </w:r>
    </w:p>
  </w:footnote>
  <w:footnote w:id="5">
    <w:p w:rsidR="00504295" w:rsidRDefault="00504295" w:rsidP="00314A5C">
      <w:pPr>
        <w:pStyle w:val="FootnoteText"/>
        <w:jc w:val="both"/>
      </w:pPr>
      <w:r>
        <w:rPr>
          <w:rStyle w:val="FootnoteReference"/>
        </w:rPr>
        <w:footnoteRef/>
      </w:r>
      <w:r>
        <w:t xml:space="preserve"> </w:t>
      </w:r>
      <w:r w:rsidRPr="00335B65">
        <w:rPr>
          <w:sz w:val="18"/>
          <w:szCs w:val="16"/>
          <w:lang w:val="bg-BG"/>
        </w:rPr>
        <w:t xml:space="preserve">Обхваща държавния бюджет и бюджетите на общините, </w:t>
      </w:r>
      <w:proofErr w:type="spellStart"/>
      <w:r w:rsidRPr="00335B65">
        <w:rPr>
          <w:sz w:val="18"/>
          <w:szCs w:val="16"/>
          <w:lang w:val="bg-BG"/>
        </w:rPr>
        <w:t>социалноосигурителните</w:t>
      </w:r>
      <w:proofErr w:type="spellEnd"/>
      <w:r w:rsidRPr="00335B65">
        <w:rPr>
          <w:sz w:val="18"/>
          <w:szCs w:val="16"/>
          <w:lang w:val="bg-BG"/>
        </w:rPr>
        <w:t xml:space="preserve"> фондове, ДВУ, БАН, БНР, БНТ, БТА, бюджетите по чл.14, ал.4 от ЗПФ,  както и сметките за средства от ЕС и сметките за чужди средства на бюджетните организации. Данните за 201</w:t>
      </w:r>
      <w:r>
        <w:rPr>
          <w:sz w:val="18"/>
          <w:szCs w:val="16"/>
          <w:lang w:val="bg-BG"/>
        </w:rPr>
        <w:t>7</w:t>
      </w:r>
      <w:r w:rsidRPr="00335B65">
        <w:rPr>
          <w:sz w:val="18"/>
          <w:szCs w:val="16"/>
          <w:lang w:val="bg-BG"/>
        </w:rPr>
        <w:t xml:space="preserve"> г. са на база месечни отчети, а тези за 201</w:t>
      </w:r>
      <w:r>
        <w:rPr>
          <w:sz w:val="18"/>
          <w:szCs w:val="16"/>
          <w:lang w:val="bg-BG"/>
        </w:rPr>
        <w:t>6</w:t>
      </w:r>
      <w:r w:rsidRPr="00335B65">
        <w:rPr>
          <w:sz w:val="18"/>
          <w:szCs w:val="16"/>
          <w:lang w:val="bg-BG"/>
        </w:rPr>
        <w:t xml:space="preserve"> г. - на база тримесечни отчети на ПРБ.</w:t>
      </w:r>
    </w:p>
  </w:footnote>
  <w:footnote w:id="6">
    <w:p w:rsidR="00504295" w:rsidRPr="00B70BD3" w:rsidRDefault="00504295" w:rsidP="00314A5C">
      <w:pPr>
        <w:pStyle w:val="FootnoteText"/>
        <w:jc w:val="both"/>
        <w:rPr>
          <w:sz w:val="18"/>
          <w:szCs w:val="18"/>
        </w:rPr>
      </w:pPr>
      <w:r w:rsidRPr="00B70BD3">
        <w:rPr>
          <w:rStyle w:val="FootnoteReference"/>
          <w:sz w:val="18"/>
          <w:szCs w:val="18"/>
        </w:rPr>
        <w:footnoteRef/>
      </w:r>
      <w:r w:rsidRPr="00B70BD3">
        <w:rPr>
          <w:sz w:val="18"/>
          <w:szCs w:val="18"/>
        </w:rPr>
        <w:t xml:space="preserve"> </w:t>
      </w:r>
      <w:r w:rsidRPr="00B70BD3">
        <w:rPr>
          <w:sz w:val="18"/>
          <w:szCs w:val="18"/>
          <w:lang w:val="bg-BG"/>
        </w:rPr>
        <w:t>Поради извършено закръгление в млн. лв., някои сумарни позиции в Таблица №1</w:t>
      </w:r>
      <w:r>
        <w:rPr>
          <w:sz w:val="18"/>
          <w:szCs w:val="18"/>
          <w:lang w:val="bg-BG"/>
        </w:rPr>
        <w:t>,</w:t>
      </w:r>
      <w:r w:rsidRPr="00B70BD3">
        <w:rPr>
          <w:sz w:val="18"/>
          <w:szCs w:val="18"/>
          <w:lang w:val="bg-BG"/>
        </w:rPr>
        <w:t xml:space="preserve"> Таблица  №2</w:t>
      </w:r>
      <w:r>
        <w:rPr>
          <w:sz w:val="18"/>
          <w:szCs w:val="18"/>
          <w:lang w:val="bg-BG"/>
        </w:rPr>
        <w:t xml:space="preserve"> и в текста </w:t>
      </w:r>
      <w:r w:rsidRPr="00B70BD3">
        <w:rPr>
          <w:sz w:val="18"/>
          <w:szCs w:val="18"/>
          <w:lang w:val="bg-BG"/>
        </w:rPr>
        <w:t xml:space="preserve"> не се изчерпват от съставните им числа.</w:t>
      </w:r>
    </w:p>
  </w:footnote>
  <w:footnote w:id="7">
    <w:p w:rsidR="00504295" w:rsidRPr="00E0076C" w:rsidRDefault="00504295" w:rsidP="00E0076C">
      <w:pPr>
        <w:pStyle w:val="FootnoteText"/>
        <w:jc w:val="both"/>
        <w:rPr>
          <w:sz w:val="18"/>
          <w:szCs w:val="18"/>
          <w:lang w:val="bg-BG"/>
        </w:rPr>
      </w:pPr>
      <w:r w:rsidRPr="00E0076C">
        <w:rPr>
          <w:rStyle w:val="FootnoteReference"/>
          <w:sz w:val="18"/>
          <w:szCs w:val="18"/>
          <w:lang w:val="bg-BG"/>
        </w:rPr>
        <w:footnoteRef/>
      </w:r>
      <w:r w:rsidRPr="00E0076C">
        <w:rPr>
          <w:sz w:val="18"/>
          <w:szCs w:val="18"/>
          <w:lang w:val="bg-BG"/>
        </w:rPr>
        <w:t xml:space="preserve"> Обхватът на показателя фискален резерв е в съответствие с §1, т. 41 от Допълнителните разпоредби на Закона за публичните финанси. </w:t>
      </w:r>
    </w:p>
  </w:footnote>
  <w:footnote w:id="8">
    <w:p w:rsidR="00504295" w:rsidRPr="00E0076C" w:rsidRDefault="00504295" w:rsidP="00E0076C">
      <w:pPr>
        <w:pStyle w:val="FootnoteText"/>
        <w:jc w:val="both"/>
        <w:rPr>
          <w:lang w:val="bg-BG"/>
        </w:rPr>
      </w:pPr>
      <w:r w:rsidRPr="00E0076C">
        <w:rPr>
          <w:rStyle w:val="FootnoteReference"/>
          <w:lang w:val="bg-BG"/>
        </w:rPr>
        <w:footnoteRef/>
      </w:r>
      <w:r w:rsidRPr="00E0076C">
        <w:rPr>
          <w:lang w:val="bg-BG"/>
        </w:rPr>
        <w:t xml:space="preserve"> </w:t>
      </w:r>
      <w:r w:rsidRPr="00E0076C">
        <w:rPr>
          <w:sz w:val="18"/>
          <w:szCs w:val="16"/>
          <w:lang w:val="bg-BG"/>
        </w:rPr>
        <w:t>Държавният бюджет включва централен бюджет, бюджетите на НС, съдебната власт, министерствата и ведомствата.</w:t>
      </w:r>
    </w:p>
  </w:footnote>
  <w:footnote w:id="9">
    <w:p w:rsidR="00504295" w:rsidRPr="00E0076C" w:rsidRDefault="00504295" w:rsidP="00E0076C">
      <w:pPr>
        <w:pStyle w:val="FootnoteText"/>
        <w:jc w:val="both"/>
        <w:rPr>
          <w:sz w:val="18"/>
          <w:szCs w:val="18"/>
          <w:lang w:val="bg-BG"/>
        </w:rPr>
      </w:pPr>
      <w:r w:rsidRPr="00E0076C">
        <w:rPr>
          <w:rStyle w:val="FootnoteReference"/>
          <w:sz w:val="18"/>
          <w:szCs w:val="18"/>
          <w:lang w:val="bg-BG"/>
        </w:rPr>
        <w:footnoteRef/>
      </w:r>
      <w:r w:rsidRPr="00E0076C">
        <w:rPr>
          <w:sz w:val="18"/>
          <w:szCs w:val="18"/>
          <w:lang w:val="bg-BG"/>
        </w:rPr>
        <w:t xml:space="preserve"> В позицията "Резерв за непредвидени и неотложни разходи" се посочват само данните по разчет. Разходите по отчет се отразяват по съответните разходни позиции, към които се отнасят извършените разходи.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090"/>
    <w:multiLevelType w:val="hybridMultilevel"/>
    <w:tmpl w:val="92F660C8"/>
    <w:lvl w:ilvl="0" w:tplc="0402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00A573AE"/>
    <w:multiLevelType w:val="hybridMultilevel"/>
    <w:tmpl w:val="5FA84A86"/>
    <w:lvl w:ilvl="0" w:tplc="0402000D">
      <w:start w:val="1"/>
      <w:numFmt w:val="bullet"/>
      <w:lvlText w:val=""/>
      <w:lvlJc w:val="left"/>
      <w:pPr>
        <w:tabs>
          <w:tab w:val="num" w:pos="700"/>
        </w:tabs>
        <w:ind w:left="70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3230CB"/>
    <w:multiLevelType w:val="hybridMultilevel"/>
    <w:tmpl w:val="48F0886C"/>
    <w:lvl w:ilvl="0" w:tplc="0012154E">
      <w:start w:val="1"/>
      <w:numFmt w:val="bullet"/>
      <w:lvlText w:val=""/>
      <w:lvlJc w:val="left"/>
      <w:pPr>
        <w:tabs>
          <w:tab w:val="num" w:pos="2157"/>
        </w:tabs>
        <w:ind w:left="2157" w:hanging="357"/>
      </w:pPr>
      <w:rPr>
        <w:rFonts w:ascii="Wingdings" w:hAnsi="Wingdings" w:hint="default"/>
        <w:color w:val="auto"/>
        <w:sz w:val="24"/>
        <w:szCs w:val="24"/>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1194083D"/>
    <w:multiLevelType w:val="hybridMultilevel"/>
    <w:tmpl w:val="B434DC02"/>
    <w:lvl w:ilvl="0" w:tplc="54C466F6">
      <w:numFmt w:val="bullet"/>
      <w:lvlText w:val="-"/>
      <w:lvlJc w:val="left"/>
      <w:pPr>
        <w:tabs>
          <w:tab w:val="num" w:pos="1500"/>
        </w:tabs>
        <w:ind w:left="150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CEE0108"/>
    <w:multiLevelType w:val="hybridMultilevel"/>
    <w:tmpl w:val="8222E77A"/>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nsid w:val="1D80704C"/>
    <w:multiLevelType w:val="multilevel"/>
    <w:tmpl w:val="AB821EEE"/>
    <w:lvl w:ilvl="0">
      <w:start w:val="1"/>
      <w:numFmt w:val="decimal"/>
      <w:lvlText w:val="%1."/>
      <w:lvlJc w:val="left"/>
      <w:pPr>
        <w:ind w:left="360" w:hanging="360"/>
      </w:pPr>
      <w:rPr>
        <w:rFonts w:hint="default"/>
        <w:b/>
        <w:color w:val="auto"/>
        <w:sz w:val="24"/>
      </w:rPr>
    </w:lvl>
    <w:lvl w:ilvl="1">
      <w:start w:val="1"/>
      <w:numFmt w:val="decimal"/>
      <w:lvlText w:val="%1.%2."/>
      <w:lvlJc w:val="left"/>
      <w:pPr>
        <w:ind w:left="1069" w:hanging="360"/>
      </w:pPr>
      <w:rPr>
        <w:rFonts w:hint="default"/>
        <w:b/>
        <w:color w:val="auto"/>
        <w:sz w:val="24"/>
      </w:rPr>
    </w:lvl>
    <w:lvl w:ilvl="2">
      <w:start w:val="1"/>
      <w:numFmt w:val="decimal"/>
      <w:lvlText w:val="%1.%2.%3."/>
      <w:lvlJc w:val="left"/>
      <w:pPr>
        <w:ind w:left="1778" w:hanging="360"/>
      </w:pPr>
      <w:rPr>
        <w:rFonts w:hint="default"/>
        <w:b/>
        <w:color w:val="auto"/>
        <w:sz w:val="24"/>
      </w:rPr>
    </w:lvl>
    <w:lvl w:ilvl="3">
      <w:start w:val="1"/>
      <w:numFmt w:val="decimal"/>
      <w:lvlText w:val="%1.%2.%3.%4."/>
      <w:lvlJc w:val="left"/>
      <w:pPr>
        <w:ind w:left="2487" w:hanging="360"/>
      </w:pPr>
      <w:rPr>
        <w:rFonts w:hint="default"/>
        <w:b/>
        <w:color w:val="auto"/>
        <w:sz w:val="24"/>
      </w:rPr>
    </w:lvl>
    <w:lvl w:ilvl="4">
      <w:start w:val="1"/>
      <w:numFmt w:val="decimal"/>
      <w:lvlText w:val="%1.%2.%3.%4.%5."/>
      <w:lvlJc w:val="left"/>
      <w:pPr>
        <w:ind w:left="3196" w:hanging="360"/>
      </w:pPr>
      <w:rPr>
        <w:rFonts w:hint="default"/>
        <w:b/>
        <w:color w:val="auto"/>
        <w:sz w:val="24"/>
      </w:rPr>
    </w:lvl>
    <w:lvl w:ilvl="5">
      <w:start w:val="1"/>
      <w:numFmt w:val="decimal"/>
      <w:lvlText w:val="%1.%2.%3.%4.%5.%6."/>
      <w:lvlJc w:val="left"/>
      <w:pPr>
        <w:ind w:left="3905" w:hanging="360"/>
      </w:pPr>
      <w:rPr>
        <w:rFonts w:hint="default"/>
        <w:b/>
        <w:color w:val="auto"/>
        <w:sz w:val="24"/>
      </w:rPr>
    </w:lvl>
    <w:lvl w:ilvl="6">
      <w:start w:val="1"/>
      <w:numFmt w:val="decimal"/>
      <w:lvlText w:val="%1.%2.%3.%4.%5.%6.%7."/>
      <w:lvlJc w:val="left"/>
      <w:pPr>
        <w:ind w:left="4614" w:hanging="360"/>
      </w:pPr>
      <w:rPr>
        <w:rFonts w:hint="default"/>
        <w:b/>
        <w:color w:val="auto"/>
        <w:sz w:val="24"/>
      </w:rPr>
    </w:lvl>
    <w:lvl w:ilvl="7">
      <w:start w:val="1"/>
      <w:numFmt w:val="decimal"/>
      <w:lvlText w:val="%1.%2.%3.%4.%5.%6.%7.%8."/>
      <w:lvlJc w:val="left"/>
      <w:pPr>
        <w:ind w:left="5323" w:hanging="360"/>
      </w:pPr>
      <w:rPr>
        <w:rFonts w:hint="default"/>
        <w:b/>
        <w:color w:val="auto"/>
        <w:sz w:val="24"/>
      </w:rPr>
    </w:lvl>
    <w:lvl w:ilvl="8">
      <w:start w:val="1"/>
      <w:numFmt w:val="decimal"/>
      <w:lvlText w:val="%1.%2.%3.%4.%5.%6.%7.%8.%9."/>
      <w:lvlJc w:val="left"/>
      <w:pPr>
        <w:ind w:left="6032" w:hanging="360"/>
      </w:pPr>
      <w:rPr>
        <w:rFonts w:hint="default"/>
        <w:b/>
        <w:color w:val="auto"/>
        <w:sz w:val="24"/>
      </w:rPr>
    </w:lvl>
  </w:abstractNum>
  <w:abstractNum w:abstractNumId="7">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25A20358"/>
    <w:multiLevelType w:val="hybridMultilevel"/>
    <w:tmpl w:val="E1D8CE2E"/>
    <w:lvl w:ilvl="0" w:tplc="B8369D36">
      <w:start w:val="1"/>
      <w:numFmt w:val="bullet"/>
      <w:lvlText w:val=""/>
      <w:lvlJc w:val="left"/>
      <w:pPr>
        <w:tabs>
          <w:tab w:val="num" w:pos="898"/>
        </w:tabs>
        <w:ind w:left="0" w:firstLine="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30932D23"/>
    <w:multiLevelType w:val="hybridMultilevel"/>
    <w:tmpl w:val="2A383510"/>
    <w:lvl w:ilvl="0" w:tplc="18943354">
      <w:start w:val="1"/>
      <w:numFmt w:val="bullet"/>
      <w:lvlText w:val=""/>
      <w:lvlJc w:val="left"/>
      <w:pPr>
        <w:tabs>
          <w:tab w:val="num" w:pos="720"/>
        </w:tabs>
        <w:ind w:left="720" w:hanging="360"/>
      </w:pPr>
      <w:rPr>
        <w:rFonts w:ascii="Symbol" w:hAnsi="Symbol" w:hint="default"/>
        <w:color w:val="000000"/>
      </w:rPr>
    </w:lvl>
    <w:lvl w:ilvl="1" w:tplc="E2300672">
      <w:start w:val="1"/>
      <w:numFmt w:val="bullet"/>
      <w:lvlText w:val="-"/>
      <w:lvlJc w:val="left"/>
      <w:pPr>
        <w:tabs>
          <w:tab w:val="num" w:pos="1440"/>
        </w:tabs>
        <w:ind w:left="1440" w:hanging="360"/>
      </w:pPr>
      <w:rPr>
        <w:rFonts w:ascii="Times New Roman" w:eastAsia="Times New Roman" w:hAnsi="Times New Roman"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319F5C6B"/>
    <w:multiLevelType w:val="hybridMultilevel"/>
    <w:tmpl w:val="19A66802"/>
    <w:lvl w:ilvl="0" w:tplc="0F7C68D6">
      <w:start w:val="1"/>
      <w:numFmt w:val="bullet"/>
      <w:lvlText w:val=""/>
      <w:lvlJc w:val="left"/>
      <w:pPr>
        <w:tabs>
          <w:tab w:val="num" w:pos="1499"/>
        </w:tabs>
        <w:ind w:left="1499" w:hanging="459"/>
      </w:pPr>
      <w:rPr>
        <w:rFonts w:ascii="Symbol" w:hAnsi="Symbol" w:hint="default"/>
        <w:color w:val="auto"/>
      </w:rPr>
    </w:lvl>
    <w:lvl w:ilvl="1" w:tplc="04090003">
      <w:start w:val="1"/>
      <w:numFmt w:val="bullet"/>
      <w:lvlText w:val="o"/>
      <w:lvlJc w:val="left"/>
      <w:pPr>
        <w:tabs>
          <w:tab w:val="num" w:pos="2120"/>
        </w:tabs>
        <w:ind w:left="2120" w:hanging="360"/>
      </w:pPr>
      <w:rPr>
        <w:rFonts w:ascii="Courier New" w:hAnsi="Courier New" w:cs="Courier New"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cs="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cs="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13">
    <w:nsid w:val="34706099"/>
    <w:multiLevelType w:val="hybridMultilevel"/>
    <w:tmpl w:val="517EAAC6"/>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4">
    <w:nsid w:val="363C4CFF"/>
    <w:multiLevelType w:val="hybridMultilevel"/>
    <w:tmpl w:val="96FCB6AA"/>
    <w:lvl w:ilvl="0" w:tplc="0F7C68D6">
      <w:start w:val="1"/>
      <w:numFmt w:val="bullet"/>
      <w:lvlText w:val=""/>
      <w:lvlJc w:val="left"/>
      <w:pPr>
        <w:tabs>
          <w:tab w:val="num" w:pos="1499"/>
        </w:tabs>
        <w:ind w:left="1499" w:hanging="459"/>
      </w:pPr>
      <w:rPr>
        <w:rFonts w:ascii="Symbol" w:hAnsi="Symbol" w:hint="default"/>
        <w:color w:val="auto"/>
      </w:rPr>
    </w:lvl>
    <w:lvl w:ilvl="1" w:tplc="04090003">
      <w:start w:val="1"/>
      <w:numFmt w:val="bullet"/>
      <w:lvlText w:val="o"/>
      <w:lvlJc w:val="left"/>
      <w:pPr>
        <w:tabs>
          <w:tab w:val="num" w:pos="2120"/>
        </w:tabs>
        <w:ind w:left="2120" w:hanging="360"/>
      </w:pPr>
      <w:rPr>
        <w:rFonts w:ascii="Courier New" w:hAnsi="Courier New" w:cs="Courier New" w:hint="default"/>
      </w:rPr>
    </w:lvl>
    <w:lvl w:ilvl="2" w:tplc="04090005">
      <w:start w:val="1"/>
      <w:numFmt w:val="bullet"/>
      <w:lvlText w:val=""/>
      <w:lvlJc w:val="left"/>
      <w:pPr>
        <w:tabs>
          <w:tab w:val="num" w:pos="2840"/>
        </w:tabs>
        <w:ind w:left="2840" w:hanging="360"/>
      </w:pPr>
      <w:rPr>
        <w:rFonts w:ascii="Wingdings" w:hAnsi="Wingdings" w:hint="default"/>
      </w:rPr>
    </w:lvl>
    <w:lvl w:ilvl="3" w:tplc="04090001">
      <w:start w:val="1"/>
      <w:numFmt w:val="bullet"/>
      <w:lvlText w:val=""/>
      <w:lvlJc w:val="left"/>
      <w:pPr>
        <w:tabs>
          <w:tab w:val="num" w:pos="3560"/>
        </w:tabs>
        <w:ind w:left="3560" w:hanging="360"/>
      </w:pPr>
      <w:rPr>
        <w:rFonts w:ascii="Symbol" w:hAnsi="Symbol" w:hint="default"/>
      </w:rPr>
    </w:lvl>
    <w:lvl w:ilvl="4" w:tplc="04090003">
      <w:start w:val="1"/>
      <w:numFmt w:val="bullet"/>
      <w:lvlText w:val="o"/>
      <w:lvlJc w:val="left"/>
      <w:pPr>
        <w:tabs>
          <w:tab w:val="num" w:pos="4280"/>
        </w:tabs>
        <w:ind w:left="4280" w:hanging="360"/>
      </w:pPr>
      <w:rPr>
        <w:rFonts w:ascii="Courier New" w:hAnsi="Courier New" w:cs="Courier New" w:hint="default"/>
      </w:rPr>
    </w:lvl>
    <w:lvl w:ilvl="5" w:tplc="04090005">
      <w:start w:val="1"/>
      <w:numFmt w:val="bullet"/>
      <w:lvlText w:val=""/>
      <w:lvlJc w:val="left"/>
      <w:pPr>
        <w:tabs>
          <w:tab w:val="num" w:pos="5000"/>
        </w:tabs>
        <w:ind w:left="5000" w:hanging="360"/>
      </w:pPr>
      <w:rPr>
        <w:rFonts w:ascii="Wingdings" w:hAnsi="Wingdings" w:hint="default"/>
      </w:rPr>
    </w:lvl>
    <w:lvl w:ilvl="6" w:tplc="04090001">
      <w:start w:val="1"/>
      <w:numFmt w:val="bullet"/>
      <w:lvlText w:val=""/>
      <w:lvlJc w:val="left"/>
      <w:pPr>
        <w:tabs>
          <w:tab w:val="num" w:pos="5720"/>
        </w:tabs>
        <w:ind w:left="5720" w:hanging="360"/>
      </w:pPr>
      <w:rPr>
        <w:rFonts w:ascii="Symbol" w:hAnsi="Symbol" w:hint="default"/>
      </w:rPr>
    </w:lvl>
    <w:lvl w:ilvl="7" w:tplc="04090003">
      <w:start w:val="1"/>
      <w:numFmt w:val="bullet"/>
      <w:lvlText w:val="o"/>
      <w:lvlJc w:val="left"/>
      <w:pPr>
        <w:tabs>
          <w:tab w:val="num" w:pos="6440"/>
        </w:tabs>
        <w:ind w:left="6440" w:hanging="360"/>
      </w:pPr>
      <w:rPr>
        <w:rFonts w:ascii="Courier New" w:hAnsi="Courier New" w:cs="Courier New" w:hint="default"/>
      </w:rPr>
    </w:lvl>
    <w:lvl w:ilvl="8" w:tplc="04090005">
      <w:start w:val="1"/>
      <w:numFmt w:val="bullet"/>
      <w:lvlText w:val=""/>
      <w:lvlJc w:val="left"/>
      <w:pPr>
        <w:tabs>
          <w:tab w:val="num" w:pos="7160"/>
        </w:tabs>
        <w:ind w:left="7160" w:hanging="360"/>
      </w:pPr>
      <w:rPr>
        <w:rFonts w:ascii="Wingdings" w:hAnsi="Wingdings" w:hint="default"/>
      </w:rPr>
    </w:lvl>
  </w:abstractNum>
  <w:abstractNum w:abstractNumId="15">
    <w:nsid w:val="3EDB0F74"/>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6">
    <w:nsid w:val="40506C4C"/>
    <w:multiLevelType w:val="hybridMultilevel"/>
    <w:tmpl w:val="8E46A080"/>
    <w:lvl w:ilvl="0" w:tplc="0402000B">
      <w:start w:val="1"/>
      <w:numFmt w:val="bullet"/>
      <w:lvlText w:val=""/>
      <w:lvlJc w:val="left"/>
      <w:pPr>
        <w:tabs>
          <w:tab w:val="num" w:pos="720"/>
        </w:tabs>
        <w:ind w:left="720"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8">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0D78F0"/>
    <w:multiLevelType w:val="hybridMultilevel"/>
    <w:tmpl w:val="33664FCA"/>
    <w:lvl w:ilvl="0" w:tplc="5AC6C2E0">
      <w:start w:val="1"/>
      <w:numFmt w:val="bullet"/>
      <w:lvlText w:val=""/>
      <w:lvlJc w:val="left"/>
      <w:pPr>
        <w:tabs>
          <w:tab w:val="num" w:pos="1346"/>
        </w:tabs>
        <w:ind w:left="984" w:firstLine="96"/>
      </w:pPr>
      <w:rPr>
        <w:rFonts w:ascii="Symbol" w:hAnsi="Symbol"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22">
    <w:nsid w:val="53A41434"/>
    <w:multiLevelType w:val="hybridMultilevel"/>
    <w:tmpl w:val="D4069CA2"/>
    <w:lvl w:ilvl="0" w:tplc="AB6E2D68">
      <w:start w:val="1"/>
      <w:numFmt w:val="bullet"/>
      <w:lvlText w:val=""/>
      <w:lvlJc w:val="left"/>
      <w:pPr>
        <w:tabs>
          <w:tab w:val="num" w:pos="700"/>
        </w:tabs>
        <w:ind w:left="70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D92F24"/>
    <w:multiLevelType w:val="hybridMultilevel"/>
    <w:tmpl w:val="C3E23384"/>
    <w:lvl w:ilvl="0" w:tplc="0402000D">
      <w:start w:val="1"/>
      <w:numFmt w:val="bullet"/>
      <w:lvlText w:val=""/>
      <w:lvlJc w:val="left"/>
      <w:pPr>
        <w:ind w:left="132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24">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5">
    <w:nsid w:val="60847666"/>
    <w:multiLevelType w:val="multilevel"/>
    <w:tmpl w:val="E542ABA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6">
    <w:nsid w:val="643A5E75"/>
    <w:multiLevelType w:val="hybridMultilevel"/>
    <w:tmpl w:val="F88C976A"/>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27">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9">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1">
    <w:nsid w:val="6E544B1C"/>
    <w:multiLevelType w:val="hybridMultilevel"/>
    <w:tmpl w:val="F19A58DE"/>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32">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nsid w:val="70676522"/>
    <w:multiLevelType w:val="hybridMultilevel"/>
    <w:tmpl w:val="4E68849A"/>
    <w:lvl w:ilvl="0" w:tplc="0402000D">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34">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5">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nsid w:val="74896D38"/>
    <w:multiLevelType w:val="hybridMultilevel"/>
    <w:tmpl w:val="ADA8828A"/>
    <w:lvl w:ilvl="0" w:tplc="0402000D">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37">
    <w:nsid w:val="76A5689F"/>
    <w:multiLevelType w:val="hybridMultilevel"/>
    <w:tmpl w:val="AC2CA350"/>
    <w:lvl w:ilvl="0" w:tplc="EBA0D610">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8">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7"/>
  </w:num>
  <w:num w:numId="3">
    <w:abstractNumId w:val="29"/>
  </w:num>
  <w:num w:numId="4">
    <w:abstractNumId w:val="10"/>
  </w:num>
  <w:num w:numId="5">
    <w:abstractNumId w:val="32"/>
  </w:num>
  <w:num w:numId="6">
    <w:abstractNumId w:val="22"/>
  </w:num>
  <w:num w:numId="7">
    <w:abstractNumId w:val="27"/>
  </w:num>
  <w:num w:numId="8">
    <w:abstractNumId w:val="16"/>
  </w:num>
  <w:num w:numId="9">
    <w:abstractNumId w:val="20"/>
  </w:num>
  <w:num w:numId="10">
    <w:abstractNumId w:val="34"/>
  </w:num>
  <w:num w:numId="11">
    <w:abstractNumId w:val="28"/>
  </w:num>
  <w:num w:numId="12">
    <w:abstractNumId w:val="26"/>
  </w:num>
  <w:num w:numId="13">
    <w:abstractNumId w:val="3"/>
  </w:num>
  <w:num w:numId="14">
    <w:abstractNumId w:val="38"/>
  </w:num>
  <w:num w:numId="15">
    <w:abstractNumId w:val="35"/>
  </w:num>
  <w:num w:numId="16">
    <w:abstractNumId w:val="2"/>
  </w:num>
  <w:num w:numId="17">
    <w:abstractNumId w:val="30"/>
  </w:num>
  <w:num w:numId="18">
    <w:abstractNumId w:val="18"/>
  </w:num>
  <w:num w:numId="19">
    <w:abstractNumId w:val="7"/>
  </w:num>
  <w:num w:numId="20">
    <w:abstractNumId w:val="21"/>
  </w:num>
  <w:num w:numId="21">
    <w:abstractNumId w:val="8"/>
  </w:num>
  <w:num w:numId="22">
    <w:abstractNumId w:val="9"/>
  </w:num>
  <w:num w:numId="23">
    <w:abstractNumId w:val="36"/>
  </w:num>
  <w:num w:numId="24">
    <w:abstractNumId w:val="19"/>
  </w:num>
  <w:num w:numId="25">
    <w:abstractNumId w:val="23"/>
  </w:num>
  <w:num w:numId="26">
    <w:abstractNumId w:val="5"/>
  </w:num>
  <w:num w:numId="27">
    <w:abstractNumId w:val="13"/>
  </w:num>
  <w:num w:numId="28">
    <w:abstractNumId w:val="31"/>
  </w:num>
  <w:num w:numId="29">
    <w:abstractNumId w:val="0"/>
  </w:num>
  <w:num w:numId="30">
    <w:abstractNumId w:val="24"/>
  </w:num>
  <w:num w:numId="31">
    <w:abstractNumId w:val="33"/>
  </w:num>
  <w:num w:numId="32">
    <w:abstractNumId w:val="37"/>
  </w:num>
  <w:num w:numId="33">
    <w:abstractNumId w:val="14"/>
  </w:num>
  <w:num w:numId="34">
    <w:abstractNumId w:val="12"/>
  </w:num>
  <w:num w:numId="35">
    <w:abstractNumId w:val="25"/>
  </w:num>
  <w:num w:numId="36">
    <w:abstractNumId w:val="1"/>
  </w:num>
  <w:num w:numId="37">
    <w:abstractNumId w:val="11"/>
  </w:num>
  <w:num w:numId="38">
    <w:abstractNumId w:val="11"/>
  </w:num>
  <w:num w:numId="39">
    <w:abstractNumId w:val="6"/>
  </w:num>
  <w:num w:numId="40">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15"/>
    <w:rsid w:val="00000EF0"/>
    <w:rsid w:val="00002BD7"/>
    <w:rsid w:val="00002D9C"/>
    <w:rsid w:val="00004226"/>
    <w:rsid w:val="00004264"/>
    <w:rsid w:val="000063FC"/>
    <w:rsid w:val="0000691E"/>
    <w:rsid w:val="000111D3"/>
    <w:rsid w:val="00012AE6"/>
    <w:rsid w:val="00013B93"/>
    <w:rsid w:val="00013BFE"/>
    <w:rsid w:val="00013C59"/>
    <w:rsid w:val="000146EA"/>
    <w:rsid w:val="000150C2"/>
    <w:rsid w:val="000158A2"/>
    <w:rsid w:val="000175C7"/>
    <w:rsid w:val="00021A5F"/>
    <w:rsid w:val="000221B7"/>
    <w:rsid w:val="000229E1"/>
    <w:rsid w:val="00022D9E"/>
    <w:rsid w:val="000233A3"/>
    <w:rsid w:val="000234A5"/>
    <w:rsid w:val="0002351F"/>
    <w:rsid w:val="0002477E"/>
    <w:rsid w:val="000249B9"/>
    <w:rsid w:val="000256B4"/>
    <w:rsid w:val="00025953"/>
    <w:rsid w:val="00025F45"/>
    <w:rsid w:val="00026903"/>
    <w:rsid w:val="0002693A"/>
    <w:rsid w:val="00026AD5"/>
    <w:rsid w:val="000270F4"/>
    <w:rsid w:val="00027951"/>
    <w:rsid w:val="00027F42"/>
    <w:rsid w:val="000307D3"/>
    <w:rsid w:val="000311EA"/>
    <w:rsid w:val="00031377"/>
    <w:rsid w:val="00031593"/>
    <w:rsid w:val="00032694"/>
    <w:rsid w:val="00032966"/>
    <w:rsid w:val="00034135"/>
    <w:rsid w:val="00034FE3"/>
    <w:rsid w:val="000359FA"/>
    <w:rsid w:val="0003621F"/>
    <w:rsid w:val="00036A1B"/>
    <w:rsid w:val="000374BB"/>
    <w:rsid w:val="000378DC"/>
    <w:rsid w:val="0004080C"/>
    <w:rsid w:val="0004098D"/>
    <w:rsid w:val="00040C20"/>
    <w:rsid w:val="000411D9"/>
    <w:rsid w:val="00041338"/>
    <w:rsid w:val="00042634"/>
    <w:rsid w:val="0004338F"/>
    <w:rsid w:val="000436DD"/>
    <w:rsid w:val="00043AA0"/>
    <w:rsid w:val="00043AB2"/>
    <w:rsid w:val="00043E35"/>
    <w:rsid w:val="0004426E"/>
    <w:rsid w:val="00044273"/>
    <w:rsid w:val="00046EA6"/>
    <w:rsid w:val="0004753C"/>
    <w:rsid w:val="00050A1B"/>
    <w:rsid w:val="00051E5E"/>
    <w:rsid w:val="00052C5C"/>
    <w:rsid w:val="00053209"/>
    <w:rsid w:val="000546BF"/>
    <w:rsid w:val="00054E02"/>
    <w:rsid w:val="00055007"/>
    <w:rsid w:val="00055A61"/>
    <w:rsid w:val="00056221"/>
    <w:rsid w:val="00056D9D"/>
    <w:rsid w:val="00056DAB"/>
    <w:rsid w:val="0005737D"/>
    <w:rsid w:val="00057886"/>
    <w:rsid w:val="00060A02"/>
    <w:rsid w:val="0006166E"/>
    <w:rsid w:val="00063235"/>
    <w:rsid w:val="00063E15"/>
    <w:rsid w:val="000640AC"/>
    <w:rsid w:val="000642B9"/>
    <w:rsid w:val="0006477A"/>
    <w:rsid w:val="00064AF3"/>
    <w:rsid w:val="00064C44"/>
    <w:rsid w:val="00064E39"/>
    <w:rsid w:val="00065A46"/>
    <w:rsid w:val="000663D1"/>
    <w:rsid w:val="00066EED"/>
    <w:rsid w:val="00067283"/>
    <w:rsid w:val="00071F12"/>
    <w:rsid w:val="00072385"/>
    <w:rsid w:val="00072D22"/>
    <w:rsid w:val="00073DF5"/>
    <w:rsid w:val="000746F0"/>
    <w:rsid w:val="000751C1"/>
    <w:rsid w:val="00075256"/>
    <w:rsid w:val="000768B3"/>
    <w:rsid w:val="00080AB2"/>
    <w:rsid w:val="00080EF5"/>
    <w:rsid w:val="0008155D"/>
    <w:rsid w:val="000819F9"/>
    <w:rsid w:val="00081AFD"/>
    <w:rsid w:val="00082BD9"/>
    <w:rsid w:val="0008327E"/>
    <w:rsid w:val="000832E5"/>
    <w:rsid w:val="0008357F"/>
    <w:rsid w:val="000853B2"/>
    <w:rsid w:val="00085E01"/>
    <w:rsid w:val="00085E1A"/>
    <w:rsid w:val="00086FA7"/>
    <w:rsid w:val="00087295"/>
    <w:rsid w:val="000878C4"/>
    <w:rsid w:val="0009002F"/>
    <w:rsid w:val="000902B5"/>
    <w:rsid w:val="00090D1D"/>
    <w:rsid w:val="00091196"/>
    <w:rsid w:val="00091FFE"/>
    <w:rsid w:val="0009344C"/>
    <w:rsid w:val="000937AB"/>
    <w:rsid w:val="000937E0"/>
    <w:rsid w:val="0009724C"/>
    <w:rsid w:val="0009743A"/>
    <w:rsid w:val="000A09BA"/>
    <w:rsid w:val="000A373C"/>
    <w:rsid w:val="000A38F7"/>
    <w:rsid w:val="000A3F57"/>
    <w:rsid w:val="000A5B32"/>
    <w:rsid w:val="000A7943"/>
    <w:rsid w:val="000A7FDC"/>
    <w:rsid w:val="000B09E5"/>
    <w:rsid w:val="000B0C30"/>
    <w:rsid w:val="000B11FB"/>
    <w:rsid w:val="000B175F"/>
    <w:rsid w:val="000B1A24"/>
    <w:rsid w:val="000B1E59"/>
    <w:rsid w:val="000B2CBE"/>
    <w:rsid w:val="000B5100"/>
    <w:rsid w:val="000B5F1E"/>
    <w:rsid w:val="000B62C7"/>
    <w:rsid w:val="000B6736"/>
    <w:rsid w:val="000B7234"/>
    <w:rsid w:val="000B7447"/>
    <w:rsid w:val="000B7C4F"/>
    <w:rsid w:val="000B7E66"/>
    <w:rsid w:val="000C06FE"/>
    <w:rsid w:val="000C0FA1"/>
    <w:rsid w:val="000C13A5"/>
    <w:rsid w:val="000C299E"/>
    <w:rsid w:val="000C2FAC"/>
    <w:rsid w:val="000C35F8"/>
    <w:rsid w:val="000C363F"/>
    <w:rsid w:val="000C5ACF"/>
    <w:rsid w:val="000C5C6D"/>
    <w:rsid w:val="000C69AE"/>
    <w:rsid w:val="000C6CB5"/>
    <w:rsid w:val="000C6CF3"/>
    <w:rsid w:val="000C7303"/>
    <w:rsid w:val="000C7BB6"/>
    <w:rsid w:val="000D0538"/>
    <w:rsid w:val="000D0AB1"/>
    <w:rsid w:val="000D2516"/>
    <w:rsid w:val="000D2B33"/>
    <w:rsid w:val="000D2BE7"/>
    <w:rsid w:val="000D3942"/>
    <w:rsid w:val="000D3FA7"/>
    <w:rsid w:val="000D49F5"/>
    <w:rsid w:val="000D4BEB"/>
    <w:rsid w:val="000D6D92"/>
    <w:rsid w:val="000D725A"/>
    <w:rsid w:val="000D740D"/>
    <w:rsid w:val="000D78E4"/>
    <w:rsid w:val="000E1529"/>
    <w:rsid w:val="000E1EAF"/>
    <w:rsid w:val="000E1FB5"/>
    <w:rsid w:val="000E2095"/>
    <w:rsid w:val="000E234B"/>
    <w:rsid w:val="000E2894"/>
    <w:rsid w:val="000E39DF"/>
    <w:rsid w:val="000E5205"/>
    <w:rsid w:val="000E5295"/>
    <w:rsid w:val="000E5483"/>
    <w:rsid w:val="000E5EE9"/>
    <w:rsid w:val="000E632B"/>
    <w:rsid w:val="000F04F4"/>
    <w:rsid w:val="000F26DE"/>
    <w:rsid w:val="000F3534"/>
    <w:rsid w:val="000F3EA1"/>
    <w:rsid w:val="000F47A8"/>
    <w:rsid w:val="000F5080"/>
    <w:rsid w:val="000F5EF4"/>
    <w:rsid w:val="000F5F76"/>
    <w:rsid w:val="000F61E0"/>
    <w:rsid w:val="000F6B35"/>
    <w:rsid w:val="0010055E"/>
    <w:rsid w:val="001006E1"/>
    <w:rsid w:val="00100CE5"/>
    <w:rsid w:val="001011A4"/>
    <w:rsid w:val="001017B7"/>
    <w:rsid w:val="00102523"/>
    <w:rsid w:val="00102869"/>
    <w:rsid w:val="00102BA6"/>
    <w:rsid w:val="00103327"/>
    <w:rsid w:val="00103487"/>
    <w:rsid w:val="001046B0"/>
    <w:rsid w:val="00104BB5"/>
    <w:rsid w:val="001053A6"/>
    <w:rsid w:val="00106081"/>
    <w:rsid w:val="0010649F"/>
    <w:rsid w:val="0010683E"/>
    <w:rsid w:val="00107258"/>
    <w:rsid w:val="001077FA"/>
    <w:rsid w:val="00107F93"/>
    <w:rsid w:val="0011244D"/>
    <w:rsid w:val="001157F9"/>
    <w:rsid w:val="00116B20"/>
    <w:rsid w:val="00116D77"/>
    <w:rsid w:val="001179C1"/>
    <w:rsid w:val="00117C68"/>
    <w:rsid w:val="001202E6"/>
    <w:rsid w:val="00120830"/>
    <w:rsid w:val="00120CC7"/>
    <w:rsid w:val="00122FCA"/>
    <w:rsid w:val="00123857"/>
    <w:rsid w:val="00123862"/>
    <w:rsid w:val="00123B59"/>
    <w:rsid w:val="00124FB9"/>
    <w:rsid w:val="001260AA"/>
    <w:rsid w:val="001264C3"/>
    <w:rsid w:val="001269AE"/>
    <w:rsid w:val="00127D25"/>
    <w:rsid w:val="00131B05"/>
    <w:rsid w:val="00131B3E"/>
    <w:rsid w:val="00132AD1"/>
    <w:rsid w:val="00133033"/>
    <w:rsid w:val="00133644"/>
    <w:rsid w:val="0013522E"/>
    <w:rsid w:val="00135A23"/>
    <w:rsid w:val="00136AF6"/>
    <w:rsid w:val="001371FA"/>
    <w:rsid w:val="00141B03"/>
    <w:rsid w:val="00142979"/>
    <w:rsid w:val="00142EDB"/>
    <w:rsid w:val="00143814"/>
    <w:rsid w:val="001445AC"/>
    <w:rsid w:val="00144B67"/>
    <w:rsid w:val="00144B8D"/>
    <w:rsid w:val="00144BF2"/>
    <w:rsid w:val="0014585D"/>
    <w:rsid w:val="001462A0"/>
    <w:rsid w:val="00146C11"/>
    <w:rsid w:val="00147237"/>
    <w:rsid w:val="00150706"/>
    <w:rsid w:val="00151260"/>
    <w:rsid w:val="001514CB"/>
    <w:rsid w:val="001528EE"/>
    <w:rsid w:val="00152B9C"/>
    <w:rsid w:val="00153077"/>
    <w:rsid w:val="001535F3"/>
    <w:rsid w:val="00153DF3"/>
    <w:rsid w:val="00154FA1"/>
    <w:rsid w:val="00156B18"/>
    <w:rsid w:val="00156F40"/>
    <w:rsid w:val="001574E4"/>
    <w:rsid w:val="00157673"/>
    <w:rsid w:val="00157B70"/>
    <w:rsid w:val="00157EC4"/>
    <w:rsid w:val="00157EF5"/>
    <w:rsid w:val="001606A4"/>
    <w:rsid w:val="00160C5B"/>
    <w:rsid w:val="0016116C"/>
    <w:rsid w:val="00161F90"/>
    <w:rsid w:val="00162F68"/>
    <w:rsid w:val="00163645"/>
    <w:rsid w:val="00165FF0"/>
    <w:rsid w:val="00166023"/>
    <w:rsid w:val="0017019D"/>
    <w:rsid w:val="00170EFE"/>
    <w:rsid w:val="0017216E"/>
    <w:rsid w:val="00172AEE"/>
    <w:rsid w:val="00175539"/>
    <w:rsid w:val="00175890"/>
    <w:rsid w:val="00176340"/>
    <w:rsid w:val="00176E98"/>
    <w:rsid w:val="00180811"/>
    <w:rsid w:val="00181045"/>
    <w:rsid w:val="0018154E"/>
    <w:rsid w:val="00181FCA"/>
    <w:rsid w:val="001820C4"/>
    <w:rsid w:val="00182A94"/>
    <w:rsid w:val="00182D63"/>
    <w:rsid w:val="00183392"/>
    <w:rsid w:val="0018398A"/>
    <w:rsid w:val="00183D5F"/>
    <w:rsid w:val="00183EA5"/>
    <w:rsid w:val="0018402B"/>
    <w:rsid w:val="00184502"/>
    <w:rsid w:val="001845D5"/>
    <w:rsid w:val="001850C5"/>
    <w:rsid w:val="0018526D"/>
    <w:rsid w:val="00185A12"/>
    <w:rsid w:val="00185D08"/>
    <w:rsid w:val="00186C81"/>
    <w:rsid w:val="00186DF9"/>
    <w:rsid w:val="00187FCA"/>
    <w:rsid w:val="00190983"/>
    <w:rsid w:val="0019151C"/>
    <w:rsid w:val="00191AA6"/>
    <w:rsid w:val="00191F79"/>
    <w:rsid w:val="0019213B"/>
    <w:rsid w:val="0019232E"/>
    <w:rsid w:val="0019239F"/>
    <w:rsid w:val="001924F6"/>
    <w:rsid w:val="00192CFC"/>
    <w:rsid w:val="00193F20"/>
    <w:rsid w:val="00194166"/>
    <w:rsid w:val="001941E4"/>
    <w:rsid w:val="00195CF2"/>
    <w:rsid w:val="001965AA"/>
    <w:rsid w:val="001968E4"/>
    <w:rsid w:val="001971AE"/>
    <w:rsid w:val="00197392"/>
    <w:rsid w:val="00197EC3"/>
    <w:rsid w:val="001A0601"/>
    <w:rsid w:val="001A0BB0"/>
    <w:rsid w:val="001A1837"/>
    <w:rsid w:val="001A1C51"/>
    <w:rsid w:val="001A236F"/>
    <w:rsid w:val="001A2420"/>
    <w:rsid w:val="001A28BA"/>
    <w:rsid w:val="001A2BDB"/>
    <w:rsid w:val="001A3051"/>
    <w:rsid w:val="001A3387"/>
    <w:rsid w:val="001A5350"/>
    <w:rsid w:val="001A59AF"/>
    <w:rsid w:val="001A60D7"/>
    <w:rsid w:val="001A6777"/>
    <w:rsid w:val="001A6788"/>
    <w:rsid w:val="001A6FA6"/>
    <w:rsid w:val="001A718F"/>
    <w:rsid w:val="001B1217"/>
    <w:rsid w:val="001B20E4"/>
    <w:rsid w:val="001B2FCD"/>
    <w:rsid w:val="001B3285"/>
    <w:rsid w:val="001B370A"/>
    <w:rsid w:val="001B3E1C"/>
    <w:rsid w:val="001B44DB"/>
    <w:rsid w:val="001B5EA6"/>
    <w:rsid w:val="001B6F27"/>
    <w:rsid w:val="001B76D5"/>
    <w:rsid w:val="001C0F05"/>
    <w:rsid w:val="001C110F"/>
    <w:rsid w:val="001C1ACE"/>
    <w:rsid w:val="001C2D36"/>
    <w:rsid w:val="001C2EE5"/>
    <w:rsid w:val="001C4B35"/>
    <w:rsid w:val="001C4CCF"/>
    <w:rsid w:val="001C501A"/>
    <w:rsid w:val="001C6573"/>
    <w:rsid w:val="001C65B6"/>
    <w:rsid w:val="001C6BA6"/>
    <w:rsid w:val="001C726D"/>
    <w:rsid w:val="001C78CA"/>
    <w:rsid w:val="001D01FB"/>
    <w:rsid w:val="001D15E5"/>
    <w:rsid w:val="001D2381"/>
    <w:rsid w:val="001D2CE9"/>
    <w:rsid w:val="001D40DA"/>
    <w:rsid w:val="001D6081"/>
    <w:rsid w:val="001D755A"/>
    <w:rsid w:val="001E0367"/>
    <w:rsid w:val="001E11E2"/>
    <w:rsid w:val="001E2B1A"/>
    <w:rsid w:val="001E31E7"/>
    <w:rsid w:val="001E3753"/>
    <w:rsid w:val="001E383E"/>
    <w:rsid w:val="001E4456"/>
    <w:rsid w:val="001E44C8"/>
    <w:rsid w:val="001E4E88"/>
    <w:rsid w:val="001E4FFF"/>
    <w:rsid w:val="001E5BEE"/>
    <w:rsid w:val="001E68EE"/>
    <w:rsid w:val="001E751C"/>
    <w:rsid w:val="001E77C4"/>
    <w:rsid w:val="001E7EA4"/>
    <w:rsid w:val="001F00B7"/>
    <w:rsid w:val="001F1092"/>
    <w:rsid w:val="001F152C"/>
    <w:rsid w:val="001F185C"/>
    <w:rsid w:val="001F2337"/>
    <w:rsid w:val="001F367C"/>
    <w:rsid w:val="001F4EB9"/>
    <w:rsid w:val="001F4FDB"/>
    <w:rsid w:val="001F540A"/>
    <w:rsid w:val="001F5D2F"/>
    <w:rsid w:val="001F5FA3"/>
    <w:rsid w:val="001F6A2E"/>
    <w:rsid w:val="001F6F0C"/>
    <w:rsid w:val="001F74B9"/>
    <w:rsid w:val="002019D1"/>
    <w:rsid w:val="00201E8F"/>
    <w:rsid w:val="002023B3"/>
    <w:rsid w:val="00202C7F"/>
    <w:rsid w:val="00203052"/>
    <w:rsid w:val="00204779"/>
    <w:rsid w:val="00204799"/>
    <w:rsid w:val="0020498E"/>
    <w:rsid w:val="00204EBE"/>
    <w:rsid w:val="002051EA"/>
    <w:rsid w:val="002060C2"/>
    <w:rsid w:val="00207674"/>
    <w:rsid w:val="002076D5"/>
    <w:rsid w:val="002117F4"/>
    <w:rsid w:val="002118E8"/>
    <w:rsid w:val="00212116"/>
    <w:rsid w:val="00212798"/>
    <w:rsid w:val="00213180"/>
    <w:rsid w:val="00213298"/>
    <w:rsid w:val="002136EF"/>
    <w:rsid w:val="002137D4"/>
    <w:rsid w:val="00213D58"/>
    <w:rsid w:val="00213EB4"/>
    <w:rsid w:val="002142CA"/>
    <w:rsid w:val="0021481A"/>
    <w:rsid w:val="00214D1A"/>
    <w:rsid w:val="00214EEA"/>
    <w:rsid w:val="00215254"/>
    <w:rsid w:val="00215ADA"/>
    <w:rsid w:val="00216326"/>
    <w:rsid w:val="00216586"/>
    <w:rsid w:val="00216AAD"/>
    <w:rsid w:val="00217096"/>
    <w:rsid w:val="0022027B"/>
    <w:rsid w:val="00220699"/>
    <w:rsid w:val="00220CF8"/>
    <w:rsid w:val="00220D8D"/>
    <w:rsid w:val="002215FD"/>
    <w:rsid w:val="002216C7"/>
    <w:rsid w:val="00221E48"/>
    <w:rsid w:val="00222228"/>
    <w:rsid w:val="00223892"/>
    <w:rsid w:val="00223F09"/>
    <w:rsid w:val="002245C8"/>
    <w:rsid w:val="0022465E"/>
    <w:rsid w:val="00225168"/>
    <w:rsid w:val="0023041D"/>
    <w:rsid w:val="00231385"/>
    <w:rsid w:val="002316E9"/>
    <w:rsid w:val="002326C1"/>
    <w:rsid w:val="00232A8A"/>
    <w:rsid w:val="00233032"/>
    <w:rsid w:val="00233D50"/>
    <w:rsid w:val="00240C3D"/>
    <w:rsid w:val="00240D9B"/>
    <w:rsid w:val="00243641"/>
    <w:rsid w:val="00244642"/>
    <w:rsid w:val="00244D15"/>
    <w:rsid w:val="00244E1B"/>
    <w:rsid w:val="00245474"/>
    <w:rsid w:val="002462FC"/>
    <w:rsid w:val="00246417"/>
    <w:rsid w:val="0024752F"/>
    <w:rsid w:val="00247C3E"/>
    <w:rsid w:val="002500E6"/>
    <w:rsid w:val="00250302"/>
    <w:rsid w:val="00251005"/>
    <w:rsid w:val="0025173F"/>
    <w:rsid w:val="002529E3"/>
    <w:rsid w:val="00252E78"/>
    <w:rsid w:val="00254052"/>
    <w:rsid w:val="002545AB"/>
    <w:rsid w:val="00254667"/>
    <w:rsid w:val="0025469B"/>
    <w:rsid w:val="00255101"/>
    <w:rsid w:val="0025539D"/>
    <w:rsid w:val="002553EF"/>
    <w:rsid w:val="0025556C"/>
    <w:rsid w:val="002555A1"/>
    <w:rsid w:val="002557F9"/>
    <w:rsid w:val="002559EF"/>
    <w:rsid w:val="0025637F"/>
    <w:rsid w:val="002567D3"/>
    <w:rsid w:val="00257669"/>
    <w:rsid w:val="00257837"/>
    <w:rsid w:val="002605A7"/>
    <w:rsid w:val="00261653"/>
    <w:rsid w:val="00262391"/>
    <w:rsid w:val="0026368D"/>
    <w:rsid w:val="00263A27"/>
    <w:rsid w:val="00266282"/>
    <w:rsid w:val="00266AF5"/>
    <w:rsid w:val="00266D04"/>
    <w:rsid w:val="00267867"/>
    <w:rsid w:val="00267E28"/>
    <w:rsid w:val="002700F2"/>
    <w:rsid w:val="0027076E"/>
    <w:rsid w:val="002707F5"/>
    <w:rsid w:val="002715E5"/>
    <w:rsid w:val="00271642"/>
    <w:rsid w:val="00271AF4"/>
    <w:rsid w:val="00272747"/>
    <w:rsid w:val="00272812"/>
    <w:rsid w:val="002732B4"/>
    <w:rsid w:val="00273AF1"/>
    <w:rsid w:val="00273EB1"/>
    <w:rsid w:val="002742C4"/>
    <w:rsid w:val="0027478C"/>
    <w:rsid w:val="002749F4"/>
    <w:rsid w:val="00275EE7"/>
    <w:rsid w:val="00277E9F"/>
    <w:rsid w:val="00280569"/>
    <w:rsid w:val="00281414"/>
    <w:rsid w:val="0028159B"/>
    <w:rsid w:val="00282B0D"/>
    <w:rsid w:val="00283343"/>
    <w:rsid w:val="00283475"/>
    <w:rsid w:val="002841B8"/>
    <w:rsid w:val="002843A3"/>
    <w:rsid w:val="00284488"/>
    <w:rsid w:val="00285044"/>
    <w:rsid w:val="00285594"/>
    <w:rsid w:val="00285654"/>
    <w:rsid w:val="00285BC7"/>
    <w:rsid w:val="00286740"/>
    <w:rsid w:val="00286AC4"/>
    <w:rsid w:val="00287F6C"/>
    <w:rsid w:val="00290876"/>
    <w:rsid w:val="00292884"/>
    <w:rsid w:val="00292971"/>
    <w:rsid w:val="00292EC1"/>
    <w:rsid w:val="00293051"/>
    <w:rsid w:val="00293D1E"/>
    <w:rsid w:val="00294022"/>
    <w:rsid w:val="00294B02"/>
    <w:rsid w:val="00294D83"/>
    <w:rsid w:val="0029593D"/>
    <w:rsid w:val="00295C97"/>
    <w:rsid w:val="002961BB"/>
    <w:rsid w:val="002968B1"/>
    <w:rsid w:val="002968FE"/>
    <w:rsid w:val="00296F46"/>
    <w:rsid w:val="00296F8F"/>
    <w:rsid w:val="0029717D"/>
    <w:rsid w:val="0029768D"/>
    <w:rsid w:val="00297C07"/>
    <w:rsid w:val="00297C2E"/>
    <w:rsid w:val="002A0024"/>
    <w:rsid w:val="002A1EEB"/>
    <w:rsid w:val="002A29F2"/>
    <w:rsid w:val="002A3A9F"/>
    <w:rsid w:val="002A3C2E"/>
    <w:rsid w:val="002A50A9"/>
    <w:rsid w:val="002A5F57"/>
    <w:rsid w:val="002A649D"/>
    <w:rsid w:val="002A6CBF"/>
    <w:rsid w:val="002A73D6"/>
    <w:rsid w:val="002A748F"/>
    <w:rsid w:val="002A763A"/>
    <w:rsid w:val="002B02E8"/>
    <w:rsid w:val="002B0332"/>
    <w:rsid w:val="002B0FBA"/>
    <w:rsid w:val="002B14CD"/>
    <w:rsid w:val="002B2304"/>
    <w:rsid w:val="002B25DE"/>
    <w:rsid w:val="002B2668"/>
    <w:rsid w:val="002B3E0D"/>
    <w:rsid w:val="002B3E89"/>
    <w:rsid w:val="002B484C"/>
    <w:rsid w:val="002B55C4"/>
    <w:rsid w:val="002B5E7E"/>
    <w:rsid w:val="002B5FF6"/>
    <w:rsid w:val="002B695A"/>
    <w:rsid w:val="002B7904"/>
    <w:rsid w:val="002B79DA"/>
    <w:rsid w:val="002B7F17"/>
    <w:rsid w:val="002B7F97"/>
    <w:rsid w:val="002C0110"/>
    <w:rsid w:val="002C14E6"/>
    <w:rsid w:val="002C1B26"/>
    <w:rsid w:val="002C1F89"/>
    <w:rsid w:val="002C23BF"/>
    <w:rsid w:val="002C24D7"/>
    <w:rsid w:val="002C286D"/>
    <w:rsid w:val="002C2F4E"/>
    <w:rsid w:val="002C33B7"/>
    <w:rsid w:val="002C418B"/>
    <w:rsid w:val="002C468E"/>
    <w:rsid w:val="002C4D33"/>
    <w:rsid w:val="002C6996"/>
    <w:rsid w:val="002C69F6"/>
    <w:rsid w:val="002C6C5B"/>
    <w:rsid w:val="002C7537"/>
    <w:rsid w:val="002D00C7"/>
    <w:rsid w:val="002D0399"/>
    <w:rsid w:val="002D0882"/>
    <w:rsid w:val="002D1067"/>
    <w:rsid w:val="002D11C6"/>
    <w:rsid w:val="002D1252"/>
    <w:rsid w:val="002D17E3"/>
    <w:rsid w:val="002D2B07"/>
    <w:rsid w:val="002D2FA5"/>
    <w:rsid w:val="002D3AE3"/>
    <w:rsid w:val="002D3F6E"/>
    <w:rsid w:val="002D516B"/>
    <w:rsid w:val="002D527A"/>
    <w:rsid w:val="002D5811"/>
    <w:rsid w:val="002D6701"/>
    <w:rsid w:val="002D6978"/>
    <w:rsid w:val="002D6A0C"/>
    <w:rsid w:val="002D6A9D"/>
    <w:rsid w:val="002D7651"/>
    <w:rsid w:val="002D777C"/>
    <w:rsid w:val="002D7BAD"/>
    <w:rsid w:val="002E044D"/>
    <w:rsid w:val="002E130D"/>
    <w:rsid w:val="002E1ADD"/>
    <w:rsid w:val="002E1EDB"/>
    <w:rsid w:val="002E2255"/>
    <w:rsid w:val="002E4150"/>
    <w:rsid w:val="002E43D0"/>
    <w:rsid w:val="002E49A6"/>
    <w:rsid w:val="002E7506"/>
    <w:rsid w:val="002E7F57"/>
    <w:rsid w:val="002F013B"/>
    <w:rsid w:val="002F0381"/>
    <w:rsid w:val="002F0511"/>
    <w:rsid w:val="002F094A"/>
    <w:rsid w:val="002F209C"/>
    <w:rsid w:val="002F2AA4"/>
    <w:rsid w:val="002F37A8"/>
    <w:rsid w:val="002F3E25"/>
    <w:rsid w:val="002F4E32"/>
    <w:rsid w:val="002F5021"/>
    <w:rsid w:val="002F50A5"/>
    <w:rsid w:val="002F511C"/>
    <w:rsid w:val="002F5497"/>
    <w:rsid w:val="002F56B6"/>
    <w:rsid w:val="002F58E4"/>
    <w:rsid w:val="002F6391"/>
    <w:rsid w:val="002F68BA"/>
    <w:rsid w:val="002F6AC3"/>
    <w:rsid w:val="002F781A"/>
    <w:rsid w:val="002F7EAC"/>
    <w:rsid w:val="00300566"/>
    <w:rsid w:val="00300DE1"/>
    <w:rsid w:val="00300E8B"/>
    <w:rsid w:val="0030108C"/>
    <w:rsid w:val="003015BA"/>
    <w:rsid w:val="00301E6A"/>
    <w:rsid w:val="00302CD2"/>
    <w:rsid w:val="00302DCB"/>
    <w:rsid w:val="00303208"/>
    <w:rsid w:val="00303427"/>
    <w:rsid w:val="0030350B"/>
    <w:rsid w:val="00303543"/>
    <w:rsid w:val="00304129"/>
    <w:rsid w:val="0030452A"/>
    <w:rsid w:val="00307E09"/>
    <w:rsid w:val="00307E4B"/>
    <w:rsid w:val="00307F21"/>
    <w:rsid w:val="003101B0"/>
    <w:rsid w:val="003114FA"/>
    <w:rsid w:val="003115DE"/>
    <w:rsid w:val="00312B38"/>
    <w:rsid w:val="00313907"/>
    <w:rsid w:val="00313A44"/>
    <w:rsid w:val="00314A5C"/>
    <w:rsid w:val="00314D1E"/>
    <w:rsid w:val="00315241"/>
    <w:rsid w:val="0031729F"/>
    <w:rsid w:val="00320B2A"/>
    <w:rsid w:val="00321743"/>
    <w:rsid w:val="00322FA8"/>
    <w:rsid w:val="00325472"/>
    <w:rsid w:val="00325769"/>
    <w:rsid w:val="00325AC3"/>
    <w:rsid w:val="00326155"/>
    <w:rsid w:val="003308A9"/>
    <w:rsid w:val="0033105F"/>
    <w:rsid w:val="003310F0"/>
    <w:rsid w:val="003311C5"/>
    <w:rsid w:val="00331492"/>
    <w:rsid w:val="00332972"/>
    <w:rsid w:val="0033309B"/>
    <w:rsid w:val="00333789"/>
    <w:rsid w:val="00333B5E"/>
    <w:rsid w:val="0033470F"/>
    <w:rsid w:val="00334766"/>
    <w:rsid w:val="00334E1E"/>
    <w:rsid w:val="00334EF9"/>
    <w:rsid w:val="00335F25"/>
    <w:rsid w:val="00336631"/>
    <w:rsid w:val="003368A9"/>
    <w:rsid w:val="00337793"/>
    <w:rsid w:val="00337863"/>
    <w:rsid w:val="00337CA7"/>
    <w:rsid w:val="003418A7"/>
    <w:rsid w:val="00342205"/>
    <w:rsid w:val="003423EB"/>
    <w:rsid w:val="003429F1"/>
    <w:rsid w:val="00342B71"/>
    <w:rsid w:val="00342EDD"/>
    <w:rsid w:val="0034309B"/>
    <w:rsid w:val="00343737"/>
    <w:rsid w:val="00344353"/>
    <w:rsid w:val="00344B38"/>
    <w:rsid w:val="003459AC"/>
    <w:rsid w:val="003464BD"/>
    <w:rsid w:val="00346E32"/>
    <w:rsid w:val="00347251"/>
    <w:rsid w:val="0034755B"/>
    <w:rsid w:val="00351513"/>
    <w:rsid w:val="00351BD9"/>
    <w:rsid w:val="00352F76"/>
    <w:rsid w:val="003530A1"/>
    <w:rsid w:val="003533A4"/>
    <w:rsid w:val="0035368F"/>
    <w:rsid w:val="00354E8D"/>
    <w:rsid w:val="0035525B"/>
    <w:rsid w:val="003554A7"/>
    <w:rsid w:val="00355C2D"/>
    <w:rsid w:val="00356CE8"/>
    <w:rsid w:val="0035714E"/>
    <w:rsid w:val="00357974"/>
    <w:rsid w:val="003579F2"/>
    <w:rsid w:val="00360058"/>
    <w:rsid w:val="00360BE6"/>
    <w:rsid w:val="00361342"/>
    <w:rsid w:val="00361524"/>
    <w:rsid w:val="003619A0"/>
    <w:rsid w:val="00361EAF"/>
    <w:rsid w:val="00361FC7"/>
    <w:rsid w:val="00362463"/>
    <w:rsid w:val="0036257D"/>
    <w:rsid w:val="00363014"/>
    <w:rsid w:val="0036316C"/>
    <w:rsid w:val="00363315"/>
    <w:rsid w:val="0036362D"/>
    <w:rsid w:val="003636BA"/>
    <w:rsid w:val="00363C1A"/>
    <w:rsid w:val="00363E99"/>
    <w:rsid w:val="00365690"/>
    <w:rsid w:val="0036577B"/>
    <w:rsid w:val="00365959"/>
    <w:rsid w:val="003674D9"/>
    <w:rsid w:val="0037017F"/>
    <w:rsid w:val="00370377"/>
    <w:rsid w:val="00371384"/>
    <w:rsid w:val="00371B8F"/>
    <w:rsid w:val="00371EEF"/>
    <w:rsid w:val="00372C6F"/>
    <w:rsid w:val="003748CB"/>
    <w:rsid w:val="00375C31"/>
    <w:rsid w:val="00376467"/>
    <w:rsid w:val="00377CDE"/>
    <w:rsid w:val="00380829"/>
    <w:rsid w:val="00380EF4"/>
    <w:rsid w:val="00380F3E"/>
    <w:rsid w:val="00380F49"/>
    <w:rsid w:val="003810AB"/>
    <w:rsid w:val="00381745"/>
    <w:rsid w:val="00382155"/>
    <w:rsid w:val="0038363F"/>
    <w:rsid w:val="00383E33"/>
    <w:rsid w:val="003849E0"/>
    <w:rsid w:val="0038577D"/>
    <w:rsid w:val="00385C8A"/>
    <w:rsid w:val="0038746F"/>
    <w:rsid w:val="00390575"/>
    <w:rsid w:val="003906CD"/>
    <w:rsid w:val="00390919"/>
    <w:rsid w:val="00391125"/>
    <w:rsid w:val="00391175"/>
    <w:rsid w:val="00392069"/>
    <w:rsid w:val="0039296F"/>
    <w:rsid w:val="00393468"/>
    <w:rsid w:val="00393585"/>
    <w:rsid w:val="003935B9"/>
    <w:rsid w:val="00395CCF"/>
    <w:rsid w:val="003964A8"/>
    <w:rsid w:val="003967B0"/>
    <w:rsid w:val="00396958"/>
    <w:rsid w:val="003A06C5"/>
    <w:rsid w:val="003A0A29"/>
    <w:rsid w:val="003A1AF7"/>
    <w:rsid w:val="003A221F"/>
    <w:rsid w:val="003A295A"/>
    <w:rsid w:val="003A3159"/>
    <w:rsid w:val="003A39C7"/>
    <w:rsid w:val="003A3AC4"/>
    <w:rsid w:val="003A3D0E"/>
    <w:rsid w:val="003A3D9A"/>
    <w:rsid w:val="003A409D"/>
    <w:rsid w:val="003A4AAF"/>
    <w:rsid w:val="003A4DE8"/>
    <w:rsid w:val="003A54BC"/>
    <w:rsid w:val="003A7B75"/>
    <w:rsid w:val="003B01E4"/>
    <w:rsid w:val="003B088E"/>
    <w:rsid w:val="003B1F25"/>
    <w:rsid w:val="003B2E07"/>
    <w:rsid w:val="003B3BDF"/>
    <w:rsid w:val="003B4F0C"/>
    <w:rsid w:val="003B50BA"/>
    <w:rsid w:val="003B5452"/>
    <w:rsid w:val="003B5717"/>
    <w:rsid w:val="003B5B2E"/>
    <w:rsid w:val="003B5B6E"/>
    <w:rsid w:val="003B5CAF"/>
    <w:rsid w:val="003B6534"/>
    <w:rsid w:val="003B6C02"/>
    <w:rsid w:val="003B6C30"/>
    <w:rsid w:val="003B6D41"/>
    <w:rsid w:val="003C0699"/>
    <w:rsid w:val="003C0E58"/>
    <w:rsid w:val="003C14B1"/>
    <w:rsid w:val="003C1591"/>
    <w:rsid w:val="003C2280"/>
    <w:rsid w:val="003C2AA7"/>
    <w:rsid w:val="003C2F47"/>
    <w:rsid w:val="003C3CBC"/>
    <w:rsid w:val="003C44D1"/>
    <w:rsid w:val="003C4F06"/>
    <w:rsid w:val="003C5A14"/>
    <w:rsid w:val="003C5DE7"/>
    <w:rsid w:val="003C6080"/>
    <w:rsid w:val="003C6592"/>
    <w:rsid w:val="003C7CDF"/>
    <w:rsid w:val="003D067C"/>
    <w:rsid w:val="003D0906"/>
    <w:rsid w:val="003D15ED"/>
    <w:rsid w:val="003D2A35"/>
    <w:rsid w:val="003D35FA"/>
    <w:rsid w:val="003D39EF"/>
    <w:rsid w:val="003D41BA"/>
    <w:rsid w:val="003D41C7"/>
    <w:rsid w:val="003D4CC1"/>
    <w:rsid w:val="003D58B0"/>
    <w:rsid w:val="003D6474"/>
    <w:rsid w:val="003D71D5"/>
    <w:rsid w:val="003E1122"/>
    <w:rsid w:val="003E1604"/>
    <w:rsid w:val="003E1766"/>
    <w:rsid w:val="003E18F5"/>
    <w:rsid w:val="003E1A61"/>
    <w:rsid w:val="003E1D4F"/>
    <w:rsid w:val="003E279B"/>
    <w:rsid w:val="003E2AB7"/>
    <w:rsid w:val="003E2F36"/>
    <w:rsid w:val="003E37A0"/>
    <w:rsid w:val="003E393E"/>
    <w:rsid w:val="003E507E"/>
    <w:rsid w:val="003E5394"/>
    <w:rsid w:val="003E678B"/>
    <w:rsid w:val="003E6D93"/>
    <w:rsid w:val="003E76C6"/>
    <w:rsid w:val="003F0186"/>
    <w:rsid w:val="003F038A"/>
    <w:rsid w:val="003F0555"/>
    <w:rsid w:val="003F09E9"/>
    <w:rsid w:val="003F0D0F"/>
    <w:rsid w:val="003F11D8"/>
    <w:rsid w:val="003F1AAC"/>
    <w:rsid w:val="003F1C6D"/>
    <w:rsid w:val="003F1D12"/>
    <w:rsid w:val="003F1E3F"/>
    <w:rsid w:val="003F1ECD"/>
    <w:rsid w:val="003F3195"/>
    <w:rsid w:val="003F32A8"/>
    <w:rsid w:val="003F3673"/>
    <w:rsid w:val="003F47AB"/>
    <w:rsid w:val="003F4B6C"/>
    <w:rsid w:val="003F5A39"/>
    <w:rsid w:val="003F6039"/>
    <w:rsid w:val="003F67D7"/>
    <w:rsid w:val="00400758"/>
    <w:rsid w:val="00401B6E"/>
    <w:rsid w:val="00402C2E"/>
    <w:rsid w:val="00404123"/>
    <w:rsid w:val="004047A9"/>
    <w:rsid w:val="00404B91"/>
    <w:rsid w:val="00404BB2"/>
    <w:rsid w:val="0040541F"/>
    <w:rsid w:val="00405424"/>
    <w:rsid w:val="00405C8A"/>
    <w:rsid w:val="00406889"/>
    <w:rsid w:val="00406E45"/>
    <w:rsid w:val="004072DC"/>
    <w:rsid w:val="004117CC"/>
    <w:rsid w:val="00411C1D"/>
    <w:rsid w:val="00412265"/>
    <w:rsid w:val="0041242B"/>
    <w:rsid w:val="00412CF4"/>
    <w:rsid w:val="00412DB7"/>
    <w:rsid w:val="0041307A"/>
    <w:rsid w:val="00413397"/>
    <w:rsid w:val="00413D02"/>
    <w:rsid w:val="00413DF7"/>
    <w:rsid w:val="004150A8"/>
    <w:rsid w:val="00415331"/>
    <w:rsid w:val="00420473"/>
    <w:rsid w:val="00420694"/>
    <w:rsid w:val="0042081E"/>
    <w:rsid w:val="00420E0C"/>
    <w:rsid w:val="00421989"/>
    <w:rsid w:val="00421C02"/>
    <w:rsid w:val="00423479"/>
    <w:rsid w:val="00424B49"/>
    <w:rsid w:val="00424BC0"/>
    <w:rsid w:val="00424CD9"/>
    <w:rsid w:val="00424EE9"/>
    <w:rsid w:val="004267BD"/>
    <w:rsid w:val="00426D00"/>
    <w:rsid w:val="00427071"/>
    <w:rsid w:val="0043000A"/>
    <w:rsid w:val="00430035"/>
    <w:rsid w:val="0043033C"/>
    <w:rsid w:val="004307EE"/>
    <w:rsid w:val="00430A35"/>
    <w:rsid w:val="00432C14"/>
    <w:rsid w:val="00432D80"/>
    <w:rsid w:val="00432EC8"/>
    <w:rsid w:val="00433ACC"/>
    <w:rsid w:val="004341E9"/>
    <w:rsid w:val="00434323"/>
    <w:rsid w:val="00434720"/>
    <w:rsid w:val="00434C76"/>
    <w:rsid w:val="00434CA4"/>
    <w:rsid w:val="004379FE"/>
    <w:rsid w:val="00437DE7"/>
    <w:rsid w:val="00440C48"/>
    <w:rsid w:val="00440E3B"/>
    <w:rsid w:val="0044111B"/>
    <w:rsid w:val="00441F13"/>
    <w:rsid w:val="00441FF4"/>
    <w:rsid w:val="00442C41"/>
    <w:rsid w:val="004437DC"/>
    <w:rsid w:val="00443FFA"/>
    <w:rsid w:val="004443AB"/>
    <w:rsid w:val="00444624"/>
    <w:rsid w:val="0044486A"/>
    <w:rsid w:val="004448DB"/>
    <w:rsid w:val="00445D17"/>
    <w:rsid w:val="00445F93"/>
    <w:rsid w:val="004473E1"/>
    <w:rsid w:val="00447467"/>
    <w:rsid w:val="00447BE4"/>
    <w:rsid w:val="00447CC7"/>
    <w:rsid w:val="0045342A"/>
    <w:rsid w:val="004539F3"/>
    <w:rsid w:val="00454F37"/>
    <w:rsid w:val="0045510C"/>
    <w:rsid w:val="0045536D"/>
    <w:rsid w:val="0045563A"/>
    <w:rsid w:val="00455C0B"/>
    <w:rsid w:val="004563FD"/>
    <w:rsid w:val="00460A2F"/>
    <w:rsid w:val="00462344"/>
    <w:rsid w:val="00462792"/>
    <w:rsid w:val="00462EC3"/>
    <w:rsid w:val="004633FF"/>
    <w:rsid w:val="00464A54"/>
    <w:rsid w:val="00466917"/>
    <w:rsid w:val="00466A68"/>
    <w:rsid w:val="00467A07"/>
    <w:rsid w:val="00467DDF"/>
    <w:rsid w:val="00467E6F"/>
    <w:rsid w:val="0047087C"/>
    <w:rsid w:val="004709CF"/>
    <w:rsid w:val="00470D72"/>
    <w:rsid w:val="004712BA"/>
    <w:rsid w:val="004715DB"/>
    <w:rsid w:val="004717FC"/>
    <w:rsid w:val="0047319E"/>
    <w:rsid w:val="0047343D"/>
    <w:rsid w:val="004737AB"/>
    <w:rsid w:val="004748F6"/>
    <w:rsid w:val="004756A4"/>
    <w:rsid w:val="004757DD"/>
    <w:rsid w:val="004765C1"/>
    <w:rsid w:val="00476839"/>
    <w:rsid w:val="00480836"/>
    <w:rsid w:val="0048093C"/>
    <w:rsid w:val="00480C6C"/>
    <w:rsid w:val="00480E29"/>
    <w:rsid w:val="00483EBC"/>
    <w:rsid w:val="004842F9"/>
    <w:rsid w:val="00485348"/>
    <w:rsid w:val="0048633C"/>
    <w:rsid w:val="00487663"/>
    <w:rsid w:val="00487AA1"/>
    <w:rsid w:val="00490706"/>
    <w:rsid w:val="0049089F"/>
    <w:rsid w:val="0049099D"/>
    <w:rsid w:val="004913DD"/>
    <w:rsid w:val="00491AF2"/>
    <w:rsid w:val="00491FB0"/>
    <w:rsid w:val="00492077"/>
    <w:rsid w:val="004920BE"/>
    <w:rsid w:val="004923E3"/>
    <w:rsid w:val="00492847"/>
    <w:rsid w:val="004930C9"/>
    <w:rsid w:val="00495607"/>
    <w:rsid w:val="0049565F"/>
    <w:rsid w:val="00495774"/>
    <w:rsid w:val="00495F75"/>
    <w:rsid w:val="00496151"/>
    <w:rsid w:val="004969CB"/>
    <w:rsid w:val="00496CB2"/>
    <w:rsid w:val="00497267"/>
    <w:rsid w:val="00497689"/>
    <w:rsid w:val="00497B8B"/>
    <w:rsid w:val="004A0111"/>
    <w:rsid w:val="004A0A58"/>
    <w:rsid w:val="004A0FBA"/>
    <w:rsid w:val="004A1B28"/>
    <w:rsid w:val="004A2BF9"/>
    <w:rsid w:val="004A39B3"/>
    <w:rsid w:val="004A3A16"/>
    <w:rsid w:val="004A73AA"/>
    <w:rsid w:val="004A7D65"/>
    <w:rsid w:val="004B014F"/>
    <w:rsid w:val="004B0A99"/>
    <w:rsid w:val="004B14D9"/>
    <w:rsid w:val="004B2450"/>
    <w:rsid w:val="004B32FC"/>
    <w:rsid w:val="004B3796"/>
    <w:rsid w:val="004B4071"/>
    <w:rsid w:val="004B41D3"/>
    <w:rsid w:val="004B4228"/>
    <w:rsid w:val="004B4A3D"/>
    <w:rsid w:val="004B5ADF"/>
    <w:rsid w:val="004B5DC2"/>
    <w:rsid w:val="004B66C4"/>
    <w:rsid w:val="004B67FA"/>
    <w:rsid w:val="004B6D90"/>
    <w:rsid w:val="004B6FD0"/>
    <w:rsid w:val="004B702C"/>
    <w:rsid w:val="004B7411"/>
    <w:rsid w:val="004B74DA"/>
    <w:rsid w:val="004C009E"/>
    <w:rsid w:val="004C1354"/>
    <w:rsid w:val="004C15DD"/>
    <w:rsid w:val="004C2707"/>
    <w:rsid w:val="004C4285"/>
    <w:rsid w:val="004C43B3"/>
    <w:rsid w:val="004C458A"/>
    <w:rsid w:val="004C4C7A"/>
    <w:rsid w:val="004C4F65"/>
    <w:rsid w:val="004C5F4E"/>
    <w:rsid w:val="004C60B8"/>
    <w:rsid w:val="004C60F8"/>
    <w:rsid w:val="004C665A"/>
    <w:rsid w:val="004C6BE5"/>
    <w:rsid w:val="004C6F08"/>
    <w:rsid w:val="004C75F6"/>
    <w:rsid w:val="004D0314"/>
    <w:rsid w:val="004D0892"/>
    <w:rsid w:val="004D2CCF"/>
    <w:rsid w:val="004D311F"/>
    <w:rsid w:val="004D4B5F"/>
    <w:rsid w:val="004D4EF0"/>
    <w:rsid w:val="004D54BD"/>
    <w:rsid w:val="004D6BD9"/>
    <w:rsid w:val="004E0134"/>
    <w:rsid w:val="004E09DC"/>
    <w:rsid w:val="004E09DD"/>
    <w:rsid w:val="004E0ACD"/>
    <w:rsid w:val="004E1731"/>
    <w:rsid w:val="004E199B"/>
    <w:rsid w:val="004E20A2"/>
    <w:rsid w:val="004E2A05"/>
    <w:rsid w:val="004E2B3D"/>
    <w:rsid w:val="004E3057"/>
    <w:rsid w:val="004E31BA"/>
    <w:rsid w:val="004E3966"/>
    <w:rsid w:val="004E43D2"/>
    <w:rsid w:val="004E45A3"/>
    <w:rsid w:val="004E46DA"/>
    <w:rsid w:val="004E59B2"/>
    <w:rsid w:val="004E5E56"/>
    <w:rsid w:val="004E604F"/>
    <w:rsid w:val="004E62A1"/>
    <w:rsid w:val="004E7034"/>
    <w:rsid w:val="004E73E8"/>
    <w:rsid w:val="004E74EC"/>
    <w:rsid w:val="004E7BF8"/>
    <w:rsid w:val="004F141F"/>
    <w:rsid w:val="004F24FB"/>
    <w:rsid w:val="004F2F68"/>
    <w:rsid w:val="004F3F2A"/>
    <w:rsid w:val="004F5B6B"/>
    <w:rsid w:val="004F5B94"/>
    <w:rsid w:val="004F63B9"/>
    <w:rsid w:val="004F709F"/>
    <w:rsid w:val="004F767C"/>
    <w:rsid w:val="005001BC"/>
    <w:rsid w:val="00500DD6"/>
    <w:rsid w:val="00501C83"/>
    <w:rsid w:val="0050271A"/>
    <w:rsid w:val="00502E71"/>
    <w:rsid w:val="00503A88"/>
    <w:rsid w:val="00504295"/>
    <w:rsid w:val="00504C80"/>
    <w:rsid w:val="005061E5"/>
    <w:rsid w:val="00506F08"/>
    <w:rsid w:val="0050700E"/>
    <w:rsid w:val="005104CF"/>
    <w:rsid w:val="00510E7E"/>
    <w:rsid w:val="00511EE9"/>
    <w:rsid w:val="005132A9"/>
    <w:rsid w:val="00513759"/>
    <w:rsid w:val="00514262"/>
    <w:rsid w:val="00514327"/>
    <w:rsid w:val="005159CD"/>
    <w:rsid w:val="00515B61"/>
    <w:rsid w:val="005160E2"/>
    <w:rsid w:val="00516CBD"/>
    <w:rsid w:val="00516EB9"/>
    <w:rsid w:val="00517FBF"/>
    <w:rsid w:val="00521371"/>
    <w:rsid w:val="00521477"/>
    <w:rsid w:val="00521617"/>
    <w:rsid w:val="00522945"/>
    <w:rsid w:val="00522B16"/>
    <w:rsid w:val="005236CC"/>
    <w:rsid w:val="00523B6C"/>
    <w:rsid w:val="00523FAF"/>
    <w:rsid w:val="00524146"/>
    <w:rsid w:val="00524EA5"/>
    <w:rsid w:val="00525B7E"/>
    <w:rsid w:val="00525D95"/>
    <w:rsid w:val="005260E6"/>
    <w:rsid w:val="0052633F"/>
    <w:rsid w:val="00526DB4"/>
    <w:rsid w:val="00527901"/>
    <w:rsid w:val="00527EDB"/>
    <w:rsid w:val="00530B61"/>
    <w:rsid w:val="00530FDE"/>
    <w:rsid w:val="00531CF0"/>
    <w:rsid w:val="00531E6A"/>
    <w:rsid w:val="0053288C"/>
    <w:rsid w:val="00532B67"/>
    <w:rsid w:val="00532B8D"/>
    <w:rsid w:val="005342A1"/>
    <w:rsid w:val="005350DB"/>
    <w:rsid w:val="0053580A"/>
    <w:rsid w:val="00535D0B"/>
    <w:rsid w:val="00536119"/>
    <w:rsid w:val="0053646A"/>
    <w:rsid w:val="0053674A"/>
    <w:rsid w:val="00536EB8"/>
    <w:rsid w:val="0053709A"/>
    <w:rsid w:val="00537407"/>
    <w:rsid w:val="00540B24"/>
    <w:rsid w:val="00540E10"/>
    <w:rsid w:val="005415DB"/>
    <w:rsid w:val="005418E2"/>
    <w:rsid w:val="00541A87"/>
    <w:rsid w:val="00541CC7"/>
    <w:rsid w:val="00541D3C"/>
    <w:rsid w:val="00541ED6"/>
    <w:rsid w:val="00542445"/>
    <w:rsid w:val="005431D1"/>
    <w:rsid w:val="00543B10"/>
    <w:rsid w:val="00545119"/>
    <w:rsid w:val="00545235"/>
    <w:rsid w:val="005466DD"/>
    <w:rsid w:val="00546765"/>
    <w:rsid w:val="00546871"/>
    <w:rsid w:val="00546B8C"/>
    <w:rsid w:val="00547879"/>
    <w:rsid w:val="00547B59"/>
    <w:rsid w:val="00547E58"/>
    <w:rsid w:val="00550288"/>
    <w:rsid w:val="00550ED7"/>
    <w:rsid w:val="005517D2"/>
    <w:rsid w:val="00551840"/>
    <w:rsid w:val="005523C9"/>
    <w:rsid w:val="00552960"/>
    <w:rsid w:val="005529F1"/>
    <w:rsid w:val="00552DD1"/>
    <w:rsid w:val="00553279"/>
    <w:rsid w:val="0055332C"/>
    <w:rsid w:val="005536CF"/>
    <w:rsid w:val="0055394B"/>
    <w:rsid w:val="00553FA6"/>
    <w:rsid w:val="0055413D"/>
    <w:rsid w:val="005544B3"/>
    <w:rsid w:val="00554E40"/>
    <w:rsid w:val="00554F97"/>
    <w:rsid w:val="005554C2"/>
    <w:rsid w:val="00555B93"/>
    <w:rsid w:val="00555ED2"/>
    <w:rsid w:val="00556C0A"/>
    <w:rsid w:val="0055775F"/>
    <w:rsid w:val="00562AE4"/>
    <w:rsid w:val="00564156"/>
    <w:rsid w:val="00564B27"/>
    <w:rsid w:val="00564C9B"/>
    <w:rsid w:val="00564DE4"/>
    <w:rsid w:val="00564FA7"/>
    <w:rsid w:val="00565386"/>
    <w:rsid w:val="00565A20"/>
    <w:rsid w:val="0056691D"/>
    <w:rsid w:val="005679D6"/>
    <w:rsid w:val="00567B33"/>
    <w:rsid w:val="00567D22"/>
    <w:rsid w:val="00567FC1"/>
    <w:rsid w:val="00570832"/>
    <w:rsid w:val="00570A13"/>
    <w:rsid w:val="005710C0"/>
    <w:rsid w:val="00572297"/>
    <w:rsid w:val="00572482"/>
    <w:rsid w:val="005728D8"/>
    <w:rsid w:val="00572C96"/>
    <w:rsid w:val="005730AB"/>
    <w:rsid w:val="005730C8"/>
    <w:rsid w:val="00573774"/>
    <w:rsid w:val="00573EAB"/>
    <w:rsid w:val="005748E5"/>
    <w:rsid w:val="0057515A"/>
    <w:rsid w:val="00575BC1"/>
    <w:rsid w:val="00576B32"/>
    <w:rsid w:val="0058007A"/>
    <w:rsid w:val="00582E34"/>
    <w:rsid w:val="005843CD"/>
    <w:rsid w:val="00585ABE"/>
    <w:rsid w:val="00585DEE"/>
    <w:rsid w:val="0058649D"/>
    <w:rsid w:val="005868D0"/>
    <w:rsid w:val="005875DB"/>
    <w:rsid w:val="00587993"/>
    <w:rsid w:val="00587B01"/>
    <w:rsid w:val="0059095A"/>
    <w:rsid w:val="00590BA5"/>
    <w:rsid w:val="00590F0B"/>
    <w:rsid w:val="005914A0"/>
    <w:rsid w:val="00591C47"/>
    <w:rsid w:val="005923EC"/>
    <w:rsid w:val="005928C5"/>
    <w:rsid w:val="00593297"/>
    <w:rsid w:val="00594879"/>
    <w:rsid w:val="00595AB2"/>
    <w:rsid w:val="00596854"/>
    <w:rsid w:val="00596CBF"/>
    <w:rsid w:val="00597A30"/>
    <w:rsid w:val="00597A74"/>
    <w:rsid w:val="00597E5D"/>
    <w:rsid w:val="00597FA3"/>
    <w:rsid w:val="005A0129"/>
    <w:rsid w:val="005A0EFB"/>
    <w:rsid w:val="005A1885"/>
    <w:rsid w:val="005A21BC"/>
    <w:rsid w:val="005A2571"/>
    <w:rsid w:val="005A3963"/>
    <w:rsid w:val="005A4CCA"/>
    <w:rsid w:val="005A5C9B"/>
    <w:rsid w:val="005A6AE8"/>
    <w:rsid w:val="005A72D7"/>
    <w:rsid w:val="005A73B5"/>
    <w:rsid w:val="005A7911"/>
    <w:rsid w:val="005A7BE4"/>
    <w:rsid w:val="005B0468"/>
    <w:rsid w:val="005B0BCF"/>
    <w:rsid w:val="005B1928"/>
    <w:rsid w:val="005B1C5D"/>
    <w:rsid w:val="005B32E1"/>
    <w:rsid w:val="005B3653"/>
    <w:rsid w:val="005B372F"/>
    <w:rsid w:val="005B4024"/>
    <w:rsid w:val="005B4374"/>
    <w:rsid w:val="005B4559"/>
    <w:rsid w:val="005B4689"/>
    <w:rsid w:val="005B5773"/>
    <w:rsid w:val="005B5CA3"/>
    <w:rsid w:val="005B77C7"/>
    <w:rsid w:val="005B79D1"/>
    <w:rsid w:val="005B7BF4"/>
    <w:rsid w:val="005C0F0A"/>
    <w:rsid w:val="005C14F5"/>
    <w:rsid w:val="005C2439"/>
    <w:rsid w:val="005C2746"/>
    <w:rsid w:val="005C2B9F"/>
    <w:rsid w:val="005C2EF4"/>
    <w:rsid w:val="005C4796"/>
    <w:rsid w:val="005C4E3B"/>
    <w:rsid w:val="005C5AE4"/>
    <w:rsid w:val="005C5C59"/>
    <w:rsid w:val="005C73FB"/>
    <w:rsid w:val="005C7943"/>
    <w:rsid w:val="005C7C55"/>
    <w:rsid w:val="005D0A1C"/>
    <w:rsid w:val="005D114B"/>
    <w:rsid w:val="005D2250"/>
    <w:rsid w:val="005D27C2"/>
    <w:rsid w:val="005D30DB"/>
    <w:rsid w:val="005D3712"/>
    <w:rsid w:val="005D6209"/>
    <w:rsid w:val="005D6312"/>
    <w:rsid w:val="005D707E"/>
    <w:rsid w:val="005D7867"/>
    <w:rsid w:val="005D7EEA"/>
    <w:rsid w:val="005E094B"/>
    <w:rsid w:val="005E0989"/>
    <w:rsid w:val="005E0A3F"/>
    <w:rsid w:val="005E0F68"/>
    <w:rsid w:val="005E0FB0"/>
    <w:rsid w:val="005E1717"/>
    <w:rsid w:val="005E1A9F"/>
    <w:rsid w:val="005E1C2B"/>
    <w:rsid w:val="005E3375"/>
    <w:rsid w:val="005E3957"/>
    <w:rsid w:val="005E50DF"/>
    <w:rsid w:val="005E53B2"/>
    <w:rsid w:val="005E5D7B"/>
    <w:rsid w:val="005E6143"/>
    <w:rsid w:val="005E618A"/>
    <w:rsid w:val="005E6843"/>
    <w:rsid w:val="005E6F26"/>
    <w:rsid w:val="005E7E1E"/>
    <w:rsid w:val="005F0318"/>
    <w:rsid w:val="005F1247"/>
    <w:rsid w:val="005F32FC"/>
    <w:rsid w:val="005F374A"/>
    <w:rsid w:val="005F3C83"/>
    <w:rsid w:val="005F4066"/>
    <w:rsid w:val="005F5068"/>
    <w:rsid w:val="005F585D"/>
    <w:rsid w:val="005F6133"/>
    <w:rsid w:val="005F661F"/>
    <w:rsid w:val="005F6E29"/>
    <w:rsid w:val="005F7245"/>
    <w:rsid w:val="006006E5"/>
    <w:rsid w:val="00600C91"/>
    <w:rsid w:val="00601B4A"/>
    <w:rsid w:val="00601C6D"/>
    <w:rsid w:val="006029EF"/>
    <w:rsid w:val="006031AD"/>
    <w:rsid w:val="00603C32"/>
    <w:rsid w:val="006040AB"/>
    <w:rsid w:val="00604699"/>
    <w:rsid w:val="00604E8D"/>
    <w:rsid w:val="006055B1"/>
    <w:rsid w:val="00605D5C"/>
    <w:rsid w:val="00606840"/>
    <w:rsid w:val="006073CE"/>
    <w:rsid w:val="0060764B"/>
    <w:rsid w:val="00607658"/>
    <w:rsid w:val="0061077E"/>
    <w:rsid w:val="00610BF6"/>
    <w:rsid w:val="00610E61"/>
    <w:rsid w:val="00611140"/>
    <w:rsid w:val="006114AE"/>
    <w:rsid w:val="00612235"/>
    <w:rsid w:val="006124DD"/>
    <w:rsid w:val="006127AB"/>
    <w:rsid w:val="0061290D"/>
    <w:rsid w:val="00612DE7"/>
    <w:rsid w:val="006130EE"/>
    <w:rsid w:val="006131CE"/>
    <w:rsid w:val="006138C0"/>
    <w:rsid w:val="0061441E"/>
    <w:rsid w:val="006147E5"/>
    <w:rsid w:val="006149DB"/>
    <w:rsid w:val="00615836"/>
    <w:rsid w:val="00615D2C"/>
    <w:rsid w:val="00616104"/>
    <w:rsid w:val="00616AAF"/>
    <w:rsid w:val="006173C1"/>
    <w:rsid w:val="006176D9"/>
    <w:rsid w:val="00617B03"/>
    <w:rsid w:val="00620605"/>
    <w:rsid w:val="00621247"/>
    <w:rsid w:val="006220C3"/>
    <w:rsid w:val="006226A2"/>
    <w:rsid w:val="00622E44"/>
    <w:rsid w:val="00623C52"/>
    <w:rsid w:val="00624A65"/>
    <w:rsid w:val="00625445"/>
    <w:rsid w:val="0062612B"/>
    <w:rsid w:val="006262C8"/>
    <w:rsid w:val="006311F1"/>
    <w:rsid w:val="0063209E"/>
    <w:rsid w:val="006320EC"/>
    <w:rsid w:val="006326C5"/>
    <w:rsid w:val="00632AF3"/>
    <w:rsid w:val="00633754"/>
    <w:rsid w:val="0063405A"/>
    <w:rsid w:val="00635AD4"/>
    <w:rsid w:val="006364E4"/>
    <w:rsid w:val="00636CD7"/>
    <w:rsid w:val="00637001"/>
    <w:rsid w:val="0063794E"/>
    <w:rsid w:val="00637BF7"/>
    <w:rsid w:val="00637F67"/>
    <w:rsid w:val="00640454"/>
    <w:rsid w:val="00641023"/>
    <w:rsid w:val="00641482"/>
    <w:rsid w:val="0064274E"/>
    <w:rsid w:val="00642AF6"/>
    <w:rsid w:val="0064302D"/>
    <w:rsid w:val="006438FE"/>
    <w:rsid w:val="00644C54"/>
    <w:rsid w:val="006459AD"/>
    <w:rsid w:val="00645DA3"/>
    <w:rsid w:val="006464AC"/>
    <w:rsid w:val="00646549"/>
    <w:rsid w:val="006469C2"/>
    <w:rsid w:val="00646A3A"/>
    <w:rsid w:val="00646F69"/>
    <w:rsid w:val="006477E9"/>
    <w:rsid w:val="00647C7E"/>
    <w:rsid w:val="006502ED"/>
    <w:rsid w:val="00650BBC"/>
    <w:rsid w:val="006512F0"/>
    <w:rsid w:val="0065135E"/>
    <w:rsid w:val="00651590"/>
    <w:rsid w:val="00651ADF"/>
    <w:rsid w:val="00652861"/>
    <w:rsid w:val="00652B05"/>
    <w:rsid w:val="00652BF0"/>
    <w:rsid w:val="00652F60"/>
    <w:rsid w:val="00652FED"/>
    <w:rsid w:val="00653F1C"/>
    <w:rsid w:val="0065423E"/>
    <w:rsid w:val="0065486D"/>
    <w:rsid w:val="00654CF7"/>
    <w:rsid w:val="00654D82"/>
    <w:rsid w:val="006559DB"/>
    <w:rsid w:val="006567C9"/>
    <w:rsid w:val="00656AE0"/>
    <w:rsid w:val="00656D31"/>
    <w:rsid w:val="00656DBF"/>
    <w:rsid w:val="00656EF6"/>
    <w:rsid w:val="0065711F"/>
    <w:rsid w:val="00657160"/>
    <w:rsid w:val="006573F5"/>
    <w:rsid w:val="006577FA"/>
    <w:rsid w:val="00660629"/>
    <w:rsid w:val="00660BBC"/>
    <w:rsid w:val="00660C93"/>
    <w:rsid w:val="00661B4C"/>
    <w:rsid w:val="00662282"/>
    <w:rsid w:val="006629AB"/>
    <w:rsid w:val="0066339D"/>
    <w:rsid w:val="00664474"/>
    <w:rsid w:val="00664D95"/>
    <w:rsid w:val="00664FC5"/>
    <w:rsid w:val="00666DDF"/>
    <w:rsid w:val="006673D9"/>
    <w:rsid w:val="00667D51"/>
    <w:rsid w:val="00670491"/>
    <w:rsid w:val="006705D9"/>
    <w:rsid w:val="00670F08"/>
    <w:rsid w:val="00671274"/>
    <w:rsid w:val="006714CE"/>
    <w:rsid w:val="00672021"/>
    <w:rsid w:val="00672626"/>
    <w:rsid w:val="00672876"/>
    <w:rsid w:val="00672DD5"/>
    <w:rsid w:val="00672F78"/>
    <w:rsid w:val="006734BE"/>
    <w:rsid w:val="00673D32"/>
    <w:rsid w:val="006760DF"/>
    <w:rsid w:val="0067611A"/>
    <w:rsid w:val="00676A74"/>
    <w:rsid w:val="00676B58"/>
    <w:rsid w:val="00676D5D"/>
    <w:rsid w:val="006776F2"/>
    <w:rsid w:val="00680148"/>
    <w:rsid w:val="00680F5B"/>
    <w:rsid w:val="00682FA5"/>
    <w:rsid w:val="00683043"/>
    <w:rsid w:val="0068316A"/>
    <w:rsid w:val="006834D8"/>
    <w:rsid w:val="00683C47"/>
    <w:rsid w:val="00683DEA"/>
    <w:rsid w:val="00683F05"/>
    <w:rsid w:val="006843EE"/>
    <w:rsid w:val="00684B43"/>
    <w:rsid w:val="00684D70"/>
    <w:rsid w:val="006858F0"/>
    <w:rsid w:val="00685937"/>
    <w:rsid w:val="0068612F"/>
    <w:rsid w:val="00687B93"/>
    <w:rsid w:val="00687E4C"/>
    <w:rsid w:val="006908C1"/>
    <w:rsid w:val="00690A36"/>
    <w:rsid w:val="00690C85"/>
    <w:rsid w:val="006914E7"/>
    <w:rsid w:val="006916AA"/>
    <w:rsid w:val="00691D6E"/>
    <w:rsid w:val="00692436"/>
    <w:rsid w:val="00692458"/>
    <w:rsid w:val="00692D16"/>
    <w:rsid w:val="00692FF7"/>
    <w:rsid w:val="006930BD"/>
    <w:rsid w:val="0069324C"/>
    <w:rsid w:val="0069509B"/>
    <w:rsid w:val="006951E2"/>
    <w:rsid w:val="006960FC"/>
    <w:rsid w:val="006964C6"/>
    <w:rsid w:val="00696852"/>
    <w:rsid w:val="006978ED"/>
    <w:rsid w:val="00697AF3"/>
    <w:rsid w:val="006A015F"/>
    <w:rsid w:val="006A184C"/>
    <w:rsid w:val="006A20F2"/>
    <w:rsid w:val="006A2A5E"/>
    <w:rsid w:val="006A3481"/>
    <w:rsid w:val="006A433E"/>
    <w:rsid w:val="006A4F97"/>
    <w:rsid w:val="006A6E5D"/>
    <w:rsid w:val="006B1158"/>
    <w:rsid w:val="006B4618"/>
    <w:rsid w:val="006B4F01"/>
    <w:rsid w:val="006B58A1"/>
    <w:rsid w:val="006B7867"/>
    <w:rsid w:val="006C09E4"/>
    <w:rsid w:val="006C102B"/>
    <w:rsid w:val="006C1144"/>
    <w:rsid w:val="006C16F4"/>
    <w:rsid w:val="006C1B63"/>
    <w:rsid w:val="006C1F97"/>
    <w:rsid w:val="006C2872"/>
    <w:rsid w:val="006C2DA6"/>
    <w:rsid w:val="006C3DDE"/>
    <w:rsid w:val="006C783F"/>
    <w:rsid w:val="006C7A48"/>
    <w:rsid w:val="006D05DB"/>
    <w:rsid w:val="006D09CC"/>
    <w:rsid w:val="006D179A"/>
    <w:rsid w:val="006D21E9"/>
    <w:rsid w:val="006D22F6"/>
    <w:rsid w:val="006D311A"/>
    <w:rsid w:val="006D3A1F"/>
    <w:rsid w:val="006D4403"/>
    <w:rsid w:val="006D4720"/>
    <w:rsid w:val="006D4DF2"/>
    <w:rsid w:val="006D5019"/>
    <w:rsid w:val="006D501E"/>
    <w:rsid w:val="006D5274"/>
    <w:rsid w:val="006D5B26"/>
    <w:rsid w:val="006D6D49"/>
    <w:rsid w:val="006D6DB7"/>
    <w:rsid w:val="006D70E0"/>
    <w:rsid w:val="006D7A7C"/>
    <w:rsid w:val="006E0565"/>
    <w:rsid w:val="006E0F71"/>
    <w:rsid w:val="006E13AE"/>
    <w:rsid w:val="006E2383"/>
    <w:rsid w:val="006E3498"/>
    <w:rsid w:val="006E3D8A"/>
    <w:rsid w:val="006E4199"/>
    <w:rsid w:val="006E43F6"/>
    <w:rsid w:val="006E450A"/>
    <w:rsid w:val="006E4E3E"/>
    <w:rsid w:val="006E532B"/>
    <w:rsid w:val="006E5464"/>
    <w:rsid w:val="006E5EE8"/>
    <w:rsid w:val="006E6D74"/>
    <w:rsid w:val="006E718A"/>
    <w:rsid w:val="006E71F1"/>
    <w:rsid w:val="006E78A2"/>
    <w:rsid w:val="006E7D1E"/>
    <w:rsid w:val="006F195F"/>
    <w:rsid w:val="006F1CEE"/>
    <w:rsid w:val="006F1F96"/>
    <w:rsid w:val="006F2870"/>
    <w:rsid w:val="006F28CA"/>
    <w:rsid w:val="006F2DD0"/>
    <w:rsid w:val="006F3AED"/>
    <w:rsid w:val="006F5A43"/>
    <w:rsid w:val="006F618D"/>
    <w:rsid w:val="006F61DF"/>
    <w:rsid w:val="006F67AF"/>
    <w:rsid w:val="006F70EF"/>
    <w:rsid w:val="007014EC"/>
    <w:rsid w:val="007019F6"/>
    <w:rsid w:val="007034C4"/>
    <w:rsid w:val="00703521"/>
    <w:rsid w:val="00703D84"/>
    <w:rsid w:val="00704FF7"/>
    <w:rsid w:val="00705B86"/>
    <w:rsid w:val="00705E27"/>
    <w:rsid w:val="00705F5D"/>
    <w:rsid w:val="007103DD"/>
    <w:rsid w:val="007107DF"/>
    <w:rsid w:val="007107FB"/>
    <w:rsid w:val="007108F1"/>
    <w:rsid w:val="00710FA6"/>
    <w:rsid w:val="00710FBC"/>
    <w:rsid w:val="00711275"/>
    <w:rsid w:val="007125DE"/>
    <w:rsid w:val="00713A52"/>
    <w:rsid w:val="00713ED4"/>
    <w:rsid w:val="00713EF8"/>
    <w:rsid w:val="00714741"/>
    <w:rsid w:val="00714C37"/>
    <w:rsid w:val="00714C8E"/>
    <w:rsid w:val="007156A6"/>
    <w:rsid w:val="0071574D"/>
    <w:rsid w:val="00716837"/>
    <w:rsid w:val="0071747F"/>
    <w:rsid w:val="00717754"/>
    <w:rsid w:val="00717B7A"/>
    <w:rsid w:val="00720BDD"/>
    <w:rsid w:val="0072101F"/>
    <w:rsid w:val="007212CB"/>
    <w:rsid w:val="00721EE9"/>
    <w:rsid w:val="0072369E"/>
    <w:rsid w:val="007243FC"/>
    <w:rsid w:val="00724E80"/>
    <w:rsid w:val="00724F48"/>
    <w:rsid w:val="0072520B"/>
    <w:rsid w:val="00725400"/>
    <w:rsid w:val="0072742F"/>
    <w:rsid w:val="0073154D"/>
    <w:rsid w:val="00731913"/>
    <w:rsid w:val="007321D1"/>
    <w:rsid w:val="00732256"/>
    <w:rsid w:val="0073226A"/>
    <w:rsid w:val="007326BB"/>
    <w:rsid w:val="00732B3D"/>
    <w:rsid w:val="0073326B"/>
    <w:rsid w:val="007337E1"/>
    <w:rsid w:val="00733FA3"/>
    <w:rsid w:val="0073665E"/>
    <w:rsid w:val="00736743"/>
    <w:rsid w:val="007373FD"/>
    <w:rsid w:val="007375A7"/>
    <w:rsid w:val="00737A7A"/>
    <w:rsid w:val="00737FE5"/>
    <w:rsid w:val="007401D9"/>
    <w:rsid w:val="007403CE"/>
    <w:rsid w:val="00740460"/>
    <w:rsid w:val="0074051D"/>
    <w:rsid w:val="00741387"/>
    <w:rsid w:val="00741B45"/>
    <w:rsid w:val="00741E2F"/>
    <w:rsid w:val="00741EC9"/>
    <w:rsid w:val="0074246F"/>
    <w:rsid w:val="007429ED"/>
    <w:rsid w:val="00743DC3"/>
    <w:rsid w:val="00743F06"/>
    <w:rsid w:val="00743F94"/>
    <w:rsid w:val="007450A7"/>
    <w:rsid w:val="00745692"/>
    <w:rsid w:val="007464FB"/>
    <w:rsid w:val="00747741"/>
    <w:rsid w:val="00750C6B"/>
    <w:rsid w:val="0075199F"/>
    <w:rsid w:val="00752066"/>
    <w:rsid w:val="007520AE"/>
    <w:rsid w:val="00753A52"/>
    <w:rsid w:val="00753B48"/>
    <w:rsid w:val="00753EB2"/>
    <w:rsid w:val="00754D0A"/>
    <w:rsid w:val="007564AB"/>
    <w:rsid w:val="0075719C"/>
    <w:rsid w:val="007577CE"/>
    <w:rsid w:val="007579E1"/>
    <w:rsid w:val="00757B91"/>
    <w:rsid w:val="007607CE"/>
    <w:rsid w:val="0076087A"/>
    <w:rsid w:val="00760AD3"/>
    <w:rsid w:val="00760DF0"/>
    <w:rsid w:val="00760F06"/>
    <w:rsid w:val="0076186B"/>
    <w:rsid w:val="00761E0D"/>
    <w:rsid w:val="00762133"/>
    <w:rsid w:val="00762DD6"/>
    <w:rsid w:val="00763A62"/>
    <w:rsid w:val="00763AB0"/>
    <w:rsid w:val="007640A5"/>
    <w:rsid w:val="007648E6"/>
    <w:rsid w:val="007650FD"/>
    <w:rsid w:val="00765995"/>
    <w:rsid w:val="00765E01"/>
    <w:rsid w:val="00765E98"/>
    <w:rsid w:val="00766416"/>
    <w:rsid w:val="00766422"/>
    <w:rsid w:val="00766B23"/>
    <w:rsid w:val="00766CA5"/>
    <w:rsid w:val="00767C69"/>
    <w:rsid w:val="00767D7B"/>
    <w:rsid w:val="0077045B"/>
    <w:rsid w:val="00770887"/>
    <w:rsid w:val="007708DC"/>
    <w:rsid w:val="00771193"/>
    <w:rsid w:val="00772107"/>
    <w:rsid w:val="007727F1"/>
    <w:rsid w:val="00772CAA"/>
    <w:rsid w:val="007730CC"/>
    <w:rsid w:val="00774201"/>
    <w:rsid w:val="00774716"/>
    <w:rsid w:val="0077484D"/>
    <w:rsid w:val="007752F8"/>
    <w:rsid w:val="00775AF6"/>
    <w:rsid w:val="00776409"/>
    <w:rsid w:val="00776784"/>
    <w:rsid w:val="007767C5"/>
    <w:rsid w:val="0077785A"/>
    <w:rsid w:val="00777E17"/>
    <w:rsid w:val="00780319"/>
    <w:rsid w:val="00780ABC"/>
    <w:rsid w:val="007812BC"/>
    <w:rsid w:val="007815EB"/>
    <w:rsid w:val="00781659"/>
    <w:rsid w:val="0078251F"/>
    <w:rsid w:val="00783029"/>
    <w:rsid w:val="007830F5"/>
    <w:rsid w:val="007841D6"/>
    <w:rsid w:val="0078462C"/>
    <w:rsid w:val="00784D35"/>
    <w:rsid w:val="00784E3D"/>
    <w:rsid w:val="007860AA"/>
    <w:rsid w:val="007863F6"/>
    <w:rsid w:val="007866E5"/>
    <w:rsid w:val="007878C8"/>
    <w:rsid w:val="00790C39"/>
    <w:rsid w:val="0079130C"/>
    <w:rsid w:val="007919BA"/>
    <w:rsid w:val="00792348"/>
    <w:rsid w:val="00792CF5"/>
    <w:rsid w:val="00793281"/>
    <w:rsid w:val="007950CE"/>
    <w:rsid w:val="00795B09"/>
    <w:rsid w:val="0079645D"/>
    <w:rsid w:val="00796C8D"/>
    <w:rsid w:val="007977B0"/>
    <w:rsid w:val="00797848"/>
    <w:rsid w:val="00797A1F"/>
    <w:rsid w:val="007A10A3"/>
    <w:rsid w:val="007A126F"/>
    <w:rsid w:val="007A12F9"/>
    <w:rsid w:val="007A1642"/>
    <w:rsid w:val="007A1EDC"/>
    <w:rsid w:val="007A23F5"/>
    <w:rsid w:val="007A2B3E"/>
    <w:rsid w:val="007A3376"/>
    <w:rsid w:val="007A34B2"/>
    <w:rsid w:val="007A4208"/>
    <w:rsid w:val="007A4EC2"/>
    <w:rsid w:val="007A50B2"/>
    <w:rsid w:val="007A62E3"/>
    <w:rsid w:val="007A6B37"/>
    <w:rsid w:val="007A6ECA"/>
    <w:rsid w:val="007A7176"/>
    <w:rsid w:val="007A7191"/>
    <w:rsid w:val="007A7314"/>
    <w:rsid w:val="007A7CE7"/>
    <w:rsid w:val="007B04F5"/>
    <w:rsid w:val="007B3315"/>
    <w:rsid w:val="007B3549"/>
    <w:rsid w:val="007B3F41"/>
    <w:rsid w:val="007B4A82"/>
    <w:rsid w:val="007B52A7"/>
    <w:rsid w:val="007B5E84"/>
    <w:rsid w:val="007B64EB"/>
    <w:rsid w:val="007B65FC"/>
    <w:rsid w:val="007B7198"/>
    <w:rsid w:val="007C1790"/>
    <w:rsid w:val="007C18CB"/>
    <w:rsid w:val="007C24EE"/>
    <w:rsid w:val="007C2A25"/>
    <w:rsid w:val="007C3B8A"/>
    <w:rsid w:val="007C5910"/>
    <w:rsid w:val="007C5951"/>
    <w:rsid w:val="007C6DCF"/>
    <w:rsid w:val="007C6EB8"/>
    <w:rsid w:val="007C7BB9"/>
    <w:rsid w:val="007C7C33"/>
    <w:rsid w:val="007D0044"/>
    <w:rsid w:val="007D06F4"/>
    <w:rsid w:val="007D2455"/>
    <w:rsid w:val="007D3AF7"/>
    <w:rsid w:val="007D434E"/>
    <w:rsid w:val="007D4BA8"/>
    <w:rsid w:val="007D4C28"/>
    <w:rsid w:val="007D4DEE"/>
    <w:rsid w:val="007D569F"/>
    <w:rsid w:val="007D79D5"/>
    <w:rsid w:val="007E00E9"/>
    <w:rsid w:val="007E0F97"/>
    <w:rsid w:val="007E100E"/>
    <w:rsid w:val="007E127A"/>
    <w:rsid w:val="007E1753"/>
    <w:rsid w:val="007E1904"/>
    <w:rsid w:val="007E1F9F"/>
    <w:rsid w:val="007E1FA2"/>
    <w:rsid w:val="007E2108"/>
    <w:rsid w:val="007E28C4"/>
    <w:rsid w:val="007E301B"/>
    <w:rsid w:val="007E323F"/>
    <w:rsid w:val="007E376B"/>
    <w:rsid w:val="007E3A9E"/>
    <w:rsid w:val="007E3CBB"/>
    <w:rsid w:val="007E413C"/>
    <w:rsid w:val="007E41FB"/>
    <w:rsid w:val="007E4CC0"/>
    <w:rsid w:val="007E4DD3"/>
    <w:rsid w:val="007E5E8D"/>
    <w:rsid w:val="007E786E"/>
    <w:rsid w:val="007F07F3"/>
    <w:rsid w:val="007F1203"/>
    <w:rsid w:val="007F19E7"/>
    <w:rsid w:val="007F35DF"/>
    <w:rsid w:val="007F406A"/>
    <w:rsid w:val="007F45BC"/>
    <w:rsid w:val="007F54DE"/>
    <w:rsid w:val="007F65F9"/>
    <w:rsid w:val="007F65FF"/>
    <w:rsid w:val="007F68B7"/>
    <w:rsid w:val="007F6C61"/>
    <w:rsid w:val="00801265"/>
    <w:rsid w:val="00801843"/>
    <w:rsid w:val="008024AE"/>
    <w:rsid w:val="00803EEA"/>
    <w:rsid w:val="00803F6D"/>
    <w:rsid w:val="00803F9C"/>
    <w:rsid w:val="00805103"/>
    <w:rsid w:val="00805E97"/>
    <w:rsid w:val="00806131"/>
    <w:rsid w:val="008069A6"/>
    <w:rsid w:val="00807560"/>
    <w:rsid w:val="00807BB5"/>
    <w:rsid w:val="00810653"/>
    <w:rsid w:val="00810935"/>
    <w:rsid w:val="00810E3C"/>
    <w:rsid w:val="00812597"/>
    <w:rsid w:val="008138E4"/>
    <w:rsid w:val="00813BBB"/>
    <w:rsid w:val="00815198"/>
    <w:rsid w:val="00815CEC"/>
    <w:rsid w:val="00815FA4"/>
    <w:rsid w:val="008163E8"/>
    <w:rsid w:val="00816D7C"/>
    <w:rsid w:val="00817036"/>
    <w:rsid w:val="00817C76"/>
    <w:rsid w:val="0082004A"/>
    <w:rsid w:val="008202F3"/>
    <w:rsid w:val="0082037E"/>
    <w:rsid w:val="0082079C"/>
    <w:rsid w:val="00820BE6"/>
    <w:rsid w:val="008210D3"/>
    <w:rsid w:val="00821444"/>
    <w:rsid w:val="00821747"/>
    <w:rsid w:val="00821B89"/>
    <w:rsid w:val="0082235A"/>
    <w:rsid w:val="00823976"/>
    <w:rsid w:val="00823C82"/>
    <w:rsid w:val="00823F07"/>
    <w:rsid w:val="008241D8"/>
    <w:rsid w:val="0082454A"/>
    <w:rsid w:val="00830423"/>
    <w:rsid w:val="008306CF"/>
    <w:rsid w:val="0083082F"/>
    <w:rsid w:val="0083137E"/>
    <w:rsid w:val="008314D1"/>
    <w:rsid w:val="0083168F"/>
    <w:rsid w:val="00831A56"/>
    <w:rsid w:val="00831EED"/>
    <w:rsid w:val="00832056"/>
    <w:rsid w:val="008326E7"/>
    <w:rsid w:val="008328E3"/>
    <w:rsid w:val="00834BCD"/>
    <w:rsid w:val="00834FB3"/>
    <w:rsid w:val="008354B6"/>
    <w:rsid w:val="00835CC8"/>
    <w:rsid w:val="00835DBD"/>
    <w:rsid w:val="008360FD"/>
    <w:rsid w:val="00836272"/>
    <w:rsid w:val="00836A33"/>
    <w:rsid w:val="00836D0F"/>
    <w:rsid w:val="008374FC"/>
    <w:rsid w:val="00837BEB"/>
    <w:rsid w:val="00837E5A"/>
    <w:rsid w:val="00840198"/>
    <w:rsid w:val="00840441"/>
    <w:rsid w:val="00840862"/>
    <w:rsid w:val="00840BC5"/>
    <w:rsid w:val="00841150"/>
    <w:rsid w:val="00842ECE"/>
    <w:rsid w:val="00843CBA"/>
    <w:rsid w:val="00843CFF"/>
    <w:rsid w:val="00843EAC"/>
    <w:rsid w:val="008442D2"/>
    <w:rsid w:val="00844697"/>
    <w:rsid w:val="00844985"/>
    <w:rsid w:val="00844E9A"/>
    <w:rsid w:val="0084568A"/>
    <w:rsid w:val="00845BDB"/>
    <w:rsid w:val="008461C8"/>
    <w:rsid w:val="00846F2F"/>
    <w:rsid w:val="00847E54"/>
    <w:rsid w:val="00850E23"/>
    <w:rsid w:val="00851685"/>
    <w:rsid w:val="008519BC"/>
    <w:rsid w:val="00851A0D"/>
    <w:rsid w:val="00852638"/>
    <w:rsid w:val="00852F05"/>
    <w:rsid w:val="00853329"/>
    <w:rsid w:val="00853AF2"/>
    <w:rsid w:val="0085437C"/>
    <w:rsid w:val="0085580B"/>
    <w:rsid w:val="00855C1C"/>
    <w:rsid w:val="00856595"/>
    <w:rsid w:val="00860156"/>
    <w:rsid w:val="00860F01"/>
    <w:rsid w:val="00860F36"/>
    <w:rsid w:val="00863FA2"/>
    <w:rsid w:val="00864BAC"/>
    <w:rsid w:val="00865223"/>
    <w:rsid w:val="00865264"/>
    <w:rsid w:val="0086583F"/>
    <w:rsid w:val="0086592B"/>
    <w:rsid w:val="00866142"/>
    <w:rsid w:val="00866972"/>
    <w:rsid w:val="00866CA9"/>
    <w:rsid w:val="00867198"/>
    <w:rsid w:val="0086751D"/>
    <w:rsid w:val="0086757F"/>
    <w:rsid w:val="00867903"/>
    <w:rsid w:val="00867EE1"/>
    <w:rsid w:val="00870084"/>
    <w:rsid w:val="00870888"/>
    <w:rsid w:val="0087193A"/>
    <w:rsid w:val="00871B9F"/>
    <w:rsid w:val="008722DD"/>
    <w:rsid w:val="008734C1"/>
    <w:rsid w:val="00874B1E"/>
    <w:rsid w:val="00874BAA"/>
    <w:rsid w:val="008750F6"/>
    <w:rsid w:val="008752EA"/>
    <w:rsid w:val="00875CB8"/>
    <w:rsid w:val="00876987"/>
    <w:rsid w:val="008777AC"/>
    <w:rsid w:val="00877A4E"/>
    <w:rsid w:val="00877F0D"/>
    <w:rsid w:val="00880721"/>
    <w:rsid w:val="008809A5"/>
    <w:rsid w:val="00880CE6"/>
    <w:rsid w:val="00881AE5"/>
    <w:rsid w:val="00881DA0"/>
    <w:rsid w:val="008825FC"/>
    <w:rsid w:val="00882DCD"/>
    <w:rsid w:val="00883399"/>
    <w:rsid w:val="00883A3D"/>
    <w:rsid w:val="00884394"/>
    <w:rsid w:val="00885C38"/>
    <w:rsid w:val="00886D08"/>
    <w:rsid w:val="00886F1B"/>
    <w:rsid w:val="00887157"/>
    <w:rsid w:val="00887FDF"/>
    <w:rsid w:val="00891B29"/>
    <w:rsid w:val="0089296D"/>
    <w:rsid w:val="008930F0"/>
    <w:rsid w:val="00893D2C"/>
    <w:rsid w:val="00893F6D"/>
    <w:rsid w:val="008947AD"/>
    <w:rsid w:val="00895408"/>
    <w:rsid w:val="008955B9"/>
    <w:rsid w:val="00896870"/>
    <w:rsid w:val="00896D37"/>
    <w:rsid w:val="00897432"/>
    <w:rsid w:val="008A1FA2"/>
    <w:rsid w:val="008A3264"/>
    <w:rsid w:val="008A3859"/>
    <w:rsid w:val="008A443A"/>
    <w:rsid w:val="008A4C9D"/>
    <w:rsid w:val="008A4FD2"/>
    <w:rsid w:val="008A50AB"/>
    <w:rsid w:val="008A5DC0"/>
    <w:rsid w:val="008A7090"/>
    <w:rsid w:val="008B0629"/>
    <w:rsid w:val="008B1242"/>
    <w:rsid w:val="008B19FD"/>
    <w:rsid w:val="008B1B4D"/>
    <w:rsid w:val="008B2759"/>
    <w:rsid w:val="008B2795"/>
    <w:rsid w:val="008B2B3C"/>
    <w:rsid w:val="008B3C26"/>
    <w:rsid w:val="008B4705"/>
    <w:rsid w:val="008B5D4B"/>
    <w:rsid w:val="008B70EF"/>
    <w:rsid w:val="008C01D1"/>
    <w:rsid w:val="008C0A2D"/>
    <w:rsid w:val="008C298A"/>
    <w:rsid w:val="008C30EB"/>
    <w:rsid w:val="008C326F"/>
    <w:rsid w:val="008C34B2"/>
    <w:rsid w:val="008C3C39"/>
    <w:rsid w:val="008C541E"/>
    <w:rsid w:val="008C635B"/>
    <w:rsid w:val="008C6976"/>
    <w:rsid w:val="008C6B7D"/>
    <w:rsid w:val="008C7074"/>
    <w:rsid w:val="008C73F7"/>
    <w:rsid w:val="008C750D"/>
    <w:rsid w:val="008C7604"/>
    <w:rsid w:val="008C7A23"/>
    <w:rsid w:val="008D006B"/>
    <w:rsid w:val="008D0DFE"/>
    <w:rsid w:val="008D1F29"/>
    <w:rsid w:val="008D2385"/>
    <w:rsid w:val="008D2835"/>
    <w:rsid w:val="008D4989"/>
    <w:rsid w:val="008D4FF3"/>
    <w:rsid w:val="008D520B"/>
    <w:rsid w:val="008D53C2"/>
    <w:rsid w:val="008D53D8"/>
    <w:rsid w:val="008D5C9C"/>
    <w:rsid w:val="008D60BA"/>
    <w:rsid w:val="008D67AF"/>
    <w:rsid w:val="008D73C3"/>
    <w:rsid w:val="008D73D2"/>
    <w:rsid w:val="008D78AA"/>
    <w:rsid w:val="008E09C3"/>
    <w:rsid w:val="008E0EFE"/>
    <w:rsid w:val="008E13BD"/>
    <w:rsid w:val="008E182C"/>
    <w:rsid w:val="008E314B"/>
    <w:rsid w:val="008E3521"/>
    <w:rsid w:val="008E3A2F"/>
    <w:rsid w:val="008E4C75"/>
    <w:rsid w:val="008E513C"/>
    <w:rsid w:val="008E56F4"/>
    <w:rsid w:val="008E7038"/>
    <w:rsid w:val="008F1D9B"/>
    <w:rsid w:val="008F1EA8"/>
    <w:rsid w:val="008F1EB5"/>
    <w:rsid w:val="008F209F"/>
    <w:rsid w:val="008F2B13"/>
    <w:rsid w:val="008F3684"/>
    <w:rsid w:val="008F4D07"/>
    <w:rsid w:val="008F57F6"/>
    <w:rsid w:val="008F5E15"/>
    <w:rsid w:val="008F62EF"/>
    <w:rsid w:val="008F6D8B"/>
    <w:rsid w:val="009012FB"/>
    <w:rsid w:val="0090215C"/>
    <w:rsid w:val="0090310A"/>
    <w:rsid w:val="00904608"/>
    <w:rsid w:val="00905037"/>
    <w:rsid w:val="009051FB"/>
    <w:rsid w:val="0090557C"/>
    <w:rsid w:val="0090641A"/>
    <w:rsid w:val="00907E49"/>
    <w:rsid w:val="009108E1"/>
    <w:rsid w:val="00911411"/>
    <w:rsid w:val="00911B8C"/>
    <w:rsid w:val="00911DA0"/>
    <w:rsid w:val="00911FCF"/>
    <w:rsid w:val="0091226D"/>
    <w:rsid w:val="0091353B"/>
    <w:rsid w:val="00913E2B"/>
    <w:rsid w:val="00914399"/>
    <w:rsid w:val="0091562C"/>
    <w:rsid w:val="009160C9"/>
    <w:rsid w:val="0091667E"/>
    <w:rsid w:val="009167E2"/>
    <w:rsid w:val="0091680A"/>
    <w:rsid w:val="00917BC5"/>
    <w:rsid w:val="009211E2"/>
    <w:rsid w:val="00921262"/>
    <w:rsid w:val="009223FB"/>
    <w:rsid w:val="00922FE6"/>
    <w:rsid w:val="009231A5"/>
    <w:rsid w:val="009240F6"/>
    <w:rsid w:val="0092429A"/>
    <w:rsid w:val="0092459E"/>
    <w:rsid w:val="0092537A"/>
    <w:rsid w:val="00925C80"/>
    <w:rsid w:val="00926944"/>
    <w:rsid w:val="009269F4"/>
    <w:rsid w:val="00926E7A"/>
    <w:rsid w:val="009272C0"/>
    <w:rsid w:val="00927717"/>
    <w:rsid w:val="00927D98"/>
    <w:rsid w:val="0093004F"/>
    <w:rsid w:val="009302F9"/>
    <w:rsid w:val="0093040B"/>
    <w:rsid w:val="00930DB4"/>
    <w:rsid w:val="00930E6C"/>
    <w:rsid w:val="009316ED"/>
    <w:rsid w:val="0093211F"/>
    <w:rsid w:val="00932186"/>
    <w:rsid w:val="009325A8"/>
    <w:rsid w:val="0093296D"/>
    <w:rsid w:val="00933BBE"/>
    <w:rsid w:val="009343A4"/>
    <w:rsid w:val="00934F91"/>
    <w:rsid w:val="00935767"/>
    <w:rsid w:val="009366D4"/>
    <w:rsid w:val="009367C4"/>
    <w:rsid w:val="00937178"/>
    <w:rsid w:val="00937331"/>
    <w:rsid w:val="00937702"/>
    <w:rsid w:val="00937A89"/>
    <w:rsid w:val="00937F0C"/>
    <w:rsid w:val="00940328"/>
    <w:rsid w:val="00940EA8"/>
    <w:rsid w:val="00940FE5"/>
    <w:rsid w:val="00941B7F"/>
    <w:rsid w:val="00941E99"/>
    <w:rsid w:val="009420B2"/>
    <w:rsid w:val="009426F7"/>
    <w:rsid w:val="009441E3"/>
    <w:rsid w:val="00944627"/>
    <w:rsid w:val="00944890"/>
    <w:rsid w:val="009448F8"/>
    <w:rsid w:val="00944B8F"/>
    <w:rsid w:val="00945FC6"/>
    <w:rsid w:val="00946883"/>
    <w:rsid w:val="009501B4"/>
    <w:rsid w:val="0095270C"/>
    <w:rsid w:val="00952D62"/>
    <w:rsid w:val="00953B27"/>
    <w:rsid w:val="00953E5F"/>
    <w:rsid w:val="009544DF"/>
    <w:rsid w:val="00954CE2"/>
    <w:rsid w:val="009556AA"/>
    <w:rsid w:val="009557EA"/>
    <w:rsid w:val="00955A05"/>
    <w:rsid w:val="009567AC"/>
    <w:rsid w:val="00956934"/>
    <w:rsid w:val="00956E59"/>
    <w:rsid w:val="0096006A"/>
    <w:rsid w:val="0096051A"/>
    <w:rsid w:val="009606FD"/>
    <w:rsid w:val="00960E05"/>
    <w:rsid w:val="00961073"/>
    <w:rsid w:val="00962004"/>
    <w:rsid w:val="00962749"/>
    <w:rsid w:val="00962F63"/>
    <w:rsid w:val="00962FD6"/>
    <w:rsid w:val="009639CE"/>
    <w:rsid w:val="00963E5A"/>
    <w:rsid w:val="0096612D"/>
    <w:rsid w:val="009661FC"/>
    <w:rsid w:val="0096631B"/>
    <w:rsid w:val="00966977"/>
    <w:rsid w:val="00967BB9"/>
    <w:rsid w:val="00967E84"/>
    <w:rsid w:val="00970FB3"/>
    <w:rsid w:val="00971857"/>
    <w:rsid w:val="0097264F"/>
    <w:rsid w:val="00973445"/>
    <w:rsid w:val="0097384D"/>
    <w:rsid w:val="00974174"/>
    <w:rsid w:val="0097519C"/>
    <w:rsid w:val="00975816"/>
    <w:rsid w:val="00975AF9"/>
    <w:rsid w:val="00976910"/>
    <w:rsid w:val="00976DCD"/>
    <w:rsid w:val="009772CA"/>
    <w:rsid w:val="009772D1"/>
    <w:rsid w:val="00977973"/>
    <w:rsid w:val="00977DFB"/>
    <w:rsid w:val="009810FB"/>
    <w:rsid w:val="009824A9"/>
    <w:rsid w:val="00983265"/>
    <w:rsid w:val="00983505"/>
    <w:rsid w:val="009837A1"/>
    <w:rsid w:val="00985622"/>
    <w:rsid w:val="0098640A"/>
    <w:rsid w:val="00986786"/>
    <w:rsid w:val="00986FE2"/>
    <w:rsid w:val="009875A2"/>
    <w:rsid w:val="00987A25"/>
    <w:rsid w:val="00987A4B"/>
    <w:rsid w:val="00987CE4"/>
    <w:rsid w:val="00987D06"/>
    <w:rsid w:val="00987F6E"/>
    <w:rsid w:val="00990212"/>
    <w:rsid w:val="00990A2E"/>
    <w:rsid w:val="0099209A"/>
    <w:rsid w:val="009926DE"/>
    <w:rsid w:val="0099311B"/>
    <w:rsid w:val="00994293"/>
    <w:rsid w:val="009947C7"/>
    <w:rsid w:val="00995EA7"/>
    <w:rsid w:val="00996BA8"/>
    <w:rsid w:val="00996FC9"/>
    <w:rsid w:val="00997295"/>
    <w:rsid w:val="009973BB"/>
    <w:rsid w:val="009975EC"/>
    <w:rsid w:val="00997C45"/>
    <w:rsid w:val="009A067C"/>
    <w:rsid w:val="009A158A"/>
    <w:rsid w:val="009A2AD3"/>
    <w:rsid w:val="009A2D3C"/>
    <w:rsid w:val="009A3E8B"/>
    <w:rsid w:val="009A3FA1"/>
    <w:rsid w:val="009A4AC9"/>
    <w:rsid w:val="009A50B6"/>
    <w:rsid w:val="009A52F8"/>
    <w:rsid w:val="009A5BBF"/>
    <w:rsid w:val="009A6453"/>
    <w:rsid w:val="009A716A"/>
    <w:rsid w:val="009A7350"/>
    <w:rsid w:val="009A7BBC"/>
    <w:rsid w:val="009B051D"/>
    <w:rsid w:val="009B0738"/>
    <w:rsid w:val="009B08E4"/>
    <w:rsid w:val="009B0977"/>
    <w:rsid w:val="009B1713"/>
    <w:rsid w:val="009B1E96"/>
    <w:rsid w:val="009B20E2"/>
    <w:rsid w:val="009B2E77"/>
    <w:rsid w:val="009B3F96"/>
    <w:rsid w:val="009B45A3"/>
    <w:rsid w:val="009B536C"/>
    <w:rsid w:val="009B62F2"/>
    <w:rsid w:val="009B6D9A"/>
    <w:rsid w:val="009B6E1E"/>
    <w:rsid w:val="009B753E"/>
    <w:rsid w:val="009B78BC"/>
    <w:rsid w:val="009C24EB"/>
    <w:rsid w:val="009C2594"/>
    <w:rsid w:val="009C30A3"/>
    <w:rsid w:val="009C341D"/>
    <w:rsid w:val="009C3FD0"/>
    <w:rsid w:val="009C547C"/>
    <w:rsid w:val="009C6341"/>
    <w:rsid w:val="009C653D"/>
    <w:rsid w:val="009C721E"/>
    <w:rsid w:val="009D06E2"/>
    <w:rsid w:val="009D0ADA"/>
    <w:rsid w:val="009D0CF2"/>
    <w:rsid w:val="009D2C24"/>
    <w:rsid w:val="009D3E39"/>
    <w:rsid w:val="009D4399"/>
    <w:rsid w:val="009D4E74"/>
    <w:rsid w:val="009D4F20"/>
    <w:rsid w:val="009D4F9E"/>
    <w:rsid w:val="009D56E3"/>
    <w:rsid w:val="009D5B81"/>
    <w:rsid w:val="009D62F2"/>
    <w:rsid w:val="009E05D6"/>
    <w:rsid w:val="009E1C38"/>
    <w:rsid w:val="009E1E3D"/>
    <w:rsid w:val="009E202C"/>
    <w:rsid w:val="009E28B9"/>
    <w:rsid w:val="009E2E3B"/>
    <w:rsid w:val="009E3980"/>
    <w:rsid w:val="009E4599"/>
    <w:rsid w:val="009E5682"/>
    <w:rsid w:val="009E7C7C"/>
    <w:rsid w:val="009E7EDD"/>
    <w:rsid w:val="009F0AA2"/>
    <w:rsid w:val="009F1983"/>
    <w:rsid w:val="009F23BD"/>
    <w:rsid w:val="009F28DA"/>
    <w:rsid w:val="009F2913"/>
    <w:rsid w:val="009F38CE"/>
    <w:rsid w:val="009F3C50"/>
    <w:rsid w:val="009F3FDB"/>
    <w:rsid w:val="009F425D"/>
    <w:rsid w:val="009F42B3"/>
    <w:rsid w:val="009F465B"/>
    <w:rsid w:val="009F48AA"/>
    <w:rsid w:val="009F6253"/>
    <w:rsid w:val="009F659C"/>
    <w:rsid w:val="009F6ACC"/>
    <w:rsid w:val="009F7087"/>
    <w:rsid w:val="009F7A80"/>
    <w:rsid w:val="009F7DA5"/>
    <w:rsid w:val="00A00672"/>
    <w:rsid w:val="00A01594"/>
    <w:rsid w:val="00A01B11"/>
    <w:rsid w:val="00A0283A"/>
    <w:rsid w:val="00A02887"/>
    <w:rsid w:val="00A02971"/>
    <w:rsid w:val="00A02FCC"/>
    <w:rsid w:val="00A044E6"/>
    <w:rsid w:val="00A04F4B"/>
    <w:rsid w:val="00A04FFB"/>
    <w:rsid w:val="00A0695D"/>
    <w:rsid w:val="00A07B0B"/>
    <w:rsid w:val="00A10AC7"/>
    <w:rsid w:val="00A11319"/>
    <w:rsid w:val="00A12A2D"/>
    <w:rsid w:val="00A13915"/>
    <w:rsid w:val="00A13C4E"/>
    <w:rsid w:val="00A14560"/>
    <w:rsid w:val="00A14D7C"/>
    <w:rsid w:val="00A16B7B"/>
    <w:rsid w:val="00A17F7B"/>
    <w:rsid w:val="00A20195"/>
    <w:rsid w:val="00A20303"/>
    <w:rsid w:val="00A2032E"/>
    <w:rsid w:val="00A23F13"/>
    <w:rsid w:val="00A24493"/>
    <w:rsid w:val="00A24643"/>
    <w:rsid w:val="00A249A0"/>
    <w:rsid w:val="00A249F7"/>
    <w:rsid w:val="00A24B24"/>
    <w:rsid w:val="00A24B51"/>
    <w:rsid w:val="00A24C80"/>
    <w:rsid w:val="00A24E4F"/>
    <w:rsid w:val="00A252C3"/>
    <w:rsid w:val="00A26C93"/>
    <w:rsid w:val="00A2728D"/>
    <w:rsid w:val="00A27749"/>
    <w:rsid w:val="00A27C43"/>
    <w:rsid w:val="00A317E7"/>
    <w:rsid w:val="00A31AE1"/>
    <w:rsid w:val="00A32CAE"/>
    <w:rsid w:val="00A341C0"/>
    <w:rsid w:val="00A3523E"/>
    <w:rsid w:val="00A3645E"/>
    <w:rsid w:val="00A3698A"/>
    <w:rsid w:val="00A37C8C"/>
    <w:rsid w:val="00A37DB5"/>
    <w:rsid w:val="00A37E59"/>
    <w:rsid w:val="00A4079A"/>
    <w:rsid w:val="00A40A62"/>
    <w:rsid w:val="00A40C5B"/>
    <w:rsid w:val="00A40E17"/>
    <w:rsid w:val="00A415A9"/>
    <w:rsid w:val="00A41767"/>
    <w:rsid w:val="00A42368"/>
    <w:rsid w:val="00A42538"/>
    <w:rsid w:val="00A430C3"/>
    <w:rsid w:val="00A43680"/>
    <w:rsid w:val="00A44286"/>
    <w:rsid w:val="00A446ED"/>
    <w:rsid w:val="00A44794"/>
    <w:rsid w:val="00A44E0A"/>
    <w:rsid w:val="00A44F16"/>
    <w:rsid w:val="00A4544B"/>
    <w:rsid w:val="00A45793"/>
    <w:rsid w:val="00A4612A"/>
    <w:rsid w:val="00A461A9"/>
    <w:rsid w:val="00A46541"/>
    <w:rsid w:val="00A46CB3"/>
    <w:rsid w:val="00A46E63"/>
    <w:rsid w:val="00A473A0"/>
    <w:rsid w:val="00A47613"/>
    <w:rsid w:val="00A50017"/>
    <w:rsid w:val="00A50A2F"/>
    <w:rsid w:val="00A51A64"/>
    <w:rsid w:val="00A51A85"/>
    <w:rsid w:val="00A53E27"/>
    <w:rsid w:val="00A555A6"/>
    <w:rsid w:val="00A555DC"/>
    <w:rsid w:val="00A556DE"/>
    <w:rsid w:val="00A55DC7"/>
    <w:rsid w:val="00A57514"/>
    <w:rsid w:val="00A608D2"/>
    <w:rsid w:val="00A60A7C"/>
    <w:rsid w:val="00A6295B"/>
    <w:rsid w:val="00A63947"/>
    <w:rsid w:val="00A64063"/>
    <w:rsid w:val="00A64DD4"/>
    <w:rsid w:val="00A6526E"/>
    <w:rsid w:val="00A66962"/>
    <w:rsid w:val="00A70049"/>
    <w:rsid w:val="00A71831"/>
    <w:rsid w:val="00A71944"/>
    <w:rsid w:val="00A72295"/>
    <w:rsid w:val="00A72310"/>
    <w:rsid w:val="00A72611"/>
    <w:rsid w:val="00A72FE5"/>
    <w:rsid w:val="00A73091"/>
    <w:rsid w:val="00A7328B"/>
    <w:rsid w:val="00A73577"/>
    <w:rsid w:val="00A73DA1"/>
    <w:rsid w:val="00A73EF0"/>
    <w:rsid w:val="00A74112"/>
    <w:rsid w:val="00A74B3D"/>
    <w:rsid w:val="00A7504B"/>
    <w:rsid w:val="00A76160"/>
    <w:rsid w:val="00A77154"/>
    <w:rsid w:val="00A775F1"/>
    <w:rsid w:val="00A8034E"/>
    <w:rsid w:val="00A80774"/>
    <w:rsid w:val="00A81005"/>
    <w:rsid w:val="00A825FF"/>
    <w:rsid w:val="00A8294F"/>
    <w:rsid w:val="00A8297B"/>
    <w:rsid w:val="00A85602"/>
    <w:rsid w:val="00A85A19"/>
    <w:rsid w:val="00A90046"/>
    <w:rsid w:val="00A90A3E"/>
    <w:rsid w:val="00A9101B"/>
    <w:rsid w:val="00A91A5F"/>
    <w:rsid w:val="00A91FD2"/>
    <w:rsid w:val="00A941E6"/>
    <w:rsid w:val="00A94ED5"/>
    <w:rsid w:val="00A953AC"/>
    <w:rsid w:val="00A95437"/>
    <w:rsid w:val="00A95523"/>
    <w:rsid w:val="00A968C9"/>
    <w:rsid w:val="00A977B0"/>
    <w:rsid w:val="00AA07C3"/>
    <w:rsid w:val="00AA0987"/>
    <w:rsid w:val="00AA1E72"/>
    <w:rsid w:val="00AA3595"/>
    <w:rsid w:val="00AA42D8"/>
    <w:rsid w:val="00AA5177"/>
    <w:rsid w:val="00AA54D3"/>
    <w:rsid w:val="00AA7215"/>
    <w:rsid w:val="00AA7CAF"/>
    <w:rsid w:val="00AB0046"/>
    <w:rsid w:val="00AB1750"/>
    <w:rsid w:val="00AB1C75"/>
    <w:rsid w:val="00AB24F1"/>
    <w:rsid w:val="00AB365E"/>
    <w:rsid w:val="00AB443B"/>
    <w:rsid w:val="00AB4E1B"/>
    <w:rsid w:val="00AB4EA7"/>
    <w:rsid w:val="00AB5AF3"/>
    <w:rsid w:val="00AB6B43"/>
    <w:rsid w:val="00AB6E51"/>
    <w:rsid w:val="00AB7A71"/>
    <w:rsid w:val="00AC0A98"/>
    <w:rsid w:val="00AC1729"/>
    <w:rsid w:val="00AC2007"/>
    <w:rsid w:val="00AC2954"/>
    <w:rsid w:val="00AC2DB6"/>
    <w:rsid w:val="00AC2E5B"/>
    <w:rsid w:val="00AC2F7B"/>
    <w:rsid w:val="00AC2FF9"/>
    <w:rsid w:val="00AC3200"/>
    <w:rsid w:val="00AC3300"/>
    <w:rsid w:val="00AC41AA"/>
    <w:rsid w:val="00AC50F2"/>
    <w:rsid w:val="00AC6147"/>
    <w:rsid w:val="00AC6261"/>
    <w:rsid w:val="00AC63A4"/>
    <w:rsid w:val="00AC779C"/>
    <w:rsid w:val="00AD12AC"/>
    <w:rsid w:val="00AD1536"/>
    <w:rsid w:val="00AD1C9E"/>
    <w:rsid w:val="00AD3A95"/>
    <w:rsid w:val="00AD3DB0"/>
    <w:rsid w:val="00AD4519"/>
    <w:rsid w:val="00AD584B"/>
    <w:rsid w:val="00AD5DC0"/>
    <w:rsid w:val="00AD5FD7"/>
    <w:rsid w:val="00AD63D3"/>
    <w:rsid w:val="00AD65BA"/>
    <w:rsid w:val="00AD6B5D"/>
    <w:rsid w:val="00AD7027"/>
    <w:rsid w:val="00AD7381"/>
    <w:rsid w:val="00AE031F"/>
    <w:rsid w:val="00AE120E"/>
    <w:rsid w:val="00AE17A1"/>
    <w:rsid w:val="00AE22BE"/>
    <w:rsid w:val="00AE5544"/>
    <w:rsid w:val="00AE6D16"/>
    <w:rsid w:val="00AE6E66"/>
    <w:rsid w:val="00AE70AA"/>
    <w:rsid w:val="00AE73F3"/>
    <w:rsid w:val="00AF0271"/>
    <w:rsid w:val="00AF05C0"/>
    <w:rsid w:val="00AF099F"/>
    <w:rsid w:val="00AF0F34"/>
    <w:rsid w:val="00AF1218"/>
    <w:rsid w:val="00AF12CD"/>
    <w:rsid w:val="00AF190A"/>
    <w:rsid w:val="00AF1BD5"/>
    <w:rsid w:val="00AF1FFD"/>
    <w:rsid w:val="00AF205D"/>
    <w:rsid w:val="00AF242C"/>
    <w:rsid w:val="00AF3022"/>
    <w:rsid w:val="00AF4235"/>
    <w:rsid w:val="00AF4993"/>
    <w:rsid w:val="00AF5ED0"/>
    <w:rsid w:val="00AF7542"/>
    <w:rsid w:val="00AF7DE7"/>
    <w:rsid w:val="00B00085"/>
    <w:rsid w:val="00B00966"/>
    <w:rsid w:val="00B02A41"/>
    <w:rsid w:val="00B03AF2"/>
    <w:rsid w:val="00B03E7D"/>
    <w:rsid w:val="00B049D7"/>
    <w:rsid w:val="00B04A6B"/>
    <w:rsid w:val="00B04F49"/>
    <w:rsid w:val="00B05191"/>
    <w:rsid w:val="00B0527D"/>
    <w:rsid w:val="00B0532B"/>
    <w:rsid w:val="00B05EF9"/>
    <w:rsid w:val="00B06E02"/>
    <w:rsid w:val="00B07348"/>
    <w:rsid w:val="00B100AC"/>
    <w:rsid w:val="00B103A6"/>
    <w:rsid w:val="00B1053E"/>
    <w:rsid w:val="00B10A61"/>
    <w:rsid w:val="00B129B7"/>
    <w:rsid w:val="00B129CC"/>
    <w:rsid w:val="00B12B2D"/>
    <w:rsid w:val="00B13721"/>
    <w:rsid w:val="00B16262"/>
    <w:rsid w:val="00B16A1D"/>
    <w:rsid w:val="00B170A3"/>
    <w:rsid w:val="00B17ADD"/>
    <w:rsid w:val="00B20173"/>
    <w:rsid w:val="00B201FA"/>
    <w:rsid w:val="00B20366"/>
    <w:rsid w:val="00B209F4"/>
    <w:rsid w:val="00B20BB9"/>
    <w:rsid w:val="00B20F01"/>
    <w:rsid w:val="00B2122C"/>
    <w:rsid w:val="00B2174E"/>
    <w:rsid w:val="00B22330"/>
    <w:rsid w:val="00B22D04"/>
    <w:rsid w:val="00B23068"/>
    <w:rsid w:val="00B237FA"/>
    <w:rsid w:val="00B2387C"/>
    <w:rsid w:val="00B23FEF"/>
    <w:rsid w:val="00B24250"/>
    <w:rsid w:val="00B2429A"/>
    <w:rsid w:val="00B24950"/>
    <w:rsid w:val="00B24D9B"/>
    <w:rsid w:val="00B24E45"/>
    <w:rsid w:val="00B24EA2"/>
    <w:rsid w:val="00B2623A"/>
    <w:rsid w:val="00B26519"/>
    <w:rsid w:val="00B26E23"/>
    <w:rsid w:val="00B27B66"/>
    <w:rsid w:val="00B3002A"/>
    <w:rsid w:val="00B30B56"/>
    <w:rsid w:val="00B30D6F"/>
    <w:rsid w:val="00B31322"/>
    <w:rsid w:val="00B31D49"/>
    <w:rsid w:val="00B329C7"/>
    <w:rsid w:val="00B32FE8"/>
    <w:rsid w:val="00B3337C"/>
    <w:rsid w:val="00B33729"/>
    <w:rsid w:val="00B34F16"/>
    <w:rsid w:val="00B35F29"/>
    <w:rsid w:val="00B36A14"/>
    <w:rsid w:val="00B3738D"/>
    <w:rsid w:val="00B378BA"/>
    <w:rsid w:val="00B37E10"/>
    <w:rsid w:val="00B37F8A"/>
    <w:rsid w:val="00B40C9B"/>
    <w:rsid w:val="00B40E83"/>
    <w:rsid w:val="00B414B6"/>
    <w:rsid w:val="00B4152F"/>
    <w:rsid w:val="00B418FB"/>
    <w:rsid w:val="00B41A74"/>
    <w:rsid w:val="00B41DDD"/>
    <w:rsid w:val="00B42742"/>
    <w:rsid w:val="00B42914"/>
    <w:rsid w:val="00B42F86"/>
    <w:rsid w:val="00B432B9"/>
    <w:rsid w:val="00B43A5C"/>
    <w:rsid w:val="00B44C1C"/>
    <w:rsid w:val="00B45C7E"/>
    <w:rsid w:val="00B4647C"/>
    <w:rsid w:val="00B5161A"/>
    <w:rsid w:val="00B51846"/>
    <w:rsid w:val="00B5197A"/>
    <w:rsid w:val="00B51BCB"/>
    <w:rsid w:val="00B52123"/>
    <w:rsid w:val="00B529DF"/>
    <w:rsid w:val="00B5559A"/>
    <w:rsid w:val="00B566E2"/>
    <w:rsid w:val="00B57DC1"/>
    <w:rsid w:val="00B602EC"/>
    <w:rsid w:val="00B608A3"/>
    <w:rsid w:val="00B6108F"/>
    <w:rsid w:val="00B61869"/>
    <w:rsid w:val="00B62756"/>
    <w:rsid w:val="00B636C0"/>
    <w:rsid w:val="00B63CF6"/>
    <w:rsid w:val="00B63FEA"/>
    <w:rsid w:val="00B64205"/>
    <w:rsid w:val="00B646BF"/>
    <w:rsid w:val="00B654DB"/>
    <w:rsid w:val="00B657E8"/>
    <w:rsid w:val="00B65A2D"/>
    <w:rsid w:val="00B65BBE"/>
    <w:rsid w:val="00B66261"/>
    <w:rsid w:val="00B66672"/>
    <w:rsid w:val="00B669A6"/>
    <w:rsid w:val="00B67B77"/>
    <w:rsid w:val="00B67FA8"/>
    <w:rsid w:val="00B703AF"/>
    <w:rsid w:val="00B708FB"/>
    <w:rsid w:val="00B711C3"/>
    <w:rsid w:val="00B716C8"/>
    <w:rsid w:val="00B72BCF"/>
    <w:rsid w:val="00B72E9D"/>
    <w:rsid w:val="00B73395"/>
    <w:rsid w:val="00B7424D"/>
    <w:rsid w:val="00B74475"/>
    <w:rsid w:val="00B74D9E"/>
    <w:rsid w:val="00B76064"/>
    <w:rsid w:val="00B77876"/>
    <w:rsid w:val="00B80307"/>
    <w:rsid w:val="00B809F2"/>
    <w:rsid w:val="00B81142"/>
    <w:rsid w:val="00B82272"/>
    <w:rsid w:val="00B825FE"/>
    <w:rsid w:val="00B832B4"/>
    <w:rsid w:val="00B834AF"/>
    <w:rsid w:val="00B83D67"/>
    <w:rsid w:val="00B843FE"/>
    <w:rsid w:val="00B84E02"/>
    <w:rsid w:val="00B85F9A"/>
    <w:rsid w:val="00B8608B"/>
    <w:rsid w:val="00B86B13"/>
    <w:rsid w:val="00B87435"/>
    <w:rsid w:val="00B87481"/>
    <w:rsid w:val="00B87995"/>
    <w:rsid w:val="00B905AC"/>
    <w:rsid w:val="00B906CA"/>
    <w:rsid w:val="00B907BB"/>
    <w:rsid w:val="00B90A20"/>
    <w:rsid w:val="00B9144F"/>
    <w:rsid w:val="00B924EC"/>
    <w:rsid w:val="00B93219"/>
    <w:rsid w:val="00B9351A"/>
    <w:rsid w:val="00B93839"/>
    <w:rsid w:val="00B976B5"/>
    <w:rsid w:val="00BA0C6C"/>
    <w:rsid w:val="00BA1B27"/>
    <w:rsid w:val="00BA2285"/>
    <w:rsid w:val="00BA288F"/>
    <w:rsid w:val="00BA28CC"/>
    <w:rsid w:val="00BA2FDE"/>
    <w:rsid w:val="00BA376D"/>
    <w:rsid w:val="00BA436B"/>
    <w:rsid w:val="00BA5399"/>
    <w:rsid w:val="00BA5E38"/>
    <w:rsid w:val="00BA5F4E"/>
    <w:rsid w:val="00BA5FDD"/>
    <w:rsid w:val="00BA6AD2"/>
    <w:rsid w:val="00BA6B11"/>
    <w:rsid w:val="00BA6D69"/>
    <w:rsid w:val="00BA6F24"/>
    <w:rsid w:val="00BA707E"/>
    <w:rsid w:val="00BA7B75"/>
    <w:rsid w:val="00BA7E6D"/>
    <w:rsid w:val="00BB059C"/>
    <w:rsid w:val="00BB0DAE"/>
    <w:rsid w:val="00BB0DBD"/>
    <w:rsid w:val="00BB0FA6"/>
    <w:rsid w:val="00BB106E"/>
    <w:rsid w:val="00BB11E9"/>
    <w:rsid w:val="00BB14D2"/>
    <w:rsid w:val="00BB1BC3"/>
    <w:rsid w:val="00BB1FF3"/>
    <w:rsid w:val="00BB27DB"/>
    <w:rsid w:val="00BB2AD2"/>
    <w:rsid w:val="00BB3D3C"/>
    <w:rsid w:val="00BB45A9"/>
    <w:rsid w:val="00BB47AC"/>
    <w:rsid w:val="00BB4F85"/>
    <w:rsid w:val="00BB66F8"/>
    <w:rsid w:val="00BB76BF"/>
    <w:rsid w:val="00BC280E"/>
    <w:rsid w:val="00BC2BA4"/>
    <w:rsid w:val="00BC376A"/>
    <w:rsid w:val="00BC392D"/>
    <w:rsid w:val="00BC4CB2"/>
    <w:rsid w:val="00BC6426"/>
    <w:rsid w:val="00BC6B51"/>
    <w:rsid w:val="00BC7265"/>
    <w:rsid w:val="00BD01E6"/>
    <w:rsid w:val="00BD0223"/>
    <w:rsid w:val="00BD0265"/>
    <w:rsid w:val="00BD0DFE"/>
    <w:rsid w:val="00BD0FDB"/>
    <w:rsid w:val="00BD174A"/>
    <w:rsid w:val="00BD1F2A"/>
    <w:rsid w:val="00BD209D"/>
    <w:rsid w:val="00BD25FB"/>
    <w:rsid w:val="00BD369D"/>
    <w:rsid w:val="00BD3B54"/>
    <w:rsid w:val="00BD3B97"/>
    <w:rsid w:val="00BD3E27"/>
    <w:rsid w:val="00BD462D"/>
    <w:rsid w:val="00BD4784"/>
    <w:rsid w:val="00BD4A93"/>
    <w:rsid w:val="00BD76D4"/>
    <w:rsid w:val="00BE16B2"/>
    <w:rsid w:val="00BE1C49"/>
    <w:rsid w:val="00BE1D66"/>
    <w:rsid w:val="00BE1F9B"/>
    <w:rsid w:val="00BE2100"/>
    <w:rsid w:val="00BE2721"/>
    <w:rsid w:val="00BE3398"/>
    <w:rsid w:val="00BE3676"/>
    <w:rsid w:val="00BE3D06"/>
    <w:rsid w:val="00BE44BE"/>
    <w:rsid w:val="00BE52A7"/>
    <w:rsid w:val="00BE5A27"/>
    <w:rsid w:val="00BE5C73"/>
    <w:rsid w:val="00BE7049"/>
    <w:rsid w:val="00BE708F"/>
    <w:rsid w:val="00BE70F4"/>
    <w:rsid w:val="00BE7723"/>
    <w:rsid w:val="00BF0851"/>
    <w:rsid w:val="00BF10F5"/>
    <w:rsid w:val="00BF1593"/>
    <w:rsid w:val="00BF196E"/>
    <w:rsid w:val="00BF3625"/>
    <w:rsid w:val="00BF3966"/>
    <w:rsid w:val="00BF3A53"/>
    <w:rsid w:val="00BF3B6B"/>
    <w:rsid w:val="00BF41E2"/>
    <w:rsid w:val="00BF42A5"/>
    <w:rsid w:val="00BF466D"/>
    <w:rsid w:val="00BF662F"/>
    <w:rsid w:val="00BF7215"/>
    <w:rsid w:val="00BF7316"/>
    <w:rsid w:val="00BF7DD9"/>
    <w:rsid w:val="00C0025C"/>
    <w:rsid w:val="00C0099A"/>
    <w:rsid w:val="00C00C3E"/>
    <w:rsid w:val="00C012E6"/>
    <w:rsid w:val="00C024A9"/>
    <w:rsid w:val="00C032BF"/>
    <w:rsid w:val="00C0334E"/>
    <w:rsid w:val="00C0398A"/>
    <w:rsid w:val="00C04181"/>
    <w:rsid w:val="00C04B0A"/>
    <w:rsid w:val="00C05184"/>
    <w:rsid w:val="00C06930"/>
    <w:rsid w:val="00C06F91"/>
    <w:rsid w:val="00C07085"/>
    <w:rsid w:val="00C07293"/>
    <w:rsid w:val="00C07C2B"/>
    <w:rsid w:val="00C1022A"/>
    <w:rsid w:val="00C10F9E"/>
    <w:rsid w:val="00C12A73"/>
    <w:rsid w:val="00C130EB"/>
    <w:rsid w:val="00C14078"/>
    <w:rsid w:val="00C1444C"/>
    <w:rsid w:val="00C1476B"/>
    <w:rsid w:val="00C14CAF"/>
    <w:rsid w:val="00C1518C"/>
    <w:rsid w:val="00C156DF"/>
    <w:rsid w:val="00C15AEF"/>
    <w:rsid w:val="00C16110"/>
    <w:rsid w:val="00C1636B"/>
    <w:rsid w:val="00C17244"/>
    <w:rsid w:val="00C173DC"/>
    <w:rsid w:val="00C17491"/>
    <w:rsid w:val="00C20200"/>
    <w:rsid w:val="00C2042B"/>
    <w:rsid w:val="00C205BF"/>
    <w:rsid w:val="00C20868"/>
    <w:rsid w:val="00C22592"/>
    <w:rsid w:val="00C22672"/>
    <w:rsid w:val="00C22C28"/>
    <w:rsid w:val="00C23B2D"/>
    <w:rsid w:val="00C2406A"/>
    <w:rsid w:val="00C248F3"/>
    <w:rsid w:val="00C25FA5"/>
    <w:rsid w:val="00C262FF"/>
    <w:rsid w:val="00C26351"/>
    <w:rsid w:val="00C26FED"/>
    <w:rsid w:val="00C27DB0"/>
    <w:rsid w:val="00C30D70"/>
    <w:rsid w:val="00C30F29"/>
    <w:rsid w:val="00C31729"/>
    <w:rsid w:val="00C318F0"/>
    <w:rsid w:val="00C31A7B"/>
    <w:rsid w:val="00C31DA6"/>
    <w:rsid w:val="00C32154"/>
    <w:rsid w:val="00C331F6"/>
    <w:rsid w:val="00C3320C"/>
    <w:rsid w:val="00C33489"/>
    <w:rsid w:val="00C34BD6"/>
    <w:rsid w:val="00C34E44"/>
    <w:rsid w:val="00C35849"/>
    <w:rsid w:val="00C35C17"/>
    <w:rsid w:val="00C36431"/>
    <w:rsid w:val="00C3669A"/>
    <w:rsid w:val="00C370BE"/>
    <w:rsid w:val="00C370E6"/>
    <w:rsid w:val="00C3726E"/>
    <w:rsid w:val="00C3755D"/>
    <w:rsid w:val="00C3796D"/>
    <w:rsid w:val="00C40557"/>
    <w:rsid w:val="00C41F11"/>
    <w:rsid w:val="00C4270C"/>
    <w:rsid w:val="00C42992"/>
    <w:rsid w:val="00C42B66"/>
    <w:rsid w:val="00C4338C"/>
    <w:rsid w:val="00C4395A"/>
    <w:rsid w:val="00C44EEA"/>
    <w:rsid w:val="00C454D3"/>
    <w:rsid w:val="00C50227"/>
    <w:rsid w:val="00C50296"/>
    <w:rsid w:val="00C50631"/>
    <w:rsid w:val="00C50B51"/>
    <w:rsid w:val="00C50B99"/>
    <w:rsid w:val="00C514DD"/>
    <w:rsid w:val="00C522AE"/>
    <w:rsid w:val="00C52B8B"/>
    <w:rsid w:val="00C52C8E"/>
    <w:rsid w:val="00C53B42"/>
    <w:rsid w:val="00C53FE2"/>
    <w:rsid w:val="00C54440"/>
    <w:rsid w:val="00C544EB"/>
    <w:rsid w:val="00C54573"/>
    <w:rsid w:val="00C54FCA"/>
    <w:rsid w:val="00C5705A"/>
    <w:rsid w:val="00C570F8"/>
    <w:rsid w:val="00C5757B"/>
    <w:rsid w:val="00C578A0"/>
    <w:rsid w:val="00C60682"/>
    <w:rsid w:val="00C61620"/>
    <w:rsid w:val="00C6163A"/>
    <w:rsid w:val="00C61801"/>
    <w:rsid w:val="00C61C61"/>
    <w:rsid w:val="00C62849"/>
    <w:rsid w:val="00C63410"/>
    <w:rsid w:val="00C63B76"/>
    <w:rsid w:val="00C63BFF"/>
    <w:rsid w:val="00C652D4"/>
    <w:rsid w:val="00C65416"/>
    <w:rsid w:val="00C66B1D"/>
    <w:rsid w:val="00C66F48"/>
    <w:rsid w:val="00C66F7C"/>
    <w:rsid w:val="00C67DE6"/>
    <w:rsid w:val="00C70992"/>
    <w:rsid w:val="00C70DD2"/>
    <w:rsid w:val="00C70FB7"/>
    <w:rsid w:val="00C71ECC"/>
    <w:rsid w:val="00C72624"/>
    <w:rsid w:val="00C72B02"/>
    <w:rsid w:val="00C73808"/>
    <w:rsid w:val="00C73984"/>
    <w:rsid w:val="00C747F6"/>
    <w:rsid w:val="00C75F99"/>
    <w:rsid w:val="00C76712"/>
    <w:rsid w:val="00C77324"/>
    <w:rsid w:val="00C7786B"/>
    <w:rsid w:val="00C77886"/>
    <w:rsid w:val="00C77A13"/>
    <w:rsid w:val="00C77C60"/>
    <w:rsid w:val="00C80BC1"/>
    <w:rsid w:val="00C80C93"/>
    <w:rsid w:val="00C818E7"/>
    <w:rsid w:val="00C828FC"/>
    <w:rsid w:val="00C83494"/>
    <w:rsid w:val="00C846DA"/>
    <w:rsid w:val="00C853E8"/>
    <w:rsid w:val="00C85452"/>
    <w:rsid w:val="00C860D0"/>
    <w:rsid w:val="00C8701E"/>
    <w:rsid w:val="00C87E68"/>
    <w:rsid w:val="00C87F8A"/>
    <w:rsid w:val="00C91166"/>
    <w:rsid w:val="00C9192D"/>
    <w:rsid w:val="00C92C47"/>
    <w:rsid w:val="00C937FF"/>
    <w:rsid w:val="00C93B71"/>
    <w:rsid w:val="00C93C0E"/>
    <w:rsid w:val="00C93CA1"/>
    <w:rsid w:val="00C943AE"/>
    <w:rsid w:val="00C95C27"/>
    <w:rsid w:val="00C95E9E"/>
    <w:rsid w:val="00C96244"/>
    <w:rsid w:val="00C9678B"/>
    <w:rsid w:val="00C9680B"/>
    <w:rsid w:val="00C96FF7"/>
    <w:rsid w:val="00C977E8"/>
    <w:rsid w:val="00CA0F20"/>
    <w:rsid w:val="00CA17BD"/>
    <w:rsid w:val="00CA1DC5"/>
    <w:rsid w:val="00CA22C4"/>
    <w:rsid w:val="00CA25E3"/>
    <w:rsid w:val="00CA2753"/>
    <w:rsid w:val="00CA2BE7"/>
    <w:rsid w:val="00CA2F18"/>
    <w:rsid w:val="00CA3F79"/>
    <w:rsid w:val="00CA4187"/>
    <w:rsid w:val="00CA46B8"/>
    <w:rsid w:val="00CA4B97"/>
    <w:rsid w:val="00CA4D46"/>
    <w:rsid w:val="00CA5E8D"/>
    <w:rsid w:val="00CA68C9"/>
    <w:rsid w:val="00CA69AE"/>
    <w:rsid w:val="00CA7CA8"/>
    <w:rsid w:val="00CA7EB4"/>
    <w:rsid w:val="00CB07A4"/>
    <w:rsid w:val="00CB0ED7"/>
    <w:rsid w:val="00CB15CA"/>
    <w:rsid w:val="00CB1C7E"/>
    <w:rsid w:val="00CB2E15"/>
    <w:rsid w:val="00CB2E79"/>
    <w:rsid w:val="00CB2FA2"/>
    <w:rsid w:val="00CB318F"/>
    <w:rsid w:val="00CB39AF"/>
    <w:rsid w:val="00CB3AA1"/>
    <w:rsid w:val="00CB3CB9"/>
    <w:rsid w:val="00CB49E4"/>
    <w:rsid w:val="00CB54D4"/>
    <w:rsid w:val="00CB57A1"/>
    <w:rsid w:val="00CB57D8"/>
    <w:rsid w:val="00CB5A40"/>
    <w:rsid w:val="00CB702B"/>
    <w:rsid w:val="00CB7771"/>
    <w:rsid w:val="00CB7FEE"/>
    <w:rsid w:val="00CC0B06"/>
    <w:rsid w:val="00CC1E51"/>
    <w:rsid w:val="00CC3186"/>
    <w:rsid w:val="00CC41E9"/>
    <w:rsid w:val="00CC4216"/>
    <w:rsid w:val="00CC449A"/>
    <w:rsid w:val="00CC4BE9"/>
    <w:rsid w:val="00CC5BFC"/>
    <w:rsid w:val="00CC5F6E"/>
    <w:rsid w:val="00CC75D4"/>
    <w:rsid w:val="00CC79D5"/>
    <w:rsid w:val="00CC7D7B"/>
    <w:rsid w:val="00CD03D6"/>
    <w:rsid w:val="00CD3064"/>
    <w:rsid w:val="00CD3441"/>
    <w:rsid w:val="00CD390B"/>
    <w:rsid w:val="00CD4152"/>
    <w:rsid w:val="00CD4B7F"/>
    <w:rsid w:val="00CD4C41"/>
    <w:rsid w:val="00CD5CE1"/>
    <w:rsid w:val="00CD766B"/>
    <w:rsid w:val="00CD7EB6"/>
    <w:rsid w:val="00CE04DE"/>
    <w:rsid w:val="00CE0E84"/>
    <w:rsid w:val="00CE153D"/>
    <w:rsid w:val="00CE1D7B"/>
    <w:rsid w:val="00CE1DD9"/>
    <w:rsid w:val="00CE2118"/>
    <w:rsid w:val="00CE243F"/>
    <w:rsid w:val="00CE3175"/>
    <w:rsid w:val="00CE3293"/>
    <w:rsid w:val="00CE3C6D"/>
    <w:rsid w:val="00CE3C82"/>
    <w:rsid w:val="00CE43B1"/>
    <w:rsid w:val="00CE45DB"/>
    <w:rsid w:val="00CE6D9E"/>
    <w:rsid w:val="00CE794B"/>
    <w:rsid w:val="00CE7C39"/>
    <w:rsid w:val="00CF05EA"/>
    <w:rsid w:val="00CF0FB9"/>
    <w:rsid w:val="00CF1713"/>
    <w:rsid w:val="00CF248F"/>
    <w:rsid w:val="00CF3DA0"/>
    <w:rsid w:val="00CF3F37"/>
    <w:rsid w:val="00CF4A46"/>
    <w:rsid w:val="00CF4BD8"/>
    <w:rsid w:val="00CF581A"/>
    <w:rsid w:val="00CF74C0"/>
    <w:rsid w:val="00D01E38"/>
    <w:rsid w:val="00D026AB"/>
    <w:rsid w:val="00D0283B"/>
    <w:rsid w:val="00D02ABB"/>
    <w:rsid w:val="00D03BB9"/>
    <w:rsid w:val="00D03D4D"/>
    <w:rsid w:val="00D03F6C"/>
    <w:rsid w:val="00D0415C"/>
    <w:rsid w:val="00D04983"/>
    <w:rsid w:val="00D05778"/>
    <w:rsid w:val="00D070FF"/>
    <w:rsid w:val="00D0719E"/>
    <w:rsid w:val="00D07D94"/>
    <w:rsid w:val="00D1058E"/>
    <w:rsid w:val="00D1174E"/>
    <w:rsid w:val="00D12059"/>
    <w:rsid w:val="00D1239D"/>
    <w:rsid w:val="00D13777"/>
    <w:rsid w:val="00D13BB6"/>
    <w:rsid w:val="00D13F8F"/>
    <w:rsid w:val="00D1459C"/>
    <w:rsid w:val="00D151F0"/>
    <w:rsid w:val="00D15F8E"/>
    <w:rsid w:val="00D1690E"/>
    <w:rsid w:val="00D1703B"/>
    <w:rsid w:val="00D17B3F"/>
    <w:rsid w:val="00D211C8"/>
    <w:rsid w:val="00D219D5"/>
    <w:rsid w:val="00D21DB7"/>
    <w:rsid w:val="00D23513"/>
    <w:rsid w:val="00D249F5"/>
    <w:rsid w:val="00D24A53"/>
    <w:rsid w:val="00D252B8"/>
    <w:rsid w:val="00D25588"/>
    <w:rsid w:val="00D2641A"/>
    <w:rsid w:val="00D2729A"/>
    <w:rsid w:val="00D27506"/>
    <w:rsid w:val="00D27E6C"/>
    <w:rsid w:val="00D30F5A"/>
    <w:rsid w:val="00D3198D"/>
    <w:rsid w:val="00D32777"/>
    <w:rsid w:val="00D3357B"/>
    <w:rsid w:val="00D34338"/>
    <w:rsid w:val="00D35601"/>
    <w:rsid w:val="00D36027"/>
    <w:rsid w:val="00D36337"/>
    <w:rsid w:val="00D36522"/>
    <w:rsid w:val="00D367F5"/>
    <w:rsid w:val="00D36C23"/>
    <w:rsid w:val="00D36FB2"/>
    <w:rsid w:val="00D400A5"/>
    <w:rsid w:val="00D40EAF"/>
    <w:rsid w:val="00D411A8"/>
    <w:rsid w:val="00D41B99"/>
    <w:rsid w:val="00D4244A"/>
    <w:rsid w:val="00D42E33"/>
    <w:rsid w:val="00D44CC7"/>
    <w:rsid w:val="00D45867"/>
    <w:rsid w:val="00D45C31"/>
    <w:rsid w:val="00D45C7F"/>
    <w:rsid w:val="00D45CE3"/>
    <w:rsid w:val="00D46157"/>
    <w:rsid w:val="00D46284"/>
    <w:rsid w:val="00D466A8"/>
    <w:rsid w:val="00D46A18"/>
    <w:rsid w:val="00D46BEF"/>
    <w:rsid w:val="00D47187"/>
    <w:rsid w:val="00D4751A"/>
    <w:rsid w:val="00D50011"/>
    <w:rsid w:val="00D500F2"/>
    <w:rsid w:val="00D5017E"/>
    <w:rsid w:val="00D52284"/>
    <w:rsid w:val="00D5322C"/>
    <w:rsid w:val="00D533BF"/>
    <w:rsid w:val="00D53841"/>
    <w:rsid w:val="00D53C05"/>
    <w:rsid w:val="00D546B8"/>
    <w:rsid w:val="00D55294"/>
    <w:rsid w:val="00D5660E"/>
    <w:rsid w:val="00D56ACF"/>
    <w:rsid w:val="00D57692"/>
    <w:rsid w:val="00D57AF1"/>
    <w:rsid w:val="00D57BC4"/>
    <w:rsid w:val="00D57F74"/>
    <w:rsid w:val="00D60B43"/>
    <w:rsid w:val="00D614C7"/>
    <w:rsid w:val="00D61E9C"/>
    <w:rsid w:val="00D61F93"/>
    <w:rsid w:val="00D623A8"/>
    <w:rsid w:val="00D62EEF"/>
    <w:rsid w:val="00D6312F"/>
    <w:rsid w:val="00D63703"/>
    <w:rsid w:val="00D63D69"/>
    <w:rsid w:val="00D640F2"/>
    <w:rsid w:val="00D642AD"/>
    <w:rsid w:val="00D64A40"/>
    <w:rsid w:val="00D650DA"/>
    <w:rsid w:val="00D654E8"/>
    <w:rsid w:val="00D654FB"/>
    <w:rsid w:val="00D65619"/>
    <w:rsid w:val="00D661C5"/>
    <w:rsid w:val="00D67780"/>
    <w:rsid w:val="00D701C2"/>
    <w:rsid w:val="00D70231"/>
    <w:rsid w:val="00D7055C"/>
    <w:rsid w:val="00D7160C"/>
    <w:rsid w:val="00D71C1F"/>
    <w:rsid w:val="00D71CE6"/>
    <w:rsid w:val="00D727B3"/>
    <w:rsid w:val="00D73210"/>
    <w:rsid w:val="00D73AD4"/>
    <w:rsid w:val="00D73CA7"/>
    <w:rsid w:val="00D74862"/>
    <w:rsid w:val="00D75879"/>
    <w:rsid w:val="00D75908"/>
    <w:rsid w:val="00D75ECA"/>
    <w:rsid w:val="00D766A9"/>
    <w:rsid w:val="00D775CD"/>
    <w:rsid w:val="00D77A91"/>
    <w:rsid w:val="00D8005C"/>
    <w:rsid w:val="00D81003"/>
    <w:rsid w:val="00D81129"/>
    <w:rsid w:val="00D81A7D"/>
    <w:rsid w:val="00D8202C"/>
    <w:rsid w:val="00D8270D"/>
    <w:rsid w:val="00D82F39"/>
    <w:rsid w:val="00D846D9"/>
    <w:rsid w:val="00D84CF1"/>
    <w:rsid w:val="00D84F1E"/>
    <w:rsid w:val="00D853F2"/>
    <w:rsid w:val="00D859E0"/>
    <w:rsid w:val="00D85CF7"/>
    <w:rsid w:val="00D863F7"/>
    <w:rsid w:val="00D86BF0"/>
    <w:rsid w:val="00D871AA"/>
    <w:rsid w:val="00D87C8F"/>
    <w:rsid w:val="00D9076C"/>
    <w:rsid w:val="00D90F3C"/>
    <w:rsid w:val="00D91686"/>
    <w:rsid w:val="00D9181C"/>
    <w:rsid w:val="00D9191D"/>
    <w:rsid w:val="00D91D95"/>
    <w:rsid w:val="00D92454"/>
    <w:rsid w:val="00D9270B"/>
    <w:rsid w:val="00D927AB"/>
    <w:rsid w:val="00D93626"/>
    <w:rsid w:val="00D93CB6"/>
    <w:rsid w:val="00D94506"/>
    <w:rsid w:val="00D94C19"/>
    <w:rsid w:val="00D94FA6"/>
    <w:rsid w:val="00D951D7"/>
    <w:rsid w:val="00D96A20"/>
    <w:rsid w:val="00D97020"/>
    <w:rsid w:val="00DA2813"/>
    <w:rsid w:val="00DA2C32"/>
    <w:rsid w:val="00DA31ED"/>
    <w:rsid w:val="00DA36B3"/>
    <w:rsid w:val="00DA467B"/>
    <w:rsid w:val="00DA4DDB"/>
    <w:rsid w:val="00DA53B9"/>
    <w:rsid w:val="00DA64C9"/>
    <w:rsid w:val="00DA6B67"/>
    <w:rsid w:val="00DA7371"/>
    <w:rsid w:val="00DA74CE"/>
    <w:rsid w:val="00DA7878"/>
    <w:rsid w:val="00DB0592"/>
    <w:rsid w:val="00DB0B44"/>
    <w:rsid w:val="00DB267E"/>
    <w:rsid w:val="00DB3613"/>
    <w:rsid w:val="00DB3DB1"/>
    <w:rsid w:val="00DB3E6A"/>
    <w:rsid w:val="00DB543D"/>
    <w:rsid w:val="00DB5712"/>
    <w:rsid w:val="00DB5C0E"/>
    <w:rsid w:val="00DB6379"/>
    <w:rsid w:val="00DB69EA"/>
    <w:rsid w:val="00DB70EE"/>
    <w:rsid w:val="00DB7827"/>
    <w:rsid w:val="00DC00C7"/>
    <w:rsid w:val="00DC0554"/>
    <w:rsid w:val="00DC07F1"/>
    <w:rsid w:val="00DC1A6F"/>
    <w:rsid w:val="00DC2DC5"/>
    <w:rsid w:val="00DC30EA"/>
    <w:rsid w:val="00DC33EC"/>
    <w:rsid w:val="00DC5B2D"/>
    <w:rsid w:val="00DC614C"/>
    <w:rsid w:val="00DC70CD"/>
    <w:rsid w:val="00DC7E6F"/>
    <w:rsid w:val="00DD00EA"/>
    <w:rsid w:val="00DD1BD3"/>
    <w:rsid w:val="00DD1EFE"/>
    <w:rsid w:val="00DD20DE"/>
    <w:rsid w:val="00DD28CD"/>
    <w:rsid w:val="00DD2B5C"/>
    <w:rsid w:val="00DD405B"/>
    <w:rsid w:val="00DD4974"/>
    <w:rsid w:val="00DD6E0E"/>
    <w:rsid w:val="00DD7C13"/>
    <w:rsid w:val="00DD7C7A"/>
    <w:rsid w:val="00DE037E"/>
    <w:rsid w:val="00DE0DFB"/>
    <w:rsid w:val="00DE1550"/>
    <w:rsid w:val="00DE176E"/>
    <w:rsid w:val="00DE1EC9"/>
    <w:rsid w:val="00DE23F2"/>
    <w:rsid w:val="00DE28B1"/>
    <w:rsid w:val="00DE4CB8"/>
    <w:rsid w:val="00DE5A1E"/>
    <w:rsid w:val="00DE5EEE"/>
    <w:rsid w:val="00DE6F95"/>
    <w:rsid w:val="00DE7E8B"/>
    <w:rsid w:val="00DF0745"/>
    <w:rsid w:val="00DF15B6"/>
    <w:rsid w:val="00DF15EC"/>
    <w:rsid w:val="00DF1F85"/>
    <w:rsid w:val="00DF20CE"/>
    <w:rsid w:val="00DF3E3B"/>
    <w:rsid w:val="00DF45FF"/>
    <w:rsid w:val="00DF591B"/>
    <w:rsid w:val="00DF5CA2"/>
    <w:rsid w:val="00DF79A3"/>
    <w:rsid w:val="00E00282"/>
    <w:rsid w:val="00E0043E"/>
    <w:rsid w:val="00E0076C"/>
    <w:rsid w:val="00E007E4"/>
    <w:rsid w:val="00E00A75"/>
    <w:rsid w:val="00E0156F"/>
    <w:rsid w:val="00E01C97"/>
    <w:rsid w:val="00E027C2"/>
    <w:rsid w:val="00E02F1A"/>
    <w:rsid w:val="00E0505B"/>
    <w:rsid w:val="00E05CBA"/>
    <w:rsid w:val="00E0621A"/>
    <w:rsid w:val="00E0647A"/>
    <w:rsid w:val="00E06561"/>
    <w:rsid w:val="00E06583"/>
    <w:rsid w:val="00E0766D"/>
    <w:rsid w:val="00E102DD"/>
    <w:rsid w:val="00E10935"/>
    <w:rsid w:val="00E10C1D"/>
    <w:rsid w:val="00E10D76"/>
    <w:rsid w:val="00E11907"/>
    <w:rsid w:val="00E12585"/>
    <w:rsid w:val="00E126E5"/>
    <w:rsid w:val="00E14A2C"/>
    <w:rsid w:val="00E15680"/>
    <w:rsid w:val="00E157D8"/>
    <w:rsid w:val="00E1644C"/>
    <w:rsid w:val="00E16730"/>
    <w:rsid w:val="00E16852"/>
    <w:rsid w:val="00E16DB7"/>
    <w:rsid w:val="00E203ED"/>
    <w:rsid w:val="00E2106E"/>
    <w:rsid w:val="00E21495"/>
    <w:rsid w:val="00E21A7A"/>
    <w:rsid w:val="00E21AD7"/>
    <w:rsid w:val="00E22D0F"/>
    <w:rsid w:val="00E23557"/>
    <w:rsid w:val="00E24B81"/>
    <w:rsid w:val="00E24C2A"/>
    <w:rsid w:val="00E25EB1"/>
    <w:rsid w:val="00E264C0"/>
    <w:rsid w:val="00E267AA"/>
    <w:rsid w:val="00E26870"/>
    <w:rsid w:val="00E273E5"/>
    <w:rsid w:val="00E27FB8"/>
    <w:rsid w:val="00E30064"/>
    <w:rsid w:val="00E301E4"/>
    <w:rsid w:val="00E319E0"/>
    <w:rsid w:val="00E32209"/>
    <w:rsid w:val="00E3275C"/>
    <w:rsid w:val="00E331E4"/>
    <w:rsid w:val="00E3328F"/>
    <w:rsid w:val="00E3413D"/>
    <w:rsid w:val="00E34633"/>
    <w:rsid w:val="00E34B0F"/>
    <w:rsid w:val="00E34CED"/>
    <w:rsid w:val="00E3549F"/>
    <w:rsid w:val="00E35CBE"/>
    <w:rsid w:val="00E35DC5"/>
    <w:rsid w:val="00E36D79"/>
    <w:rsid w:val="00E374E2"/>
    <w:rsid w:val="00E37830"/>
    <w:rsid w:val="00E37F55"/>
    <w:rsid w:val="00E401C6"/>
    <w:rsid w:val="00E40453"/>
    <w:rsid w:val="00E4059C"/>
    <w:rsid w:val="00E405F0"/>
    <w:rsid w:val="00E40680"/>
    <w:rsid w:val="00E40C1A"/>
    <w:rsid w:val="00E41014"/>
    <w:rsid w:val="00E421F2"/>
    <w:rsid w:val="00E435A4"/>
    <w:rsid w:val="00E4423D"/>
    <w:rsid w:val="00E449C3"/>
    <w:rsid w:val="00E45020"/>
    <w:rsid w:val="00E4528A"/>
    <w:rsid w:val="00E45798"/>
    <w:rsid w:val="00E45C08"/>
    <w:rsid w:val="00E471E6"/>
    <w:rsid w:val="00E47DDE"/>
    <w:rsid w:val="00E50124"/>
    <w:rsid w:val="00E51DD3"/>
    <w:rsid w:val="00E5209E"/>
    <w:rsid w:val="00E5271E"/>
    <w:rsid w:val="00E52EE2"/>
    <w:rsid w:val="00E5364D"/>
    <w:rsid w:val="00E543EE"/>
    <w:rsid w:val="00E54D9C"/>
    <w:rsid w:val="00E55A1C"/>
    <w:rsid w:val="00E55EA3"/>
    <w:rsid w:val="00E55FAC"/>
    <w:rsid w:val="00E56130"/>
    <w:rsid w:val="00E56574"/>
    <w:rsid w:val="00E56D19"/>
    <w:rsid w:val="00E56FCB"/>
    <w:rsid w:val="00E5737A"/>
    <w:rsid w:val="00E57704"/>
    <w:rsid w:val="00E5776E"/>
    <w:rsid w:val="00E57954"/>
    <w:rsid w:val="00E57C07"/>
    <w:rsid w:val="00E57D82"/>
    <w:rsid w:val="00E60D04"/>
    <w:rsid w:val="00E612CC"/>
    <w:rsid w:val="00E62268"/>
    <w:rsid w:val="00E6294C"/>
    <w:rsid w:val="00E63504"/>
    <w:rsid w:val="00E638BA"/>
    <w:rsid w:val="00E64509"/>
    <w:rsid w:val="00E64AAF"/>
    <w:rsid w:val="00E65EFB"/>
    <w:rsid w:val="00E6668F"/>
    <w:rsid w:val="00E666DD"/>
    <w:rsid w:val="00E671F0"/>
    <w:rsid w:val="00E70025"/>
    <w:rsid w:val="00E707EA"/>
    <w:rsid w:val="00E712EA"/>
    <w:rsid w:val="00E722A5"/>
    <w:rsid w:val="00E7292C"/>
    <w:rsid w:val="00E740DA"/>
    <w:rsid w:val="00E7455D"/>
    <w:rsid w:val="00E74802"/>
    <w:rsid w:val="00E74B06"/>
    <w:rsid w:val="00E74D9F"/>
    <w:rsid w:val="00E75D1F"/>
    <w:rsid w:val="00E76625"/>
    <w:rsid w:val="00E76F7A"/>
    <w:rsid w:val="00E77415"/>
    <w:rsid w:val="00E775FB"/>
    <w:rsid w:val="00E77687"/>
    <w:rsid w:val="00E77B8F"/>
    <w:rsid w:val="00E77DAA"/>
    <w:rsid w:val="00E8086C"/>
    <w:rsid w:val="00E813F4"/>
    <w:rsid w:val="00E8152B"/>
    <w:rsid w:val="00E819A8"/>
    <w:rsid w:val="00E826D1"/>
    <w:rsid w:val="00E828CB"/>
    <w:rsid w:val="00E83DEB"/>
    <w:rsid w:val="00E83E75"/>
    <w:rsid w:val="00E844C3"/>
    <w:rsid w:val="00E85157"/>
    <w:rsid w:val="00E86555"/>
    <w:rsid w:val="00E8695C"/>
    <w:rsid w:val="00E87559"/>
    <w:rsid w:val="00E878C3"/>
    <w:rsid w:val="00E9006C"/>
    <w:rsid w:val="00E9023B"/>
    <w:rsid w:val="00E9047A"/>
    <w:rsid w:val="00E90609"/>
    <w:rsid w:val="00E913B3"/>
    <w:rsid w:val="00E918B7"/>
    <w:rsid w:val="00E91C7B"/>
    <w:rsid w:val="00E9260C"/>
    <w:rsid w:val="00E9266C"/>
    <w:rsid w:val="00E93EB9"/>
    <w:rsid w:val="00E94DAA"/>
    <w:rsid w:val="00E9526E"/>
    <w:rsid w:val="00E96468"/>
    <w:rsid w:val="00E96F68"/>
    <w:rsid w:val="00E978CC"/>
    <w:rsid w:val="00E97A65"/>
    <w:rsid w:val="00E97B84"/>
    <w:rsid w:val="00EA0289"/>
    <w:rsid w:val="00EA0BED"/>
    <w:rsid w:val="00EA0FCE"/>
    <w:rsid w:val="00EA1411"/>
    <w:rsid w:val="00EA18A8"/>
    <w:rsid w:val="00EA2142"/>
    <w:rsid w:val="00EA3749"/>
    <w:rsid w:val="00EA3CF5"/>
    <w:rsid w:val="00EA4BB6"/>
    <w:rsid w:val="00EA59B0"/>
    <w:rsid w:val="00EA6138"/>
    <w:rsid w:val="00EA6224"/>
    <w:rsid w:val="00EA6BCC"/>
    <w:rsid w:val="00EA6D93"/>
    <w:rsid w:val="00EA70F7"/>
    <w:rsid w:val="00EA7446"/>
    <w:rsid w:val="00EB004D"/>
    <w:rsid w:val="00EB0146"/>
    <w:rsid w:val="00EB02C1"/>
    <w:rsid w:val="00EB05F5"/>
    <w:rsid w:val="00EB0655"/>
    <w:rsid w:val="00EB0ACA"/>
    <w:rsid w:val="00EB0E68"/>
    <w:rsid w:val="00EB123A"/>
    <w:rsid w:val="00EB153B"/>
    <w:rsid w:val="00EB159C"/>
    <w:rsid w:val="00EB1BE8"/>
    <w:rsid w:val="00EB296C"/>
    <w:rsid w:val="00EB3802"/>
    <w:rsid w:val="00EB46FA"/>
    <w:rsid w:val="00EB48F6"/>
    <w:rsid w:val="00EB6587"/>
    <w:rsid w:val="00EB66AC"/>
    <w:rsid w:val="00EB69B4"/>
    <w:rsid w:val="00EB7059"/>
    <w:rsid w:val="00EB7E38"/>
    <w:rsid w:val="00EC05BA"/>
    <w:rsid w:val="00EC06A6"/>
    <w:rsid w:val="00EC1D75"/>
    <w:rsid w:val="00EC20DA"/>
    <w:rsid w:val="00EC238B"/>
    <w:rsid w:val="00EC2B31"/>
    <w:rsid w:val="00EC3117"/>
    <w:rsid w:val="00EC3329"/>
    <w:rsid w:val="00EC3C44"/>
    <w:rsid w:val="00EC478C"/>
    <w:rsid w:val="00EC54C1"/>
    <w:rsid w:val="00EC6EC0"/>
    <w:rsid w:val="00EC7DB0"/>
    <w:rsid w:val="00EC7EDB"/>
    <w:rsid w:val="00ED024A"/>
    <w:rsid w:val="00ED12B0"/>
    <w:rsid w:val="00ED1F83"/>
    <w:rsid w:val="00ED213F"/>
    <w:rsid w:val="00ED2540"/>
    <w:rsid w:val="00ED45E3"/>
    <w:rsid w:val="00ED4783"/>
    <w:rsid w:val="00ED49B3"/>
    <w:rsid w:val="00ED51DE"/>
    <w:rsid w:val="00ED54B4"/>
    <w:rsid w:val="00ED5775"/>
    <w:rsid w:val="00ED5993"/>
    <w:rsid w:val="00ED5A24"/>
    <w:rsid w:val="00ED6222"/>
    <w:rsid w:val="00ED6F3C"/>
    <w:rsid w:val="00ED74B3"/>
    <w:rsid w:val="00ED7E44"/>
    <w:rsid w:val="00EE0A57"/>
    <w:rsid w:val="00EE1C17"/>
    <w:rsid w:val="00EE1D56"/>
    <w:rsid w:val="00EE235A"/>
    <w:rsid w:val="00EE294E"/>
    <w:rsid w:val="00EE35B8"/>
    <w:rsid w:val="00EE3EC0"/>
    <w:rsid w:val="00EE427C"/>
    <w:rsid w:val="00EE4392"/>
    <w:rsid w:val="00EE4B3F"/>
    <w:rsid w:val="00EE4DCC"/>
    <w:rsid w:val="00EE5425"/>
    <w:rsid w:val="00EE74FC"/>
    <w:rsid w:val="00EE7916"/>
    <w:rsid w:val="00EE793A"/>
    <w:rsid w:val="00EE7C99"/>
    <w:rsid w:val="00EF1078"/>
    <w:rsid w:val="00EF1324"/>
    <w:rsid w:val="00EF19D9"/>
    <w:rsid w:val="00EF2467"/>
    <w:rsid w:val="00EF4844"/>
    <w:rsid w:val="00EF4853"/>
    <w:rsid w:val="00EF4A5A"/>
    <w:rsid w:val="00EF5667"/>
    <w:rsid w:val="00EF5D5A"/>
    <w:rsid w:val="00EF6786"/>
    <w:rsid w:val="00EF760F"/>
    <w:rsid w:val="00F00002"/>
    <w:rsid w:val="00F003C1"/>
    <w:rsid w:val="00F00918"/>
    <w:rsid w:val="00F009C1"/>
    <w:rsid w:val="00F00EA8"/>
    <w:rsid w:val="00F01A4D"/>
    <w:rsid w:val="00F01EB1"/>
    <w:rsid w:val="00F021AC"/>
    <w:rsid w:val="00F0223F"/>
    <w:rsid w:val="00F029BC"/>
    <w:rsid w:val="00F0373C"/>
    <w:rsid w:val="00F03B42"/>
    <w:rsid w:val="00F05D9F"/>
    <w:rsid w:val="00F06854"/>
    <w:rsid w:val="00F07604"/>
    <w:rsid w:val="00F07613"/>
    <w:rsid w:val="00F0767F"/>
    <w:rsid w:val="00F0785A"/>
    <w:rsid w:val="00F078EC"/>
    <w:rsid w:val="00F07B9B"/>
    <w:rsid w:val="00F07C18"/>
    <w:rsid w:val="00F11356"/>
    <w:rsid w:val="00F11778"/>
    <w:rsid w:val="00F12629"/>
    <w:rsid w:val="00F1308B"/>
    <w:rsid w:val="00F143DE"/>
    <w:rsid w:val="00F1440B"/>
    <w:rsid w:val="00F147E6"/>
    <w:rsid w:val="00F164DE"/>
    <w:rsid w:val="00F16634"/>
    <w:rsid w:val="00F178D2"/>
    <w:rsid w:val="00F17A79"/>
    <w:rsid w:val="00F17C66"/>
    <w:rsid w:val="00F17E5E"/>
    <w:rsid w:val="00F202DD"/>
    <w:rsid w:val="00F20C34"/>
    <w:rsid w:val="00F21609"/>
    <w:rsid w:val="00F21B53"/>
    <w:rsid w:val="00F21FF5"/>
    <w:rsid w:val="00F22343"/>
    <w:rsid w:val="00F226B6"/>
    <w:rsid w:val="00F238EF"/>
    <w:rsid w:val="00F24B8E"/>
    <w:rsid w:val="00F2557F"/>
    <w:rsid w:val="00F255DC"/>
    <w:rsid w:val="00F25763"/>
    <w:rsid w:val="00F2594A"/>
    <w:rsid w:val="00F25CA3"/>
    <w:rsid w:val="00F25FC7"/>
    <w:rsid w:val="00F263AD"/>
    <w:rsid w:val="00F264B8"/>
    <w:rsid w:val="00F26D06"/>
    <w:rsid w:val="00F309CA"/>
    <w:rsid w:val="00F30F5D"/>
    <w:rsid w:val="00F31206"/>
    <w:rsid w:val="00F3173A"/>
    <w:rsid w:val="00F31861"/>
    <w:rsid w:val="00F32913"/>
    <w:rsid w:val="00F32A66"/>
    <w:rsid w:val="00F34875"/>
    <w:rsid w:val="00F350C6"/>
    <w:rsid w:val="00F378A6"/>
    <w:rsid w:val="00F3796D"/>
    <w:rsid w:val="00F40BE9"/>
    <w:rsid w:val="00F411C1"/>
    <w:rsid w:val="00F4123C"/>
    <w:rsid w:val="00F4131E"/>
    <w:rsid w:val="00F425CF"/>
    <w:rsid w:val="00F42AC0"/>
    <w:rsid w:val="00F445FF"/>
    <w:rsid w:val="00F451D4"/>
    <w:rsid w:val="00F4541A"/>
    <w:rsid w:val="00F45EDF"/>
    <w:rsid w:val="00F4625D"/>
    <w:rsid w:val="00F4638F"/>
    <w:rsid w:val="00F473D8"/>
    <w:rsid w:val="00F4779E"/>
    <w:rsid w:val="00F47849"/>
    <w:rsid w:val="00F51106"/>
    <w:rsid w:val="00F5168B"/>
    <w:rsid w:val="00F537F6"/>
    <w:rsid w:val="00F53B78"/>
    <w:rsid w:val="00F54251"/>
    <w:rsid w:val="00F547A4"/>
    <w:rsid w:val="00F54D38"/>
    <w:rsid w:val="00F55082"/>
    <w:rsid w:val="00F553BF"/>
    <w:rsid w:val="00F55EAA"/>
    <w:rsid w:val="00F5629A"/>
    <w:rsid w:val="00F562A2"/>
    <w:rsid w:val="00F56D72"/>
    <w:rsid w:val="00F571DB"/>
    <w:rsid w:val="00F572FE"/>
    <w:rsid w:val="00F579D5"/>
    <w:rsid w:val="00F57E50"/>
    <w:rsid w:val="00F57F20"/>
    <w:rsid w:val="00F60316"/>
    <w:rsid w:val="00F60639"/>
    <w:rsid w:val="00F62348"/>
    <w:rsid w:val="00F625E6"/>
    <w:rsid w:val="00F62FE7"/>
    <w:rsid w:val="00F62FEE"/>
    <w:rsid w:val="00F63599"/>
    <w:rsid w:val="00F6367D"/>
    <w:rsid w:val="00F6436A"/>
    <w:rsid w:val="00F6480B"/>
    <w:rsid w:val="00F64B26"/>
    <w:rsid w:val="00F64BC9"/>
    <w:rsid w:val="00F651FB"/>
    <w:rsid w:val="00F66042"/>
    <w:rsid w:val="00F663E4"/>
    <w:rsid w:val="00F66D44"/>
    <w:rsid w:val="00F674DA"/>
    <w:rsid w:val="00F67D3F"/>
    <w:rsid w:val="00F700D8"/>
    <w:rsid w:val="00F708F1"/>
    <w:rsid w:val="00F70FDD"/>
    <w:rsid w:val="00F715E5"/>
    <w:rsid w:val="00F71CF7"/>
    <w:rsid w:val="00F729F1"/>
    <w:rsid w:val="00F72B73"/>
    <w:rsid w:val="00F752A2"/>
    <w:rsid w:val="00F75AC3"/>
    <w:rsid w:val="00F75EF5"/>
    <w:rsid w:val="00F76363"/>
    <w:rsid w:val="00F7685D"/>
    <w:rsid w:val="00F76D4A"/>
    <w:rsid w:val="00F77119"/>
    <w:rsid w:val="00F77E63"/>
    <w:rsid w:val="00F8037E"/>
    <w:rsid w:val="00F803B7"/>
    <w:rsid w:val="00F806C9"/>
    <w:rsid w:val="00F807F7"/>
    <w:rsid w:val="00F83A8A"/>
    <w:rsid w:val="00F84A5A"/>
    <w:rsid w:val="00F85B83"/>
    <w:rsid w:val="00F86B73"/>
    <w:rsid w:val="00F870BF"/>
    <w:rsid w:val="00F91D8E"/>
    <w:rsid w:val="00F923B9"/>
    <w:rsid w:val="00F927E3"/>
    <w:rsid w:val="00F934BB"/>
    <w:rsid w:val="00F9440D"/>
    <w:rsid w:val="00F94BC8"/>
    <w:rsid w:val="00F96913"/>
    <w:rsid w:val="00F97BCC"/>
    <w:rsid w:val="00FA057A"/>
    <w:rsid w:val="00FA1A50"/>
    <w:rsid w:val="00FA1D9A"/>
    <w:rsid w:val="00FA26E9"/>
    <w:rsid w:val="00FA26F8"/>
    <w:rsid w:val="00FA276F"/>
    <w:rsid w:val="00FA33B1"/>
    <w:rsid w:val="00FA3AE6"/>
    <w:rsid w:val="00FA3E60"/>
    <w:rsid w:val="00FA3EC1"/>
    <w:rsid w:val="00FA40E6"/>
    <w:rsid w:val="00FA49E0"/>
    <w:rsid w:val="00FA5C9E"/>
    <w:rsid w:val="00FB016A"/>
    <w:rsid w:val="00FB0D77"/>
    <w:rsid w:val="00FB0E86"/>
    <w:rsid w:val="00FB0F89"/>
    <w:rsid w:val="00FB3597"/>
    <w:rsid w:val="00FB39F2"/>
    <w:rsid w:val="00FB5B5B"/>
    <w:rsid w:val="00FB7A8F"/>
    <w:rsid w:val="00FC01EC"/>
    <w:rsid w:val="00FC1402"/>
    <w:rsid w:val="00FC1B18"/>
    <w:rsid w:val="00FC2295"/>
    <w:rsid w:val="00FC35FA"/>
    <w:rsid w:val="00FC4846"/>
    <w:rsid w:val="00FC7770"/>
    <w:rsid w:val="00FD0B3F"/>
    <w:rsid w:val="00FD0D3F"/>
    <w:rsid w:val="00FD277B"/>
    <w:rsid w:val="00FD30B0"/>
    <w:rsid w:val="00FD362E"/>
    <w:rsid w:val="00FD3AEE"/>
    <w:rsid w:val="00FD4281"/>
    <w:rsid w:val="00FD49E8"/>
    <w:rsid w:val="00FD50D4"/>
    <w:rsid w:val="00FD6EA3"/>
    <w:rsid w:val="00FD7514"/>
    <w:rsid w:val="00FE0940"/>
    <w:rsid w:val="00FE28C4"/>
    <w:rsid w:val="00FE34DC"/>
    <w:rsid w:val="00FE37E9"/>
    <w:rsid w:val="00FE3D93"/>
    <w:rsid w:val="00FE45BD"/>
    <w:rsid w:val="00FE4D06"/>
    <w:rsid w:val="00FE6632"/>
    <w:rsid w:val="00FE66ED"/>
    <w:rsid w:val="00FE6C64"/>
    <w:rsid w:val="00FE769B"/>
    <w:rsid w:val="00FE76FA"/>
    <w:rsid w:val="00FE77D3"/>
    <w:rsid w:val="00FE7930"/>
    <w:rsid w:val="00FF02F7"/>
    <w:rsid w:val="00FF09D9"/>
    <w:rsid w:val="00FF1329"/>
    <w:rsid w:val="00FF1CE1"/>
    <w:rsid w:val="00FF1E0B"/>
    <w:rsid w:val="00FF24A7"/>
    <w:rsid w:val="00FF2B38"/>
    <w:rsid w:val="00FF352D"/>
    <w:rsid w:val="00FF396F"/>
    <w:rsid w:val="00FF3AA1"/>
    <w:rsid w:val="00FF537D"/>
    <w:rsid w:val="00FF64E9"/>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Indent" w:uiPriority="99"/>
    <w:lsdException w:name="Subtitle" w:qFormat="1"/>
    <w:lsdException w:name="Hyperlink" w:uiPriority="99"/>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E15"/>
    <w:rPr>
      <w:sz w:val="24"/>
      <w:szCs w:val="24"/>
      <w:lang w:val="bg-BG"/>
    </w:rPr>
  </w:style>
  <w:style w:type="paragraph" w:styleId="Heading1">
    <w:name w:val="heading 1"/>
    <w:basedOn w:val="Normal"/>
    <w:next w:val="Normal"/>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uiPriority w:val="99"/>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uiPriority w:val="99"/>
    <w:semiHidden/>
    <w:rsid w:val="00A252C3"/>
    <w:rPr>
      <w:sz w:val="16"/>
      <w:szCs w:val="16"/>
    </w:rPr>
  </w:style>
  <w:style w:type="paragraph" w:styleId="CommentText">
    <w:name w:val="annotation text"/>
    <w:basedOn w:val="Normal"/>
    <w:link w:val="CommentTextChar"/>
    <w:uiPriority w:val="99"/>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basedOn w:val="Normal"/>
    <w:uiPriority w:val="99"/>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uiPriority w:val="99"/>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footnote reference" w:uiPriority="99"/>
    <w:lsdException w:name="annotation reference" w:uiPriority="99"/>
    <w:lsdException w:name="Title" w:qFormat="1"/>
    <w:lsdException w:name="Body Text Indent" w:uiPriority="99"/>
    <w:lsdException w:name="Subtitle" w:qFormat="1"/>
    <w:lsdException w:name="Hyperlink" w:uiPriority="99"/>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E15"/>
    <w:rPr>
      <w:sz w:val="24"/>
      <w:szCs w:val="24"/>
      <w:lang w:val="bg-BG"/>
    </w:rPr>
  </w:style>
  <w:style w:type="paragraph" w:styleId="Heading1">
    <w:name w:val="heading 1"/>
    <w:basedOn w:val="Normal"/>
    <w:next w:val="Normal"/>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uiPriority w:val="99"/>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uiPriority w:val="99"/>
    <w:semiHidden/>
    <w:rsid w:val="00A252C3"/>
    <w:rPr>
      <w:sz w:val="16"/>
      <w:szCs w:val="16"/>
    </w:rPr>
  </w:style>
  <w:style w:type="paragraph" w:styleId="CommentText">
    <w:name w:val="annotation text"/>
    <w:basedOn w:val="Normal"/>
    <w:link w:val="CommentTextChar"/>
    <w:uiPriority w:val="99"/>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basedOn w:val="Normal"/>
    <w:uiPriority w:val="99"/>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uiPriority w:val="99"/>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nchor="ctr" anchorCtr="1"/>
          <a:lstStyle/>
          <a:p>
            <a:pPr>
              <a:defRPr>
                <a:latin typeface="Times New Roman" panose="02020603050405020304" pitchFamily="18" charset="0"/>
                <a:cs typeface="Times New Roman" panose="02020603050405020304" pitchFamily="18" charset="0"/>
              </a:defRPr>
            </a:pPr>
            <a:r>
              <a:rPr lang="bg-BG" sz="1069" b="1">
                <a:effectLst/>
                <a:latin typeface="Times New Roman" panose="02020603050405020304" pitchFamily="18" charset="0"/>
                <a:cs typeface="Times New Roman" panose="02020603050405020304" pitchFamily="18" charset="0"/>
              </a:rPr>
              <a:t>Разходи по КФП за </a:t>
            </a:r>
            <a:r>
              <a:rPr lang="en-US" sz="1069" b="1">
                <a:effectLst/>
                <a:latin typeface="Times New Roman" panose="02020603050405020304" pitchFamily="18" charset="0"/>
                <a:cs typeface="Times New Roman" panose="02020603050405020304" pitchFamily="18" charset="0"/>
              </a:rPr>
              <a:t> </a:t>
            </a:r>
            <a:r>
              <a:rPr lang="bg-BG" sz="1069" b="1">
                <a:effectLst/>
                <a:latin typeface="Times New Roman" panose="02020603050405020304" pitchFamily="18" charset="0"/>
                <a:cs typeface="Times New Roman" panose="02020603050405020304" pitchFamily="18" charset="0"/>
              </a:rPr>
              <a:t>201</a:t>
            </a:r>
            <a:r>
              <a:rPr lang="en-US" sz="1069" b="1">
                <a:effectLst/>
                <a:latin typeface="Times New Roman" panose="02020603050405020304" pitchFamily="18" charset="0"/>
                <a:cs typeface="Times New Roman" panose="02020603050405020304" pitchFamily="18" charset="0"/>
              </a:rPr>
              <a:t>6</a:t>
            </a:r>
            <a:r>
              <a:rPr lang="bg-BG" sz="1069" b="1">
                <a:effectLst/>
                <a:latin typeface="Times New Roman" panose="02020603050405020304" pitchFamily="18" charset="0"/>
                <a:cs typeface="Times New Roman" panose="02020603050405020304" pitchFamily="18" charset="0"/>
              </a:rPr>
              <a:t> г. и 201</a:t>
            </a:r>
            <a:r>
              <a:rPr lang="en-US" sz="1069" b="1">
                <a:effectLst/>
                <a:latin typeface="Times New Roman" panose="02020603050405020304" pitchFamily="18" charset="0"/>
                <a:cs typeface="Times New Roman" panose="02020603050405020304" pitchFamily="18" charset="0"/>
              </a:rPr>
              <a:t>7</a:t>
            </a:r>
            <a:r>
              <a:rPr lang="bg-BG" sz="1069" b="1">
                <a:effectLst/>
                <a:latin typeface="Times New Roman" panose="02020603050405020304" pitchFamily="18" charset="0"/>
                <a:cs typeface="Times New Roman" panose="02020603050405020304" pitchFamily="18" charset="0"/>
              </a:rPr>
              <a:t> г., като относителен</a:t>
            </a:r>
            <a:r>
              <a:rPr lang="bg-BG" sz="1069" b="1" baseline="0">
                <a:effectLst/>
                <a:latin typeface="Times New Roman" panose="02020603050405020304" pitchFamily="18" charset="0"/>
                <a:cs typeface="Times New Roman" panose="02020603050405020304" pitchFamily="18" charset="0"/>
              </a:rPr>
              <a:t> дял в</a:t>
            </a:r>
            <a:r>
              <a:rPr lang="en-US" sz="1069" b="1">
                <a:effectLst/>
                <a:latin typeface="Times New Roman" panose="02020603050405020304" pitchFamily="18" charset="0"/>
                <a:cs typeface="Times New Roman" panose="02020603050405020304" pitchFamily="18" charset="0"/>
              </a:rPr>
              <a:t> </a:t>
            </a:r>
            <a:r>
              <a:rPr lang="bg-BG" sz="1069" b="1">
                <a:effectLst/>
                <a:latin typeface="Times New Roman" panose="02020603050405020304" pitchFamily="18" charset="0"/>
                <a:cs typeface="Times New Roman" panose="02020603050405020304" pitchFamily="18" charset="0"/>
              </a:rPr>
              <a:t>БВП</a:t>
            </a:r>
            <a:endParaRPr lang="bg-BG" sz="1200">
              <a:effectLst/>
              <a:latin typeface="Times New Roman" panose="02020603050405020304" pitchFamily="18" charset="0"/>
              <a:cs typeface="Times New Roman" panose="02020603050405020304" pitchFamily="18" charset="0"/>
            </a:endParaRPr>
          </a:p>
        </c:rich>
      </c:tx>
      <c:layout>
        <c:manualLayout>
          <c:xMode val="edge"/>
          <c:yMode val="edge"/>
          <c:x val="0.10487171703672693"/>
          <c:y val="1.2565307771955034E-2"/>
        </c:manualLayout>
      </c:layout>
      <c:overlay val="0"/>
    </c:title>
    <c:autoTitleDeleted val="0"/>
    <c:view3D>
      <c:rotX val="15"/>
      <c:rotY val="20"/>
      <c:depthPercent val="220"/>
      <c:rAngAx val="1"/>
    </c:view3D>
    <c:floor>
      <c:thickness val="0"/>
    </c:floor>
    <c:sideWall>
      <c:thickness val="0"/>
    </c:sideWall>
    <c:backWall>
      <c:thickness val="0"/>
    </c:backWall>
    <c:plotArea>
      <c:layout>
        <c:manualLayout>
          <c:layoutTarget val="inner"/>
          <c:xMode val="edge"/>
          <c:yMode val="edge"/>
          <c:x val="0.34989526677359378"/>
          <c:y val="9.9407181432163913E-2"/>
          <c:w val="0.60268447433670569"/>
          <c:h val="0.79478944649991046"/>
        </c:manualLayout>
      </c:layout>
      <c:bar3DChart>
        <c:barDir val="bar"/>
        <c:grouping val="clustered"/>
        <c:varyColors val="0"/>
        <c:ser>
          <c:idx val="0"/>
          <c:order val="0"/>
          <c:tx>
            <c:strRef>
              <c:f>Sheet2!$D$32</c:f>
              <c:strCache>
                <c:ptCount val="1"/>
                <c:pt idx="0">
                  <c:v>  2016</c:v>
                </c:pt>
              </c:strCache>
            </c:strRef>
          </c:tx>
          <c:spPr>
            <a:solidFill>
              <a:schemeClr val="accent2">
                <a:lumMod val="75000"/>
              </a:schemeClr>
            </a:solidFill>
          </c:spPr>
          <c:invertIfNegative val="0"/>
          <c:dLbls>
            <c:dLbl>
              <c:idx val="0"/>
              <c:layout>
                <c:manualLayout>
                  <c:x val="1.057579073813329E-2"/>
                  <c:y val="0"/>
                </c:manualLayout>
              </c:layout>
              <c:showLegendKey val="0"/>
              <c:showVal val="1"/>
              <c:showCatName val="0"/>
              <c:showSerName val="0"/>
              <c:showPercent val="0"/>
              <c:showBubbleSize val="0"/>
            </c:dLbl>
            <c:dLbl>
              <c:idx val="1"/>
              <c:layout>
                <c:manualLayout>
                  <c:x val="8.8131589484444078E-3"/>
                  <c:y val="0"/>
                </c:manualLayout>
              </c:layout>
              <c:showLegendKey val="0"/>
              <c:showVal val="1"/>
              <c:showCatName val="0"/>
              <c:showSerName val="0"/>
              <c:showPercent val="0"/>
              <c:showBubbleSize val="0"/>
            </c:dLbl>
            <c:dLbl>
              <c:idx val="2"/>
              <c:layout>
                <c:manualLayout>
                  <c:x val="7.0505271587555261E-3"/>
                  <c:y val="0"/>
                </c:manualLayout>
              </c:layout>
              <c:showLegendKey val="0"/>
              <c:showVal val="1"/>
              <c:showCatName val="0"/>
              <c:showSerName val="0"/>
              <c:showPercent val="0"/>
              <c:showBubbleSize val="0"/>
            </c:dLbl>
            <c:dLbl>
              <c:idx val="4"/>
              <c:layout>
                <c:manualLayout>
                  <c:x val="1.057579073813329E-2"/>
                  <c:y val="-3.3039644711952833E-3"/>
                </c:manualLayout>
              </c:layout>
              <c:showLegendKey val="0"/>
              <c:showVal val="1"/>
              <c:showCatName val="0"/>
              <c:showSerName val="0"/>
              <c:showPercent val="0"/>
              <c:showBubbleSize val="0"/>
            </c:dLbl>
            <c:txPr>
              <a:bodyPr/>
              <a:lstStyle/>
              <a:p>
                <a:pPr>
                  <a:defRPr sz="713">
                    <a:latin typeface="Times New Roman" pitchFamily="18" charset="0"/>
                    <a:cs typeface="Times New Roman" pitchFamily="18" charset="0"/>
                  </a:defRPr>
                </a:pPr>
                <a:endParaRPr lang="bg-BG"/>
              </a:p>
            </c:txPr>
            <c:showLegendKey val="0"/>
            <c:showVal val="1"/>
            <c:showCatName val="0"/>
            <c:showSerName val="0"/>
            <c:showPercent val="0"/>
            <c:showBubbleSize val="0"/>
            <c:showLeaderLines val="0"/>
          </c:dLbls>
          <c:cat>
            <c:strRef>
              <c:f>Sheet2!$A$33:$A$40</c:f>
              <c:strCache>
                <c:ptCount val="8"/>
                <c:pt idx="0">
                  <c:v>Общо разходи и вноска в бюджета на ЕС</c:v>
                </c:pt>
                <c:pt idx="1">
                  <c:v>Вноска в бюджета на ЕС</c:v>
                </c:pt>
                <c:pt idx="2">
                  <c:v>Разходи за персонал</c:v>
                </c:pt>
                <c:pt idx="3">
                  <c:v>Издръжка </c:v>
                </c:pt>
                <c:pt idx="4">
                  <c:v>Лихвени р-ди</c:v>
                </c:pt>
                <c:pt idx="5">
                  <c:v>Социални разходи, стипендии </c:v>
                </c:pt>
                <c:pt idx="6">
                  <c:v>Субсидии</c:v>
                </c:pt>
                <c:pt idx="7">
                  <c:v>Капиталови р-ди и трансфери*</c:v>
                </c:pt>
              </c:strCache>
            </c:strRef>
          </c:cat>
          <c:val>
            <c:numRef>
              <c:f>Sheet2!$D$33:$D$40</c:f>
              <c:numCache>
                <c:formatCode>0.0%</c:formatCode>
                <c:ptCount val="8"/>
                <c:pt idx="0">
                  <c:v>0.3451757448440298</c:v>
                </c:pt>
                <c:pt idx="1">
                  <c:v>9.1304871773591877E-3</c:v>
                </c:pt>
                <c:pt idx="2">
                  <c:v>7.5799445942303464E-2</c:v>
                </c:pt>
                <c:pt idx="3">
                  <c:v>4.0026570715441474E-2</c:v>
                </c:pt>
                <c:pt idx="4">
                  <c:v>7.8011420026034665E-3</c:v>
                </c:pt>
                <c:pt idx="5">
                  <c:v>0.15404253610871479</c:v>
                </c:pt>
                <c:pt idx="6">
                  <c:v>1.7245761453416057E-2</c:v>
                </c:pt>
                <c:pt idx="7">
                  <c:v>4.1129801444191365E-2</c:v>
                </c:pt>
              </c:numCache>
            </c:numRef>
          </c:val>
        </c:ser>
        <c:ser>
          <c:idx val="1"/>
          <c:order val="1"/>
          <c:tx>
            <c:strRef>
              <c:f>Sheet2!$E$32</c:f>
              <c:strCache>
                <c:ptCount val="1"/>
                <c:pt idx="0">
                  <c:v>  2017</c:v>
                </c:pt>
              </c:strCache>
            </c:strRef>
          </c:tx>
          <c:spPr>
            <a:solidFill>
              <a:schemeClr val="accent5">
                <a:lumMod val="60000"/>
                <a:lumOff val="40000"/>
              </a:schemeClr>
            </a:solidFill>
          </c:spPr>
          <c:invertIfNegative val="0"/>
          <c:dLbls>
            <c:dLbl>
              <c:idx val="0"/>
              <c:layout>
                <c:manualLayout>
                  <c:x val="1.9815058414636181E-3"/>
                  <c:y val="-1.3824886046743898E-2"/>
                </c:manualLayout>
              </c:layout>
              <c:showLegendKey val="0"/>
              <c:showVal val="1"/>
              <c:showCatName val="0"/>
              <c:showSerName val="0"/>
              <c:showPercent val="0"/>
              <c:showBubbleSize val="0"/>
            </c:dLbl>
            <c:dLbl>
              <c:idx val="1"/>
              <c:layout>
                <c:manualLayout>
                  <c:x val="5.9445175243908544E-3"/>
                  <c:y val="-6.9124430233719492E-3"/>
                </c:manualLayout>
              </c:layout>
              <c:showLegendKey val="0"/>
              <c:showVal val="1"/>
              <c:showCatName val="0"/>
              <c:showSerName val="0"/>
              <c:showPercent val="0"/>
              <c:showBubbleSize val="0"/>
            </c:dLbl>
            <c:dLbl>
              <c:idx val="2"/>
              <c:layout>
                <c:manualLayout>
                  <c:x val="5.9445175243908544E-3"/>
                  <c:y val="-1.0368664535057925E-2"/>
                </c:manualLayout>
              </c:layout>
              <c:showLegendKey val="0"/>
              <c:showVal val="1"/>
              <c:showCatName val="0"/>
              <c:showSerName val="0"/>
              <c:showPercent val="0"/>
              <c:showBubbleSize val="0"/>
            </c:dLbl>
            <c:dLbl>
              <c:idx val="3"/>
              <c:layout>
                <c:manualLayout>
                  <c:x val="3.9630116829272363E-3"/>
                  <c:y val="-1.3824886046743898E-2"/>
                </c:manualLayout>
              </c:layout>
              <c:showLegendKey val="0"/>
              <c:showVal val="1"/>
              <c:showCatName val="0"/>
              <c:showSerName val="0"/>
              <c:showPercent val="0"/>
              <c:showBubbleSize val="0"/>
            </c:dLbl>
            <c:dLbl>
              <c:idx val="4"/>
              <c:layout>
                <c:manualLayout>
                  <c:x val="9.2509023078679309E-3"/>
                  <c:y val="-1.0673106015374622E-2"/>
                </c:manualLayout>
              </c:layout>
              <c:showLegendKey val="0"/>
              <c:showVal val="1"/>
              <c:showCatName val="0"/>
              <c:showSerName val="0"/>
              <c:showPercent val="0"/>
              <c:showBubbleSize val="0"/>
            </c:dLbl>
            <c:dLbl>
              <c:idx val="5"/>
              <c:layout>
                <c:manualLayout>
                  <c:x val="3.9630116829272363E-3"/>
                  <c:y val="-6.9124430233719492E-3"/>
                </c:manualLayout>
              </c:layout>
              <c:showLegendKey val="0"/>
              <c:showVal val="1"/>
              <c:showCatName val="0"/>
              <c:showSerName val="0"/>
              <c:showPercent val="0"/>
              <c:showBubbleSize val="0"/>
            </c:dLbl>
            <c:dLbl>
              <c:idx val="6"/>
              <c:layout>
                <c:manualLayout>
                  <c:x val="7.9260233658544725E-3"/>
                  <c:y val="-1.3824886046743898E-2"/>
                </c:manualLayout>
              </c:layout>
              <c:showLegendKey val="0"/>
              <c:showVal val="1"/>
              <c:showCatName val="0"/>
              <c:showSerName val="0"/>
              <c:showPercent val="0"/>
              <c:showBubbleSize val="0"/>
            </c:dLbl>
            <c:dLbl>
              <c:idx val="7"/>
              <c:layout>
                <c:manualLayout>
                  <c:x val="3.9630116829272363E-3"/>
                  <c:y val="-2.4193550581801823E-2"/>
                </c:manualLayout>
              </c:layout>
              <c:showLegendKey val="0"/>
              <c:showVal val="1"/>
              <c:showCatName val="0"/>
              <c:showSerName val="0"/>
              <c:showPercent val="0"/>
              <c:showBubbleSize val="0"/>
            </c:dLbl>
            <c:txPr>
              <a:bodyPr/>
              <a:lstStyle/>
              <a:p>
                <a:pPr>
                  <a:defRPr sz="713">
                    <a:latin typeface="Times New Roman" pitchFamily="18" charset="0"/>
                    <a:cs typeface="Times New Roman" pitchFamily="18" charset="0"/>
                  </a:defRPr>
                </a:pPr>
                <a:endParaRPr lang="bg-BG"/>
              </a:p>
            </c:txPr>
            <c:showLegendKey val="0"/>
            <c:showVal val="1"/>
            <c:showCatName val="0"/>
            <c:showSerName val="0"/>
            <c:showPercent val="0"/>
            <c:showBubbleSize val="0"/>
            <c:showLeaderLines val="0"/>
          </c:dLbls>
          <c:cat>
            <c:strRef>
              <c:f>Sheet2!$A$33:$A$40</c:f>
              <c:strCache>
                <c:ptCount val="8"/>
                <c:pt idx="0">
                  <c:v>Общо разходи и вноска в бюджета на ЕС</c:v>
                </c:pt>
                <c:pt idx="1">
                  <c:v>Вноска в бюджета на ЕС</c:v>
                </c:pt>
                <c:pt idx="2">
                  <c:v>Разходи за персонал</c:v>
                </c:pt>
                <c:pt idx="3">
                  <c:v>Издръжка </c:v>
                </c:pt>
                <c:pt idx="4">
                  <c:v>Лихвени р-ди</c:v>
                </c:pt>
                <c:pt idx="5">
                  <c:v>Социални разходи, стипендии </c:v>
                </c:pt>
                <c:pt idx="6">
                  <c:v>Субсидии</c:v>
                </c:pt>
                <c:pt idx="7">
                  <c:v>Капиталови р-ди и трансфери*</c:v>
                </c:pt>
              </c:strCache>
            </c:strRef>
          </c:cat>
          <c:val>
            <c:numRef>
              <c:f>Sheet2!$E$33:$E$40</c:f>
              <c:numCache>
                <c:formatCode>0.0%</c:formatCode>
                <c:ptCount val="8"/>
                <c:pt idx="0">
                  <c:v>0.34599994138241941</c:v>
                </c:pt>
                <c:pt idx="1">
                  <c:v>8.9158331407436717E-3</c:v>
                </c:pt>
                <c:pt idx="2">
                  <c:v>7.9480661325960031E-2</c:v>
                </c:pt>
                <c:pt idx="3">
                  <c:v>3.9943318773804061E-2</c:v>
                </c:pt>
                <c:pt idx="4">
                  <c:v>7.9508210758362716E-3</c:v>
                </c:pt>
                <c:pt idx="5">
                  <c:v>0.15230863697560884</c:v>
                </c:pt>
                <c:pt idx="6">
                  <c:v>1.9699657226775146E-2</c:v>
                </c:pt>
                <c:pt idx="7">
                  <c:v>3.7701012863691381E-2</c:v>
                </c:pt>
              </c:numCache>
            </c:numRef>
          </c:val>
        </c:ser>
        <c:dLbls>
          <c:showLegendKey val="0"/>
          <c:showVal val="0"/>
          <c:showCatName val="0"/>
          <c:showSerName val="0"/>
          <c:showPercent val="0"/>
          <c:showBubbleSize val="0"/>
        </c:dLbls>
        <c:gapWidth val="85"/>
        <c:shape val="cylinder"/>
        <c:axId val="71829376"/>
        <c:axId val="71837568"/>
        <c:axId val="0"/>
      </c:bar3DChart>
      <c:catAx>
        <c:axId val="71829376"/>
        <c:scaling>
          <c:orientation val="minMax"/>
        </c:scaling>
        <c:delete val="0"/>
        <c:axPos val="l"/>
        <c:numFmt formatCode="General" sourceLinked="1"/>
        <c:majorTickMark val="none"/>
        <c:minorTickMark val="none"/>
        <c:tickLblPos val="nextTo"/>
        <c:txPr>
          <a:bodyPr/>
          <a:lstStyle/>
          <a:p>
            <a:pPr>
              <a:defRPr sz="802" b="0">
                <a:latin typeface="Times New Roman" pitchFamily="18" charset="0"/>
                <a:cs typeface="Times New Roman" pitchFamily="18" charset="0"/>
              </a:defRPr>
            </a:pPr>
            <a:endParaRPr lang="bg-BG"/>
          </a:p>
        </c:txPr>
        <c:crossAx val="71837568"/>
        <c:crosses val="autoZero"/>
        <c:auto val="1"/>
        <c:lblAlgn val="ctr"/>
        <c:lblOffset val="100"/>
        <c:noMultiLvlLbl val="0"/>
      </c:catAx>
      <c:valAx>
        <c:axId val="71837568"/>
        <c:scaling>
          <c:orientation val="minMax"/>
        </c:scaling>
        <c:delete val="0"/>
        <c:axPos val="b"/>
        <c:numFmt formatCode="0.0%" sourceLinked="1"/>
        <c:majorTickMark val="none"/>
        <c:minorTickMark val="none"/>
        <c:tickLblPos val="nextTo"/>
        <c:txPr>
          <a:bodyPr/>
          <a:lstStyle/>
          <a:p>
            <a:pPr>
              <a:defRPr sz="802">
                <a:latin typeface="Times New Roman" pitchFamily="18" charset="0"/>
                <a:cs typeface="Times New Roman" pitchFamily="18" charset="0"/>
              </a:defRPr>
            </a:pPr>
            <a:endParaRPr lang="bg-BG"/>
          </a:p>
        </c:txPr>
        <c:crossAx val="71829376"/>
        <c:crosses val="autoZero"/>
        <c:crossBetween val="between"/>
      </c:valAx>
      <c:spPr>
        <a:noFill/>
        <a:ln w="22627">
          <a:noFill/>
        </a:ln>
      </c:spPr>
    </c:plotArea>
    <c:legend>
      <c:legendPos val="r"/>
      <c:layout>
        <c:manualLayout>
          <c:xMode val="edge"/>
          <c:yMode val="edge"/>
          <c:x val="2.0864384562607367E-2"/>
          <c:y val="0.89687513206829517"/>
          <c:w val="0.20268263776224171"/>
          <c:h val="0.10000013206829517"/>
        </c:manualLayout>
      </c:layout>
      <c:overlay val="0"/>
      <c:txPr>
        <a:bodyPr/>
        <a:lstStyle/>
        <a:p>
          <a:pPr>
            <a:defRPr sz="935">
              <a:latin typeface="Times New Roman" panose="02020603050405020304" pitchFamily="18" charset="0"/>
              <a:cs typeface="Times New Roman" panose="02020603050405020304" pitchFamily="18" charset="0"/>
            </a:defRPr>
          </a:pPr>
          <a:endParaRPr lang="bg-BG"/>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69391409685821E-2"/>
          <c:y val="3.8309849426716405E-2"/>
          <c:w val="0.90305106959238579"/>
          <c:h val="0.70521308191739196"/>
        </c:manualLayout>
      </c:layout>
      <c:barChart>
        <c:barDir val="col"/>
        <c:grouping val="clustered"/>
        <c:varyColors val="0"/>
        <c:ser>
          <c:idx val="0"/>
          <c:order val="0"/>
          <c:tx>
            <c:strRef>
              <c:f>Sheet1!$B$36</c:f>
              <c:strCache>
                <c:ptCount val="1"/>
                <c:pt idx="0">
                  <c:v>2016 г.</c:v>
                </c:pt>
              </c:strCache>
            </c:strRef>
          </c:tx>
          <c:spPr>
            <a:pattFill prst="pct5">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683">
              <a:solidFill>
                <a:srgbClr val="000000"/>
              </a:solidFill>
              <a:prstDash val="solid"/>
            </a:ln>
          </c:spPr>
          <c:invertIfNegative val="0"/>
          <c:dLbls>
            <c:dLbl>
              <c:idx val="0"/>
              <c:layout>
                <c:manualLayout>
                  <c:x val="-1.1911120203121079E-3"/>
                  <c:y val="0.28234266642777711"/>
                </c:manualLayout>
              </c:layout>
              <c:dLblPos val="outEnd"/>
              <c:showLegendKey val="0"/>
              <c:showVal val="1"/>
              <c:showCatName val="0"/>
              <c:showSerName val="0"/>
              <c:showPercent val="0"/>
              <c:showBubbleSize val="0"/>
            </c:dLbl>
            <c:dLbl>
              <c:idx val="1"/>
              <c:layout>
                <c:manualLayout>
                  <c:x val="-8.5984781316822308E-3"/>
                  <c:y val="8.5907721123107857E-3"/>
                </c:manualLayout>
              </c:layout>
              <c:dLblPos val="outEnd"/>
              <c:showLegendKey val="0"/>
              <c:showVal val="1"/>
              <c:showCatName val="0"/>
              <c:showSerName val="0"/>
              <c:showPercent val="0"/>
              <c:showBubbleSize val="0"/>
            </c:dLbl>
            <c:dLbl>
              <c:idx val="2"/>
              <c:layout>
                <c:manualLayout>
                  <c:x val="-4.0234036459434776E-3"/>
                  <c:y val="3.7105729237608418E-3"/>
                </c:manualLayout>
              </c:layout>
              <c:dLblPos val="outEnd"/>
              <c:showLegendKey val="0"/>
              <c:showVal val="1"/>
              <c:showCatName val="0"/>
              <c:showSerName val="0"/>
              <c:showPercent val="0"/>
              <c:showBubbleSize val="0"/>
            </c:dLbl>
            <c:dLbl>
              <c:idx val="3"/>
              <c:layout>
                <c:manualLayout>
                  <c:x val="1.6411395733361485E-3"/>
                  <c:y val="0.27828770514240314"/>
                </c:manualLayout>
              </c:layout>
              <c:dLblPos val="outEnd"/>
              <c:showLegendKey val="0"/>
              <c:showVal val="1"/>
              <c:showCatName val="0"/>
              <c:showSerName val="0"/>
              <c:showPercent val="0"/>
              <c:showBubbleSize val="0"/>
            </c:dLbl>
            <c:dLbl>
              <c:idx val="4"/>
              <c:layout>
                <c:manualLayout>
                  <c:x val="-6.8556952715747091E-3"/>
                  <c:y val="9.1411587507205447E-3"/>
                </c:manualLayout>
              </c:layout>
              <c:dLblPos val="outEnd"/>
              <c:showLegendKey val="0"/>
              <c:showVal val="1"/>
              <c:showCatName val="0"/>
              <c:showSerName val="0"/>
              <c:showPercent val="0"/>
              <c:showBubbleSize val="0"/>
            </c:dLbl>
            <c:dLbl>
              <c:idx val="5"/>
              <c:layout>
                <c:manualLayout>
                  <c:xMode val="edge"/>
                  <c:yMode val="edge"/>
                  <c:x val="0.65359546653248657"/>
                  <c:y val="0.35101161584183566"/>
                </c:manualLayout>
              </c:layout>
              <c:dLblPos val="outEnd"/>
              <c:showLegendKey val="0"/>
              <c:showVal val="1"/>
              <c:showCatName val="0"/>
              <c:showSerName val="0"/>
              <c:showPercent val="0"/>
              <c:showBubbleSize val="0"/>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Sheet1!$A$38:$A$42</c:f>
              <c:strCache>
                <c:ptCount val="5"/>
                <c:pt idx="0">
                  <c:v>Текущи нелихвени р-ди</c:v>
                </c:pt>
                <c:pt idx="1">
                  <c:v>Капиталови р-ди*</c:v>
                </c:pt>
                <c:pt idx="2">
                  <c:v>Лихвени р-ди</c:v>
                </c:pt>
                <c:pt idx="3">
                  <c:v>Нето предоставени трансфери за др. бюджети</c:v>
                </c:pt>
                <c:pt idx="4">
                  <c:v>Вноска в бюджета на ЕС</c:v>
                </c:pt>
              </c:strCache>
            </c:strRef>
          </c:cat>
          <c:val>
            <c:numRef>
              <c:f>Sheet1!$B$38:$B$42</c:f>
              <c:numCache>
                <c:formatCode>#,##0.0</c:formatCode>
                <c:ptCount val="5"/>
                <c:pt idx="0">
                  <c:v>7417</c:v>
                </c:pt>
                <c:pt idx="1">
                  <c:v>1996.4</c:v>
                </c:pt>
                <c:pt idx="2">
                  <c:v>692.7</c:v>
                </c:pt>
                <c:pt idx="3">
                  <c:v>10822.5</c:v>
                </c:pt>
                <c:pt idx="4">
                  <c:v>859.5</c:v>
                </c:pt>
              </c:numCache>
            </c:numRef>
          </c:val>
        </c:ser>
        <c:ser>
          <c:idx val="1"/>
          <c:order val="1"/>
          <c:tx>
            <c:strRef>
              <c:f>Sheet1!$C$36</c:f>
              <c:strCache>
                <c:ptCount val="1"/>
                <c:pt idx="0">
                  <c:v>2017 г.</c:v>
                </c:pt>
              </c:strCache>
            </c:strRef>
          </c:tx>
          <c:spPr>
            <a:pattFill prst="smConfetti">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83">
              <a:solidFill>
                <a:srgbClr val="000000"/>
              </a:solidFill>
              <a:prstDash val="solid"/>
            </a:ln>
          </c:spPr>
          <c:invertIfNegative val="0"/>
          <c:dLbls>
            <c:dLbl>
              <c:idx val="0"/>
              <c:layout>
                <c:manualLayout>
                  <c:x val="-1.5957659542556258E-3"/>
                  <c:y val="0.29509151360843117"/>
                </c:manualLayout>
              </c:layout>
              <c:dLblPos val="outEnd"/>
              <c:showLegendKey val="0"/>
              <c:showVal val="1"/>
              <c:showCatName val="0"/>
              <c:showSerName val="0"/>
              <c:showPercent val="0"/>
              <c:showBubbleSize val="0"/>
            </c:dLbl>
            <c:dLbl>
              <c:idx val="1"/>
              <c:layout>
                <c:manualLayout>
                  <c:x val="-1.3778516227466984E-3"/>
                  <c:y val="1.006945895278097E-2"/>
                </c:manualLayout>
              </c:layout>
              <c:dLblPos val="outEnd"/>
              <c:showLegendKey val="0"/>
              <c:showVal val="1"/>
              <c:showCatName val="0"/>
              <c:showSerName val="0"/>
              <c:showPercent val="0"/>
              <c:showBubbleSize val="0"/>
            </c:dLbl>
            <c:dLbl>
              <c:idx val="2"/>
              <c:layout>
                <c:manualLayout>
                  <c:x val="-2.2494060247787552E-3"/>
                  <c:y val="3.9806077783033E-3"/>
                </c:manualLayout>
              </c:layout>
              <c:dLblPos val="outEnd"/>
              <c:showLegendKey val="0"/>
              <c:showVal val="1"/>
              <c:showCatName val="0"/>
              <c:showSerName val="0"/>
              <c:showPercent val="0"/>
              <c:showBubbleSize val="0"/>
            </c:dLbl>
            <c:dLbl>
              <c:idx val="3"/>
              <c:layout>
                <c:manualLayout>
                  <c:x val="4.7143956403040803E-3"/>
                  <c:y val="0.2962529354883271"/>
                </c:manualLayout>
              </c:layout>
              <c:dLblPos val="outEnd"/>
              <c:showLegendKey val="0"/>
              <c:showVal val="1"/>
              <c:showCatName val="0"/>
              <c:showSerName val="0"/>
              <c:showPercent val="0"/>
              <c:showBubbleSize val="0"/>
            </c:dLbl>
            <c:dLbl>
              <c:idx val="4"/>
              <c:layout>
                <c:manualLayout>
                  <c:x val="3.6507419334742364E-4"/>
                  <c:y val="4.4826321093508819E-3"/>
                </c:manualLayout>
              </c:layout>
              <c:dLblPos val="outEnd"/>
              <c:showLegendKey val="0"/>
              <c:showVal val="1"/>
              <c:showCatName val="0"/>
              <c:showSerName val="0"/>
              <c:showPercent val="0"/>
              <c:showBubbleSize val="0"/>
            </c:dLbl>
            <c:dLbl>
              <c:idx val="5"/>
              <c:layout>
                <c:manualLayout>
                  <c:xMode val="edge"/>
                  <c:yMode val="edge"/>
                  <c:x val="0.92810556247613107"/>
                  <c:y val="0.92424641293605636"/>
                </c:manualLayout>
              </c:layout>
              <c:dLblPos val="outEnd"/>
              <c:showLegendKey val="0"/>
              <c:showVal val="1"/>
              <c:showCatName val="0"/>
              <c:showSerName val="0"/>
              <c:showPercent val="0"/>
              <c:showBubbleSize val="0"/>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Sheet1!$A$38:$A$42</c:f>
              <c:strCache>
                <c:ptCount val="5"/>
                <c:pt idx="0">
                  <c:v>Текущи нелихвени р-ди</c:v>
                </c:pt>
                <c:pt idx="1">
                  <c:v>Капиталови р-ди*</c:v>
                </c:pt>
                <c:pt idx="2">
                  <c:v>Лихвени р-ди</c:v>
                </c:pt>
                <c:pt idx="3">
                  <c:v>Нето предоставени трансфери за др. бюджети</c:v>
                </c:pt>
                <c:pt idx="4">
                  <c:v>Вноска в бюджета на ЕС</c:v>
                </c:pt>
              </c:strCache>
            </c:strRef>
          </c:cat>
          <c:val>
            <c:numRef>
              <c:f>Sheet1!$C$38:$C$42</c:f>
              <c:numCache>
                <c:formatCode>#,##0.0</c:formatCode>
                <c:ptCount val="5"/>
                <c:pt idx="0">
                  <c:v>7825.9</c:v>
                </c:pt>
                <c:pt idx="1">
                  <c:v>1715.4</c:v>
                </c:pt>
                <c:pt idx="2">
                  <c:v>754.7</c:v>
                </c:pt>
                <c:pt idx="3">
                  <c:v>11056.8</c:v>
                </c:pt>
                <c:pt idx="4">
                  <c:v>888.2</c:v>
                </c:pt>
              </c:numCache>
            </c:numRef>
          </c:val>
        </c:ser>
        <c:dLbls>
          <c:showLegendKey val="0"/>
          <c:showVal val="0"/>
          <c:showCatName val="0"/>
          <c:showSerName val="0"/>
          <c:showPercent val="0"/>
          <c:showBubbleSize val="0"/>
        </c:dLbls>
        <c:gapWidth val="150"/>
        <c:axId val="98538624"/>
        <c:axId val="101346304"/>
      </c:barChart>
      <c:catAx>
        <c:axId val="98538624"/>
        <c:scaling>
          <c:orientation val="minMax"/>
        </c:scaling>
        <c:delete val="0"/>
        <c:axPos val="b"/>
        <c:numFmt formatCode="General" sourceLinked="1"/>
        <c:majorTickMark val="out"/>
        <c:minorTickMark val="none"/>
        <c:tickLblPos val="nextTo"/>
        <c:spPr>
          <a:ln w="9512">
            <a:noFill/>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101346304"/>
        <c:crosses val="autoZero"/>
        <c:auto val="1"/>
        <c:lblAlgn val="ctr"/>
        <c:lblOffset val="100"/>
        <c:tickLblSkip val="1"/>
        <c:tickMarkSkip val="1"/>
        <c:noMultiLvlLbl val="0"/>
      </c:catAx>
      <c:valAx>
        <c:axId val="101346304"/>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7.6254409956523252E-3"/>
              <c:y val="0.91875167418872095"/>
            </c:manualLayout>
          </c:layout>
          <c:overlay val="0"/>
          <c:spPr>
            <a:noFill/>
            <a:ln w="25367">
              <a:noFill/>
            </a:ln>
          </c:spPr>
        </c:title>
        <c:numFmt formatCode="#,##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98538624"/>
        <c:crosses val="autoZero"/>
        <c:crossBetween val="between"/>
      </c:valAx>
      <c:spPr>
        <a:solidFill>
          <a:srgbClr val="FFFFFF"/>
        </a:solidFill>
        <a:ln w="25367">
          <a:solidFill>
            <a:srgbClr val="C0C0C0"/>
          </a:solidFill>
          <a:prstDash val="solid"/>
        </a:ln>
      </c:spPr>
    </c:plotArea>
    <c:legend>
      <c:legendPos val="r"/>
      <c:legendEntry>
        <c:idx val="0"/>
        <c:txPr>
          <a:bodyPr/>
          <a:lstStyle/>
          <a:p>
            <a:pPr>
              <a:defRPr sz="919" b="0"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919" b="0" i="0" u="none" strike="noStrike" baseline="0">
                <a:solidFill>
                  <a:srgbClr val="000000"/>
                </a:solidFill>
                <a:latin typeface="Times New Roman"/>
                <a:ea typeface="Times New Roman"/>
                <a:cs typeface="Times New Roman"/>
              </a:defRPr>
            </a:pPr>
            <a:endParaRPr lang="bg-BG"/>
          </a:p>
        </c:txPr>
      </c:legendEntry>
      <c:layout>
        <c:manualLayout>
          <c:xMode val="edge"/>
          <c:yMode val="edge"/>
          <c:x val="0.13601997910796268"/>
          <c:y val="0.87096214946815853"/>
          <c:w val="0.50056057374099139"/>
          <c:h val="9.8994681585854394E-2"/>
        </c:manualLayout>
      </c:layout>
      <c:overlay val="0"/>
      <c:spPr>
        <a:solidFill>
          <a:srgbClr val="FFFFFF"/>
        </a:solidFill>
        <a:ln w="3171">
          <a:solidFill>
            <a:srgbClr val="000000"/>
          </a:solidFill>
          <a:prstDash val="solid"/>
        </a:ln>
      </c:spPr>
      <c:txPr>
        <a:bodyPr/>
        <a:lstStyle/>
        <a:p>
          <a:pPr>
            <a:defRPr sz="629" b="0"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127DB-50D7-4C66-AD98-B2E97D06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13105</Words>
  <Characters>68304</Characters>
  <Application>Microsoft Office Word</Application>
  <DocSecurity>0</DocSecurity>
  <Lines>569</Lines>
  <Paragraphs>162</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81247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Вера Данева</cp:lastModifiedBy>
  <cp:revision>5</cp:revision>
  <cp:lastPrinted>2018-02-01T09:05:00Z</cp:lastPrinted>
  <dcterms:created xsi:type="dcterms:W3CDTF">2018-02-02T14:20:00Z</dcterms:created>
  <dcterms:modified xsi:type="dcterms:W3CDTF">2018-02-02T15:28:00Z</dcterms:modified>
</cp:coreProperties>
</file>