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EEB4A" w14:textId="77777777" w:rsidR="00063E15" w:rsidRPr="00BC72AC" w:rsidRDefault="00B14BE9" w:rsidP="008314D1">
      <w:pPr>
        <w:pStyle w:val="Title"/>
        <w:pBdr>
          <w:bottom w:val="double" w:sz="6" w:space="0" w:color="auto"/>
        </w:pBdr>
      </w:pPr>
      <w:r w:rsidRPr="00BC72AC">
        <w:rPr>
          <w:lang w:val="ru-RU"/>
        </w:rPr>
        <w:t xml:space="preserve"> </w:t>
      </w:r>
      <w:r w:rsidR="00063E15" w:rsidRPr="00BC72AC">
        <w:t>М И Н И С Т Е Р С Т В О   Н А   Ф И Н А Н С И Т Е</w:t>
      </w:r>
    </w:p>
    <w:p w14:paraId="7595459B" w14:textId="77777777" w:rsidR="005F7245" w:rsidRPr="00BC72AC" w:rsidRDefault="005F7245" w:rsidP="00063E15">
      <w:pPr>
        <w:rPr>
          <w:sz w:val="16"/>
          <w:szCs w:val="16"/>
        </w:rPr>
      </w:pPr>
    </w:p>
    <w:p w14:paraId="7A9C2F56" w14:textId="77777777" w:rsidR="0019151C" w:rsidRPr="00BC72AC" w:rsidRDefault="0019151C" w:rsidP="0019151C"/>
    <w:p w14:paraId="54D0E2F6" w14:textId="77777777" w:rsidR="00E10331" w:rsidRPr="00BC72AC" w:rsidRDefault="00E10331" w:rsidP="0019151C"/>
    <w:p w14:paraId="6C9FE6C8" w14:textId="77777777" w:rsidR="00E9260C" w:rsidRPr="00BC72AC" w:rsidRDefault="00E9260C" w:rsidP="009B536C">
      <w:pPr>
        <w:pStyle w:val="Heading1"/>
        <w:rPr>
          <w:sz w:val="24"/>
        </w:rPr>
      </w:pPr>
      <w:r w:rsidRPr="00BC72AC">
        <w:rPr>
          <w:sz w:val="24"/>
        </w:rPr>
        <w:t>ИНФОРМАЦИЯ</w:t>
      </w:r>
    </w:p>
    <w:p w14:paraId="4D658AAE" w14:textId="77777777" w:rsidR="00E9260C" w:rsidRPr="00BC72AC" w:rsidRDefault="00E9260C" w:rsidP="009B536C">
      <w:pPr>
        <w:jc w:val="center"/>
        <w:rPr>
          <w:b/>
          <w:bCs/>
        </w:rPr>
      </w:pPr>
      <w:r w:rsidRPr="00BC72AC">
        <w:rPr>
          <w:b/>
          <w:bCs/>
        </w:rPr>
        <w:t xml:space="preserve">ЗА </w:t>
      </w:r>
      <w:r w:rsidR="004E7BF8" w:rsidRPr="00BC72AC">
        <w:rPr>
          <w:b/>
          <w:bCs/>
        </w:rPr>
        <w:t xml:space="preserve">КАСОВОТО </w:t>
      </w:r>
      <w:r w:rsidRPr="00BC72AC">
        <w:rPr>
          <w:b/>
          <w:bCs/>
        </w:rPr>
        <w:t xml:space="preserve">ИЗПЪЛНЕНИЕ НА </w:t>
      </w:r>
      <w:r w:rsidR="004E7BF8" w:rsidRPr="00BC72AC">
        <w:rPr>
          <w:b/>
          <w:bCs/>
        </w:rPr>
        <w:t>ДЪРЖАВНИЯ</w:t>
      </w:r>
      <w:r w:rsidRPr="00BC72AC">
        <w:rPr>
          <w:b/>
          <w:bCs/>
        </w:rPr>
        <w:t xml:space="preserve"> БЮДЖЕТ</w:t>
      </w:r>
      <w:r w:rsidR="004E7BF8" w:rsidRPr="00BC72AC">
        <w:rPr>
          <w:b/>
          <w:bCs/>
        </w:rPr>
        <w:t xml:space="preserve"> И НА ОСНОВНИТЕ ПОКАЗАТЕЛИ НА КОНСОЛИДИРАНАТА ФИСКАЛНА ПРОГРАМА </w:t>
      </w:r>
    </w:p>
    <w:p w14:paraId="4B861126" w14:textId="77777777" w:rsidR="003F47AB" w:rsidRPr="00BC72AC" w:rsidRDefault="003F47AB" w:rsidP="003F47AB">
      <w:pPr>
        <w:jc w:val="center"/>
        <w:rPr>
          <w:b/>
          <w:bCs/>
        </w:rPr>
      </w:pPr>
      <w:r w:rsidRPr="00BC72AC">
        <w:rPr>
          <w:b/>
          <w:bCs/>
        </w:rPr>
        <w:t xml:space="preserve">ЗА </w:t>
      </w:r>
      <w:r w:rsidR="00BC72AC" w:rsidRPr="00BC72AC">
        <w:rPr>
          <w:b/>
          <w:bCs/>
        </w:rPr>
        <w:t xml:space="preserve">ПЪРВОТО ПОЛУГОДИЕ </w:t>
      </w:r>
      <w:r w:rsidR="001A469D" w:rsidRPr="00BC72AC">
        <w:rPr>
          <w:b/>
          <w:bCs/>
        </w:rPr>
        <w:t xml:space="preserve">НА 2026 </w:t>
      </w:r>
      <w:r w:rsidRPr="00BC72AC">
        <w:rPr>
          <w:b/>
          <w:bCs/>
        </w:rPr>
        <w:t>ГОДИНА</w:t>
      </w:r>
    </w:p>
    <w:p w14:paraId="714CB3C5" w14:textId="77777777" w:rsidR="00430A35" w:rsidRPr="00BC72AC" w:rsidRDefault="00430A35" w:rsidP="003A06C5">
      <w:pPr>
        <w:rPr>
          <w:b/>
          <w:bCs/>
          <w:color w:val="0070C0"/>
        </w:rPr>
      </w:pPr>
    </w:p>
    <w:p w14:paraId="26998C05" w14:textId="77777777" w:rsidR="00E10331" w:rsidRPr="00BC72AC" w:rsidRDefault="00E10331" w:rsidP="003A06C5">
      <w:pPr>
        <w:rPr>
          <w:b/>
          <w:bCs/>
          <w:color w:val="0070C0"/>
        </w:rPr>
      </w:pPr>
    </w:p>
    <w:p w14:paraId="6B9D749B" w14:textId="77777777" w:rsidR="00505CD7" w:rsidRPr="00BC72AC" w:rsidRDefault="00505CD7" w:rsidP="00A07483">
      <w:pPr>
        <w:spacing w:after="210"/>
        <w:jc w:val="both"/>
        <w:rPr>
          <w:b/>
          <w:color w:val="0070C0"/>
          <w:u w:val="single"/>
        </w:rPr>
      </w:pPr>
    </w:p>
    <w:p w14:paraId="128F4184" w14:textId="77777777" w:rsidR="00C47D63" w:rsidRPr="006D47F0" w:rsidRDefault="00C47D63" w:rsidP="00C47D63">
      <w:pPr>
        <w:keepNext/>
        <w:keepLines/>
        <w:spacing w:before="40"/>
        <w:jc w:val="both"/>
        <w:outlineLvl w:val="2"/>
        <w:rPr>
          <w:b/>
          <w:lang w:eastAsia="bg-BG"/>
        </w:rPr>
      </w:pPr>
      <w:bookmarkStart w:id="0" w:name="_Toc109903428"/>
      <w:r w:rsidRPr="006D47F0">
        <w:rPr>
          <w:b/>
          <w:lang w:eastAsia="bg-BG"/>
        </w:rPr>
        <w:t>Развитие на икономическата среда</w:t>
      </w:r>
    </w:p>
    <w:bookmarkEnd w:id="0"/>
    <w:p w14:paraId="1CD12B50" w14:textId="5290EB66" w:rsidR="00C47D63" w:rsidRPr="009A63CB" w:rsidRDefault="00C47D63" w:rsidP="00C47D63">
      <w:pPr>
        <w:spacing w:before="120" w:after="120"/>
        <w:jc w:val="both"/>
      </w:pPr>
      <w:r w:rsidRPr="009A63CB">
        <w:t>Растежът на БВП бе 2,9 % на годишна база през първото тримесечие на 2026 г., като основен принос имаха вътрешното търсене и физическото изменение на запасите. Потреблението на домакинствата нарасна с 10,5 %, което представлява осезаемо ускорение спрямо предходните тр</w:t>
      </w:r>
      <w:r w:rsidR="008B4802">
        <w:t>имесечия. Тази динамика</w:t>
      </w:r>
      <w:r w:rsidRPr="009A63CB">
        <w:t xml:space="preserve"> се обяснява частично с увеличението на реалния разполагаем доход на домакинствата. Инвестициите в основен капитал нараснаха със 7,6 %, движени от вложенията в машини и оборудване. Износът на стоки и услуги се сви с 8,8 %,</w:t>
      </w:r>
      <w:r>
        <w:t xml:space="preserve"> като спадът при услугите (14,6 </w:t>
      </w:r>
      <w:r w:rsidRPr="009A63CB">
        <w:t xml:space="preserve">%) беше по-изразен от този при стоките (6,7 %). </w:t>
      </w:r>
      <w:r w:rsidR="00711EF2" w:rsidRPr="009A63CB">
        <w:t>При внос</w:t>
      </w:r>
      <w:r w:rsidR="00711EF2">
        <w:t>а</w:t>
      </w:r>
      <w:r w:rsidR="00711EF2" w:rsidRPr="009A63CB">
        <w:t xml:space="preserve"> на стоки и услуги бе отчетен растеж от 8,5 %, </w:t>
      </w:r>
      <w:r w:rsidR="00711EF2">
        <w:t>с водещо нарастване от страна на</w:t>
      </w:r>
      <w:r w:rsidR="00711EF2" w:rsidRPr="009A63CB">
        <w:t xml:space="preserve"> внос</w:t>
      </w:r>
      <w:r w:rsidR="00711EF2">
        <w:t>а</w:t>
      </w:r>
      <w:r w:rsidR="00711EF2" w:rsidRPr="009A63CB">
        <w:t xml:space="preserve"> на стоки. Динамиката на вноса може да се обясни с високите растежи на потреблението и на инвестициите в страната. Краткосрочните индикатори за второ тримесечие сочат към запазване на </w:t>
      </w:r>
      <w:r w:rsidR="00711EF2">
        <w:t>темпа</w:t>
      </w:r>
      <w:r w:rsidR="00711EF2" w:rsidRPr="009A63CB">
        <w:t xml:space="preserve"> на икономическия растеж. Оборотът в търговията на дребно, както и производството в бизнес услугите, продълж</w:t>
      </w:r>
      <w:r w:rsidR="00711EF2">
        <w:t>иха</w:t>
      </w:r>
      <w:r w:rsidR="00711EF2" w:rsidRPr="009A63CB">
        <w:t xml:space="preserve"> да се развиват във възходяща посока. Същевременно, промишленото производство задълбоч</w:t>
      </w:r>
      <w:r w:rsidR="00711EF2">
        <w:t>и</w:t>
      </w:r>
      <w:r w:rsidR="00711EF2" w:rsidRPr="009A63CB">
        <w:t xml:space="preserve"> своя спад. През второто тримесечие се наблюдава леко влошаване на бизнес климата, водено от строителството и услугите. Доверието на потребителите спадна, като подобрените очаквания за общата икономическа ситуация през следващата година бяха съпътствани от влошаване на очакванията за собственото финансово положение на респондентите</w:t>
      </w:r>
      <w:r w:rsidRPr="009A63CB">
        <w:t>.</w:t>
      </w:r>
    </w:p>
    <w:p w14:paraId="1F77650C" w14:textId="29D3DA0B" w:rsidR="00C47D63" w:rsidRPr="00121FDB" w:rsidRDefault="00C47D63" w:rsidP="00C47D63">
      <w:pPr>
        <w:spacing w:before="120" w:after="120"/>
        <w:jc w:val="both"/>
        <w:rPr>
          <w:lang w:val="en-US"/>
        </w:rPr>
      </w:pPr>
      <w:r w:rsidRPr="00AF3388">
        <w:t xml:space="preserve">Броят на заетите в българската икономика продължи да нараства </w:t>
      </w:r>
      <w:r>
        <w:t>през първото тримесечие на 2026 </w:t>
      </w:r>
      <w:r w:rsidRPr="00AF3388">
        <w:t xml:space="preserve">г. Той достигна 3 </w:t>
      </w:r>
      <w:r>
        <w:t>518 хил.</w:t>
      </w:r>
      <w:r w:rsidR="006045AA">
        <w:t xml:space="preserve"> </w:t>
      </w:r>
      <w:r>
        <w:t>д.</w:t>
      </w:r>
      <w:r>
        <w:rPr>
          <w:lang w:val="en-US"/>
        </w:rPr>
        <w:t xml:space="preserve"> </w:t>
      </w:r>
      <w:r>
        <w:t>(според ЕСС 2010), като се увеличи с 1</w:t>
      </w:r>
      <w:r>
        <w:rPr>
          <w:lang w:val="en-US"/>
        </w:rPr>
        <w:t>,</w:t>
      </w:r>
      <w:r>
        <w:t>2</w:t>
      </w:r>
      <w:r w:rsidR="006045AA">
        <w:t xml:space="preserve"> </w:t>
      </w:r>
      <w:r w:rsidRPr="00AF3388">
        <w:t>%. Това се дължеше изцяло на ръста на заетостта в строителс</w:t>
      </w:r>
      <w:r>
        <w:t>твото и услугите, съответно с 3</w:t>
      </w:r>
      <w:r>
        <w:rPr>
          <w:lang w:val="en-US"/>
        </w:rPr>
        <w:t>,</w:t>
      </w:r>
      <w:r>
        <w:t>2</w:t>
      </w:r>
      <w:r w:rsidR="006045AA">
        <w:t xml:space="preserve"> </w:t>
      </w:r>
      <w:r>
        <w:t>% и 3</w:t>
      </w:r>
      <w:r>
        <w:rPr>
          <w:lang w:val="en-US"/>
        </w:rPr>
        <w:t>,</w:t>
      </w:r>
      <w:r w:rsidRPr="00AF3388">
        <w:t>1</w:t>
      </w:r>
      <w:r w:rsidR="006045AA">
        <w:t xml:space="preserve"> </w:t>
      </w:r>
      <w:r w:rsidRPr="00AF3388">
        <w:t xml:space="preserve">% спрямо същия период на 2025 г., докато заетостта в аграрния сектор и промишлеността отчетоха понижение. Въпреки че темпът на </w:t>
      </w:r>
      <w:r w:rsidR="00AA2E7A">
        <w:t xml:space="preserve">нарастване на </w:t>
      </w:r>
      <w:r w:rsidRPr="00AF3388">
        <w:t xml:space="preserve">общия брой на заетите се </w:t>
      </w:r>
      <w:r w:rsidRPr="00570244">
        <w:t>запази относително висок, през първите три месеца на 2026 г. бе наблюдавано съществено забавяне в темпа на растеж на наетите работници и служители (с 0</w:t>
      </w:r>
      <w:r w:rsidRPr="00570244">
        <w:rPr>
          <w:lang w:val="en-US"/>
        </w:rPr>
        <w:t>,</w:t>
      </w:r>
      <w:r w:rsidRPr="00570244">
        <w:t>4</w:t>
      </w:r>
      <w:r w:rsidR="007604EB">
        <w:t xml:space="preserve"> </w:t>
      </w:r>
      <w:r w:rsidRPr="00570244">
        <w:t>% на годишна база).</w:t>
      </w:r>
      <w:r w:rsidRPr="00570244">
        <w:rPr>
          <w:lang w:val="en-US"/>
        </w:rPr>
        <w:t xml:space="preserve"> </w:t>
      </w:r>
      <w:r w:rsidRPr="00570244">
        <w:t>Регистрираният през първото тримесечие коефициент на безработица в страната бе 3,</w:t>
      </w:r>
      <w:r w:rsidRPr="00570244">
        <w:rPr>
          <w:lang w:val="en-US"/>
        </w:rPr>
        <w:t>2</w:t>
      </w:r>
      <w:r w:rsidRPr="00570244">
        <w:t xml:space="preserve"> % според Наблюдението на работната сила, което бе с </w:t>
      </w:r>
      <w:r w:rsidRPr="00570244">
        <w:rPr>
          <w:lang w:val="en-US"/>
        </w:rPr>
        <w:t>0</w:t>
      </w:r>
      <w:r w:rsidRPr="00570244">
        <w:t>,</w:t>
      </w:r>
      <w:r w:rsidRPr="00570244">
        <w:rPr>
          <w:lang w:val="en-US"/>
        </w:rPr>
        <w:t>7 </w:t>
      </w:r>
      <w:r w:rsidRPr="00570244">
        <w:t>пр. п. по-ниско спрямо стойността на индикатора за същия период на 202</w:t>
      </w:r>
      <w:r w:rsidRPr="00570244">
        <w:rPr>
          <w:lang w:val="en-US"/>
        </w:rPr>
        <w:t>5</w:t>
      </w:r>
      <w:r w:rsidRPr="00570244">
        <w:t xml:space="preserve"> г.</w:t>
      </w:r>
      <w:r>
        <w:t xml:space="preserve"> По данни на Агенция по заетостта п</w:t>
      </w:r>
      <w:r w:rsidRPr="00121FDB">
        <w:t xml:space="preserve">рез второто тримесечие на годината броят на регистрираните безработни </w:t>
      </w:r>
      <w:r w:rsidR="007604EB">
        <w:t>б</w:t>
      </w:r>
      <w:r>
        <w:t>е</w:t>
      </w:r>
      <w:r w:rsidRPr="00121FDB">
        <w:t xml:space="preserve"> малко над нивата, регистрирани през предходната година. През юни регистрираните безработни бяха с 2</w:t>
      </w:r>
      <w:r>
        <w:t>,</w:t>
      </w:r>
      <w:r w:rsidRPr="00121FDB">
        <w:t>4</w:t>
      </w:r>
      <w:r w:rsidR="007604EB">
        <w:t xml:space="preserve"> </w:t>
      </w:r>
      <w:r w:rsidRPr="00121FDB">
        <w:t>% (</w:t>
      </w:r>
      <w:r>
        <w:t xml:space="preserve">или с </w:t>
      </w:r>
      <w:r w:rsidRPr="00121FDB">
        <w:t>3 478 души) повече спрямо юни 2025 г.</w:t>
      </w:r>
    </w:p>
    <w:p w14:paraId="426C2DB0" w14:textId="77777777" w:rsidR="00C47D63" w:rsidRDefault="00C47D63" w:rsidP="00C47D63">
      <w:pPr>
        <w:spacing w:before="120" w:after="120"/>
        <w:jc w:val="both"/>
      </w:pPr>
      <w:r>
        <w:t>През първото тримесечие на 2026 г. номиналното увеличение на средната работна заплата в страната достигна 12,7%. Повишението отразяваше и нарастването на минималната работна заплата, в съответствие с приетите промени за нейната актуализация, както и увеличението на заплатите в публичния сектор. Растежът на заплатите в обществения сектор (с 15,2%) изпревари този в частния (11,8%). Ускорението на номиналния растеж на средната работна заплата в съчетание със забавянето на инфлацията се отрази в ускорение на реалния растеж на доходите от труд до 10%. Растежът на реалната производителност на труда бе 1,6 % на годишна база през първото тримесечие на 2026 г. Текущото развитие отрази нарастване на индикатора в селското стопанство (с 8,1%), строителството (1%) и услугите (1,3%), докато при индустрията (без строителство) бе наблюдавано намаление от 3,7%.</w:t>
      </w:r>
    </w:p>
    <w:p w14:paraId="4B2198D8" w14:textId="232262FB" w:rsidR="00C47D63" w:rsidRDefault="00C47D63" w:rsidP="00C47D63">
      <w:pPr>
        <w:spacing w:before="120" w:after="120"/>
        <w:jc w:val="both"/>
      </w:pPr>
      <w:r w:rsidRPr="00A1313E">
        <w:t xml:space="preserve">Годишният темп на инфлацията според ХИПЦ следваше тенденция на ускорение до 6.3 % през май 2026 г. Поради конфликта в Близкия изток и прекъсването на доставките на суровини през Ормузкия проток цените на горивата за вътрешния транспорт отбелязаха рязко повишение през март и продължиха да нарастват бързо, като през май се увеличиха с почти 34 % на годишна база. </w:t>
      </w:r>
      <w:r w:rsidRPr="00A1313E">
        <w:lastRenderedPageBreak/>
        <w:t>През юни геополитическото напрежение се успокои след подписване на временно споразумение, а котировките на петрола сорт Брент се понижиха с повече от 20</w:t>
      </w:r>
      <w:r w:rsidR="006045AA">
        <w:t xml:space="preserve"> </w:t>
      </w:r>
      <w:r w:rsidRPr="00A1313E">
        <w:t>% в доларово изражение за месеца. Вследствие на това цените на транспортните горива в страната отчетоха месечно понижение през юни, а поскъпването им на годишна база се забави значително. През юни за втори пореден месец бе наблюдавана и месечна дефлация при непреработените храни. Във връзка с тези развития, годишният темп на инфлация се забави с 1.1 пр.</w:t>
      </w:r>
      <w:r w:rsidR="00342D15">
        <w:rPr>
          <w:lang w:val="en-US"/>
        </w:rPr>
        <w:t xml:space="preserve"> </w:t>
      </w:r>
      <w:r w:rsidRPr="00A1313E">
        <w:t>п. до 5</w:t>
      </w:r>
      <w:r w:rsidR="006045AA">
        <w:t>,</w:t>
      </w:r>
      <w:r w:rsidRPr="00A1313E">
        <w:t>2</w:t>
      </w:r>
      <w:r w:rsidR="006045AA">
        <w:t xml:space="preserve"> </w:t>
      </w:r>
      <w:r w:rsidRPr="00A1313E">
        <w:t>% през юни, а базисната инфлация бе 4</w:t>
      </w:r>
      <w:r w:rsidR="006045AA">
        <w:t>,</w:t>
      </w:r>
      <w:r w:rsidRPr="00A1313E">
        <w:t>6</w:t>
      </w:r>
      <w:r w:rsidR="006045AA">
        <w:t xml:space="preserve"> </w:t>
      </w:r>
      <w:r w:rsidRPr="00A1313E">
        <w:t>% на годишна база.</w:t>
      </w:r>
    </w:p>
    <w:p w14:paraId="62F1837D" w14:textId="3DDC4807" w:rsidR="00C47D63" w:rsidRDefault="00C47D63" w:rsidP="00C47D63">
      <w:pPr>
        <w:spacing w:before="120" w:after="120"/>
        <w:jc w:val="both"/>
      </w:pPr>
      <w:r>
        <w:t>За периода януари-май 202</w:t>
      </w:r>
      <w:r>
        <w:rPr>
          <w:lang w:val="en-US"/>
        </w:rPr>
        <w:t>6</w:t>
      </w:r>
      <w:r>
        <w:t xml:space="preserve"> г. по текущата сметка на платежния баланс бе отчетен дефицит от </w:t>
      </w:r>
      <w:r>
        <w:rPr>
          <w:lang w:val="en-US"/>
        </w:rPr>
        <w:t>3</w:t>
      </w:r>
      <w:r>
        <w:t>,</w:t>
      </w:r>
      <w:r>
        <w:rPr>
          <w:lang w:val="en-US"/>
        </w:rPr>
        <w:t>4</w:t>
      </w:r>
      <w:r w:rsidR="008709C4">
        <w:t xml:space="preserve"> </w:t>
      </w:r>
      <w:r>
        <w:t>% от прогнозния БВП спрямо 1</w:t>
      </w:r>
      <w:r>
        <w:rPr>
          <w:lang w:val="en-US"/>
        </w:rPr>
        <w:t>,6</w:t>
      </w:r>
      <w:r w:rsidR="008709C4">
        <w:t xml:space="preserve"> </w:t>
      </w:r>
      <w:r>
        <w:t>% година по-рано. Търговския</w:t>
      </w:r>
      <w:r w:rsidR="008709C4">
        <w:t>т</w:t>
      </w:r>
      <w:r>
        <w:t xml:space="preserve"> дефицит отчете съществено повишение</w:t>
      </w:r>
      <w:r w:rsidR="008709C4">
        <w:t>,</w:t>
      </w:r>
      <w:r>
        <w:t xml:space="preserve"> като растеж</w:t>
      </w:r>
      <w:r w:rsidR="00730079">
        <w:t>ът</w:t>
      </w:r>
      <w:r>
        <w:t xml:space="preserve"> на вноса на стоки </w:t>
      </w:r>
      <w:r>
        <w:rPr>
          <w:lang w:val="en-US"/>
        </w:rPr>
        <w:t>(</w:t>
      </w:r>
      <w:r>
        <w:t>с 12,5</w:t>
      </w:r>
      <w:r w:rsidR="008709C4">
        <w:t xml:space="preserve"> </w:t>
      </w:r>
      <w:r>
        <w:t>%</w:t>
      </w:r>
      <w:r>
        <w:rPr>
          <w:lang w:val="en-US"/>
        </w:rPr>
        <w:t>)</w:t>
      </w:r>
      <w:r>
        <w:t xml:space="preserve"> изпревари този на износа </w:t>
      </w:r>
      <w:r>
        <w:rPr>
          <w:lang w:val="en-US"/>
        </w:rPr>
        <w:t>(</w:t>
      </w:r>
      <w:r>
        <w:t>7,7</w:t>
      </w:r>
      <w:r w:rsidR="008709C4">
        <w:t xml:space="preserve"> </w:t>
      </w:r>
      <w:r>
        <w:t>%</w:t>
      </w:r>
      <w:r>
        <w:rPr>
          <w:lang w:val="en-US"/>
        </w:rPr>
        <w:t>)</w:t>
      </w:r>
      <w:r>
        <w:t>. В резултат, търговският дефицит достигна 3,6</w:t>
      </w:r>
      <w:r w:rsidR="008709C4">
        <w:t xml:space="preserve"> </w:t>
      </w:r>
      <w:r>
        <w:t xml:space="preserve">% от прогнозния БВП. Принос за нарастването на дефицита по текущата сметка имаше и свиването на излишъка при търговията с услуги, </w:t>
      </w:r>
      <w:r w:rsidRPr="00394072">
        <w:t xml:space="preserve">като износът на услуги </w:t>
      </w:r>
      <w:r>
        <w:t>се сви с 6,4</w:t>
      </w:r>
      <w:r w:rsidR="008709C4">
        <w:t xml:space="preserve"> </w:t>
      </w:r>
      <w:r w:rsidRPr="00394072">
        <w:t>%, докато вносът на</w:t>
      </w:r>
      <w:r>
        <w:t xml:space="preserve"> транспортни услуги нарасна с 19,9</w:t>
      </w:r>
      <w:r w:rsidR="008709C4">
        <w:t xml:space="preserve"> </w:t>
      </w:r>
      <w:r w:rsidRPr="00394072">
        <w:t>%</w:t>
      </w:r>
      <w:r>
        <w:t>. Дефицитът по първичния доход достигна 2,7 млрд. евро за периода януари–май при 1</w:t>
      </w:r>
      <w:r w:rsidR="008709C4">
        <w:t>,</w:t>
      </w:r>
      <w:r>
        <w:t>9 млрд. евро година по-рано, като подробната разбивка показва, че промяната бе свързана основно с по-високи плащания по инвестиционен доход. Същевременно излишъкът по вторичния доход се увеличи до около 546,9 млн. евро при 373,2 млн. евро през съответния период на предходната година и имаше частично компенсиращ ефект върху текущата сметка.</w:t>
      </w:r>
    </w:p>
    <w:p w14:paraId="664E3743" w14:textId="3BAD6980" w:rsidR="00C47D63" w:rsidRDefault="00C47D63" w:rsidP="00C47D63">
      <w:pPr>
        <w:spacing w:before="120" w:after="120"/>
        <w:jc w:val="both"/>
      </w:pPr>
      <w:r w:rsidRPr="00D4039C">
        <w:t>За първите шест месеца на 2026 г. търсенето на кредити</w:t>
      </w:r>
      <w:r w:rsidR="008709C4">
        <w:t xml:space="preserve"> от частния сектор остана силно</w:t>
      </w:r>
      <w:r w:rsidRPr="00D4039C">
        <w:t xml:space="preserve"> както в сегмента на домакинствата, така и при нефинансовите предприятия. В края на юни темпът му на растеж достигна 16,2 % на годишна база при 15,4 % в края на 2025 г. Търсенето на заемни средства от домакинствата продължи да се движи основно от кредитите за покупка на жилища, но потребителските кредити започнаха да се ускоряват плавно през полугодието и да увеличават приноса си за ръста на частния кредит. Основните фактори за това продължиха да бъдат относително високият номинален растеж на заплатите, ниските номинални лихвени проценти и продължаващата възходяща тенденция при цените на жилищата. Към края на юни годишният темп на растеж на кредитите на домакинствата достигна 21 %, като потребителските и ипотечните кредити се повишиха съответно с 14,8 % и 26,4 %. Нарастването на кредитите за нефинансови предприятия се ускори в сравнение с края на 2025 г. до 12,1 % на годишна база, при 10,1 % в края на декември 2025 г. с основен принос от страна на дългосрочните корпоративни кредити.</w:t>
      </w:r>
    </w:p>
    <w:p w14:paraId="61AAF1E9" w14:textId="77777777" w:rsidR="00C47D63" w:rsidRPr="009E3533" w:rsidRDefault="00C47D63" w:rsidP="003D2D51">
      <w:pPr>
        <w:pStyle w:val="Heading1"/>
        <w:spacing w:before="240"/>
        <w:ind w:right="-108"/>
        <w:jc w:val="both"/>
        <w:rPr>
          <w:sz w:val="24"/>
        </w:rPr>
      </w:pPr>
      <w:bookmarkStart w:id="1" w:name="_Toc109903427"/>
      <w:r w:rsidRPr="009E3533">
        <w:rPr>
          <w:sz w:val="24"/>
        </w:rPr>
        <w:t>Одобрен ЗДБРБ за 202</w:t>
      </w:r>
      <w:r>
        <w:rPr>
          <w:sz w:val="24"/>
        </w:rPr>
        <w:t>6</w:t>
      </w:r>
      <w:r w:rsidRPr="009E3533">
        <w:rPr>
          <w:sz w:val="24"/>
        </w:rPr>
        <w:t xml:space="preserve"> г.</w:t>
      </w:r>
      <w:bookmarkEnd w:id="1"/>
    </w:p>
    <w:p w14:paraId="760F590C" w14:textId="77777777" w:rsidR="00C47D63" w:rsidRPr="005217E8" w:rsidRDefault="00C47D63" w:rsidP="00C47D63">
      <w:pPr>
        <w:spacing w:after="120"/>
        <w:jc w:val="both"/>
        <w:rPr>
          <w:sz w:val="8"/>
          <w:szCs w:val="8"/>
          <w:lang w:val="ru-RU"/>
        </w:rPr>
      </w:pPr>
    </w:p>
    <w:p w14:paraId="45D826A8" w14:textId="2CBC5B48" w:rsidR="00C47D63" w:rsidRPr="009E3533" w:rsidRDefault="00C47D63" w:rsidP="00C47D63">
      <w:pPr>
        <w:spacing w:after="120"/>
        <w:jc w:val="both"/>
      </w:pPr>
      <w:r w:rsidRPr="009E3533">
        <w:t>Подготовката на Бюджет 202</w:t>
      </w:r>
      <w:r>
        <w:t>6</w:t>
      </w:r>
      <w:r w:rsidRPr="009E3533">
        <w:t xml:space="preserve"> и актуализираната средносрочна бюджетна прогноза за периода 202</w:t>
      </w:r>
      <w:r>
        <w:t>6</w:t>
      </w:r>
      <w:r w:rsidRPr="009E3533">
        <w:t>-202</w:t>
      </w:r>
      <w:r>
        <w:t>8</w:t>
      </w:r>
      <w:r w:rsidRPr="009E3533">
        <w:t xml:space="preserve"> г. </w:t>
      </w:r>
      <w:r>
        <w:t>премина през редица предизвикателства, което в крайна сметка доведе до забавяне на обичайните срокове в бюджетната процедура и късно внасяне на законопроекта в Народното събрание. Политическата нестабилност в края на 2025 г., която доведе до блокиране на приемането на законопроекта за държавния бюджет за 2026 г., както и решението на действащото в началото на 2026 г. служебно правителство за отлагане на внасянето на законопроекта за бюджета за 2026 г. за след провеждането на нови парламентарни избори през пролетта</w:t>
      </w:r>
      <w:r w:rsidR="00ED226A">
        <w:t>,</w:t>
      </w:r>
      <w:r>
        <w:t xml:space="preserve"> блокираха бюджетната процедура за сравнително дълъг период, което измести реалистичните срокове за одобряване на бюджетните закони от Народното събрание за втората половина на месец юли. Поради тези причини за втори път през последните четири години до 24 юли бюджет</w:t>
      </w:r>
      <w:r w:rsidR="00A83CA3">
        <w:t>ът</w:t>
      </w:r>
      <w:r>
        <w:t xml:space="preserve"> се изпълняваше при действието на чл. 87 на Закона за публичните финанси и при разпоредбите на </w:t>
      </w:r>
      <w:r w:rsidRPr="009E3533">
        <w:t>Закон</w:t>
      </w:r>
      <w:r w:rsidR="00426DFE">
        <w:t>а</w:t>
      </w:r>
      <w:r w:rsidRPr="009E3533">
        <w:t xml:space="preserve"> за прилагане на разпоредби на Закона за държавния бюджет на Република България за 202</w:t>
      </w:r>
      <w:r>
        <w:t>6 </w:t>
      </w:r>
      <w:r w:rsidRPr="009E3533">
        <w:t>г., Закона за бюджета на държавнот</w:t>
      </w:r>
      <w:r>
        <w:t>о обществено осигуряване за 2026</w:t>
      </w:r>
      <w:r w:rsidRPr="009E3533">
        <w:t xml:space="preserve"> г. и Закона за бюджета на Националната здравноосигурителна каса за 202</w:t>
      </w:r>
      <w:r>
        <w:t>6</w:t>
      </w:r>
      <w:r w:rsidRPr="009E3533">
        <w:t xml:space="preserve"> г., или т.</w:t>
      </w:r>
      <w:r>
        <w:t xml:space="preserve"> </w:t>
      </w:r>
      <w:r w:rsidRPr="009E3533">
        <w:t>нар. „удължителен закон“ (об</w:t>
      </w:r>
      <w:r>
        <w:t>н., ДВ,</w:t>
      </w:r>
      <w:r w:rsidRPr="004A30CF">
        <w:t xml:space="preserve"> ДВ, бр. 113 от 23.12.2025 г., в сила от 1.01.2026 г., изм. и доп., бр. 30 от 27.03.2026 г., в сила от 27.03.2026 г., бр. 52 от 8.06.2026 г., бр. 57 от 23.06.2026 г., в сила от 23.06.2026 г.</w:t>
      </w:r>
      <w:r>
        <w:t>).</w:t>
      </w:r>
    </w:p>
    <w:p w14:paraId="6275375F" w14:textId="1EAC31ED" w:rsidR="00C47D63" w:rsidRDefault="00C47D63" w:rsidP="007B765F">
      <w:pPr>
        <w:spacing w:after="120"/>
        <w:jc w:val="both"/>
      </w:pPr>
      <w:r>
        <w:t>За поредна година задължителната за прилагане според чл. 87, ал. 1 на Закона за публичните финанси (ЗПФ) разпоредба, налагаща извършването на разходи и трансфери по държавния бюджет при отчитането на действието на одобрените от Народното събрание и Министерския съвет нормативни актове, не предостав</w:t>
      </w:r>
      <w:r w:rsidR="00BF5689">
        <w:t>я</w:t>
      </w:r>
      <w:r>
        <w:t xml:space="preserve"> обективна възможност да бъде изпълнено друго условие </w:t>
      </w:r>
      <w:r>
        <w:lastRenderedPageBreak/>
        <w:t>на същата разпоредба, което изисква разходите и трансферите по държавния бюджет да бъдат до размер</w:t>
      </w:r>
      <w:r w:rsidR="00826FC5">
        <w:t>а</w:t>
      </w:r>
      <w:r>
        <w:t xml:space="preserve"> им за същия период на предходната година. Именно тази колизия в разпоредбите на ЗПФ се урежда с разпоредбите на т.</w:t>
      </w:r>
      <w:r w:rsidR="00957352">
        <w:t xml:space="preserve"> </w:t>
      </w:r>
      <w:r>
        <w:t xml:space="preserve">нар „удължителен закон“. Това на практика означава, че при база 2025 г. се надграждат разходи за сметка на поемани ангажименти, водещи до натрупване на нови постоянни разходи с целогодишен ефект при запазване на нивото на приходите </w:t>
      </w:r>
      <w:r w:rsidR="00360FDE">
        <w:rPr>
          <w:lang w:val="en-US"/>
        </w:rPr>
        <w:t>(</w:t>
      </w:r>
      <w:r w:rsidR="00360FDE">
        <w:t>като относителен дял в БВП</w:t>
      </w:r>
      <w:r w:rsidR="00360FDE">
        <w:rPr>
          <w:lang w:val="en-US"/>
        </w:rPr>
        <w:t>)</w:t>
      </w:r>
      <w:r w:rsidR="00360FDE">
        <w:t xml:space="preserve">, </w:t>
      </w:r>
      <w:r>
        <w:t>генерира</w:t>
      </w:r>
      <w:r w:rsidR="00B936FC">
        <w:t>ни</w:t>
      </w:r>
      <w:r>
        <w:t xml:space="preserve"> без допълнителни мерки. Ръстът на разходите и трансферите се дължи на целогодишния ефект от прилагането на политики в областта на заплатите в публичния сектор, социалните плащания, пенсиите, инвестициите и др., а приходната част на бюджета не нараства със същите темпове. Фискалната цена от действието на тази нормативна база е формирането на текущ бюджетен дефицит още към полугодието на 2026 г., който на годишна база не може да бъде </w:t>
      </w:r>
      <w:r w:rsidR="004F32A4" w:rsidRPr="000A55DE">
        <w:t>намален до допустимите стойности съгласно</w:t>
      </w:r>
      <w:r w:rsidR="004F32A4">
        <w:t xml:space="preserve"> </w:t>
      </w:r>
      <w:r>
        <w:t>фискалните правила</w:t>
      </w:r>
      <w:r w:rsidR="004F32A4">
        <w:t>,</w:t>
      </w:r>
      <w:r>
        <w:t xml:space="preserve"> </w:t>
      </w:r>
      <w:r w:rsidR="004F32A4">
        <w:t xml:space="preserve">разписани </w:t>
      </w:r>
      <w:r>
        <w:t xml:space="preserve">в ЗПФ, дори </w:t>
      </w:r>
      <w:r w:rsidR="00B61268">
        <w:t xml:space="preserve">и </w:t>
      </w:r>
      <w:r>
        <w:t>ако бъдат приложени консолидационни усилия с изключително негативни за икономиката ефекти за периода на действие на ЗДБРБ за 2026 г. (август-декември 2026 г.).</w:t>
      </w:r>
      <w:r w:rsidRPr="001E49E0">
        <w:t xml:space="preserve"> </w:t>
      </w:r>
      <w:r w:rsidR="00E35F33">
        <w:t xml:space="preserve">Допълнителен утежняващ фактор в това отношение </w:t>
      </w:r>
      <w:r>
        <w:t xml:space="preserve">е и непоследователната и финансово необвързана национална инвестиционна политика, включваща списъци от проекти в две приложения към законите за държавния бюджет на Република България за 2024 и 2025 г. </w:t>
      </w:r>
      <w:r w:rsidR="00C9690C" w:rsidRPr="00B415E5">
        <w:t xml:space="preserve">Въпреки предприетите </w:t>
      </w:r>
      <w:r w:rsidR="00C9690C" w:rsidRPr="001C386A">
        <w:t>мерки</w:t>
      </w:r>
      <w:r w:rsidR="00C9690C" w:rsidRPr="00B415E5">
        <w:t xml:space="preserve"> за подобряване процеса на пла</w:t>
      </w:r>
      <w:r w:rsidR="00C9690C" w:rsidRPr="001C386A">
        <w:t>ниране на публичните инвестиции,</w:t>
      </w:r>
      <w:r w:rsidR="00C9690C" w:rsidRPr="00B415E5">
        <w:t xml:space="preserve"> поетите ангажименти през 2024 г. и 2025 г., които са възникнали като задължения и/или се очаква да възникнат като задължение през 2026 г., продължават да оказват натиск върху бюджетната рамка. Такива са основно инвестиционната програма на общините (по приложение № 3 към ЗДБРБ за 2025 г.) и </w:t>
      </w:r>
      <w:r w:rsidR="00C9690C">
        <w:t>дейности, финансирани от</w:t>
      </w:r>
      <w:r w:rsidR="00C9690C" w:rsidRPr="00B415E5">
        <w:t xml:space="preserve"> Агенция „Пътна инфраструктура“. Неефективното управление на публичните средства, непрозрачните обществени поръчки и липсата на контрол върху разходите допълнително увеличава натиска върху бюджета. Тези разчети бяха изходната позиция за подготовката на новата бюджетната рамка, или Базов бюджет</w:t>
      </w:r>
      <w:r w:rsidR="00ED681C">
        <w:t xml:space="preserve"> за 2026 г</w:t>
      </w:r>
      <w:r>
        <w:t xml:space="preserve">. </w:t>
      </w:r>
    </w:p>
    <w:p w14:paraId="45DA1B17" w14:textId="115456EF" w:rsidR="00C47D63" w:rsidRDefault="00C47D63" w:rsidP="00C47D63">
      <w:pPr>
        <w:spacing w:after="120"/>
        <w:jc w:val="both"/>
      </w:pPr>
      <w:r>
        <w:t>Отчитайки тези предизвикателства</w:t>
      </w:r>
      <w:r w:rsidR="00234573">
        <w:t>,</w:t>
      </w:r>
      <w:r>
        <w:t xml:space="preserve"> фискалната рамка към внесения в началото на юли 2026 г. законопроект за държавния бюджет за 2026 г. (РМС №484/01.07.2026 г.) предвижда дефицитът по консолидираната фискална програма (КФП) за 2026 г. да възлезе на 5,7 на сто от прогнозния БВП, значително над допустимия праг за дефицита в ЗПФ от 3 на сто от БВП. Предвидено е в рамките на прогнозния хоризонт на АСБП дефицитът по КФП да се свие до 3 на сто от БВП към края на 2028 г. Закон</w:t>
      </w:r>
      <w:r w:rsidR="00234573">
        <w:t>ът</w:t>
      </w:r>
      <w:r>
        <w:t xml:space="preserve"> за държавния бюджет на Република България за 2026 г. бе окончателно одобрен от Народното събрание на 24.07.2026 г. и обнародван в брой 69 на Държавен вестник от 31.07.2026 г.</w:t>
      </w:r>
    </w:p>
    <w:p w14:paraId="5B4E2A8E" w14:textId="77777777" w:rsidR="00C47D63" w:rsidRPr="00CC22C9" w:rsidRDefault="00C47D63" w:rsidP="00C47D63">
      <w:pPr>
        <w:keepNext/>
        <w:keepLines/>
        <w:spacing w:before="240"/>
        <w:jc w:val="both"/>
        <w:outlineLvl w:val="2"/>
        <w:rPr>
          <w:b/>
          <w:lang w:eastAsia="bg-BG"/>
        </w:rPr>
      </w:pPr>
      <w:bookmarkStart w:id="2" w:name="_Toc109903426"/>
      <w:r w:rsidRPr="00CC22C9">
        <w:rPr>
          <w:b/>
          <w:lang w:eastAsia="bg-BG"/>
        </w:rPr>
        <w:t>Основни акценти във връзка с текущото наблюдение на изпълнението на консолидираната фискална програма за първото полугодие на 202</w:t>
      </w:r>
      <w:r>
        <w:rPr>
          <w:b/>
          <w:lang w:eastAsia="bg-BG"/>
        </w:rPr>
        <w:t>6</w:t>
      </w:r>
      <w:r w:rsidRPr="00CC22C9">
        <w:rPr>
          <w:b/>
          <w:lang w:eastAsia="bg-BG"/>
        </w:rPr>
        <w:t xml:space="preserve"> г.</w:t>
      </w:r>
      <w:bookmarkEnd w:id="2"/>
    </w:p>
    <w:p w14:paraId="60C36453" w14:textId="77777777" w:rsidR="00C47D63" w:rsidRDefault="00C47D63" w:rsidP="00C47D63">
      <w:pPr>
        <w:rPr>
          <w:color w:val="548DD4" w:themeColor="text2" w:themeTint="99"/>
          <w:sz w:val="12"/>
          <w:szCs w:val="12"/>
        </w:rPr>
      </w:pPr>
    </w:p>
    <w:p w14:paraId="4DDD15A7" w14:textId="77777777" w:rsidR="00D67079" w:rsidRDefault="00D67079" w:rsidP="00D67079">
      <w:pPr>
        <w:tabs>
          <w:tab w:val="left" w:pos="7371"/>
        </w:tabs>
        <w:spacing w:after="120"/>
        <w:jc w:val="both"/>
        <w:rPr>
          <w:lang w:eastAsia="bg-BG"/>
        </w:rPr>
      </w:pPr>
      <w:r>
        <w:t xml:space="preserve">С </w:t>
      </w:r>
      <w:r>
        <w:rPr>
          <w:rStyle w:val="Strong"/>
          <w:b w:val="0"/>
        </w:rPr>
        <w:t>Решение (ЕС) 2026/1244</w:t>
      </w:r>
      <w:r w:rsidRPr="003E10DF">
        <w:rPr>
          <w:rStyle w:val="Strong"/>
          <w:b w:val="0"/>
        </w:rPr>
        <w:t xml:space="preserve"> от 10 юли 2026 г</w:t>
      </w:r>
      <w:r>
        <w:rPr>
          <w:rStyle w:val="Strong"/>
          <w:b w:val="0"/>
        </w:rPr>
        <w:t>.</w:t>
      </w:r>
      <w:r w:rsidRPr="006552BB">
        <w:rPr>
          <w:lang w:eastAsia="bg-BG"/>
        </w:rPr>
        <w:t xml:space="preserve"> Съветът </w:t>
      </w:r>
      <w:r>
        <w:rPr>
          <w:lang w:eastAsia="bg-BG"/>
        </w:rPr>
        <w:t xml:space="preserve">на ЕС </w:t>
      </w:r>
      <w:r w:rsidRPr="006552BB">
        <w:rPr>
          <w:lang w:eastAsia="bg-BG"/>
        </w:rPr>
        <w:t>откри процед</w:t>
      </w:r>
      <w:r>
        <w:rPr>
          <w:lang w:eastAsia="bg-BG"/>
        </w:rPr>
        <w:t>ура по прекомерен дефицит по отношение на България. Съветът</w:t>
      </w:r>
      <w:r w:rsidRPr="006552BB">
        <w:rPr>
          <w:lang w:eastAsia="bg-BG"/>
        </w:rPr>
        <w:t xml:space="preserve"> също така прие препоръка към Бълг</w:t>
      </w:r>
      <w:r>
        <w:rPr>
          <w:lang w:eastAsia="bg-BG"/>
        </w:rPr>
        <w:t>ария, в която се очертава максималният допустим темп на растеж</w:t>
      </w:r>
      <w:r w:rsidRPr="006552BB">
        <w:rPr>
          <w:lang w:eastAsia="bg-BG"/>
        </w:rPr>
        <w:t xml:space="preserve"> на нетните разходи</w:t>
      </w:r>
      <w:r>
        <w:rPr>
          <w:lang w:eastAsia="bg-BG"/>
        </w:rPr>
        <w:t>, който страната ни трябва да следва</w:t>
      </w:r>
      <w:r w:rsidRPr="006552BB">
        <w:rPr>
          <w:lang w:eastAsia="bg-BG"/>
        </w:rPr>
        <w:t xml:space="preserve">, за да бъде прекратен прекомерният </w:t>
      </w:r>
      <w:r>
        <w:rPr>
          <w:lang w:eastAsia="bg-BG"/>
        </w:rPr>
        <w:t xml:space="preserve">ѝ </w:t>
      </w:r>
      <w:r w:rsidRPr="006552BB">
        <w:rPr>
          <w:lang w:eastAsia="bg-BG"/>
        </w:rPr>
        <w:t>дефицит до 2029 г.</w:t>
      </w:r>
    </w:p>
    <w:p w14:paraId="3594755F" w14:textId="28EEBD91" w:rsidR="00D67079" w:rsidRDefault="00D67079" w:rsidP="00D67079">
      <w:pPr>
        <w:tabs>
          <w:tab w:val="left" w:pos="7371"/>
        </w:tabs>
        <w:spacing w:after="120"/>
        <w:jc w:val="both"/>
        <w:rPr>
          <w:lang w:eastAsia="bg-BG"/>
        </w:rPr>
      </w:pPr>
      <w:r>
        <w:rPr>
          <w:lang w:eastAsia="bg-BG"/>
        </w:rPr>
        <w:t xml:space="preserve">Целта на </w:t>
      </w:r>
      <w:r w:rsidRPr="006552BB">
        <w:rPr>
          <w:lang w:eastAsia="bg-BG"/>
        </w:rPr>
        <w:t>процедурата</w:t>
      </w:r>
      <w:r>
        <w:t xml:space="preserve"> е да осигури навременно коригиране на прекомерни бюджетни дефицити и да гарантира устойчивостта на публичните финанси в държавите – членки на Европейския съюз. </w:t>
      </w:r>
      <w:r>
        <w:rPr>
          <w:lang w:eastAsia="bg-BG"/>
        </w:rPr>
        <w:t>Процедурата се задейства</w:t>
      </w:r>
      <w:r w:rsidRPr="006552BB">
        <w:rPr>
          <w:lang w:eastAsia="bg-BG"/>
        </w:rPr>
        <w:t>, когато държава членка има бюджетен дефицит</w:t>
      </w:r>
      <w:r>
        <w:rPr>
          <w:lang w:eastAsia="bg-BG"/>
        </w:rPr>
        <w:t xml:space="preserve"> и/или дълг</w:t>
      </w:r>
      <w:r w:rsidRPr="006552BB">
        <w:rPr>
          <w:lang w:eastAsia="bg-BG"/>
        </w:rPr>
        <w:t>, надвишаващ</w:t>
      </w:r>
      <w:r>
        <w:rPr>
          <w:lang w:eastAsia="bg-BG"/>
        </w:rPr>
        <w:t>и</w:t>
      </w:r>
      <w:r w:rsidRPr="006552BB">
        <w:rPr>
          <w:lang w:eastAsia="bg-BG"/>
        </w:rPr>
        <w:t xml:space="preserve"> референтната стойност</w:t>
      </w:r>
      <w:r>
        <w:rPr>
          <w:lang w:eastAsia="bg-BG"/>
        </w:rPr>
        <w:t xml:space="preserve"> съответно</w:t>
      </w:r>
      <w:r w:rsidRPr="006552BB">
        <w:rPr>
          <w:lang w:eastAsia="bg-BG"/>
        </w:rPr>
        <w:t xml:space="preserve"> от 3</w:t>
      </w:r>
      <w:r w:rsidR="000A534F">
        <w:rPr>
          <w:lang w:eastAsia="bg-BG"/>
        </w:rPr>
        <w:t xml:space="preserve"> </w:t>
      </w:r>
      <w:r w:rsidRPr="006552BB">
        <w:rPr>
          <w:lang w:eastAsia="bg-BG"/>
        </w:rPr>
        <w:t xml:space="preserve">% </w:t>
      </w:r>
      <w:r>
        <w:rPr>
          <w:lang w:eastAsia="bg-BG"/>
        </w:rPr>
        <w:t>и 60</w:t>
      </w:r>
      <w:r w:rsidR="000A534F">
        <w:rPr>
          <w:lang w:eastAsia="bg-BG"/>
        </w:rPr>
        <w:t xml:space="preserve"> </w:t>
      </w:r>
      <w:r>
        <w:rPr>
          <w:lang w:eastAsia="bg-BG"/>
        </w:rPr>
        <w:t xml:space="preserve">% </w:t>
      </w:r>
      <w:r w:rsidRPr="006552BB">
        <w:rPr>
          <w:lang w:eastAsia="bg-BG"/>
        </w:rPr>
        <w:t>от БВП, в съответствие с член 126, параграф 3 от Договора за функционирането на Европейския съюз.</w:t>
      </w:r>
    </w:p>
    <w:p w14:paraId="1B677EDA" w14:textId="48A9CD72" w:rsidR="00D67079" w:rsidRPr="006552BB" w:rsidRDefault="00D67079" w:rsidP="00D67079">
      <w:pPr>
        <w:spacing w:after="120"/>
        <w:jc w:val="both"/>
        <w:rPr>
          <w:lang w:eastAsia="bg-BG"/>
        </w:rPr>
      </w:pPr>
      <w:r w:rsidRPr="006552BB">
        <w:rPr>
          <w:lang w:eastAsia="bg-BG"/>
        </w:rPr>
        <w:t>Решението на С</w:t>
      </w:r>
      <w:r>
        <w:rPr>
          <w:lang w:eastAsia="bg-BG"/>
        </w:rPr>
        <w:t>ъвета да открие процедурата за България</w:t>
      </w:r>
      <w:r w:rsidRPr="006552BB">
        <w:rPr>
          <w:lang w:eastAsia="bg-BG"/>
        </w:rPr>
        <w:t xml:space="preserve"> се дължи на прогнозирания</w:t>
      </w:r>
      <w:r>
        <w:rPr>
          <w:lang w:eastAsia="bg-BG"/>
        </w:rPr>
        <w:t xml:space="preserve"> от ЕК </w:t>
      </w:r>
      <w:r w:rsidRPr="006552BB">
        <w:rPr>
          <w:lang w:eastAsia="bg-BG"/>
        </w:rPr>
        <w:t xml:space="preserve"> бюджетен дефицит на </w:t>
      </w:r>
      <w:r>
        <w:rPr>
          <w:lang w:eastAsia="bg-BG"/>
        </w:rPr>
        <w:t>страната</w:t>
      </w:r>
      <w:r w:rsidRPr="006552BB">
        <w:rPr>
          <w:lang w:eastAsia="bg-BG"/>
        </w:rPr>
        <w:t xml:space="preserve"> за 2026 г. от 4,1</w:t>
      </w:r>
      <w:r w:rsidR="00B4293D">
        <w:rPr>
          <w:lang w:eastAsia="bg-BG"/>
        </w:rPr>
        <w:t xml:space="preserve"> </w:t>
      </w:r>
      <w:r w:rsidRPr="006552BB">
        <w:rPr>
          <w:lang w:eastAsia="bg-BG"/>
        </w:rPr>
        <w:t>% от БВП, който се очаква да продължи да надвишава 3</w:t>
      </w:r>
      <w:r w:rsidR="00B4293D">
        <w:rPr>
          <w:lang w:eastAsia="bg-BG"/>
        </w:rPr>
        <w:t xml:space="preserve"> </w:t>
      </w:r>
      <w:r w:rsidRPr="006552BB">
        <w:rPr>
          <w:lang w:eastAsia="bg-BG"/>
        </w:rPr>
        <w:t xml:space="preserve">% от БВП и през 2027 г. </w:t>
      </w:r>
      <w:r>
        <w:rPr>
          <w:lang w:eastAsia="bg-BG"/>
        </w:rPr>
        <w:t>За разлика от 2025 г., според Съвета обяснението за превишението на критерия за дефицита през 2026 г. над прага от 3</w:t>
      </w:r>
      <w:r w:rsidR="00B4293D">
        <w:rPr>
          <w:lang w:eastAsia="bg-BG"/>
        </w:rPr>
        <w:t xml:space="preserve"> </w:t>
      </w:r>
      <w:r>
        <w:rPr>
          <w:lang w:eastAsia="bg-BG"/>
        </w:rPr>
        <w:t xml:space="preserve">% от БВП </w:t>
      </w:r>
      <w:r w:rsidRPr="006552BB">
        <w:rPr>
          <w:lang w:eastAsia="bg-BG"/>
        </w:rPr>
        <w:t xml:space="preserve">не </w:t>
      </w:r>
      <w:r>
        <w:rPr>
          <w:lang w:eastAsia="bg-BG"/>
        </w:rPr>
        <w:t xml:space="preserve">може да се обясни напълно с използването </w:t>
      </w:r>
      <w:r w:rsidRPr="006552BB">
        <w:rPr>
          <w:lang w:eastAsia="bg-BG"/>
        </w:rPr>
        <w:t>от страна на България на националната клауза за изключение</w:t>
      </w:r>
      <w:r>
        <w:rPr>
          <w:lang w:eastAsia="bg-BG"/>
        </w:rPr>
        <w:t xml:space="preserve"> (дерогация)</w:t>
      </w:r>
      <w:r w:rsidRPr="006552BB">
        <w:rPr>
          <w:lang w:eastAsia="bg-BG"/>
        </w:rPr>
        <w:t xml:space="preserve"> за разходи за отбрана </w:t>
      </w:r>
      <w:r>
        <w:rPr>
          <w:lang w:eastAsia="bg-BG"/>
        </w:rPr>
        <w:t>по Пакта за стабилност и растеж.</w:t>
      </w:r>
    </w:p>
    <w:p w14:paraId="6C7A33A8" w14:textId="77777777" w:rsidR="00D67079" w:rsidRPr="001B770F" w:rsidRDefault="00D67079" w:rsidP="00D67079">
      <w:pPr>
        <w:tabs>
          <w:tab w:val="left" w:pos="7371"/>
        </w:tabs>
        <w:spacing w:after="120"/>
        <w:jc w:val="both"/>
      </w:pPr>
      <w:r w:rsidRPr="001B770F">
        <w:t>Следва да се отбележи, че при извършената</w:t>
      </w:r>
      <w:r>
        <w:t xml:space="preserve"> </w:t>
      </w:r>
      <w:r w:rsidRPr="001B770F">
        <w:t xml:space="preserve">оценка, включително при прилагането на </w:t>
      </w:r>
      <w:r>
        <w:t xml:space="preserve">активираната </w:t>
      </w:r>
      <w:r w:rsidRPr="001B770F">
        <w:t xml:space="preserve">националната клауза за дерогация, свързана с увеличените разходи за отбрана, </w:t>
      </w:r>
      <w:r w:rsidRPr="001B770F">
        <w:lastRenderedPageBreak/>
        <w:t>Европейската к</w:t>
      </w:r>
      <w:r>
        <w:t xml:space="preserve">омисия не установи нарушение по отношение на критерия за дефицита през 2025 г., но в доклада е констатирано значително отклонение от одобрената траектория за нетните разходи на сектор „Държавно управление“ за същата година. Проектирайки отклонението от одобрените параметри за нетните разходи в средносрочен план ЕК констатира </w:t>
      </w:r>
      <w:r w:rsidRPr="001B770F">
        <w:t xml:space="preserve">последващото </w:t>
      </w:r>
      <w:r>
        <w:t xml:space="preserve">очаквано </w:t>
      </w:r>
      <w:r w:rsidRPr="001B770F">
        <w:t>влошаване на бюджетното салдо и превишаването на референтната стойност за дефицита през 2026 г.</w:t>
      </w:r>
      <w:r>
        <w:t xml:space="preserve"> и 2027 г. Комисията приема, че това превишение не е временно по своя характер и не може да бъде обосновано единствено с приложението на националната клауза за дерогация за разходите за отбрана.</w:t>
      </w:r>
    </w:p>
    <w:p w14:paraId="271C924B" w14:textId="77777777" w:rsidR="00D67079" w:rsidRDefault="00D67079" w:rsidP="00D67079">
      <w:pPr>
        <w:tabs>
          <w:tab w:val="left" w:pos="7371"/>
        </w:tabs>
        <w:spacing w:after="120"/>
        <w:jc w:val="both"/>
      </w:pPr>
      <w:r w:rsidRPr="006552BB">
        <w:rPr>
          <w:lang w:eastAsia="bg-BG"/>
        </w:rPr>
        <w:t>В своята препоръка Съветът постановява, че България следва да предприеме ефективни действия и да представи до 15 октомври 2026 г. необходимите мерки за нам</w:t>
      </w:r>
      <w:r>
        <w:rPr>
          <w:lang w:eastAsia="bg-BG"/>
        </w:rPr>
        <w:t xml:space="preserve">аляване на дефицита си. </w:t>
      </w:r>
      <w:r>
        <w:t>П</w:t>
      </w:r>
      <w:r w:rsidRPr="001B770F">
        <w:t xml:space="preserve">ри липса на достатъчен напредък </w:t>
      </w:r>
      <w:r>
        <w:t xml:space="preserve">Съветът може да предприеме </w:t>
      </w:r>
      <w:r w:rsidRPr="001B770F">
        <w:t>допълнителни мерки</w:t>
      </w:r>
      <w:r>
        <w:t xml:space="preserve"> срещу страната ни съгласно </w:t>
      </w:r>
      <w:r w:rsidRPr="001B770F">
        <w:t>европейската</w:t>
      </w:r>
      <w:r>
        <w:t xml:space="preserve"> рамка за икономическо управление.</w:t>
      </w:r>
    </w:p>
    <w:p w14:paraId="15242FCC" w14:textId="3B988ED3" w:rsidR="00C47D63" w:rsidRDefault="00AC18F9" w:rsidP="00C47D63">
      <w:pPr>
        <w:spacing w:after="120"/>
        <w:jc w:val="both"/>
      </w:pPr>
      <w:r w:rsidRPr="000C4757">
        <w:t xml:space="preserve">Полугодието на 2026 г. завърши без приет от Народното събрание Закон за държавния бюджет на Република България за 2026 г. Това наложи за период от повече от шест месеца събирането на приходи и извършването на разходи и предоставянето на трансфери по държавния бюджет да  </w:t>
      </w:r>
      <w:r w:rsidR="00A57C3E" w:rsidRPr="000C4757">
        <w:t>се извършва</w:t>
      </w:r>
      <w:r w:rsidRPr="000C4757">
        <w:t xml:space="preserve"> съгласно разпоредбата на чл. 87, ал. 1 на ЗПФ при действието на Закона за прилагане на разпоредбите на ЗДБРБ за 2025 г., ЗБДОО за 2025 г. и ЗБНЗОК за 2025 г. </w:t>
      </w:r>
      <w:r w:rsidR="00531795" w:rsidRPr="000A73A8">
        <w:rPr>
          <w:color w:val="000000" w:themeColor="text1"/>
        </w:rPr>
        <w:t>За разлика от предходни години, когато прилагането на аналогична законова рамка през първите месеци на годината доведе до известно задържане на разходите, през 2026 г. се наблюдава противоположна тенденция на устойчиво нарастване на разходите, за което допринасят основно законодателни промени, одобрени през 2025 г., в т.</w:t>
      </w:r>
      <w:r w:rsidR="00531795">
        <w:rPr>
          <w:color w:val="000000" w:themeColor="text1"/>
        </w:rPr>
        <w:t xml:space="preserve"> </w:t>
      </w:r>
      <w:r w:rsidR="00531795" w:rsidRPr="000A73A8">
        <w:rPr>
          <w:color w:val="000000" w:themeColor="text1"/>
        </w:rPr>
        <w:t>ч. увеличените размери на възнагражденията в някои адм</w:t>
      </w:r>
      <w:r w:rsidR="00531795" w:rsidRPr="00531795">
        <w:rPr>
          <w:color w:val="000000" w:themeColor="text1"/>
        </w:rPr>
        <w:t>инистрации, увеличените размери на пенсиите, на минималната работна заплата и ръста на заплатите в бюджетния сектор с инфлацията за 2025 г. и т. н. Натискът от страна на разходите по националния бюджет се допълва от навлизането на инвестициите</w:t>
      </w:r>
      <w:r w:rsidR="00531795" w:rsidRPr="000A73A8">
        <w:rPr>
          <w:color w:val="000000" w:themeColor="text1"/>
        </w:rPr>
        <w:t xml:space="preserve"> и проектите, финансирани по Националния план за възстановяване и устойчивост във финален етап, както и от значителното нарастване на разходите по </w:t>
      </w:r>
      <w:r w:rsidR="00157450">
        <w:rPr>
          <w:color w:val="000000" w:themeColor="text1"/>
        </w:rPr>
        <w:t>П</w:t>
      </w:r>
      <w:r w:rsidR="00531795" w:rsidRPr="000A73A8">
        <w:rPr>
          <w:color w:val="000000" w:themeColor="text1"/>
        </w:rPr>
        <w:t xml:space="preserve">рограмата за </w:t>
      </w:r>
      <w:r w:rsidR="00157450">
        <w:rPr>
          <w:color w:val="000000" w:themeColor="text1"/>
        </w:rPr>
        <w:t>о</w:t>
      </w:r>
      <w:r w:rsidR="00531795" w:rsidRPr="000A73A8">
        <w:rPr>
          <w:color w:val="000000" w:themeColor="text1"/>
        </w:rPr>
        <w:t>бщински инвестиционни проекти. Всички тези фактори водят до изпреварващ ръст на разходите, докато тенденциите в приходите очертават умерено нарастване. Това от своя страна е и причината нарастването в приходите да изостава значително спрямо ръста в разходите</w:t>
      </w:r>
      <w:r w:rsidR="00C47D63" w:rsidRPr="000C4757">
        <w:rPr>
          <w:color w:val="000000" w:themeColor="text1"/>
        </w:rPr>
        <w:t>.</w:t>
      </w:r>
    </w:p>
    <w:p w14:paraId="284A4FBF" w14:textId="31448F04" w:rsidR="00C47D63" w:rsidRDefault="00C47D63" w:rsidP="00C47D63">
      <w:pPr>
        <w:tabs>
          <w:tab w:val="left" w:pos="7371"/>
        </w:tabs>
        <w:spacing w:after="120"/>
        <w:jc w:val="both"/>
      </w:pPr>
      <w:r w:rsidRPr="001E1E12">
        <w:t>Фискалните развити</w:t>
      </w:r>
      <w:r>
        <w:t>я през първото полугодие на 202</w:t>
      </w:r>
      <w:r w:rsidR="00B054AB">
        <w:t>6</w:t>
      </w:r>
      <w:r w:rsidRPr="001E1E12">
        <w:t xml:space="preserve"> г</w:t>
      </w:r>
      <w:r w:rsidRPr="008F1941">
        <w:t>.</w:t>
      </w:r>
      <w:r w:rsidRPr="001E1E12">
        <w:t xml:space="preserve"> бяха доминирани от множество фактори, влияещи разнопосочно върху бюджетните показатели. </w:t>
      </w:r>
      <w:r>
        <w:t xml:space="preserve">От една страна, след провеждането на извънредни парламентарни избори през април бе сформирано категорично парламентарно мнозинство, което сложи край на периода от няколко години на политическа нестабилност и фрагментираност в </w:t>
      </w:r>
      <w:r w:rsidR="007D1D6A">
        <w:t>П</w:t>
      </w:r>
      <w:r>
        <w:t>арламента. Международните рейтингови агенции оценяват положително сформирането на стабилно парламентарно мнозинство през 2026 г., тъй като то създава предпоставки за възстановяване на политическата и институционалната стабилност и за провеждане на последователна фискална политика. Според S&amp;P Global Ratings стабилното управление повишава вероятността за реализиране на фискална консолидация, провеждане на структурни реформи и по-ефективно усвояване на европейските средства. На тази основа агенцията подобри перспективата по кредитния рейтинг на България от „стабилна“ на „положителна“, като подчерта, че запазването на благоприятната оценка зависи от постигането на устойчиво подобрение на публичните финанси и ограничаването на бюджетния дефицит.</w:t>
      </w:r>
    </w:p>
    <w:p w14:paraId="45E2136D" w14:textId="7BC3D660" w:rsidR="00C47D63" w:rsidRDefault="00C47D63" w:rsidP="00C47D63">
      <w:pPr>
        <w:tabs>
          <w:tab w:val="left" w:pos="7371"/>
        </w:tabs>
        <w:spacing w:after="120"/>
        <w:jc w:val="both"/>
      </w:pPr>
      <w:r>
        <w:t>От друга страна обаче, през периода се наблюдаваше разширяване на зоните с военни конфликти</w:t>
      </w:r>
      <w:r w:rsidR="00243135">
        <w:t>,</w:t>
      </w:r>
      <w:r>
        <w:t xml:space="preserve"> към които се добавиха и военните действия в Близкия изток.</w:t>
      </w:r>
      <w:r w:rsidRPr="00C16775">
        <w:rPr>
          <w:lang w:eastAsia="bg-BG"/>
        </w:rPr>
        <w:t xml:space="preserve"> </w:t>
      </w:r>
      <w:r w:rsidR="00761207">
        <w:rPr>
          <w:lang w:eastAsia="bg-BG"/>
        </w:rPr>
        <w:t>Тези развития очертават  необходимост от</w:t>
      </w:r>
      <w:r w:rsidR="00761207" w:rsidRPr="00C16775">
        <w:rPr>
          <w:lang w:eastAsia="bg-BG"/>
        </w:rPr>
        <w:t xml:space="preserve"> подкрепа </w:t>
      </w:r>
      <w:r w:rsidR="00761207">
        <w:rPr>
          <w:lang w:eastAsia="bg-BG"/>
        </w:rPr>
        <w:t>н</w:t>
      </w:r>
      <w:r w:rsidR="00761207" w:rsidRPr="00C16775">
        <w:rPr>
          <w:lang w:eastAsia="bg-BG"/>
        </w:rPr>
        <w:t>а енергийна</w:t>
      </w:r>
      <w:r w:rsidR="00761207">
        <w:rPr>
          <w:lang w:eastAsia="bg-BG"/>
        </w:rPr>
        <w:t>та</w:t>
      </w:r>
      <w:r w:rsidR="00761207" w:rsidRPr="00C16775">
        <w:rPr>
          <w:lang w:eastAsia="bg-BG"/>
        </w:rPr>
        <w:t xml:space="preserve"> независимост и </w:t>
      </w:r>
      <w:r w:rsidR="00761207">
        <w:rPr>
          <w:lang w:eastAsia="bg-BG"/>
        </w:rPr>
        <w:t xml:space="preserve">активиране при необходимост на </w:t>
      </w:r>
      <w:r w:rsidR="00761207" w:rsidRPr="00C16775">
        <w:rPr>
          <w:lang w:eastAsia="bg-BG"/>
        </w:rPr>
        <w:t>компенсаторни мерки при евентуални сътресения на енергийните пазари</w:t>
      </w:r>
      <w:r w:rsidRPr="00C16775">
        <w:rPr>
          <w:lang w:eastAsia="bg-BG"/>
        </w:rPr>
        <w:t xml:space="preserve">. Военните действия в Украйна и напрежението в Близкия изток поддържат </w:t>
      </w:r>
      <w:r w:rsidR="00243135">
        <w:rPr>
          <w:lang w:eastAsia="bg-BG"/>
        </w:rPr>
        <w:t xml:space="preserve">висок </w:t>
      </w:r>
      <w:r w:rsidRPr="00C16775">
        <w:rPr>
          <w:lang w:eastAsia="bg-BG"/>
        </w:rPr>
        <w:t>риск</w:t>
      </w:r>
      <w:r w:rsidR="00243135">
        <w:rPr>
          <w:lang w:eastAsia="bg-BG"/>
        </w:rPr>
        <w:t>а</w:t>
      </w:r>
      <w:r w:rsidRPr="00C16775">
        <w:rPr>
          <w:lang w:eastAsia="bg-BG"/>
        </w:rPr>
        <w:t xml:space="preserve"> от нови ценови шокове при енергоносителите и суровините. </w:t>
      </w:r>
      <w:r>
        <w:rPr>
          <w:lang w:eastAsia="bg-BG"/>
        </w:rPr>
        <w:t>Г</w:t>
      </w:r>
      <w:r w:rsidRPr="00C16775">
        <w:rPr>
          <w:lang w:eastAsia="bg-BG"/>
        </w:rPr>
        <w:t xml:space="preserve">лобалната икономическа несигурност </w:t>
      </w:r>
      <w:r>
        <w:rPr>
          <w:lang w:eastAsia="bg-BG"/>
        </w:rPr>
        <w:t>се задълбочи, което съответно е свързано с</w:t>
      </w:r>
      <w:r w:rsidRPr="00C16775">
        <w:rPr>
          <w:lang w:eastAsia="bg-BG"/>
        </w:rPr>
        <w:t xml:space="preserve"> по-</w:t>
      </w:r>
      <w:r>
        <w:rPr>
          <w:lang w:eastAsia="bg-BG"/>
        </w:rPr>
        <w:t xml:space="preserve">висока инфлационна несигурност и потенциални рискове за </w:t>
      </w:r>
      <w:r w:rsidR="00243135">
        <w:rPr>
          <w:lang w:eastAsia="bg-BG"/>
        </w:rPr>
        <w:t>забавяне</w:t>
      </w:r>
      <w:r>
        <w:rPr>
          <w:lang w:eastAsia="bg-BG"/>
        </w:rPr>
        <w:t xml:space="preserve"> на</w:t>
      </w:r>
      <w:r w:rsidRPr="00C16775">
        <w:rPr>
          <w:lang w:eastAsia="bg-BG"/>
        </w:rPr>
        <w:t xml:space="preserve"> икономическия растеж и потенциално по-слаби бюджетни приходи вследствие на по-ниска</w:t>
      </w:r>
      <w:r w:rsidR="00243135">
        <w:rPr>
          <w:lang w:eastAsia="bg-BG"/>
        </w:rPr>
        <w:t>та</w:t>
      </w:r>
      <w:r w:rsidRPr="00C16775">
        <w:rPr>
          <w:lang w:eastAsia="bg-BG"/>
        </w:rPr>
        <w:t xml:space="preserve"> икономическа активност и външно търсене. Допълнителна </w:t>
      </w:r>
      <w:r w:rsidR="00362382">
        <w:rPr>
          <w:lang w:eastAsia="bg-BG"/>
        </w:rPr>
        <w:t xml:space="preserve">потенциална </w:t>
      </w:r>
      <w:r w:rsidRPr="00C16775">
        <w:rPr>
          <w:lang w:eastAsia="bg-BG"/>
        </w:rPr>
        <w:t xml:space="preserve">тежест върху бюджета създава глобалната търговска нестабилност, свързана с непредвидимата политика на САЩ </w:t>
      </w:r>
      <w:r w:rsidRPr="00C16775">
        <w:rPr>
          <w:lang w:eastAsia="bg-BG"/>
        </w:rPr>
        <w:lastRenderedPageBreak/>
        <w:t xml:space="preserve">спрямо ЕС и други търговски партньори, която увеличава рисковете за износа, инвестициите и приходите от данъци. </w:t>
      </w:r>
    </w:p>
    <w:p w14:paraId="0D10098D" w14:textId="66E0AC2F" w:rsidR="00C47D63" w:rsidRPr="003A5199" w:rsidRDefault="00C47D63" w:rsidP="00C47D63">
      <w:pPr>
        <w:tabs>
          <w:tab w:val="left" w:pos="7371"/>
        </w:tabs>
        <w:spacing w:after="120"/>
        <w:jc w:val="both"/>
        <w:rPr>
          <w:lang w:val="en-US"/>
        </w:rPr>
      </w:pPr>
      <w:r w:rsidRPr="00840146">
        <w:rPr>
          <w:color w:val="000000" w:themeColor="text1"/>
        </w:rPr>
        <w:t xml:space="preserve">От страна на приходите към полугодието се наблюдава нарастване на данъчните приходи и приходите в частта на помощите и даренията (основно грантове по програмите и фондовете на ЕС), докато неданъчните приходи се свиват спрямо същия период на предходната година. В номинално изражение приходите по КФП нарастват с </w:t>
      </w:r>
      <w:r w:rsidR="00625F38">
        <w:rPr>
          <w:color w:val="000000" w:themeColor="text1"/>
        </w:rPr>
        <w:t>над</w:t>
      </w:r>
      <w:r w:rsidRPr="00840146">
        <w:rPr>
          <w:color w:val="000000" w:themeColor="text1"/>
        </w:rPr>
        <w:t xml:space="preserve"> </w:t>
      </w:r>
      <w:r w:rsidRPr="00840146">
        <w:rPr>
          <w:color w:val="000000" w:themeColor="text1"/>
          <w:lang w:val="en-US"/>
        </w:rPr>
        <w:t>1</w:t>
      </w:r>
      <w:r w:rsidR="00C677C3">
        <w:rPr>
          <w:color w:val="000000" w:themeColor="text1"/>
        </w:rPr>
        <w:t>,</w:t>
      </w:r>
      <w:r w:rsidRPr="00840146">
        <w:rPr>
          <w:color w:val="000000" w:themeColor="text1"/>
          <w:lang w:val="en-US"/>
        </w:rPr>
        <w:t xml:space="preserve">6 </w:t>
      </w:r>
      <w:r w:rsidRPr="00840146">
        <w:rPr>
          <w:color w:val="000000" w:themeColor="text1"/>
        </w:rPr>
        <w:t>млрд. евро (8,1 на сто) спрямо първите шест месеца на 2025 г., като основната част от т</w:t>
      </w:r>
      <w:r>
        <w:rPr>
          <w:color w:val="000000" w:themeColor="text1"/>
        </w:rPr>
        <w:t>ози ръст се формира от данъчно-осигурителните</w:t>
      </w:r>
      <w:r w:rsidRPr="00840146">
        <w:rPr>
          <w:color w:val="000000" w:themeColor="text1"/>
        </w:rPr>
        <w:t xml:space="preserve"> приходи, които нарастват с над 1,5 млрд. евро (9,2 на сто). </w:t>
      </w:r>
      <w:r>
        <w:rPr>
          <w:color w:val="000000" w:themeColor="text1"/>
        </w:rPr>
        <w:t>Основен двигател на отчетения ръст в частта на данъчно-осигурителните приходи с</w:t>
      </w:r>
      <w:r w:rsidR="00625F38">
        <w:rPr>
          <w:color w:val="000000" w:themeColor="text1"/>
        </w:rPr>
        <w:t xml:space="preserve">а </w:t>
      </w:r>
      <w:r>
        <w:rPr>
          <w:color w:val="000000" w:themeColor="text1"/>
        </w:rPr>
        <w:t xml:space="preserve">косвените данъци, основно  постъпленията от ДДС (номинален ръст от 15,5 на сто спрямо същия период на предходната година), както и приходите от социални и здравно-осигурителни </w:t>
      </w:r>
      <w:r w:rsidR="00AE413D">
        <w:rPr>
          <w:color w:val="000000" w:themeColor="text1"/>
        </w:rPr>
        <w:t>вноски</w:t>
      </w:r>
      <w:r>
        <w:rPr>
          <w:color w:val="000000" w:themeColor="text1"/>
        </w:rPr>
        <w:t xml:space="preserve"> (номинален ръст от 10,</w:t>
      </w:r>
      <w:r w:rsidR="009843CC">
        <w:rPr>
          <w:color w:val="000000" w:themeColor="text1"/>
        </w:rPr>
        <w:t>8 </w:t>
      </w:r>
      <w:r>
        <w:rPr>
          <w:color w:val="000000" w:themeColor="text1"/>
        </w:rPr>
        <w:t>на сто), ДДФЛ (ръст от</w:t>
      </w:r>
      <w:r w:rsidR="003626F8">
        <w:rPr>
          <w:color w:val="000000" w:themeColor="text1"/>
        </w:rPr>
        <w:t xml:space="preserve"> </w:t>
      </w:r>
      <w:r>
        <w:rPr>
          <w:color w:val="000000" w:themeColor="text1"/>
        </w:rPr>
        <w:t>14,6 на сто) и други. Факторите за тези развития са свързани</w:t>
      </w:r>
      <w:r w:rsidR="00580440">
        <w:rPr>
          <w:color w:val="000000" w:themeColor="text1"/>
        </w:rPr>
        <w:t>,</w:t>
      </w:r>
      <w:r>
        <w:rPr>
          <w:color w:val="000000" w:themeColor="text1"/>
        </w:rPr>
        <w:t xml:space="preserve"> от една страна</w:t>
      </w:r>
      <w:r w:rsidR="00580440">
        <w:rPr>
          <w:color w:val="000000" w:themeColor="text1"/>
        </w:rPr>
        <w:t>,</w:t>
      </w:r>
      <w:r>
        <w:rPr>
          <w:color w:val="000000" w:themeColor="text1"/>
        </w:rPr>
        <w:t xml:space="preserve"> с продължаващото силно вътрешно потребление, което задно с натиска върху цените от военния конфликт в Близкия изток чрез шоковете върху международните пазари на енергоносители и горива и</w:t>
      </w:r>
      <w:r w:rsidRPr="003E10DF">
        <w:rPr>
          <w:color w:val="365F91" w:themeColor="accent1" w:themeShade="BF"/>
        </w:rPr>
        <w:t xml:space="preserve"> </w:t>
      </w:r>
      <w:r w:rsidRPr="00C87394">
        <w:rPr>
          <w:color w:val="000000" w:themeColor="text1"/>
        </w:rPr>
        <w:t xml:space="preserve">други основни суровини и обема на внесените стоки, курса на щатския долар и др. влияят </w:t>
      </w:r>
      <w:r>
        <w:rPr>
          <w:color w:val="000000" w:themeColor="text1"/>
        </w:rPr>
        <w:t xml:space="preserve">върху </w:t>
      </w:r>
      <w:r w:rsidRPr="00C87394">
        <w:rPr>
          <w:color w:val="000000" w:themeColor="text1"/>
        </w:rPr>
        <w:t>размера на приходите от ДДС. От друга страна</w:t>
      </w:r>
      <w:r>
        <w:rPr>
          <w:color w:val="000000" w:themeColor="text1"/>
        </w:rPr>
        <w:t>,</w:t>
      </w:r>
      <w:r w:rsidRPr="00C87394">
        <w:rPr>
          <w:color w:val="000000" w:themeColor="text1"/>
        </w:rPr>
        <w:t xml:space="preserve"> и през първото полугодие на 2026 г. продължи</w:t>
      </w:r>
      <w:r>
        <w:rPr>
          <w:color w:val="000000" w:themeColor="text1"/>
        </w:rPr>
        <w:t xml:space="preserve"> да се отчита устойчив</w:t>
      </w:r>
      <w:r w:rsidRPr="00C87394">
        <w:rPr>
          <w:color w:val="000000" w:themeColor="text1"/>
        </w:rPr>
        <w:t xml:space="preserve"> ръст</w:t>
      </w:r>
      <w:r>
        <w:rPr>
          <w:color w:val="000000" w:themeColor="text1"/>
        </w:rPr>
        <w:t xml:space="preserve"> на възнагражденията както в</w:t>
      </w:r>
      <w:r w:rsidRPr="00C87394">
        <w:rPr>
          <w:color w:val="000000" w:themeColor="text1"/>
        </w:rPr>
        <w:t xml:space="preserve"> публичния сектор</w:t>
      </w:r>
      <w:r>
        <w:rPr>
          <w:color w:val="000000" w:themeColor="text1"/>
        </w:rPr>
        <w:t>, така и в</w:t>
      </w:r>
      <w:r w:rsidRPr="00C87394">
        <w:rPr>
          <w:color w:val="000000" w:themeColor="text1"/>
        </w:rPr>
        <w:t xml:space="preserve"> икономиката като цяло, което доведе до запазване на нарастването на средната работна заплата за страната</w:t>
      </w:r>
      <w:r>
        <w:rPr>
          <w:color w:val="000000" w:themeColor="text1"/>
        </w:rPr>
        <w:t>, респективно средния осигурителен доход,</w:t>
      </w:r>
      <w:r w:rsidRPr="00C87394">
        <w:rPr>
          <w:color w:val="000000" w:themeColor="text1"/>
        </w:rPr>
        <w:t xml:space="preserve"> н</w:t>
      </w:r>
      <w:r>
        <w:rPr>
          <w:color w:val="000000" w:themeColor="text1"/>
        </w:rPr>
        <w:t>а сравнително високо ниво. Това оказва</w:t>
      </w:r>
      <w:r w:rsidRPr="00C87394">
        <w:rPr>
          <w:color w:val="000000" w:themeColor="text1"/>
        </w:rPr>
        <w:t xml:space="preserve"> положителен ефект върху приходите от ДДФЛ и от социални и здравно-осигурителни вноски. </w:t>
      </w:r>
      <w:r>
        <w:rPr>
          <w:color w:val="000000" w:themeColor="text1"/>
        </w:rPr>
        <w:t xml:space="preserve">Следва да се </w:t>
      </w:r>
      <w:r w:rsidRPr="00F9575F">
        <w:rPr>
          <w:color w:val="000000" w:themeColor="text1"/>
        </w:rPr>
        <w:t xml:space="preserve">отбележи, че </w:t>
      </w:r>
      <w:r w:rsidR="007F664F">
        <w:rPr>
          <w:color w:val="000000" w:themeColor="text1"/>
        </w:rPr>
        <w:t>намалението</w:t>
      </w:r>
      <w:r w:rsidRPr="00F9575F">
        <w:rPr>
          <w:color w:val="000000" w:themeColor="text1"/>
        </w:rPr>
        <w:t xml:space="preserve"> при приходите от акцизи (</w:t>
      </w:r>
      <w:r w:rsidR="007F664F">
        <w:rPr>
          <w:color w:val="000000" w:themeColor="text1"/>
        </w:rPr>
        <w:t>спад от 5</w:t>
      </w:r>
      <w:r w:rsidRPr="00F9575F">
        <w:rPr>
          <w:color w:val="000000" w:themeColor="text1"/>
        </w:rPr>
        <w:t>,</w:t>
      </w:r>
      <w:r w:rsidR="007F664F">
        <w:rPr>
          <w:color w:val="000000" w:themeColor="text1"/>
        </w:rPr>
        <w:t>3</w:t>
      </w:r>
      <w:r w:rsidRPr="00F9575F">
        <w:rPr>
          <w:color w:val="000000" w:themeColor="text1"/>
        </w:rPr>
        <w:t xml:space="preserve"> на сто) и корпоративни данъци (спад от 6,1 на сто) </w:t>
      </w:r>
      <w:r w:rsidR="007F664F">
        <w:rPr>
          <w:color w:val="000000" w:themeColor="text1"/>
        </w:rPr>
        <w:t>се дължи</w:t>
      </w:r>
      <w:r w:rsidR="000A3651">
        <w:rPr>
          <w:color w:val="000000" w:themeColor="text1"/>
        </w:rPr>
        <w:t>,</w:t>
      </w:r>
      <w:r>
        <w:rPr>
          <w:color w:val="000000" w:themeColor="text1"/>
        </w:rPr>
        <w:t xml:space="preserve"> от една страна</w:t>
      </w:r>
      <w:r w:rsidR="000A3651">
        <w:rPr>
          <w:color w:val="000000" w:themeColor="text1"/>
        </w:rPr>
        <w:t>,</w:t>
      </w:r>
      <w:r>
        <w:rPr>
          <w:color w:val="000000" w:themeColor="text1"/>
        </w:rPr>
        <w:t xml:space="preserve"> на базов ефект в 2025 г. от увеличението на акцизите от месец май 2025 г. и наблюдаваното тогава презапасяване с акцизни стоки при по-благоприятния режим преди увеличението. От друга страна, при корпоративните данъци</w:t>
      </w:r>
      <w:r w:rsidR="000A3651">
        <w:rPr>
          <w:color w:val="000000" w:themeColor="text1"/>
        </w:rPr>
        <w:t>,</w:t>
      </w:r>
      <w:r>
        <w:rPr>
          <w:color w:val="000000" w:themeColor="text1"/>
        </w:rPr>
        <w:t xml:space="preserve"> съпоставено с предходната година</w:t>
      </w:r>
      <w:r w:rsidR="000A3651">
        <w:rPr>
          <w:color w:val="000000" w:themeColor="text1"/>
        </w:rPr>
        <w:t>,</w:t>
      </w:r>
      <w:r>
        <w:rPr>
          <w:color w:val="000000" w:themeColor="text1"/>
        </w:rPr>
        <w:t xml:space="preserve"> постъпленията са по-ниски поради внесени авансово вноски по ЗКПО от финансови институции през 2025 г., които за данъчни цели ще се приспадат през 2026 г. и следващи години. </w:t>
      </w:r>
      <w:r w:rsidR="00E501A0">
        <w:rPr>
          <w:color w:val="000000" w:themeColor="text1"/>
        </w:rPr>
        <w:t>Предвид изложеното, изпълнението на разчетите към ЗДБРБ за 2026</w:t>
      </w:r>
      <w:r w:rsidR="00507B1B">
        <w:rPr>
          <w:color w:val="000000" w:themeColor="text1"/>
        </w:rPr>
        <w:t> </w:t>
      </w:r>
      <w:r w:rsidR="00E501A0">
        <w:rPr>
          <w:color w:val="000000" w:themeColor="text1"/>
        </w:rPr>
        <w:t xml:space="preserve"> г. (ДВ, бр. 69 от 31.07.2026 г.) в частта на данъчните приходи по КФП към полугодието на 2026 г. е </w:t>
      </w:r>
      <w:r w:rsidR="00072E22" w:rsidRPr="00072E22">
        <w:rPr>
          <w:color w:val="000000" w:themeColor="text1"/>
        </w:rPr>
        <w:t>46,3</w:t>
      </w:r>
      <w:r w:rsidR="00E501A0" w:rsidRPr="00072E22">
        <w:rPr>
          <w:color w:val="000000" w:themeColor="text1"/>
        </w:rPr>
        <w:t xml:space="preserve"> на сто</w:t>
      </w:r>
      <w:r w:rsidRPr="00072E22">
        <w:rPr>
          <w:color w:val="000000" w:themeColor="text1"/>
        </w:rPr>
        <w:t>.</w:t>
      </w:r>
    </w:p>
    <w:p w14:paraId="3B4B2E9B" w14:textId="4313026B" w:rsidR="00C47D63" w:rsidRPr="00757EE6" w:rsidRDefault="00C47D63" w:rsidP="00C47D63">
      <w:pPr>
        <w:tabs>
          <w:tab w:val="left" w:pos="7371"/>
        </w:tabs>
        <w:spacing w:after="120"/>
        <w:jc w:val="both"/>
        <w:rPr>
          <w:color w:val="000000" w:themeColor="text1"/>
        </w:rPr>
      </w:pPr>
      <w:r w:rsidRPr="00757EE6">
        <w:rPr>
          <w:color w:val="000000" w:themeColor="text1"/>
        </w:rPr>
        <w:t xml:space="preserve">В частта на неданъчните приходи се очертава забавяне основно при постъпленията от дивидент за държавата от дружества с държавно участие в капитала, както и при приходите от продажба на квоти за емисии на парникови газове по бюджета на Фонд „Сигурност на електроенергийната система“. </w:t>
      </w:r>
      <w:r w:rsidRPr="00757EE6">
        <w:rPr>
          <w:rFonts w:eastAsia="Calibri"/>
          <w:color w:val="000000" w:themeColor="text1"/>
        </w:rPr>
        <w:t>При постъпленията от дивидент за държавата от държавни предприятия постъпленията през настоящата година са значително по-малко от отчетените към полугодието на 2025 г. – при постъпили 333,7</w:t>
      </w:r>
      <w:r w:rsidRPr="00757EE6">
        <w:rPr>
          <w:color w:val="000000" w:themeColor="text1"/>
        </w:rPr>
        <w:t xml:space="preserve"> млн. евро от дивидент за държавата от държавни предприятия за шестте месеца на 2025 г., през същия период на 2026 г. са постъпили едва 37,1 млн. евро, което е в резултат основно на внесен междинен дивидент за финансовата 2025 г. още през 2025 г. Това води до по-ниски вноски в бюджета от дивидент за държавата през 2026 г., когато обичайно би следвало да се внесе дивидента за финансовата 2025 г.</w:t>
      </w:r>
    </w:p>
    <w:p w14:paraId="4E47B59E" w14:textId="5ECECE7A" w:rsidR="00C47D63" w:rsidRPr="00E12130" w:rsidRDefault="00331CD1" w:rsidP="00C47D63">
      <w:pPr>
        <w:tabs>
          <w:tab w:val="left" w:pos="7371"/>
        </w:tabs>
        <w:spacing w:after="120"/>
        <w:jc w:val="both"/>
        <w:rPr>
          <w:color w:val="000000" w:themeColor="text1"/>
        </w:rPr>
      </w:pPr>
      <w:r w:rsidRPr="00331CD1">
        <w:rPr>
          <w:color w:val="000000" w:themeColor="text1"/>
        </w:rPr>
        <w:t>Изпълнението на разчетите в частта на помощите към полугодието е относително ниско (18,5 на сто от разчета към ЗДБРБ за 2026 г.), основно поради значителният размер на планираните постъпления от ЕК по четвъртото и петото искане за плащане по Механизма за възстановяване и устойчивост (МВУ), които обаче трябва постъпят през второто полугодие на 2026 г.</w:t>
      </w:r>
      <w:r w:rsidRPr="00331CD1">
        <w:rPr>
          <w:color w:val="000000" w:themeColor="text1"/>
          <w:lang w:val="en-US"/>
        </w:rPr>
        <w:t xml:space="preserve"> </w:t>
      </w:r>
      <w:r w:rsidRPr="00331CD1">
        <w:rPr>
          <w:color w:val="000000" w:themeColor="text1"/>
        </w:rPr>
        <w:t>На 31.07.</w:t>
      </w:r>
      <w:r w:rsidR="003C3CD7" w:rsidRPr="00331CD1">
        <w:rPr>
          <w:color w:val="000000" w:themeColor="text1"/>
        </w:rPr>
        <w:t>2026</w:t>
      </w:r>
      <w:r w:rsidR="003C3CD7">
        <w:rPr>
          <w:color w:val="000000" w:themeColor="text1"/>
        </w:rPr>
        <w:t> </w:t>
      </w:r>
      <w:r w:rsidRPr="00331CD1">
        <w:rPr>
          <w:color w:val="000000" w:themeColor="text1"/>
        </w:rPr>
        <w:t xml:space="preserve">г. </w:t>
      </w:r>
      <w:r w:rsidRPr="00331CD1">
        <w:rPr>
          <w:color w:val="000000" w:themeColor="text1"/>
          <w:lang w:val="en-US"/>
        </w:rPr>
        <w:t>e</w:t>
      </w:r>
      <w:r w:rsidRPr="00331CD1">
        <w:rPr>
          <w:color w:val="000000" w:themeColor="text1"/>
        </w:rPr>
        <w:t xml:space="preserve"> получен транш в размер на 896 120 667 евро по четвърто искане за плащане, като са задържани средства за неизпълнение на два етапа в размер на 72 807 855 евро, а отчитане на реформата за водоснабдяване и канализация и средствата свързани с нея са прехвърлени към пето искане за плащане. В началото на м. август се очаква получаване на задържаните средства от трето искане за плащане, свързани с реформата за главния прокурор в размер на 109 млн. евро. За да бъдат получени в пълен размер средствата по пето искане за плащане, както и задържаните средства до момента са необходими действия както от страна на Народното събрание за осигуряване на съответствие на част от законодателните реформи с поетите ангажименти в НПВУ, така и от страна на органи, част от </w:t>
      </w:r>
      <w:r w:rsidR="007F664F">
        <w:rPr>
          <w:color w:val="000000" w:themeColor="text1"/>
        </w:rPr>
        <w:t>с</w:t>
      </w:r>
      <w:r w:rsidRPr="00331CD1">
        <w:rPr>
          <w:color w:val="000000" w:themeColor="text1"/>
        </w:rPr>
        <w:t>ъдебната система и изпълнителната власт</w:t>
      </w:r>
      <w:r w:rsidR="00C47D63" w:rsidRPr="00331CD1">
        <w:rPr>
          <w:color w:val="000000" w:themeColor="text1"/>
        </w:rPr>
        <w:t>.</w:t>
      </w:r>
      <w:r w:rsidR="00C47D63" w:rsidRPr="00E12130">
        <w:rPr>
          <w:color w:val="000000" w:themeColor="text1"/>
        </w:rPr>
        <w:t xml:space="preserve"> </w:t>
      </w:r>
    </w:p>
    <w:p w14:paraId="300F48EA" w14:textId="24542B8A" w:rsidR="00C47D63" w:rsidRPr="00E12130" w:rsidRDefault="00C47D63" w:rsidP="00C47D63">
      <w:pPr>
        <w:tabs>
          <w:tab w:val="left" w:pos="7371"/>
        </w:tabs>
        <w:spacing w:after="120"/>
        <w:jc w:val="both"/>
        <w:rPr>
          <w:color w:val="000000" w:themeColor="text1"/>
        </w:rPr>
      </w:pPr>
      <w:r w:rsidRPr="00E12130">
        <w:rPr>
          <w:color w:val="000000" w:themeColor="text1"/>
        </w:rPr>
        <w:lastRenderedPageBreak/>
        <w:t>През първите шест месеца на 2026 г. се наблюдава относително ускорено нарастване на разходите, докато нарастването в частта на приходите бе по-умерено, което съответно се отрази във формиране на дефицит в размер на 2,4 млрд. евро. (1,9</w:t>
      </w:r>
      <w:r w:rsidR="005C2868">
        <w:rPr>
          <w:color w:val="000000" w:themeColor="text1"/>
        </w:rPr>
        <w:t xml:space="preserve"> </w:t>
      </w:r>
      <w:r w:rsidRPr="00E12130">
        <w:rPr>
          <w:color w:val="000000" w:themeColor="text1"/>
        </w:rPr>
        <w:t xml:space="preserve">% от прогнозния БВП) по консолидираната фискална програма към края на юни 2026 г. </w:t>
      </w:r>
      <w:r w:rsidR="009C3826" w:rsidRPr="00E12130">
        <w:rPr>
          <w:color w:val="000000" w:themeColor="text1"/>
        </w:rPr>
        <w:t xml:space="preserve">За разлика от предходната година, когато през юни и юли еднократните приходи от дивидент за държавата от държавни предприятия и авансово внесени вноски по ЗКПО компенсираха част </w:t>
      </w:r>
      <w:r w:rsidR="009C3826">
        <w:rPr>
          <w:color w:val="000000" w:themeColor="text1"/>
        </w:rPr>
        <w:t xml:space="preserve">от </w:t>
      </w:r>
      <w:r w:rsidR="009C3826" w:rsidRPr="00E12130">
        <w:rPr>
          <w:color w:val="000000" w:themeColor="text1"/>
        </w:rPr>
        <w:t>натрупания дефицит от предходните месеци, през 2026 г. ръстът на разходите е по-висок от темпа на нарастване на приходите, включително и поради липсата на еднократни приходи и по-ниски постъпления от корпоративен данък, което е причина</w:t>
      </w:r>
      <w:r w:rsidR="009C3826">
        <w:rPr>
          <w:color w:val="000000" w:themeColor="text1"/>
        </w:rPr>
        <w:t xml:space="preserve"> за отчетения </w:t>
      </w:r>
      <w:r w:rsidR="009C3826" w:rsidRPr="00E12130">
        <w:rPr>
          <w:color w:val="000000" w:themeColor="text1"/>
        </w:rPr>
        <w:t>бюджет</w:t>
      </w:r>
      <w:r w:rsidR="009C3826">
        <w:rPr>
          <w:color w:val="000000" w:themeColor="text1"/>
        </w:rPr>
        <w:t>е</w:t>
      </w:r>
      <w:r w:rsidR="009C3826" w:rsidRPr="00E12130">
        <w:rPr>
          <w:color w:val="000000" w:themeColor="text1"/>
        </w:rPr>
        <w:t>н</w:t>
      </w:r>
      <w:r w:rsidR="009C3826">
        <w:rPr>
          <w:color w:val="000000" w:themeColor="text1"/>
        </w:rPr>
        <w:t xml:space="preserve"> дефицит</w:t>
      </w:r>
      <w:r w:rsidR="009C3826" w:rsidRPr="00E12130">
        <w:rPr>
          <w:color w:val="000000" w:themeColor="text1"/>
        </w:rPr>
        <w:t xml:space="preserve"> към полугодието</w:t>
      </w:r>
      <w:r w:rsidRPr="00E12130">
        <w:rPr>
          <w:color w:val="000000" w:themeColor="text1"/>
        </w:rPr>
        <w:t xml:space="preserve">. </w:t>
      </w:r>
    </w:p>
    <w:p w14:paraId="556CFCAB" w14:textId="056E3A9E" w:rsidR="00C47D63" w:rsidRPr="00912BA1" w:rsidRDefault="00C47D63" w:rsidP="00C47D63">
      <w:pPr>
        <w:tabs>
          <w:tab w:val="left" w:pos="7371"/>
        </w:tabs>
        <w:spacing w:after="120"/>
        <w:jc w:val="both"/>
        <w:rPr>
          <w:color w:val="000000" w:themeColor="text1"/>
        </w:rPr>
      </w:pPr>
      <w:r w:rsidRPr="00E12130">
        <w:rPr>
          <w:color w:val="000000" w:themeColor="text1"/>
        </w:rPr>
        <w:t>Спрямо същия период на предходната година разходите и вноската в общия бюджет на ЕС нарастват номинално с 2,3 млрд. евро (10,7 на сто), което се дължи както на нарастването на разходите по националния бюджет, така и на разходите по сметките за средства от ЕС. В отделните разходни показатели най-</w:t>
      </w:r>
      <w:r w:rsidRPr="00912BA1">
        <w:rPr>
          <w:color w:val="000000" w:themeColor="text1"/>
        </w:rPr>
        <w:t>значително нарастване има при социалните и здравноосигурителните разходи (0,9 млрд. евро), както и в частта на разходите за персонал (0,6</w:t>
      </w:r>
      <w:r w:rsidR="006F56CF">
        <w:rPr>
          <w:color w:val="000000" w:themeColor="text1"/>
        </w:rPr>
        <w:t> </w:t>
      </w:r>
      <w:r w:rsidRPr="00912BA1">
        <w:rPr>
          <w:color w:val="000000" w:themeColor="text1"/>
        </w:rPr>
        <w:t xml:space="preserve">млрд. евро), капиталовите разходи (0,3 млрд. евро), разходите за издръжка (0,2 млрд. евро) и други. Ръстът на разходите се дължи на влезли в сила нормативни актове, вкл. промени в пенсионната сфера, разходи по реализирането на одобрени от Народното събрание инвестиционни проекти </w:t>
      </w:r>
      <w:r>
        <w:rPr>
          <w:color w:val="000000" w:themeColor="text1"/>
        </w:rPr>
        <w:t>по Общинската инвестиционна програма</w:t>
      </w:r>
      <w:r w:rsidRPr="00912BA1">
        <w:rPr>
          <w:color w:val="000000" w:themeColor="text1"/>
        </w:rPr>
        <w:t xml:space="preserve">, </w:t>
      </w:r>
      <w:r>
        <w:rPr>
          <w:color w:val="000000" w:themeColor="text1"/>
        </w:rPr>
        <w:t xml:space="preserve">нарастване на разходите по проектите и инвестициите по ПВУ, </w:t>
      </w:r>
      <w:r w:rsidRPr="00912BA1">
        <w:rPr>
          <w:color w:val="000000" w:themeColor="text1"/>
        </w:rPr>
        <w:t xml:space="preserve">увеличени размери на възнагражденията в </w:t>
      </w:r>
      <w:r>
        <w:rPr>
          <w:color w:val="000000" w:themeColor="text1"/>
        </w:rPr>
        <w:t>бюджетния сектор с 5 на сто от 1 януари 2026 г., увеличен размер на минималната работна заплата и</w:t>
      </w:r>
      <w:r w:rsidRPr="00912BA1">
        <w:rPr>
          <w:color w:val="000000" w:themeColor="text1"/>
        </w:rPr>
        <w:t xml:space="preserve"> други.</w:t>
      </w:r>
    </w:p>
    <w:p w14:paraId="512606C9" w14:textId="1F970323" w:rsidR="00C47D63" w:rsidRPr="001477A9" w:rsidRDefault="00C47D63" w:rsidP="00C47D63">
      <w:pPr>
        <w:tabs>
          <w:tab w:val="left" w:pos="7371"/>
        </w:tabs>
        <w:spacing w:after="120"/>
        <w:jc w:val="both"/>
        <w:rPr>
          <w:color w:val="000000" w:themeColor="text1"/>
        </w:rPr>
      </w:pPr>
      <w:r w:rsidRPr="001477A9">
        <w:rPr>
          <w:color w:val="000000" w:themeColor="text1"/>
        </w:rPr>
        <w:t>При отделните елементи на разходите, съпоставено със същия период на предходната година, най-значителен номинален ръст се отчита при социалните и здравноосигурителните разходи</w:t>
      </w:r>
      <w:r w:rsidR="00023F0F">
        <w:rPr>
          <w:color w:val="000000" w:themeColor="text1"/>
        </w:rPr>
        <w:t xml:space="preserve"> (вкл. стипендиите)</w:t>
      </w:r>
      <w:r w:rsidRPr="001477A9">
        <w:rPr>
          <w:color w:val="000000" w:themeColor="text1"/>
        </w:rPr>
        <w:t xml:space="preserve"> (0,9 млрд. евро или </w:t>
      </w:r>
      <w:r w:rsidR="00023F0F">
        <w:rPr>
          <w:color w:val="000000" w:themeColor="text1"/>
        </w:rPr>
        <w:t>9</w:t>
      </w:r>
      <w:r w:rsidRPr="001477A9">
        <w:rPr>
          <w:color w:val="000000" w:themeColor="text1"/>
        </w:rPr>
        <w:t>,</w:t>
      </w:r>
      <w:r w:rsidR="00023F0F">
        <w:rPr>
          <w:color w:val="000000" w:themeColor="text1"/>
        </w:rPr>
        <w:t>0</w:t>
      </w:r>
      <w:r w:rsidRPr="001477A9">
        <w:rPr>
          <w:color w:val="000000" w:themeColor="text1"/>
        </w:rPr>
        <w:t xml:space="preserve"> на сто), в т.ч. разходите за пенсии нарастват с 0,6 млрд. евро (10,3 на сто). Основните мерки в пенсионната сфера, действащи през първото полугодие на 2026</w:t>
      </w:r>
      <w:r w:rsidR="00174D6C">
        <w:rPr>
          <w:color w:val="000000" w:themeColor="text1"/>
        </w:rPr>
        <w:t> </w:t>
      </w:r>
      <w:r w:rsidRPr="001477A9">
        <w:rPr>
          <w:color w:val="000000" w:themeColor="text1"/>
        </w:rPr>
        <w:t xml:space="preserve">г., </w:t>
      </w:r>
      <w:r w:rsidR="00A408CB" w:rsidRPr="00A408CB">
        <w:rPr>
          <w:color w:val="000000" w:themeColor="text1"/>
        </w:rPr>
        <w:t xml:space="preserve">са влезлите </w:t>
      </w:r>
      <w:r w:rsidRPr="001477A9">
        <w:rPr>
          <w:color w:val="000000" w:themeColor="text1"/>
        </w:rPr>
        <w:t xml:space="preserve">в сила през 2025 г.: от 1 юли 2025 г. пенсиите за трудова дейност, отпуснати до 31 декември 2024 г., бяха осъвременени с 8,6 % по реда на чл. 100 от Кодекса за социално осигуряване (т.нар. „швейцарско правило“). Мярката обхвана около 2,041 млн. пенсионери. Предвид обстоятелството, че посочените мерки не са действали през първото полугодие на 2025 г. при съпоставката със същия период на предходната година се наблюдава базов ефект, което обуславя относително високия номинален ръст. </w:t>
      </w:r>
    </w:p>
    <w:p w14:paraId="3ADF1E9E" w14:textId="66830E02" w:rsidR="00C47D63" w:rsidRPr="00E039E9" w:rsidRDefault="00C47D63" w:rsidP="00C47D63">
      <w:pPr>
        <w:tabs>
          <w:tab w:val="left" w:pos="7371"/>
        </w:tabs>
        <w:spacing w:after="120"/>
        <w:jc w:val="both"/>
        <w:rPr>
          <w:color w:val="000000" w:themeColor="text1"/>
        </w:rPr>
      </w:pPr>
      <w:r w:rsidRPr="001477A9">
        <w:rPr>
          <w:color w:val="000000" w:themeColor="text1"/>
        </w:rPr>
        <w:t xml:space="preserve">Друг елемент на разходите, при който се отчита съществено </w:t>
      </w:r>
      <w:r w:rsidRPr="00E039E9">
        <w:rPr>
          <w:color w:val="000000" w:themeColor="text1"/>
        </w:rPr>
        <w:t>нарастване спрямо полугодието на предходната година (с 0,6 млрд. евро или 10,8 на сто)</w:t>
      </w:r>
      <w:r w:rsidR="00023F0F">
        <w:rPr>
          <w:color w:val="000000" w:themeColor="text1"/>
        </w:rPr>
        <w:t>,</w:t>
      </w:r>
      <w:r w:rsidRPr="00E039E9">
        <w:rPr>
          <w:color w:val="000000" w:themeColor="text1"/>
        </w:rPr>
        <w:t xml:space="preserve"> са разходите за персонал. Разгледани по съставни бюджети, най-съществена част от номиналното нарастване на разходите за персонал се формира по общинските бюджети,</w:t>
      </w:r>
      <w:r>
        <w:rPr>
          <w:color w:val="000000" w:themeColor="text1"/>
        </w:rPr>
        <w:t xml:space="preserve"> където те нарастват с</w:t>
      </w:r>
      <w:r w:rsidRPr="00E039E9">
        <w:rPr>
          <w:color w:val="000000" w:themeColor="text1"/>
        </w:rPr>
        <w:t xml:space="preserve"> 0,33 млрд. евро (15,6 на сто), следвани от разходите за персонал по държавния бюджет, които нарастват с 0,22 млрд. евро (7,2 на сто). Нарастването на разходите се дължи основно на увеличение на размера на възнагражденията със ЗДБРБ за 2024 г. и 2025 г., повлияно в значителна степен от одобрение с промени в различни закони</w:t>
      </w:r>
      <w:r>
        <w:rPr>
          <w:color w:val="000000" w:themeColor="text1"/>
        </w:rPr>
        <w:t>, регламентиращи</w:t>
      </w:r>
      <w:r w:rsidRPr="00E039E9">
        <w:rPr>
          <w:color w:val="000000" w:themeColor="text1"/>
        </w:rPr>
        <w:t xml:space="preserve"> т.нар. „автоматизми“ при определянето на заплатите в </w:t>
      </w:r>
      <w:r>
        <w:rPr>
          <w:color w:val="000000" w:themeColor="text1"/>
        </w:rPr>
        <w:t>редица</w:t>
      </w:r>
      <w:r w:rsidRPr="00E039E9">
        <w:rPr>
          <w:color w:val="000000" w:themeColor="text1"/>
        </w:rPr>
        <w:t xml:space="preserve"> сектори, както и одобреното с </w:t>
      </w:r>
      <w:r w:rsidR="007F19D6">
        <w:rPr>
          <w:color w:val="000000" w:themeColor="text1"/>
        </w:rPr>
        <w:t>„</w:t>
      </w:r>
      <w:r w:rsidRPr="00E039E9">
        <w:rPr>
          <w:color w:val="000000" w:themeColor="text1"/>
        </w:rPr>
        <w:t>удължителния</w:t>
      </w:r>
      <w:r w:rsidR="007F19D6">
        <w:rPr>
          <w:color w:val="000000" w:themeColor="text1"/>
        </w:rPr>
        <w:t>“</w:t>
      </w:r>
      <w:r w:rsidRPr="00E039E9">
        <w:rPr>
          <w:color w:val="000000" w:themeColor="text1"/>
        </w:rPr>
        <w:t xml:space="preserve"> закон увеличение на възнагражденията в бюджетния сектор с натрупаната инфлация през 2025 г. (5 на сто), считано от 01.01.2026 г. Върху разходите за персонал влияние оказва и увеличеният размер на минималната работна заплата. </w:t>
      </w:r>
    </w:p>
    <w:p w14:paraId="1CA665D2" w14:textId="44FBE65B" w:rsidR="00C47D63" w:rsidRDefault="00C47D63" w:rsidP="00C47D63">
      <w:pPr>
        <w:tabs>
          <w:tab w:val="left" w:pos="7371"/>
        </w:tabs>
        <w:spacing w:after="120"/>
        <w:jc w:val="both"/>
        <w:rPr>
          <w:color w:val="000000" w:themeColor="text1"/>
        </w:rPr>
      </w:pPr>
      <w:r w:rsidRPr="005C266E">
        <w:rPr>
          <w:color w:val="000000" w:themeColor="text1"/>
        </w:rPr>
        <w:t>Капиталовите разходи нарастват с 0,3 млрд. евро (1</w:t>
      </w:r>
      <w:r w:rsidR="00AC30FA">
        <w:rPr>
          <w:color w:val="000000" w:themeColor="text1"/>
        </w:rPr>
        <w:t>6</w:t>
      </w:r>
      <w:r w:rsidRPr="005C266E">
        <w:rPr>
          <w:color w:val="000000" w:themeColor="text1"/>
        </w:rPr>
        <w:t>,</w:t>
      </w:r>
      <w:r w:rsidR="00AC30FA">
        <w:rPr>
          <w:color w:val="000000" w:themeColor="text1"/>
        </w:rPr>
        <w:t>3</w:t>
      </w:r>
      <w:r w:rsidRPr="005C266E">
        <w:rPr>
          <w:color w:val="000000" w:themeColor="text1"/>
        </w:rPr>
        <w:t xml:space="preserve"> на сто) спрямо полугодието на 2025 г., като основен принос отново имат капиталовите разходи и трансфери, извършени по </w:t>
      </w:r>
      <w:r w:rsidR="00281300">
        <w:rPr>
          <w:color w:val="000000" w:themeColor="text1"/>
        </w:rPr>
        <w:t>с</w:t>
      </w:r>
      <w:r w:rsidRPr="005C266E">
        <w:rPr>
          <w:color w:val="000000" w:themeColor="text1"/>
        </w:rPr>
        <w:t>метките за средства от ЕС, свързани с изпълнението на инвестициите и проектите по ПВУ, които нарастват с 0,5 млрд. евро (68,8 на сто), както и капиталовите разходи и трансферите по общинските бюджети, които нарастват с 0,3 млрд. евро. (основно поради разходите по одобрените от Народното събрание проекти по Общинската инвестиционен програма). Намаление при капиталовите разходи се отчита по държавния бюджет (с 0,5 млрд. евро), основно поради промяна в договорените срокове за плащане по инвестиционен проект в областта на отбраната.</w:t>
      </w:r>
    </w:p>
    <w:p w14:paraId="0EC1194A" w14:textId="64E995C6" w:rsidR="005B1526" w:rsidRDefault="005B1526" w:rsidP="00C47D63">
      <w:pPr>
        <w:tabs>
          <w:tab w:val="left" w:pos="7371"/>
        </w:tabs>
        <w:spacing w:after="120"/>
        <w:jc w:val="both"/>
        <w:rPr>
          <w:color w:val="000000" w:themeColor="text1"/>
        </w:rPr>
      </w:pPr>
    </w:p>
    <w:p w14:paraId="7023C1AA" w14:textId="77777777" w:rsidR="005B1526" w:rsidRPr="005C266E" w:rsidRDefault="005B1526" w:rsidP="00C47D63">
      <w:pPr>
        <w:tabs>
          <w:tab w:val="left" w:pos="7371"/>
        </w:tabs>
        <w:spacing w:after="120"/>
        <w:jc w:val="both"/>
        <w:rPr>
          <w:b/>
          <w:color w:val="000000" w:themeColor="text1"/>
          <w:lang w:eastAsia="bg-BG"/>
        </w:rPr>
      </w:pPr>
    </w:p>
    <w:p w14:paraId="369CFBA3" w14:textId="77777777" w:rsidR="00C47D63" w:rsidRPr="00D8538C" w:rsidRDefault="00C47D63" w:rsidP="00C47D63">
      <w:pPr>
        <w:keepNext/>
        <w:keepLines/>
        <w:spacing w:before="240"/>
        <w:jc w:val="both"/>
        <w:outlineLvl w:val="2"/>
        <w:rPr>
          <w:b/>
          <w:u w:val="single"/>
          <w:lang w:eastAsia="bg-BG"/>
        </w:rPr>
      </w:pPr>
      <w:r w:rsidRPr="00D8538C">
        <w:rPr>
          <w:b/>
          <w:u w:val="single"/>
          <w:lang w:eastAsia="bg-BG"/>
        </w:rPr>
        <w:lastRenderedPageBreak/>
        <w:t xml:space="preserve">Фискални предизвикателства </w:t>
      </w:r>
    </w:p>
    <w:p w14:paraId="3F6E6798" w14:textId="77777777" w:rsidR="00C47D63" w:rsidRPr="00D8538C" w:rsidRDefault="00C47D63" w:rsidP="00C47D63">
      <w:pPr>
        <w:pStyle w:val="BodyText"/>
        <w:rPr>
          <w:color w:val="000000" w:themeColor="text1"/>
          <w:sz w:val="12"/>
          <w:szCs w:val="12"/>
        </w:rPr>
      </w:pPr>
    </w:p>
    <w:p w14:paraId="098901B9" w14:textId="1A7D6996" w:rsidR="00C47D63" w:rsidRPr="00D8538C" w:rsidRDefault="008070A4" w:rsidP="00C47D63">
      <w:pPr>
        <w:pStyle w:val="BodyText"/>
        <w:rPr>
          <w:color w:val="000000" w:themeColor="text1"/>
        </w:rPr>
      </w:pPr>
      <w:r>
        <w:rPr>
          <w:color w:val="000000" w:themeColor="text1"/>
        </w:rPr>
        <w:t>О</w:t>
      </w:r>
      <w:r w:rsidRPr="00D8538C">
        <w:rPr>
          <w:color w:val="000000" w:themeColor="text1"/>
        </w:rPr>
        <w:t xml:space="preserve">сновно предизвикателство през настоящата година е успешното и в срок изпълнение на инвестициите и проектите по НПВУ, заедно с което в ускорен порядък трябва да бъдат завършени и реформите, заложени в </w:t>
      </w:r>
      <w:r>
        <w:rPr>
          <w:color w:val="000000" w:themeColor="text1"/>
        </w:rPr>
        <w:t>П</w:t>
      </w:r>
      <w:r w:rsidRPr="00D8538C">
        <w:rPr>
          <w:color w:val="000000" w:themeColor="text1"/>
        </w:rPr>
        <w:t xml:space="preserve">лана. Това изисква безпрецедентна мобилизация както на бюджетни ресурси, така и на експертиза и капацитет при управлението </w:t>
      </w:r>
      <w:r>
        <w:rPr>
          <w:color w:val="000000" w:themeColor="text1"/>
        </w:rPr>
        <w:t xml:space="preserve">и изпълнението </w:t>
      </w:r>
      <w:r w:rsidRPr="00D8538C">
        <w:rPr>
          <w:color w:val="000000" w:themeColor="text1"/>
        </w:rPr>
        <w:t xml:space="preserve">на проектите. Въпреки сериозното ускоряване при финансирането на разходите по </w:t>
      </w:r>
      <w:r>
        <w:rPr>
          <w:color w:val="000000" w:themeColor="text1"/>
        </w:rPr>
        <w:t xml:space="preserve">Плана </w:t>
      </w:r>
      <w:r w:rsidRPr="00D8538C">
        <w:rPr>
          <w:color w:val="000000" w:themeColor="text1"/>
        </w:rPr>
        <w:t xml:space="preserve">през </w:t>
      </w:r>
      <w:r>
        <w:rPr>
          <w:color w:val="000000" w:themeColor="text1"/>
        </w:rPr>
        <w:t>отчетния период, в последните два месеца от срока на допустимост на разходите по ПВУ, т. е.</w:t>
      </w:r>
      <w:r w:rsidRPr="00D8538C">
        <w:rPr>
          <w:color w:val="000000" w:themeColor="text1"/>
        </w:rPr>
        <w:t xml:space="preserve"> </w:t>
      </w:r>
      <w:r>
        <w:rPr>
          <w:color w:val="000000" w:themeColor="text1"/>
        </w:rPr>
        <w:t>до 31 август,</w:t>
      </w:r>
      <w:r w:rsidRPr="00D8538C">
        <w:rPr>
          <w:color w:val="000000" w:themeColor="text1"/>
        </w:rPr>
        <w:t xml:space="preserve"> предстои да бъде извършена огромна по обем работа, с оглед максимално усвояване на алокираните за България средства </w:t>
      </w:r>
      <w:r>
        <w:rPr>
          <w:color w:val="000000" w:themeColor="text1"/>
        </w:rPr>
        <w:t>от Механизма</w:t>
      </w:r>
      <w:r w:rsidRPr="00D8538C">
        <w:rPr>
          <w:color w:val="000000" w:themeColor="text1"/>
        </w:rPr>
        <w:t xml:space="preserve">. </w:t>
      </w:r>
      <w:r>
        <w:rPr>
          <w:color w:val="000000" w:themeColor="text1"/>
        </w:rPr>
        <w:t xml:space="preserve">Концентрирането на огромен обем от дейности по изпълнението и приключването </w:t>
      </w:r>
      <w:r w:rsidRPr="00D8538C">
        <w:rPr>
          <w:color w:val="000000" w:themeColor="text1"/>
        </w:rPr>
        <w:t xml:space="preserve">на НПВУ представлява потенциален риск за </w:t>
      </w:r>
      <w:r>
        <w:rPr>
          <w:color w:val="000000" w:themeColor="text1"/>
        </w:rPr>
        <w:t xml:space="preserve">поддържане на адекватна одитна следа и </w:t>
      </w:r>
      <w:r w:rsidRPr="00D8538C">
        <w:rPr>
          <w:color w:val="000000" w:themeColor="text1"/>
        </w:rPr>
        <w:t>спазване на срока за допустимост на разходите, което също може да постави под натиск националния бюджет в средносрочен хоризонт</w:t>
      </w:r>
      <w:r w:rsidR="00C47D63" w:rsidRPr="00D8538C">
        <w:rPr>
          <w:color w:val="000000" w:themeColor="text1"/>
        </w:rPr>
        <w:t>.</w:t>
      </w:r>
    </w:p>
    <w:p w14:paraId="6813BEF7" w14:textId="77777777" w:rsidR="00C47D63" w:rsidRPr="00D8538C" w:rsidRDefault="00C47D63" w:rsidP="00C47D63">
      <w:pPr>
        <w:pStyle w:val="BodyText"/>
        <w:rPr>
          <w:color w:val="000000" w:themeColor="text1"/>
          <w:sz w:val="12"/>
          <w:szCs w:val="12"/>
        </w:rPr>
      </w:pPr>
    </w:p>
    <w:p w14:paraId="589202BD" w14:textId="12347F73" w:rsidR="00C47D63" w:rsidRPr="00D8538C" w:rsidRDefault="005B40EE" w:rsidP="00C47D63">
      <w:pPr>
        <w:pStyle w:val="BodyText"/>
        <w:rPr>
          <w:color w:val="000000" w:themeColor="text1"/>
        </w:rPr>
      </w:pPr>
      <w:r w:rsidRPr="00D8538C">
        <w:rPr>
          <w:color w:val="000000" w:themeColor="text1"/>
        </w:rPr>
        <w:t>Сериозен натиск върху разходите оказа въведеното обвързване на възнагражденията в редица бюджетни сектори със средната работна заплата, както и определянето на размера на минималната работна заплата чрез формула, включваща средната работна заплата в страната. Тези т. н. „автоматизми“</w:t>
      </w:r>
      <w:r>
        <w:rPr>
          <w:color w:val="000000" w:themeColor="text1"/>
        </w:rPr>
        <w:t>,</w:t>
      </w:r>
      <w:r w:rsidRPr="00D8538C">
        <w:rPr>
          <w:color w:val="000000" w:themeColor="text1"/>
        </w:rPr>
        <w:t xml:space="preserve"> от една страна</w:t>
      </w:r>
      <w:r>
        <w:rPr>
          <w:color w:val="000000" w:themeColor="text1"/>
        </w:rPr>
        <w:t>,</w:t>
      </w:r>
      <w:r w:rsidRPr="00D8538C">
        <w:rPr>
          <w:color w:val="000000" w:themeColor="text1"/>
        </w:rPr>
        <w:t xml:space="preserve"> доведоха до сериозни  диспропорции между възнагражденията в отделните бюджетни системи, като заедно с това действат демотивиращо на заетите, тъй като постигнатите резултати нямат голямо влияние върху размера на възнагражденията, а от друга, поставят под сериозен натиск разходната част на бюджета, което застраш</w:t>
      </w:r>
      <w:r>
        <w:rPr>
          <w:color w:val="000000" w:themeColor="text1"/>
        </w:rPr>
        <w:t>ава</w:t>
      </w:r>
      <w:r w:rsidRPr="00D8538C">
        <w:rPr>
          <w:color w:val="000000" w:themeColor="text1"/>
        </w:rPr>
        <w:t xml:space="preserve"> устойчивостта на публичните финанси при настоящата данъчна система. Тези предизвикателства изискват сериозен анализ на действащото законодателство по отношение на определянето на възнагражденията в бюджетния сектор, на база на който да бъдат идентифицирани мерки и реформи, които да премахнат автоматизмите, да намалят диспропорциите и да ограничат натиска върху разходите в средносрочен хоризонт</w:t>
      </w:r>
      <w:r w:rsidR="00C47D63" w:rsidRPr="005B40EE">
        <w:rPr>
          <w:color w:val="000000" w:themeColor="text1"/>
        </w:rPr>
        <w:t>.</w:t>
      </w:r>
    </w:p>
    <w:p w14:paraId="747FF3E9" w14:textId="4A28DDFA" w:rsidR="00C47D63" w:rsidRDefault="00C47D63" w:rsidP="00C47D63">
      <w:pPr>
        <w:keepNext/>
        <w:keepLines/>
        <w:spacing w:before="240"/>
        <w:jc w:val="both"/>
        <w:outlineLvl w:val="2"/>
        <w:rPr>
          <w:color w:val="000000" w:themeColor="text1"/>
        </w:rPr>
      </w:pPr>
      <w:r w:rsidRPr="00D8538C">
        <w:rPr>
          <w:color w:val="000000" w:themeColor="text1"/>
        </w:rPr>
        <w:t>Друго сериозно предизвикателство представляват проектите по Инвестиционната програма за общински проекти със срок на изпълнение и въвеждане в експлоатация до 30 юни 2027 г. Одобрените до сега проекти, включени в Приложение 3 към чл. 113 на ЗДБРБ за 2025 г.</w:t>
      </w:r>
      <w:r w:rsidR="00281300">
        <w:rPr>
          <w:color w:val="000000" w:themeColor="text1"/>
        </w:rPr>
        <w:t>,</w:t>
      </w:r>
      <w:r w:rsidRPr="00D8538C">
        <w:rPr>
          <w:color w:val="000000" w:themeColor="text1"/>
        </w:rPr>
        <w:t xml:space="preserve"> също изискват сериозен ресурс, като данните показват, че отново се очаква концентриране на значителни разходи през 2026 г. и 2027 г., предвид срока за приключване на проектите.</w:t>
      </w:r>
      <w:r>
        <w:rPr>
          <w:color w:val="000000" w:themeColor="text1"/>
        </w:rPr>
        <w:t xml:space="preserve"> Към това могат да се добавят и нови задължения за разходи по поети ангажименти през 2025 г., които към момента не са обезпечени с финансиране.</w:t>
      </w:r>
    </w:p>
    <w:p w14:paraId="6BBD1705" w14:textId="77777777" w:rsidR="005D7577" w:rsidRPr="00BC72AC" w:rsidRDefault="00A07483" w:rsidP="00A07483">
      <w:pPr>
        <w:rPr>
          <w:color w:val="0070C0"/>
        </w:rPr>
      </w:pPr>
      <w:r w:rsidRPr="00BC72AC">
        <w:rPr>
          <w:color w:val="0070C0"/>
        </w:rPr>
        <w:br w:type="page"/>
      </w:r>
    </w:p>
    <w:p w14:paraId="502911E0" w14:textId="77777777" w:rsidR="008969AB" w:rsidRPr="00A7008A" w:rsidRDefault="008969AB" w:rsidP="00A7008A">
      <w:pPr>
        <w:pStyle w:val="Heading1"/>
        <w:numPr>
          <w:ilvl w:val="0"/>
          <w:numId w:val="8"/>
        </w:numPr>
        <w:spacing w:before="360"/>
        <w:ind w:right="-108"/>
        <w:jc w:val="both"/>
        <w:rPr>
          <w:sz w:val="24"/>
        </w:rPr>
      </w:pPr>
      <w:r w:rsidRPr="00A7008A">
        <w:rPr>
          <w:sz w:val="24"/>
        </w:rPr>
        <w:lastRenderedPageBreak/>
        <w:t>Основни показатели по консолидираната фискална програма</w:t>
      </w:r>
      <w:r w:rsidRPr="00A7008A">
        <w:rPr>
          <w:rStyle w:val="FootnoteReference"/>
          <w:sz w:val="24"/>
        </w:rPr>
        <w:footnoteReference w:id="2"/>
      </w:r>
      <w:r w:rsidRPr="00A7008A">
        <w:rPr>
          <w:sz w:val="24"/>
        </w:rPr>
        <w:t xml:space="preserve"> за </w:t>
      </w:r>
      <w:r w:rsidR="00800FB7" w:rsidRPr="00A7008A">
        <w:rPr>
          <w:sz w:val="24"/>
        </w:rPr>
        <w:t xml:space="preserve">първото </w:t>
      </w:r>
      <w:r w:rsidR="00A7008A" w:rsidRPr="00A7008A">
        <w:rPr>
          <w:sz w:val="24"/>
        </w:rPr>
        <w:t xml:space="preserve">полугодие </w:t>
      </w:r>
      <w:r w:rsidR="00800FB7" w:rsidRPr="00A7008A">
        <w:rPr>
          <w:sz w:val="24"/>
        </w:rPr>
        <w:t>на 2026 г.</w:t>
      </w:r>
    </w:p>
    <w:p w14:paraId="529FB057" w14:textId="77777777" w:rsidR="00C35EB3" w:rsidRPr="00BC72AC" w:rsidRDefault="00C35EB3" w:rsidP="00C35EB3">
      <w:pPr>
        <w:jc w:val="both"/>
        <w:rPr>
          <w:color w:val="0070C0"/>
        </w:rPr>
      </w:pPr>
      <w:bookmarkStart w:id="3" w:name="_MON_1608125583"/>
      <w:bookmarkStart w:id="4" w:name="_MON_1608125674"/>
      <w:bookmarkStart w:id="5" w:name="_MON_1608126274"/>
      <w:bookmarkStart w:id="6" w:name="_MON_1608124882"/>
      <w:bookmarkStart w:id="7" w:name="_MON_1608126650"/>
      <w:bookmarkStart w:id="8" w:name="_MON_1608126890"/>
      <w:bookmarkStart w:id="9" w:name="_MON_1608126952"/>
      <w:bookmarkStart w:id="10" w:name="_MON_1608127244"/>
      <w:bookmarkStart w:id="11" w:name="_MON_1608124980"/>
      <w:bookmarkStart w:id="12" w:name="_MON_1608125062"/>
      <w:bookmarkStart w:id="13" w:name="_MON_1608125088"/>
      <w:bookmarkStart w:id="14" w:name="_MON_1608125406"/>
      <w:bookmarkStart w:id="15" w:name="_MON_1609599545"/>
      <w:bookmarkStart w:id="16" w:name="_MON_1609599605"/>
      <w:bookmarkStart w:id="17" w:name="_MON_160812542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533CDE02" w14:textId="77777777" w:rsidR="00044565" w:rsidRPr="00B8463E" w:rsidRDefault="00044565" w:rsidP="00044565">
      <w:pPr>
        <w:jc w:val="both"/>
      </w:pPr>
      <w:r w:rsidRPr="00B8463E">
        <w:t>Изпълнението на основните показатели по консолидираната фискална програма за първото полугодие на 2026 г. е представено в следната таблица:</w:t>
      </w:r>
    </w:p>
    <w:p w14:paraId="611DDBD9" w14:textId="77777777" w:rsidR="00044565" w:rsidRPr="00BC72AC" w:rsidRDefault="00044565" w:rsidP="00044565">
      <w:pPr>
        <w:jc w:val="both"/>
        <w:rPr>
          <w:color w:val="0070C0"/>
          <w:sz w:val="4"/>
          <w:szCs w:val="4"/>
        </w:rPr>
      </w:pPr>
    </w:p>
    <w:p w14:paraId="51880DF7" w14:textId="77777777" w:rsidR="00044565" w:rsidRPr="00B8463E" w:rsidRDefault="00044565" w:rsidP="00044565">
      <w:pPr>
        <w:spacing w:before="120"/>
        <w:rPr>
          <w:b/>
          <w:i/>
          <w:sz w:val="22"/>
          <w:szCs w:val="22"/>
        </w:rPr>
      </w:pPr>
      <w:r w:rsidRPr="00B8463E">
        <w:rPr>
          <w:b/>
          <w:i/>
          <w:sz w:val="22"/>
          <w:szCs w:val="22"/>
        </w:rPr>
        <w:t>Таблица</w:t>
      </w:r>
      <w:r w:rsidRPr="00B8463E">
        <w:rPr>
          <w:b/>
          <w:i/>
          <w:sz w:val="22"/>
          <w:szCs w:val="22"/>
          <w:vertAlign w:val="superscript"/>
        </w:rPr>
        <w:footnoteReference w:id="3"/>
      </w:r>
      <w:r w:rsidRPr="00B8463E">
        <w:rPr>
          <w:b/>
          <w:i/>
          <w:sz w:val="22"/>
          <w:szCs w:val="22"/>
        </w:rPr>
        <w:t xml:space="preserve"> №1</w:t>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r>
      <w:r w:rsidRPr="00B8463E">
        <w:rPr>
          <w:b/>
          <w:i/>
          <w:sz w:val="22"/>
          <w:szCs w:val="22"/>
        </w:rPr>
        <w:tab/>
        <w:t xml:space="preserve">        </w:t>
      </w:r>
      <w:r w:rsidRPr="00B8463E">
        <w:rPr>
          <w:b/>
          <w:bCs/>
          <w:sz w:val="20"/>
          <w:szCs w:val="20"/>
          <w:lang w:val="en-GB"/>
        </w:rPr>
        <w:t>(млн. евро)</w:t>
      </w:r>
    </w:p>
    <w:tbl>
      <w:tblPr>
        <w:tblW w:w="10146" w:type="dxa"/>
        <w:tblInd w:w="98" w:type="dxa"/>
        <w:tblLook w:val="04A0" w:firstRow="1" w:lastRow="0" w:firstColumn="1" w:lastColumn="0" w:noHBand="0" w:noVBand="1"/>
      </w:tblPr>
      <w:tblGrid>
        <w:gridCol w:w="4003"/>
        <w:gridCol w:w="1418"/>
        <w:gridCol w:w="1095"/>
        <w:gridCol w:w="1222"/>
        <w:gridCol w:w="1199"/>
        <w:gridCol w:w="1209"/>
      </w:tblGrid>
      <w:tr w:rsidR="00723530" w:rsidRPr="00BC72AC" w14:paraId="45CFF1EA" w14:textId="77777777" w:rsidTr="00673641">
        <w:trPr>
          <w:trHeight w:val="265"/>
        </w:trPr>
        <w:tc>
          <w:tcPr>
            <w:tcW w:w="400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6B8C996A" w14:textId="77777777" w:rsidR="00723530" w:rsidRPr="00CD44C7" w:rsidRDefault="00723530" w:rsidP="00723530">
            <w:pPr>
              <w:jc w:val="center"/>
              <w:rPr>
                <w:b/>
                <w:bCs/>
                <w:sz w:val="18"/>
                <w:szCs w:val="18"/>
              </w:rPr>
            </w:pPr>
            <w:r w:rsidRPr="00CD44C7">
              <w:rPr>
                <w:b/>
                <w:bCs/>
                <w:sz w:val="18"/>
                <w:szCs w:val="18"/>
              </w:rPr>
              <w:t>ПОКАЗАТЕЛ</w:t>
            </w:r>
          </w:p>
        </w:tc>
        <w:tc>
          <w:tcPr>
            <w:tcW w:w="1418" w:type="dxa"/>
            <w:tcBorders>
              <w:top w:val="single" w:sz="8" w:space="0" w:color="auto"/>
              <w:left w:val="single" w:sz="4" w:space="0" w:color="auto"/>
              <w:bottom w:val="nil"/>
              <w:right w:val="single" w:sz="4" w:space="0" w:color="auto"/>
            </w:tcBorders>
            <w:shd w:val="clear" w:color="000000" w:fill="D9D9D9"/>
            <w:noWrap/>
            <w:vAlign w:val="bottom"/>
            <w:hideMark/>
          </w:tcPr>
          <w:p w14:paraId="0BE66BCD" w14:textId="77777777" w:rsidR="00723530" w:rsidRPr="005E019A" w:rsidRDefault="00723530" w:rsidP="00723530">
            <w:pPr>
              <w:jc w:val="center"/>
              <w:rPr>
                <w:b/>
                <w:bCs/>
                <w:sz w:val="18"/>
                <w:szCs w:val="18"/>
                <w:highlight w:val="yellow"/>
              </w:rPr>
            </w:pPr>
            <w:r w:rsidRPr="005E019A">
              <w:rPr>
                <w:b/>
                <w:bCs/>
                <w:sz w:val="18"/>
                <w:szCs w:val="18"/>
              </w:rPr>
              <w:t>Разчет 20</w:t>
            </w:r>
            <w:r w:rsidRPr="005E019A">
              <w:rPr>
                <w:b/>
                <w:bCs/>
                <w:sz w:val="18"/>
                <w:szCs w:val="18"/>
                <w:lang w:val="en-US"/>
              </w:rPr>
              <w:t>2</w:t>
            </w:r>
            <w:r>
              <w:rPr>
                <w:b/>
                <w:bCs/>
                <w:sz w:val="18"/>
                <w:szCs w:val="18"/>
              </w:rPr>
              <w:t>6</w:t>
            </w:r>
            <w:r w:rsidRPr="005E019A">
              <w:rPr>
                <w:b/>
                <w:bCs/>
                <w:sz w:val="18"/>
                <w:szCs w:val="18"/>
              </w:rPr>
              <w:t xml:space="preserve"> г.</w:t>
            </w:r>
            <w:r w:rsidRPr="005E019A">
              <w:rPr>
                <w:rStyle w:val="FootnoteReference"/>
                <w:b/>
                <w:bCs/>
                <w:sz w:val="18"/>
                <w:szCs w:val="18"/>
              </w:rPr>
              <w:footnoteReference w:id="4"/>
            </w:r>
          </w:p>
        </w:tc>
        <w:tc>
          <w:tcPr>
            <w:tcW w:w="3516"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21C2475B" w14:textId="3566A64A" w:rsidR="00723530" w:rsidRPr="00CD7B9C" w:rsidRDefault="00723530" w:rsidP="00E042F2">
            <w:pPr>
              <w:jc w:val="center"/>
              <w:rPr>
                <w:b/>
                <w:bCs/>
                <w:sz w:val="18"/>
                <w:szCs w:val="18"/>
              </w:rPr>
            </w:pPr>
            <w:r w:rsidRPr="00CD7B9C">
              <w:rPr>
                <w:b/>
                <w:bCs/>
                <w:sz w:val="18"/>
                <w:szCs w:val="18"/>
              </w:rPr>
              <w:t>Отчет към 3</w:t>
            </w:r>
            <w:r w:rsidR="00E042F2">
              <w:rPr>
                <w:b/>
                <w:bCs/>
                <w:sz w:val="18"/>
                <w:szCs w:val="18"/>
                <w:lang w:val="en-US"/>
              </w:rPr>
              <w:t>0</w:t>
            </w:r>
            <w:r w:rsidRPr="00CD7B9C">
              <w:rPr>
                <w:b/>
                <w:bCs/>
                <w:sz w:val="18"/>
                <w:szCs w:val="18"/>
              </w:rPr>
              <w:t>.0</w:t>
            </w:r>
            <w:r w:rsidR="00E042F2">
              <w:rPr>
                <w:b/>
                <w:bCs/>
                <w:sz w:val="18"/>
                <w:szCs w:val="18"/>
                <w:lang w:val="en-US"/>
              </w:rPr>
              <w:t>6</w:t>
            </w:r>
            <w:r w:rsidRPr="00CD7B9C">
              <w:rPr>
                <w:b/>
                <w:bCs/>
                <w:sz w:val="18"/>
                <w:szCs w:val="18"/>
              </w:rPr>
              <w:t>.20</w:t>
            </w:r>
            <w:r w:rsidRPr="00CD7B9C">
              <w:rPr>
                <w:b/>
                <w:bCs/>
                <w:sz w:val="18"/>
                <w:szCs w:val="18"/>
                <w:lang w:val="en-US"/>
              </w:rPr>
              <w:t>2</w:t>
            </w:r>
            <w:r w:rsidRPr="00CD7B9C">
              <w:rPr>
                <w:b/>
                <w:bCs/>
                <w:sz w:val="18"/>
                <w:szCs w:val="18"/>
              </w:rPr>
              <w:t>6 г.</w:t>
            </w:r>
          </w:p>
        </w:tc>
        <w:tc>
          <w:tcPr>
            <w:tcW w:w="1209" w:type="dxa"/>
            <w:tcBorders>
              <w:top w:val="single" w:sz="8" w:space="0" w:color="auto"/>
              <w:left w:val="nil"/>
              <w:bottom w:val="nil"/>
              <w:right w:val="single" w:sz="8" w:space="0" w:color="auto"/>
            </w:tcBorders>
            <w:shd w:val="clear" w:color="000000" w:fill="D9D9D9"/>
            <w:noWrap/>
            <w:vAlign w:val="bottom"/>
            <w:hideMark/>
          </w:tcPr>
          <w:p w14:paraId="35382428" w14:textId="77777777" w:rsidR="00723530" w:rsidRPr="00852545" w:rsidRDefault="00723530" w:rsidP="00723530">
            <w:pPr>
              <w:jc w:val="center"/>
              <w:rPr>
                <w:b/>
                <w:bCs/>
                <w:sz w:val="18"/>
                <w:szCs w:val="18"/>
              </w:rPr>
            </w:pPr>
            <w:r w:rsidRPr="00852545">
              <w:rPr>
                <w:b/>
                <w:bCs/>
                <w:sz w:val="18"/>
                <w:szCs w:val="18"/>
              </w:rPr>
              <w:t>Изпълнение</w:t>
            </w:r>
          </w:p>
        </w:tc>
      </w:tr>
      <w:tr w:rsidR="00723530" w:rsidRPr="00BC72AC" w14:paraId="56F7DE82" w14:textId="77777777" w:rsidTr="00673641">
        <w:trPr>
          <w:trHeight w:val="250"/>
        </w:trPr>
        <w:tc>
          <w:tcPr>
            <w:tcW w:w="4003" w:type="dxa"/>
            <w:vMerge/>
            <w:tcBorders>
              <w:top w:val="single" w:sz="8" w:space="0" w:color="auto"/>
              <w:left w:val="single" w:sz="8" w:space="0" w:color="auto"/>
              <w:bottom w:val="single" w:sz="4" w:space="0" w:color="000000"/>
              <w:right w:val="nil"/>
            </w:tcBorders>
            <w:vAlign w:val="center"/>
            <w:hideMark/>
          </w:tcPr>
          <w:p w14:paraId="5580809D" w14:textId="77777777" w:rsidR="00723530" w:rsidRPr="00CD44C7" w:rsidRDefault="00723530" w:rsidP="00723530">
            <w:pPr>
              <w:rPr>
                <w:b/>
                <w:bCs/>
                <w:sz w:val="18"/>
                <w:szCs w:val="18"/>
              </w:rPr>
            </w:pPr>
          </w:p>
        </w:tc>
        <w:tc>
          <w:tcPr>
            <w:tcW w:w="1418" w:type="dxa"/>
            <w:tcBorders>
              <w:top w:val="nil"/>
              <w:left w:val="single" w:sz="4" w:space="0" w:color="auto"/>
              <w:bottom w:val="single" w:sz="4" w:space="0" w:color="auto"/>
              <w:right w:val="single" w:sz="4" w:space="0" w:color="auto"/>
            </w:tcBorders>
            <w:shd w:val="clear" w:color="000000" w:fill="D9D9D9"/>
            <w:noWrap/>
            <w:vAlign w:val="bottom"/>
            <w:hideMark/>
          </w:tcPr>
          <w:p w14:paraId="3DD2E260" w14:textId="77777777" w:rsidR="00723530" w:rsidRPr="005E019A" w:rsidRDefault="00723530" w:rsidP="00723530">
            <w:pPr>
              <w:jc w:val="center"/>
              <w:rPr>
                <w:b/>
                <w:bCs/>
                <w:sz w:val="18"/>
                <w:szCs w:val="18"/>
              </w:rPr>
            </w:pPr>
            <w:r w:rsidRPr="005E019A">
              <w:rPr>
                <w:b/>
                <w:bCs/>
                <w:sz w:val="18"/>
                <w:szCs w:val="18"/>
              </w:rPr>
              <w:t xml:space="preserve"> КФП</w:t>
            </w:r>
          </w:p>
        </w:tc>
        <w:tc>
          <w:tcPr>
            <w:tcW w:w="1095" w:type="dxa"/>
            <w:tcBorders>
              <w:top w:val="nil"/>
              <w:left w:val="nil"/>
              <w:bottom w:val="single" w:sz="4" w:space="0" w:color="auto"/>
              <w:right w:val="single" w:sz="4" w:space="0" w:color="auto"/>
            </w:tcBorders>
            <w:shd w:val="clear" w:color="000000" w:fill="D9D9D9"/>
            <w:noWrap/>
            <w:vAlign w:val="bottom"/>
            <w:hideMark/>
          </w:tcPr>
          <w:p w14:paraId="5E434075" w14:textId="77777777" w:rsidR="00723530" w:rsidRPr="00CD7B9C" w:rsidRDefault="00723530" w:rsidP="00723530">
            <w:pPr>
              <w:jc w:val="center"/>
              <w:rPr>
                <w:b/>
                <w:bCs/>
                <w:sz w:val="18"/>
                <w:szCs w:val="18"/>
              </w:rPr>
            </w:pPr>
            <w:r w:rsidRPr="00CD7B9C">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14:paraId="550CC290" w14:textId="77777777" w:rsidR="00723530" w:rsidRPr="00CD7B9C" w:rsidRDefault="00723530" w:rsidP="00723530">
            <w:pPr>
              <w:jc w:val="center"/>
              <w:rPr>
                <w:b/>
                <w:bCs/>
                <w:sz w:val="18"/>
                <w:szCs w:val="18"/>
              </w:rPr>
            </w:pPr>
            <w:r w:rsidRPr="00CD7B9C">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6590E407" w14:textId="77777777" w:rsidR="00723530" w:rsidRPr="00CD7B9C" w:rsidRDefault="00723530" w:rsidP="00723530">
            <w:pPr>
              <w:jc w:val="center"/>
              <w:rPr>
                <w:b/>
                <w:bCs/>
                <w:sz w:val="18"/>
                <w:szCs w:val="18"/>
              </w:rPr>
            </w:pPr>
            <w:r w:rsidRPr="00CD7B9C">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14:paraId="0288D8F5" w14:textId="77777777" w:rsidR="00723530" w:rsidRPr="00B209F5" w:rsidRDefault="00852545" w:rsidP="00723530">
            <w:pPr>
              <w:jc w:val="center"/>
              <w:rPr>
                <w:b/>
                <w:bCs/>
                <w:color w:val="FF0000"/>
                <w:sz w:val="18"/>
                <w:szCs w:val="18"/>
              </w:rPr>
            </w:pPr>
            <w:r w:rsidRPr="00464CB3">
              <w:rPr>
                <w:b/>
                <w:bCs/>
                <w:sz w:val="18"/>
                <w:szCs w:val="18"/>
              </w:rPr>
              <w:t>спрямо разчет</w:t>
            </w:r>
          </w:p>
        </w:tc>
      </w:tr>
      <w:tr w:rsidR="00044565" w:rsidRPr="00BC72AC" w14:paraId="173AD127" w14:textId="77777777" w:rsidTr="00673641">
        <w:trPr>
          <w:trHeight w:val="265"/>
        </w:trPr>
        <w:tc>
          <w:tcPr>
            <w:tcW w:w="4003" w:type="dxa"/>
            <w:tcBorders>
              <w:top w:val="nil"/>
              <w:left w:val="single" w:sz="8" w:space="0" w:color="auto"/>
              <w:bottom w:val="single" w:sz="8" w:space="0" w:color="auto"/>
              <w:right w:val="nil"/>
            </w:tcBorders>
            <w:shd w:val="clear" w:color="000000" w:fill="D9D9D9"/>
            <w:noWrap/>
            <w:vAlign w:val="bottom"/>
            <w:hideMark/>
          </w:tcPr>
          <w:p w14:paraId="7E200135" w14:textId="77777777" w:rsidR="00044565" w:rsidRPr="00CD44C7" w:rsidRDefault="00044565" w:rsidP="00754DE8">
            <w:pPr>
              <w:jc w:val="center"/>
              <w:rPr>
                <w:sz w:val="18"/>
                <w:szCs w:val="18"/>
              </w:rPr>
            </w:pPr>
            <w:r w:rsidRPr="00CD44C7">
              <w:rPr>
                <w:sz w:val="18"/>
                <w:szCs w:val="18"/>
              </w:rPr>
              <w:t>к.1</w:t>
            </w:r>
          </w:p>
        </w:tc>
        <w:tc>
          <w:tcPr>
            <w:tcW w:w="1418" w:type="dxa"/>
            <w:tcBorders>
              <w:top w:val="nil"/>
              <w:left w:val="single" w:sz="4" w:space="0" w:color="auto"/>
              <w:bottom w:val="single" w:sz="8" w:space="0" w:color="auto"/>
              <w:right w:val="single" w:sz="4" w:space="0" w:color="auto"/>
            </w:tcBorders>
            <w:shd w:val="clear" w:color="000000" w:fill="D9D9D9"/>
            <w:noWrap/>
            <w:vAlign w:val="bottom"/>
            <w:hideMark/>
          </w:tcPr>
          <w:p w14:paraId="2CDB593F" w14:textId="77777777" w:rsidR="00044565" w:rsidRPr="00B209F5" w:rsidRDefault="00044565" w:rsidP="00754DE8">
            <w:pPr>
              <w:jc w:val="center"/>
              <w:rPr>
                <w:bCs/>
                <w:color w:val="FF0000"/>
                <w:sz w:val="18"/>
                <w:szCs w:val="18"/>
              </w:rPr>
            </w:pPr>
            <w:r w:rsidRPr="00852545">
              <w:rPr>
                <w:bCs/>
                <w:sz w:val="18"/>
                <w:szCs w:val="18"/>
              </w:rPr>
              <w:t>к.2</w:t>
            </w:r>
          </w:p>
        </w:tc>
        <w:tc>
          <w:tcPr>
            <w:tcW w:w="1095" w:type="dxa"/>
            <w:tcBorders>
              <w:top w:val="nil"/>
              <w:left w:val="nil"/>
              <w:bottom w:val="single" w:sz="8" w:space="0" w:color="auto"/>
              <w:right w:val="single" w:sz="4" w:space="0" w:color="auto"/>
            </w:tcBorders>
            <w:shd w:val="clear" w:color="000000" w:fill="D9D9D9"/>
            <w:noWrap/>
            <w:vAlign w:val="bottom"/>
            <w:hideMark/>
          </w:tcPr>
          <w:p w14:paraId="75FB9DA0" w14:textId="77777777" w:rsidR="00044565" w:rsidRPr="00CD7B9C" w:rsidRDefault="00044565" w:rsidP="00754DE8">
            <w:pPr>
              <w:jc w:val="center"/>
              <w:rPr>
                <w:sz w:val="18"/>
                <w:szCs w:val="18"/>
              </w:rPr>
            </w:pPr>
            <w:r w:rsidRPr="00CD7B9C">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14:paraId="50DAF7DD" w14:textId="77777777" w:rsidR="00044565" w:rsidRPr="00CD7B9C" w:rsidRDefault="00044565" w:rsidP="00754DE8">
            <w:pPr>
              <w:jc w:val="center"/>
              <w:rPr>
                <w:sz w:val="18"/>
                <w:szCs w:val="18"/>
              </w:rPr>
            </w:pPr>
            <w:r w:rsidRPr="00CD7B9C">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7B63B31F" w14:textId="77777777" w:rsidR="00044565" w:rsidRPr="00CD7B9C" w:rsidRDefault="00044565" w:rsidP="00754DE8">
            <w:pPr>
              <w:jc w:val="center"/>
              <w:rPr>
                <w:sz w:val="18"/>
                <w:szCs w:val="18"/>
              </w:rPr>
            </w:pPr>
            <w:r w:rsidRPr="00CD7B9C">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14:paraId="3ADBA44C" w14:textId="77777777" w:rsidR="00044565" w:rsidRPr="00B209F5" w:rsidRDefault="00044565" w:rsidP="00754DE8">
            <w:pPr>
              <w:jc w:val="center"/>
              <w:rPr>
                <w:b/>
                <w:bCs/>
                <w:color w:val="FF0000"/>
                <w:sz w:val="18"/>
                <w:szCs w:val="18"/>
              </w:rPr>
            </w:pPr>
            <w:r w:rsidRPr="00852545">
              <w:rPr>
                <w:b/>
                <w:bCs/>
                <w:sz w:val="18"/>
                <w:szCs w:val="18"/>
              </w:rPr>
              <w:t>к.6=к.3:к.2</w:t>
            </w:r>
          </w:p>
        </w:tc>
      </w:tr>
      <w:tr w:rsidR="00843247" w:rsidRPr="00BC72AC" w14:paraId="60A72538" w14:textId="77777777" w:rsidTr="00673641">
        <w:trPr>
          <w:trHeight w:val="250"/>
        </w:trPr>
        <w:tc>
          <w:tcPr>
            <w:tcW w:w="4003" w:type="dxa"/>
            <w:tcBorders>
              <w:top w:val="single" w:sz="8" w:space="0" w:color="auto"/>
              <w:left w:val="single" w:sz="8" w:space="0" w:color="auto"/>
              <w:bottom w:val="nil"/>
              <w:right w:val="single" w:sz="4" w:space="0" w:color="auto"/>
            </w:tcBorders>
            <w:shd w:val="clear" w:color="auto" w:fill="auto"/>
            <w:noWrap/>
            <w:vAlign w:val="bottom"/>
            <w:hideMark/>
          </w:tcPr>
          <w:p w14:paraId="46767AF7" w14:textId="77777777" w:rsidR="00843247" w:rsidRPr="00CD44C7" w:rsidRDefault="00843247" w:rsidP="00843247">
            <w:pPr>
              <w:rPr>
                <w:b/>
                <w:bCs/>
                <w:sz w:val="18"/>
                <w:szCs w:val="18"/>
              </w:rPr>
            </w:pPr>
            <w:r w:rsidRPr="00CD44C7">
              <w:rPr>
                <w:b/>
                <w:bCs/>
                <w:sz w:val="18"/>
                <w:szCs w:val="18"/>
              </w:rPr>
              <w:t>ПРИХОДИ, ПОМОЩИ И ДАРЕНИЯ</w:t>
            </w:r>
          </w:p>
        </w:tc>
        <w:tc>
          <w:tcPr>
            <w:tcW w:w="1418" w:type="dxa"/>
            <w:tcBorders>
              <w:top w:val="nil"/>
              <w:left w:val="nil"/>
              <w:bottom w:val="nil"/>
              <w:right w:val="nil"/>
            </w:tcBorders>
            <w:shd w:val="clear" w:color="auto" w:fill="auto"/>
            <w:noWrap/>
            <w:vAlign w:val="bottom"/>
            <w:hideMark/>
          </w:tcPr>
          <w:p w14:paraId="4A583F9B" w14:textId="77777777" w:rsidR="00843247" w:rsidRDefault="00843247" w:rsidP="00843247">
            <w:pPr>
              <w:jc w:val="right"/>
              <w:rPr>
                <w:b/>
                <w:bCs/>
                <w:sz w:val="18"/>
                <w:szCs w:val="18"/>
              </w:rPr>
            </w:pPr>
            <w:r>
              <w:rPr>
                <w:b/>
                <w:bCs/>
                <w:sz w:val="18"/>
                <w:szCs w:val="18"/>
              </w:rPr>
              <w:t>49 615,3</w:t>
            </w:r>
          </w:p>
        </w:tc>
        <w:tc>
          <w:tcPr>
            <w:tcW w:w="1095" w:type="dxa"/>
            <w:tcBorders>
              <w:top w:val="nil"/>
              <w:left w:val="nil"/>
              <w:bottom w:val="nil"/>
              <w:right w:val="nil"/>
            </w:tcBorders>
            <w:shd w:val="clear" w:color="auto" w:fill="auto"/>
            <w:noWrap/>
            <w:vAlign w:val="bottom"/>
            <w:hideMark/>
          </w:tcPr>
          <w:p w14:paraId="368CEA09" w14:textId="77777777" w:rsidR="00843247" w:rsidRDefault="00843247" w:rsidP="00843247">
            <w:pPr>
              <w:jc w:val="right"/>
              <w:rPr>
                <w:b/>
                <w:bCs/>
                <w:sz w:val="18"/>
                <w:szCs w:val="18"/>
              </w:rPr>
            </w:pPr>
            <w:r>
              <w:rPr>
                <w:b/>
                <w:bCs/>
                <w:sz w:val="18"/>
                <w:szCs w:val="18"/>
              </w:rPr>
              <w:t>21 573,8</w:t>
            </w:r>
          </w:p>
        </w:tc>
        <w:tc>
          <w:tcPr>
            <w:tcW w:w="1222" w:type="dxa"/>
            <w:tcBorders>
              <w:top w:val="nil"/>
              <w:left w:val="nil"/>
              <w:bottom w:val="nil"/>
              <w:right w:val="nil"/>
            </w:tcBorders>
            <w:shd w:val="clear" w:color="auto" w:fill="auto"/>
            <w:noWrap/>
            <w:vAlign w:val="bottom"/>
            <w:hideMark/>
          </w:tcPr>
          <w:p w14:paraId="56FB351C" w14:textId="77777777" w:rsidR="00843247" w:rsidRDefault="00843247" w:rsidP="00843247">
            <w:pPr>
              <w:jc w:val="right"/>
              <w:rPr>
                <w:b/>
                <w:bCs/>
                <w:sz w:val="18"/>
                <w:szCs w:val="18"/>
              </w:rPr>
            </w:pPr>
            <w:r>
              <w:rPr>
                <w:b/>
                <w:bCs/>
                <w:sz w:val="18"/>
                <w:szCs w:val="18"/>
              </w:rPr>
              <w:t>20 514,5</w:t>
            </w:r>
          </w:p>
        </w:tc>
        <w:tc>
          <w:tcPr>
            <w:tcW w:w="1199" w:type="dxa"/>
            <w:tcBorders>
              <w:top w:val="nil"/>
              <w:left w:val="nil"/>
              <w:bottom w:val="nil"/>
              <w:right w:val="nil"/>
            </w:tcBorders>
            <w:shd w:val="clear" w:color="auto" w:fill="auto"/>
            <w:noWrap/>
            <w:vAlign w:val="bottom"/>
            <w:hideMark/>
          </w:tcPr>
          <w:p w14:paraId="7E3144D7" w14:textId="77777777" w:rsidR="00843247" w:rsidRDefault="00843247" w:rsidP="00843247">
            <w:pPr>
              <w:jc w:val="right"/>
              <w:rPr>
                <w:b/>
                <w:bCs/>
                <w:sz w:val="18"/>
                <w:szCs w:val="18"/>
              </w:rPr>
            </w:pPr>
            <w:r>
              <w:rPr>
                <w:b/>
                <w:bCs/>
                <w:sz w:val="18"/>
                <w:szCs w:val="18"/>
              </w:rPr>
              <w:t>1 059,3</w:t>
            </w:r>
          </w:p>
        </w:tc>
        <w:tc>
          <w:tcPr>
            <w:tcW w:w="1209" w:type="dxa"/>
            <w:tcBorders>
              <w:top w:val="nil"/>
              <w:left w:val="nil"/>
              <w:bottom w:val="nil"/>
              <w:right w:val="single" w:sz="4" w:space="0" w:color="auto"/>
            </w:tcBorders>
            <w:shd w:val="clear" w:color="auto" w:fill="auto"/>
            <w:noWrap/>
            <w:vAlign w:val="bottom"/>
            <w:hideMark/>
          </w:tcPr>
          <w:p w14:paraId="432AEBDC" w14:textId="77777777" w:rsidR="00843247" w:rsidRDefault="00843247" w:rsidP="00843247">
            <w:pPr>
              <w:jc w:val="right"/>
              <w:rPr>
                <w:b/>
                <w:bCs/>
                <w:sz w:val="18"/>
                <w:szCs w:val="18"/>
              </w:rPr>
            </w:pPr>
            <w:r>
              <w:rPr>
                <w:b/>
                <w:bCs/>
                <w:sz w:val="18"/>
                <w:szCs w:val="18"/>
              </w:rPr>
              <w:t>43,5%</w:t>
            </w:r>
          </w:p>
        </w:tc>
      </w:tr>
      <w:tr w:rsidR="00843247" w:rsidRPr="00BC72AC" w14:paraId="133650AE"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hideMark/>
          </w:tcPr>
          <w:p w14:paraId="074BCE6F" w14:textId="77777777" w:rsidR="00843247" w:rsidRPr="00CD44C7" w:rsidRDefault="00843247" w:rsidP="00843247">
            <w:pPr>
              <w:rPr>
                <w:sz w:val="18"/>
                <w:szCs w:val="18"/>
              </w:rPr>
            </w:pPr>
            <w:r w:rsidRPr="00CD44C7">
              <w:rPr>
                <w:sz w:val="18"/>
                <w:szCs w:val="18"/>
              </w:rPr>
              <w:t xml:space="preserve">  Данъчни приходи</w:t>
            </w:r>
          </w:p>
        </w:tc>
        <w:tc>
          <w:tcPr>
            <w:tcW w:w="1418" w:type="dxa"/>
            <w:tcBorders>
              <w:top w:val="nil"/>
              <w:left w:val="nil"/>
              <w:bottom w:val="nil"/>
              <w:right w:val="nil"/>
            </w:tcBorders>
            <w:shd w:val="clear" w:color="auto" w:fill="auto"/>
            <w:noWrap/>
            <w:vAlign w:val="bottom"/>
            <w:hideMark/>
          </w:tcPr>
          <w:p w14:paraId="023B19D2" w14:textId="77777777" w:rsidR="00843247" w:rsidRDefault="00843247" w:rsidP="00843247">
            <w:pPr>
              <w:jc w:val="right"/>
              <w:rPr>
                <w:sz w:val="18"/>
                <w:szCs w:val="18"/>
              </w:rPr>
            </w:pPr>
            <w:r>
              <w:rPr>
                <w:sz w:val="18"/>
                <w:szCs w:val="18"/>
              </w:rPr>
              <w:t>38 440,1</w:t>
            </w:r>
          </w:p>
        </w:tc>
        <w:tc>
          <w:tcPr>
            <w:tcW w:w="1095" w:type="dxa"/>
            <w:tcBorders>
              <w:top w:val="nil"/>
              <w:left w:val="nil"/>
              <w:bottom w:val="nil"/>
              <w:right w:val="nil"/>
            </w:tcBorders>
            <w:shd w:val="clear" w:color="auto" w:fill="auto"/>
            <w:noWrap/>
            <w:vAlign w:val="bottom"/>
            <w:hideMark/>
          </w:tcPr>
          <w:p w14:paraId="305A482F" w14:textId="77777777" w:rsidR="00843247" w:rsidRDefault="00843247" w:rsidP="00843247">
            <w:pPr>
              <w:jc w:val="right"/>
              <w:rPr>
                <w:sz w:val="18"/>
                <w:szCs w:val="18"/>
              </w:rPr>
            </w:pPr>
            <w:r>
              <w:rPr>
                <w:sz w:val="18"/>
                <w:szCs w:val="18"/>
              </w:rPr>
              <w:t>17 799,1</w:t>
            </w:r>
          </w:p>
        </w:tc>
        <w:tc>
          <w:tcPr>
            <w:tcW w:w="1222" w:type="dxa"/>
            <w:tcBorders>
              <w:top w:val="nil"/>
              <w:left w:val="nil"/>
              <w:bottom w:val="nil"/>
              <w:right w:val="nil"/>
            </w:tcBorders>
            <w:shd w:val="clear" w:color="auto" w:fill="auto"/>
            <w:noWrap/>
            <w:vAlign w:val="bottom"/>
            <w:hideMark/>
          </w:tcPr>
          <w:p w14:paraId="12900414" w14:textId="77777777" w:rsidR="00843247" w:rsidRDefault="00843247" w:rsidP="00843247">
            <w:pPr>
              <w:jc w:val="right"/>
              <w:rPr>
                <w:sz w:val="18"/>
                <w:szCs w:val="18"/>
              </w:rPr>
            </w:pPr>
            <w:r>
              <w:rPr>
                <w:sz w:val="18"/>
                <w:szCs w:val="18"/>
              </w:rPr>
              <w:t>17 799,1</w:t>
            </w:r>
          </w:p>
        </w:tc>
        <w:tc>
          <w:tcPr>
            <w:tcW w:w="1199" w:type="dxa"/>
            <w:tcBorders>
              <w:top w:val="nil"/>
              <w:left w:val="nil"/>
              <w:bottom w:val="nil"/>
              <w:right w:val="nil"/>
            </w:tcBorders>
            <w:shd w:val="clear" w:color="auto" w:fill="auto"/>
            <w:noWrap/>
            <w:vAlign w:val="bottom"/>
            <w:hideMark/>
          </w:tcPr>
          <w:p w14:paraId="39F924F2" w14:textId="77777777" w:rsidR="00843247" w:rsidRDefault="00843247" w:rsidP="00843247">
            <w:pPr>
              <w:jc w:val="right"/>
              <w:rPr>
                <w:sz w:val="18"/>
                <w:szCs w:val="18"/>
              </w:rPr>
            </w:pPr>
          </w:p>
        </w:tc>
        <w:tc>
          <w:tcPr>
            <w:tcW w:w="1209" w:type="dxa"/>
            <w:tcBorders>
              <w:top w:val="nil"/>
              <w:left w:val="nil"/>
              <w:bottom w:val="nil"/>
              <w:right w:val="single" w:sz="4" w:space="0" w:color="auto"/>
            </w:tcBorders>
            <w:shd w:val="clear" w:color="auto" w:fill="auto"/>
            <w:noWrap/>
            <w:vAlign w:val="bottom"/>
            <w:hideMark/>
          </w:tcPr>
          <w:p w14:paraId="260B1BCD" w14:textId="77777777" w:rsidR="00843247" w:rsidRDefault="00843247" w:rsidP="00843247">
            <w:pPr>
              <w:jc w:val="right"/>
              <w:rPr>
                <w:sz w:val="18"/>
                <w:szCs w:val="18"/>
              </w:rPr>
            </w:pPr>
            <w:r>
              <w:rPr>
                <w:sz w:val="18"/>
                <w:szCs w:val="18"/>
              </w:rPr>
              <w:t>46,3%</w:t>
            </w:r>
          </w:p>
        </w:tc>
      </w:tr>
      <w:tr w:rsidR="00843247" w:rsidRPr="00BC72AC" w14:paraId="15D5E40B"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hideMark/>
          </w:tcPr>
          <w:p w14:paraId="25C1E872" w14:textId="77777777" w:rsidR="00843247" w:rsidRPr="00CD44C7" w:rsidRDefault="00843247" w:rsidP="00843247">
            <w:pPr>
              <w:rPr>
                <w:sz w:val="18"/>
                <w:szCs w:val="18"/>
              </w:rPr>
            </w:pPr>
            <w:r w:rsidRPr="00CD44C7">
              <w:rPr>
                <w:sz w:val="18"/>
                <w:szCs w:val="18"/>
              </w:rPr>
              <w:t xml:space="preserve">  Неданъчни приходи</w:t>
            </w:r>
          </w:p>
        </w:tc>
        <w:tc>
          <w:tcPr>
            <w:tcW w:w="1418" w:type="dxa"/>
            <w:tcBorders>
              <w:top w:val="nil"/>
              <w:left w:val="nil"/>
              <w:bottom w:val="nil"/>
              <w:right w:val="nil"/>
            </w:tcBorders>
            <w:shd w:val="clear" w:color="auto" w:fill="auto"/>
            <w:noWrap/>
            <w:vAlign w:val="bottom"/>
            <w:hideMark/>
          </w:tcPr>
          <w:p w14:paraId="1AFF30F6" w14:textId="77777777" w:rsidR="00843247" w:rsidRDefault="00843247" w:rsidP="00843247">
            <w:pPr>
              <w:jc w:val="right"/>
              <w:rPr>
                <w:sz w:val="18"/>
                <w:szCs w:val="18"/>
              </w:rPr>
            </w:pPr>
            <w:r>
              <w:rPr>
                <w:sz w:val="18"/>
                <w:szCs w:val="18"/>
              </w:rPr>
              <w:t>5 784,1</w:t>
            </w:r>
          </w:p>
        </w:tc>
        <w:tc>
          <w:tcPr>
            <w:tcW w:w="1095" w:type="dxa"/>
            <w:tcBorders>
              <w:top w:val="nil"/>
              <w:left w:val="nil"/>
              <w:bottom w:val="nil"/>
              <w:right w:val="nil"/>
            </w:tcBorders>
            <w:shd w:val="clear" w:color="auto" w:fill="auto"/>
            <w:noWrap/>
            <w:vAlign w:val="bottom"/>
            <w:hideMark/>
          </w:tcPr>
          <w:p w14:paraId="4B061526" w14:textId="77777777" w:rsidR="00843247" w:rsidRDefault="00843247" w:rsidP="00843247">
            <w:pPr>
              <w:jc w:val="right"/>
              <w:rPr>
                <w:sz w:val="18"/>
                <w:szCs w:val="18"/>
              </w:rPr>
            </w:pPr>
            <w:r>
              <w:rPr>
                <w:sz w:val="18"/>
                <w:szCs w:val="18"/>
              </w:rPr>
              <w:t>2 661,7</w:t>
            </w:r>
          </w:p>
        </w:tc>
        <w:tc>
          <w:tcPr>
            <w:tcW w:w="1222" w:type="dxa"/>
            <w:tcBorders>
              <w:top w:val="nil"/>
              <w:left w:val="nil"/>
              <w:bottom w:val="nil"/>
              <w:right w:val="nil"/>
            </w:tcBorders>
            <w:shd w:val="clear" w:color="auto" w:fill="auto"/>
            <w:noWrap/>
            <w:vAlign w:val="bottom"/>
            <w:hideMark/>
          </w:tcPr>
          <w:p w14:paraId="43662D18" w14:textId="77777777" w:rsidR="00843247" w:rsidRDefault="00843247" w:rsidP="00843247">
            <w:pPr>
              <w:jc w:val="right"/>
              <w:rPr>
                <w:sz w:val="18"/>
                <w:szCs w:val="18"/>
              </w:rPr>
            </w:pPr>
            <w:r>
              <w:rPr>
                <w:sz w:val="18"/>
                <w:szCs w:val="18"/>
              </w:rPr>
              <w:t>2 661,4</w:t>
            </w:r>
          </w:p>
        </w:tc>
        <w:tc>
          <w:tcPr>
            <w:tcW w:w="1199" w:type="dxa"/>
            <w:tcBorders>
              <w:top w:val="nil"/>
              <w:left w:val="nil"/>
              <w:bottom w:val="nil"/>
              <w:right w:val="nil"/>
            </w:tcBorders>
            <w:shd w:val="clear" w:color="auto" w:fill="auto"/>
            <w:noWrap/>
            <w:vAlign w:val="bottom"/>
            <w:hideMark/>
          </w:tcPr>
          <w:p w14:paraId="41DCC6D6" w14:textId="77777777" w:rsidR="00843247" w:rsidRDefault="00843247" w:rsidP="00843247">
            <w:pPr>
              <w:jc w:val="right"/>
              <w:rPr>
                <w:sz w:val="18"/>
                <w:szCs w:val="18"/>
              </w:rPr>
            </w:pPr>
            <w:r>
              <w:rPr>
                <w:sz w:val="18"/>
                <w:szCs w:val="18"/>
              </w:rPr>
              <w:t>0,3</w:t>
            </w:r>
          </w:p>
        </w:tc>
        <w:tc>
          <w:tcPr>
            <w:tcW w:w="1209" w:type="dxa"/>
            <w:tcBorders>
              <w:top w:val="nil"/>
              <w:left w:val="nil"/>
              <w:bottom w:val="nil"/>
              <w:right w:val="single" w:sz="4" w:space="0" w:color="auto"/>
            </w:tcBorders>
            <w:shd w:val="clear" w:color="auto" w:fill="auto"/>
            <w:noWrap/>
            <w:vAlign w:val="bottom"/>
            <w:hideMark/>
          </w:tcPr>
          <w:p w14:paraId="4DC4E6C5" w14:textId="77777777" w:rsidR="00843247" w:rsidRDefault="00843247" w:rsidP="00843247">
            <w:pPr>
              <w:jc w:val="right"/>
              <w:rPr>
                <w:sz w:val="18"/>
                <w:szCs w:val="18"/>
              </w:rPr>
            </w:pPr>
            <w:r>
              <w:rPr>
                <w:sz w:val="18"/>
                <w:szCs w:val="18"/>
              </w:rPr>
              <w:t>46,0%</w:t>
            </w:r>
          </w:p>
        </w:tc>
      </w:tr>
      <w:tr w:rsidR="00843247" w:rsidRPr="00BC72AC" w14:paraId="5E1B2F6B" w14:textId="77777777" w:rsidTr="00673641">
        <w:trPr>
          <w:trHeight w:val="250"/>
        </w:trPr>
        <w:tc>
          <w:tcPr>
            <w:tcW w:w="4003" w:type="dxa"/>
            <w:tcBorders>
              <w:top w:val="nil"/>
              <w:left w:val="single" w:sz="8" w:space="0" w:color="auto"/>
              <w:bottom w:val="single" w:sz="4" w:space="0" w:color="auto"/>
              <w:right w:val="single" w:sz="4" w:space="0" w:color="auto"/>
            </w:tcBorders>
            <w:shd w:val="clear" w:color="auto" w:fill="auto"/>
            <w:noWrap/>
            <w:vAlign w:val="bottom"/>
            <w:hideMark/>
          </w:tcPr>
          <w:p w14:paraId="499A309E" w14:textId="77777777" w:rsidR="00843247" w:rsidRPr="00CD44C7" w:rsidRDefault="00843247" w:rsidP="00843247">
            <w:pPr>
              <w:rPr>
                <w:sz w:val="18"/>
                <w:szCs w:val="18"/>
              </w:rPr>
            </w:pPr>
            <w:r w:rsidRPr="00CD44C7">
              <w:rPr>
                <w:sz w:val="18"/>
                <w:szCs w:val="18"/>
              </w:rPr>
              <w:t xml:space="preserve">  Помощи и дарения</w:t>
            </w:r>
          </w:p>
        </w:tc>
        <w:tc>
          <w:tcPr>
            <w:tcW w:w="1418" w:type="dxa"/>
            <w:tcBorders>
              <w:top w:val="nil"/>
              <w:left w:val="nil"/>
              <w:bottom w:val="nil"/>
              <w:right w:val="nil"/>
            </w:tcBorders>
            <w:shd w:val="clear" w:color="auto" w:fill="auto"/>
            <w:noWrap/>
            <w:vAlign w:val="bottom"/>
            <w:hideMark/>
          </w:tcPr>
          <w:p w14:paraId="3B480733" w14:textId="77777777" w:rsidR="00843247" w:rsidRDefault="00843247" w:rsidP="00843247">
            <w:pPr>
              <w:jc w:val="right"/>
              <w:rPr>
                <w:sz w:val="18"/>
                <w:szCs w:val="18"/>
              </w:rPr>
            </w:pPr>
            <w:r>
              <w:rPr>
                <w:sz w:val="18"/>
                <w:szCs w:val="18"/>
              </w:rPr>
              <w:t>5 391,1</w:t>
            </w:r>
          </w:p>
        </w:tc>
        <w:tc>
          <w:tcPr>
            <w:tcW w:w="1095" w:type="dxa"/>
            <w:tcBorders>
              <w:top w:val="nil"/>
              <w:left w:val="nil"/>
              <w:bottom w:val="nil"/>
              <w:right w:val="nil"/>
            </w:tcBorders>
            <w:shd w:val="clear" w:color="auto" w:fill="auto"/>
            <w:noWrap/>
            <w:vAlign w:val="bottom"/>
            <w:hideMark/>
          </w:tcPr>
          <w:p w14:paraId="5548F549" w14:textId="77777777" w:rsidR="00843247" w:rsidRDefault="00843247" w:rsidP="00843247">
            <w:pPr>
              <w:jc w:val="right"/>
              <w:rPr>
                <w:sz w:val="18"/>
                <w:szCs w:val="18"/>
              </w:rPr>
            </w:pPr>
            <w:r>
              <w:rPr>
                <w:sz w:val="18"/>
                <w:szCs w:val="18"/>
              </w:rPr>
              <w:t>1 113,0</w:t>
            </w:r>
          </w:p>
        </w:tc>
        <w:tc>
          <w:tcPr>
            <w:tcW w:w="1222" w:type="dxa"/>
            <w:tcBorders>
              <w:top w:val="nil"/>
              <w:left w:val="nil"/>
              <w:bottom w:val="nil"/>
              <w:right w:val="nil"/>
            </w:tcBorders>
            <w:shd w:val="clear" w:color="auto" w:fill="auto"/>
            <w:noWrap/>
            <w:vAlign w:val="bottom"/>
            <w:hideMark/>
          </w:tcPr>
          <w:p w14:paraId="6AF6CF7A" w14:textId="77777777" w:rsidR="00843247" w:rsidRDefault="00843247" w:rsidP="00843247">
            <w:pPr>
              <w:jc w:val="right"/>
              <w:rPr>
                <w:sz w:val="18"/>
                <w:szCs w:val="18"/>
              </w:rPr>
            </w:pPr>
            <w:r>
              <w:rPr>
                <w:sz w:val="18"/>
                <w:szCs w:val="18"/>
              </w:rPr>
              <w:t>54,0</w:t>
            </w:r>
          </w:p>
        </w:tc>
        <w:tc>
          <w:tcPr>
            <w:tcW w:w="1199" w:type="dxa"/>
            <w:tcBorders>
              <w:top w:val="nil"/>
              <w:left w:val="nil"/>
              <w:bottom w:val="single" w:sz="4" w:space="0" w:color="auto"/>
              <w:right w:val="nil"/>
            </w:tcBorders>
            <w:shd w:val="clear" w:color="auto" w:fill="auto"/>
            <w:noWrap/>
            <w:vAlign w:val="bottom"/>
            <w:hideMark/>
          </w:tcPr>
          <w:p w14:paraId="198272FC" w14:textId="77777777" w:rsidR="00843247" w:rsidRDefault="00843247" w:rsidP="00843247">
            <w:pPr>
              <w:jc w:val="right"/>
              <w:rPr>
                <w:sz w:val="18"/>
                <w:szCs w:val="18"/>
              </w:rPr>
            </w:pPr>
            <w:r>
              <w:rPr>
                <w:sz w:val="18"/>
                <w:szCs w:val="18"/>
              </w:rPr>
              <w:t>1059,0</w:t>
            </w:r>
          </w:p>
        </w:tc>
        <w:tc>
          <w:tcPr>
            <w:tcW w:w="1209" w:type="dxa"/>
            <w:tcBorders>
              <w:top w:val="nil"/>
              <w:left w:val="nil"/>
              <w:bottom w:val="single" w:sz="4" w:space="0" w:color="auto"/>
              <w:right w:val="single" w:sz="4" w:space="0" w:color="auto"/>
            </w:tcBorders>
            <w:shd w:val="clear" w:color="auto" w:fill="auto"/>
            <w:noWrap/>
            <w:vAlign w:val="bottom"/>
            <w:hideMark/>
          </w:tcPr>
          <w:p w14:paraId="3C81E42C" w14:textId="77777777" w:rsidR="00843247" w:rsidRDefault="00843247" w:rsidP="00843247">
            <w:pPr>
              <w:jc w:val="right"/>
              <w:rPr>
                <w:sz w:val="18"/>
                <w:szCs w:val="18"/>
              </w:rPr>
            </w:pPr>
            <w:r>
              <w:rPr>
                <w:sz w:val="18"/>
                <w:szCs w:val="18"/>
              </w:rPr>
              <w:t>20,6%</w:t>
            </w:r>
          </w:p>
        </w:tc>
      </w:tr>
      <w:tr w:rsidR="00A32B32" w:rsidRPr="00BC72AC" w14:paraId="05EA0CDC" w14:textId="77777777" w:rsidTr="00673641">
        <w:trPr>
          <w:trHeight w:val="472"/>
        </w:trPr>
        <w:tc>
          <w:tcPr>
            <w:tcW w:w="4003" w:type="dxa"/>
            <w:tcBorders>
              <w:top w:val="single" w:sz="4" w:space="0" w:color="auto"/>
              <w:left w:val="single" w:sz="8" w:space="0" w:color="auto"/>
              <w:bottom w:val="nil"/>
              <w:right w:val="single" w:sz="4" w:space="0" w:color="auto"/>
            </w:tcBorders>
            <w:shd w:val="clear" w:color="auto" w:fill="auto"/>
            <w:vAlign w:val="bottom"/>
            <w:hideMark/>
          </w:tcPr>
          <w:p w14:paraId="53F707FE" w14:textId="77777777" w:rsidR="00A32B32" w:rsidRPr="00CD44C7" w:rsidRDefault="00A32B32" w:rsidP="00A32B32">
            <w:pPr>
              <w:rPr>
                <w:b/>
                <w:bCs/>
                <w:sz w:val="18"/>
                <w:szCs w:val="18"/>
              </w:rPr>
            </w:pPr>
            <w:r w:rsidRPr="00CD44C7">
              <w:rPr>
                <w:b/>
                <w:bCs/>
                <w:sz w:val="18"/>
                <w:szCs w:val="18"/>
              </w:rPr>
              <w:t>РАЗХОДИ И ВНОСКА ЗА ОБЩИЯ БЮДЖЕТ НА ЕС</w:t>
            </w:r>
          </w:p>
        </w:tc>
        <w:tc>
          <w:tcPr>
            <w:tcW w:w="1418" w:type="dxa"/>
            <w:tcBorders>
              <w:top w:val="single" w:sz="4" w:space="0" w:color="auto"/>
              <w:left w:val="single" w:sz="4" w:space="0" w:color="auto"/>
              <w:bottom w:val="nil"/>
              <w:right w:val="nil"/>
            </w:tcBorders>
            <w:shd w:val="clear" w:color="auto" w:fill="auto"/>
            <w:noWrap/>
            <w:vAlign w:val="bottom"/>
            <w:hideMark/>
          </w:tcPr>
          <w:p w14:paraId="46FA793C" w14:textId="77777777" w:rsidR="00A32B32" w:rsidRDefault="00A32B32" w:rsidP="00A32B32">
            <w:pPr>
              <w:jc w:val="right"/>
              <w:rPr>
                <w:b/>
                <w:bCs/>
                <w:sz w:val="18"/>
                <w:szCs w:val="18"/>
              </w:rPr>
            </w:pPr>
            <w:r>
              <w:rPr>
                <w:b/>
                <w:bCs/>
                <w:sz w:val="18"/>
                <w:szCs w:val="18"/>
              </w:rPr>
              <w:t>56 807,2</w:t>
            </w:r>
          </w:p>
        </w:tc>
        <w:tc>
          <w:tcPr>
            <w:tcW w:w="1095" w:type="dxa"/>
            <w:tcBorders>
              <w:top w:val="single" w:sz="4" w:space="0" w:color="auto"/>
              <w:left w:val="nil"/>
              <w:bottom w:val="nil"/>
              <w:right w:val="nil"/>
            </w:tcBorders>
            <w:shd w:val="clear" w:color="auto" w:fill="auto"/>
            <w:noWrap/>
            <w:vAlign w:val="bottom"/>
            <w:hideMark/>
          </w:tcPr>
          <w:p w14:paraId="1209C419" w14:textId="77777777" w:rsidR="00A32B32" w:rsidRDefault="00A32B32" w:rsidP="00A32B32">
            <w:pPr>
              <w:jc w:val="right"/>
              <w:rPr>
                <w:b/>
                <w:bCs/>
                <w:sz w:val="18"/>
                <w:szCs w:val="18"/>
              </w:rPr>
            </w:pPr>
            <w:r>
              <w:rPr>
                <w:b/>
                <w:bCs/>
                <w:sz w:val="18"/>
                <w:szCs w:val="18"/>
              </w:rPr>
              <w:t>23 990,0</w:t>
            </w:r>
          </w:p>
        </w:tc>
        <w:tc>
          <w:tcPr>
            <w:tcW w:w="1222" w:type="dxa"/>
            <w:tcBorders>
              <w:top w:val="single" w:sz="4" w:space="0" w:color="auto"/>
              <w:left w:val="nil"/>
              <w:bottom w:val="nil"/>
              <w:right w:val="nil"/>
            </w:tcBorders>
            <w:shd w:val="clear" w:color="auto" w:fill="auto"/>
            <w:noWrap/>
            <w:vAlign w:val="bottom"/>
            <w:hideMark/>
          </w:tcPr>
          <w:p w14:paraId="1BB4A9A2" w14:textId="77777777" w:rsidR="00A32B32" w:rsidRDefault="00A32B32" w:rsidP="00A32B32">
            <w:pPr>
              <w:jc w:val="right"/>
              <w:rPr>
                <w:b/>
                <w:bCs/>
                <w:sz w:val="18"/>
                <w:szCs w:val="18"/>
              </w:rPr>
            </w:pPr>
            <w:r>
              <w:rPr>
                <w:b/>
                <w:bCs/>
                <w:sz w:val="18"/>
                <w:szCs w:val="18"/>
              </w:rPr>
              <w:t>22 030,0</w:t>
            </w:r>
          </w:p>
        </w:tc>
        <w:tc>
          <w:tcPr>
            <w:tcW w:w="1199" w:type="dxa"/>
            <w:tcBorders>
              <w:top w:val="single" w:sz="4" w:space="0" w:color="auto"/>
              <w:left w:val="nil"/>
              <w:bottom w:val="nil"/>
              <w:right w:val="nil"/>
            </w:tcBorders>
            <w:shd w:val="clear" w:color="auto" w:fill="auto"/>
            <w:noWrap/>
            <w:vAlign w:val="bottom"/>
            <w:hideMark/>
          </w:tcPr>
          <w:p w14:paraId="7CDC6851" w14:textId="77777777" w:rsidR="00A32B32" w:rsidRDefault="00A32B32" w:rsidP="00A32B32">
            <w:pPr>
              <w:jc w:val="right"/>
              <w:rPr>
                <w:b/>
                <w:bCs/>
                <w:sz w:val="18"/>
                <w:szCs w:val="18"/>
              </w:rPr>
            </w:pPr>
            <w:r>
              <w:rPr>
                <w:b/>
                <w:bCs/>
                <w:sz w:val="18"/>
                <w:szCs w:val="18"/>
              </w:rPr>
              <w:t>1 960,0</w:t>
            </w:r>
          </w:p>
        </w:tc>
        <w:tc>
          <w:tcPr>
            <w:tcW w:w="1209" w:type="dxa"/>
            <w:tcBorders>
              <w:top w:val="single" w:sz="4" w:space="0" w:color="auto"/>
              <w:left w:val="nil"/>
              <w:bottom w:val="nil"/>
              <w:right w:val="single" w:sz="4" w:space="0" w:color="auto"/>
            </w:tcBorders>
            <w:shd w:val="clear" w:color="auto" w:fill="auto"/>
            <w:noWrap/>
            <w:vAlign w:val="bottom"/>
            <w:hideMark/>
          </w:tcPr>
          <w:p w14:paraId="2E9ADBAB" w14:textId="77777777" w:rsidR="00A32B32" w:rsidRDefault="00A32B32" w:rsidP="00A32B32">
            <w:pPr>
              <w:jc w:val="right"/>
              <w:rPr>
                <w:b/>
                <w:bCs/>
                <w:sz w:val="18"/>
                <w:szCs w:val="18"/>
              </w:rPr>
            </w:pPr>
            <w:r>
              <w:rPr>
                <w:b/>
                <w:bCs/>
                <w:sz w:val="18"/>
                <w:szCs w:val="18"/>
              </w:rPr>
              <w:t>42,2%</w:t>
            </w:r>
          </w:p>
        </w:tc>
      </w:tr>
      <w:tr w:rsidR="00A32B32" w:rsidRPr="00BC72AC" w14:paraId="35B6CAF5"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hideMark/>
          </w:tcPr>
          <w:p w14:paraId="7EFC1050" w14:textId="77777777" w:rsidR="00A32B32" w:rsidRPr="00CD44C7" w:rsidRDefault="00A32B32" w:rsidP="00A32B32">
            <w:pPr>
              <w:rPr>
                <w:sz w:val="18"/>
                <w:szCs w:val="18"/>
              </w:rPr>
            </w:pPr>
            <w:r w:rsidRPr="00CD44C7">
              <w:rPr>
                <w:sz w:val="18"/>
                <w:szCs w:val="18"/>
              </w:rPr>
              <w:t xml:space="preserve">  Нелихвени</w:t>
            </w:r>
          </w:p>
        </w:tc>
        <w:tc>
          <w:tcPr>
            <w:tcW w:w="1418" w:type="dxa"/>
            <w:tcBorders>
              <w:top w:val="nil"/>
              <w:left w:val="single" w:sz="4" w:space="0" w:color="auto"/>
              <w:bottom w:val="nil"/>
              <w:right w:val="nil"/>
            </w:tcBorders>
            <w:shd w:val="clear" w:color="auto" w:fill="auto"/>
            <w:noWrap/>
            <w:vAlign w:val="bottom"/>
            <w:hideMark/>
          </w:tcPr>
          <w:p w14:paraId="270AB657" w14:textId="77777777" w:rsidR="00A32B32" w:rsidRDefault="00A32B32" w:rsidP="00A32B32">
            <w:pPr>
              <w:jc w:val="right"/>
              <w:rPr>
                <w:sz w:val="18"/>
                <w:szCs w:val="18"/>
              </w:rPr>
            </w:pPr>
            <w:r>
              <w:rPr>
                <w:sz w:val="18"/>
                <w:szCs w:val="18"/>
              </w:rPr>
              <w:t>54 244,5</w:t>
            </w:r>
          </w:p>
        </w:tc>
        <w:tc>
          <w:tcPr>
            <w:tcW w:w="1095" w:type="dxa"/>
            <w:tcBorders>
              <w:top w:val="nil"/>
              <w:left w:val="nil"/>
              <w:bottom w:val="nil"/>
              <w:right w:val="nil"/>
            </w:tcBorders>
            <w:shd w:val="clear" w:color="auto" w:fill="auto"/>
            <w:noWrap/>
            <w:vAlign w:val="bottom"/>
            <w:hideMark/>
          </w:tcPr>
          <w:p w14:paraId="6101E306" w14:textId="77777777" w:rsidR="00A32B32" w:rsidRDefault="00A32B32" w:rsidP="00A32B32">
            <w:pPr>
              <w:jc w:val="right"/>
              <w:rPr>
                <w:sz w:val="18"/>
                <w:szCs w:val="18"/>
              </w:rPr>
            </w:pPr>
            <w:r>
              <w:rPr>
                <w:sz w:val="18"/>
                <w:szCs w:val="18"/>
              </w:rPr>
              <w:t>22 913,0</w:t>
            </w:r>
          </w:p>
        </w:tc>
        <w:tc>
          <w:tcPr>
            <w:tcW w:w="1222" w:type="dxa"/>
            <w:tcBorders>
              <w:top w:val="nil"/>
              <w:left w:val="nil"/>
              <w:bottom w:val="nil"/>
              <w:right w:val="nil"/>
            </w:tcBorders>
            <w:shd w:val="clear" w:color="auto" w:fill="auto"/>
            <w:noWrap/>
            <w:vAlign w:val="bottom"/>
            <w:hideMark/>
          </w:tcPr>
          <w:p w14:paraId="206F3898" w14:textId="77777777" w:rsidR="00A32B32" w:rsidRDefault="00A32B32" w:rsidP="00A32B32">
            <w:pPr>
              <w:jc w:val="right"/>
              <w:rPr>
                <w:sz w:val="18"/>
                <w:szCs w:val="18"/>
              </w:rPr>
            </w:pPr>
            <w:r>
              <w:rPr>
                <w:sz w:val="18"/>
                <w:szCs w:val="18"/>
              </w:rPr>
              <w:t>20 953,0</w:t>
            </w:r>
          </w:p>
        </w:tc>
        <w:tc>
          <w:tcPr>
            <w:tcW w:w="1199" w:type="dxa"/>
            <w:tcBorders>
              <w:top w:val="nil"/>
              <w:left w:val="nil"/>
              <w:bottom w:val="nil"/>
              <w:right w:val="nil"/>
            </w:tcBorders>
            <w:shd w:val="clear" w:color="auto" w:fill="auto"/>
            <w:noWrap/>
            <w:vAlign w:val="bottom"/>
            <w:hideMark/>
          </w:tcPr>
          <w:p w14:paraId="65DAE9C5" w14:textId="77777777" w:rsidR="00A32B32" w:rsidRDefault="00A32B32" w:rsidP="00A32B32">
            <w:pPr>
              <w:jc w:val="right"/>
              <w:rPr>
                <w:sz w:val="18"/>
                <w:szCs w:val="18"/>
              </w:rPr>
            </w:pPr>
            <w:r>
              <w:rPr>
                <w:sz w:val="18"/>
                <w:szCs w:val="18"/>
              </w:rPr>
              <w:t>1 960,0</w:t>
            </w:r>
          </w:p>
        </w:tc>
        <w:tc>
          <w:tcPr>
            <w:tcW w:w="1209" w:type="dxa"/>
            <w:tcBorders>
              <w:top w:val="nil"/>
              <w:left w:val="nil"/>
              <w:bottom w:val="nil"/>
              <w:right w:val="single" w:sz="4" w:space="0" w:color="auto"/>
            </w:tcBorders>
            <w:shd w:val="clear" w:color="auto" w:fill="auto"/>
            <w:noWrap/>
            <w:vAlign w:val="bottom"/>
            <w:hideMark/>
          </w:tcPr>
          <w:p w14:paraId="1A472082" w14:textId="77777777" w:rsidR="00A32B32" w:rsidRDefault="00A32B32" w:rsidP="00A32B32">
            <w:pPr>
              <w:jc w:val="right"/>
              <w:rPr>
                <w:sz w:val="18"/>
                <w:szCs w:val="18"/>
              </w:rPr>
            </w:pPr>
            <w:r>
              <w:rPr>
                <w:sz w:val="18"/>
                <w:szCs w:val="18"/>
              </w:rPr>
              <w:t>42,2%</w:t>
            </w:r>
          </w:p>
        </w:tc>
      </w:tr>
      <w:tr w:rsidR="00A32B32" w:rsidRPr="00BC72AC" w14:paraId="30A8E804"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hideMark/>
          </w:tcPr>
          <w:p w14:paraId="4094E787" w14:textId="77777777" w:rsidR="00A32B32" w:rsidRPr="00CD44C7" w:rsidRDefault="00A32B32" w:rsidP="00A32B32">
            <w:pPr>
              <w:rPr>
                <w:sz w:val="18"/>
                <w:szCs w:val="18"/>
              </w:rPr>
            </w:pPr>
            <w:r w:rsidRPr="00CD44C7">
              <w:rPr>
                <w:sz w:val="18"/>
                <w:szCs w:val="18"/>
              </w:rPr>
              <w:t xml:space="preserve">    Текущи</w:t>
            </w:r>
          </w:p>
        </w:tc>
        <w:tc>
          <w:tcPr>
            <w:tcW w:w="1418" w:type="dxa"/>
            <w:tcBorders>
              <w:top w:val="nil"/>
              <w:left w:val="single" w:sz="4" w:space="0" w:color="auto"/>
              <w:bottom w:val="nil"/>
              <w:right w:val="nil"/>
            </w:tcBorders>
            <w:shd w:val="clear" w:color="auto" w:fill="auto"/>
            <w:noWrap/>
            <w:vAlign w:val="bottom"/>
            <w:hideMark/>
          </w:tcPr>
          <w:p w14:paraId="2B830DAC" w14:textId="77777777" w:rsidR="00A32B32" w:rsidRDefault="00A32B32" w:rsidP="00A32B32">
            <w:pPr>
              <w:jc w:val="right"/>
              <w:rPr>
                <w:sz w:val="18"/>
                <w:szCs w:val="18"/>
              </w:rPr>
            </w:pPr>
            <w:r>
              <w:rPr>
                <w:sz w:val="18"/>
                <w:szCs w:val="18"/>
              </w:rPr>
              <w:t>44 822,0</w:t>
            </w:r>
          </w:p>
        </w:tc>
        <w:tc>
          <w:tcPr>
            <w:tcW w:w="1095" w:type="dxa"/>
            <w:tcBorders>
              <w:top w:val="nil"/>
              <w:left w:val="nil"/>
              <w:bottom w:val="nil"/>
              <w:right w:val="nil"/>
            </w:tcBorders>
            <w:shd w:val="clear" w:color="auto" w:fill="auto"/>
            <w:noWrap/>
            <w:vAlign w:val="bottom"/>
            <w:hideMark/>
          </w:tcPr>
          <w:p w14:paraId="5DB03AFA" w14:textId="77777777" w:rsidR="00A32B32" w:rsidRDefault="00A32B32" w:rsidP="00A32B32">
            <w:pPr>
              <w:jc w:val="right"/>
              <w:rPr>
                <w:sz w:val="18"/>
                <w:szCs w:val="18"/>
              </w:rPr>
            </w:pPr>
            <w:r>
              <w:rPr>
                <w:sz w:val="18"/>
                <w:szCs w:val="18"/>
              </w:rPr>
              <w:t>20 508,8</w:t>
            </w:r>
          </w:p>
        </w:tc>
        <w:tc>
          <w:tcPr>
            <w:tcW w:w="1222" w:type="dxa"/>
            <w:tcBorders>
              <w:top w:val="nil"/>
              <w:left w:val="nil"/>
              <w:bottom w:val="nil"/>
              <w:right w:val="nil"/>
            </w:tcBorders>
            <w:shd w:val="clear" w:color="auto" w:fill="auto"/>
            <w:noWrap/>
            <w:vAlign w:val="bottom"/>
            <w:hideMark/>
          </w:tcPr>
          <w:p w14:paraId="4CD36B33" w14:textId="77777777" w:rsidR="00A32B32" w:rsidRDefault="00A32B32" w:rsidP="00A32B32">
            <w:pPr>
              <w:jc w:val="right"/>
              <w:rPr>
                <w:sz w:val="18"/>
                <w:szCs w:val="18"/>
              </w:rPr>
            </w:pPr>
            <w:r>
              <w:rPr>
                <w:sz w:val="18"/>
                <w:szCs w:val="18"/>
              </w:rPr>
              <w:t>19 886,5</w:t>
            </w:r>
          </w:p>
        </w:tc>
        <w:tc>
          <w:tcPr>
            <w:tcW w:w="1199" w:type="dxa"/>
            <w:tcBorders>
              <w:top w:val="nil"/>
              <w:left w:val="nil"/>
              <w:bottom w:val="nil"/>
              <w:right w:val="nil"/>
            </w:tcBorders>
            <w:shd w:val="clear" w:color="auto" w:fill="auto"/>
            <w:noWrap/>
            <w:vAlign w:val="bottom"/>
            <w:hideMark/>
          </w:tcPr>
          <w:p w14:paraId="65C47052" w14:textId="77777777" w:rsidR="00A32B32" w:rsidRDefault="00A32B32" w:rsidP="00A32B32">
            <w:pPr>
              <w:jc w:val="right"/>
              <w:rPr>
                <w:sz w:val="18"/>
                <w:szCs w:val="18"/>
              </w:rPr>
            </w:pPr>
            <w:r>
              <w:rPr>
                <w:sz w:val="18"/>
                <w:szCs w:val="18"/>
              </w:rPr>
              <w:t>622,4</w:t>
            </w:r>
          </w:p>
        </w:tc>
        <w:tc>
          <w:tcPr>
            <w:tcW w:w="1209" w:type="dxa"/>
            <w:tcBorders>
              <w:top w:val="nil"/>
              <w:left w:val="nil"/>
              <w:bottom w:val="nil"/>
              <w:right w:val="single" w:sz="4" w:space="0" w:color="auto"/>
            </w:tcBorders>
            <w:shd w:val="clear" w:color="auto" w:fill="auto"/>
            <w:noWrap/>
            <w:vAlign w:val="bottom"/>
            <w:hideMark/>
          </w:tcPr>
          <w:p w14:paraId="3C15F01A" w14:textId="77777777" w:rsidR="00A32B32" w:rsidRDefault="00A32B32" w:rsidP="00A32B32">
            <w:pPr>
              <w:jc w:val="right"/>
              <w:rPr>
                <w:sz w:val="18"/>
                <w:szCs w:val="18"/>
              </w:rPr>
            </w:pPr>
            <w:r>
              <w:rPr>
                <w:sz w:val="18"/>
                <w:szCs w:val="18"/>
              </w:rPr>
              <w:t>45,8%</w:t>
            </w:r>
          </w:p>
        </w:tc>
      </w:tr>
      <w:tr w:rsidR="00A32B32" w:rsidRPr="00BC72AC" w14:paraId="617F200E"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tcPr>
          <w:p w14:paraId="5AD9C1BC" w14:textId="77777777" w:rsidR="00A32B32" w:rsidRPr="00CD44C7" w:rsidRDefault="00A32B32" w:rsidP="00A32B32">
            <w:pPr>
              <w:rPr>
                <w:sz w:val="18"/>
                <w:szCs w:val="18"/>
              </w:rPr>
            </w:pPr>
            <w:r w:rsidRPr="00CD44C7">
              <w:rPr>
                <w:sz w:val="18"/>
                <w:szCs w:val="18"/>
              </w:rPr>
              <w:t xml:space="preserve">    Капиталови</w:t>
            </w:r>
          </w:p>
        </w:tc>
        <w:tc>
          <w:tcPr>
            <w:tcW w:w="1418" w:type="dxa"/>
            <w:tcBorders>
              <w:top w:val="nil"/>
              <w:left w:val="nil"/>
              <w:bottom w:val="nil"/>
              <w:right w:val="nil"/>
            </w:tcBorders>
            <w:shd w:val="clear" w:color="auto" w:fill="auto"/>
            <w:noWrap/>
            <w:vAlign w:val="bottom"/>
          </w:tcPr>
          <w:p w14:paraId="6EEA32CB" w14:textId="77777777" w:rsidR="00A32B32" w:rsidRDefault="00A32B32" w:rsidP="00A32B32">
            <w:pPr>
              <w:jc w:val="right"/>
              <w:rPr>
                <w:sz w:val="18"/>
                <w:szCs w:val="18"/>
              </w:rPr>
            </w:pPr>
            <w:r>
              <w:rPr>
                <w:sz w:val="18"/>
                <w:szCs w:val="18"/>
              </w:rPr>
              <w:t>9 408,1</w:t>
            </w:r>
          </w:p>
        </w:tc>
        <w:tc>
          <w:tcPr>
            <w:tcW w:w="1095" w:type="dxa"/>
            <w:tcBorders>
              <w:top w:val="nil"/>
              <w:left w:val="nil"/>
              <w:bottom w:val="nil"/>
              <w:right w:val="nil"/>
            </w:tcBorders>
            <w:shd w:val="clear" w:color="000000" w:fill="FFFFFF"/>
            <w:noWrap/>
            <w:vAlign w:val="bottom"/>
          </w:tcPr>
          <w:p w14:paraId="29AB8C5C" w14:textId="77777777" w:rsidR="00A32B32" w:rsidRDefault="00A32B32" w:rsidP="00A32B32">
            <w:pPr>
              <w:jc w:val="right"/>
              <w:rPr>
                <w:sz w:val="18"/>
                <w:szCs w:val="18"/>
              </w:rPr>
            </w:pPr>
            <w:r>
              <w:rPr>
                <w:sz w:val="18"/>
                <w:szCs w:val="18"/>
              </w:rPr>
              <w:t>2 388,7</w:t>
            </w:r>
          </w:p>
        </w:tc>
        <w:tc>
          <w:tcPr>
            <w:tcW w:w="1222" w:type="dxa"/>
            <w:tcBorders>
              <w:top w:val="nil"/>
              <w:left w:val="nil"/>
              <w:bottom w:val="nil"/>
              <w:right w:val="nil"/>
            </w:tcBorders>
            <w:shd w:val="clear" w:color="auto" w:fill="auto"/>
            <w:noWrap/>
            <w:vAlign w:val="bottom"/>
          </w:tcPr>
          <w:p w14:paraId="35346D94" w14:textId="77777777" w:rsidR="00A32B32" w:rsidRDefault="00A32B32" w:rsidP="00A32B32">
            <w:pPr>
              <w:jc w:val="right"/>
              <w:rPr>
                <w:sz w:val="18"/>
                <w:szCs w:val="18"/>
              </w:rPr>
            </w:pPr>
            <w:r>
              <w:rPr>
                <w:sz w:val="18"/>
                <w:szCs w:val="18"/>
              </w:rPr>
              <w:t>1 064,5</w:t>
            </w:r>
          </w:p>
        </w:tc>
        <w:tc>
          <w:tcPr>
            <w:tcW w:w="1199" w:type="dxa"/>
            <w:tcBorders>
              <w:top w:val="nil"/>
              <w:left w:val="nil"/>
              <w:bottom w:val="nil"/>
              <w:right w:val="nil"/>
            </w:tcBorders>
            <w:shd w:val="clear" w:color="auto" w:fill="auto"/>
            <w:noWrap/>
            <w:vAlign w:val="bottom"/>
          </w:tcPr>
          <w:p w14:paraId="375C9D89" w14:textId="77777777" w:rsidR="00A32B32" w:rsidRDefault="00A32B32" w:rsidP="00A32B32">
            <w:pPr>
              <w:jc w:val="right"/>
              <w:rPr>
                <w:sz w:val="18"/>
                <w:szCs w:val="18"/>
              </w:rPr>
            </w:pPr>
            <w:r>
              <w:rPr>
                <w:sz w:val="18"/>
                <w:szCs w:val="18"/>
              </w:rPr>
              <w:t>1 324,2</w:t>
            </w:r>
          </w:p>
        </w:tc>
        <w:tc>
          <w:tcPr>
            <w:tcW w:w="1209" w:type="dxa"/>
            <w:tcBorders>
              <w:top w:val="nil"/>
              <w:left w:val="nil"/>
              <w:bottom w:val="nil"/>
              <w:right w:val="single" w:sz="4" w:space="0" w:color="auto"/>
            </w:tcBorders>
            <w:shd w:val="clear" w:color="auto" w:fill="auto"/>
            <w:noWrap/>
            <w:vAlign w:val="bottom"/>
          </w:tcPr>
          <w:p w14:paraId="77145148" w14:textId="77777777" w:rsidR="00A32B32" w:rsidRDefault="00A32B32" w:rsidP="00A32B32">
            <w:pPr>
              <w:jc w:val="right"/>
              <w:rPr>
                <w:sz w:val="18"/>
                <w:szCs w:val="18"/>
              </w:rPr>
            </w:pPr>
            <w:r>
              <w:rPr>
                <w:sz w:val="18"/>
                <w:szCs w:val="18"/>
              </w:rPr>
              <w:t>25,4%</w:t>
            </w:r>
          </w:p>
        </w:tc>
      </w:tr>
      <w:tr w:rsidR="00A32B32" w:rsidRPr="00BC72AC" w14:paraId="58B65912"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tcPr>
          <w:p w14:paraId="64FD9E50" w14:textId="77777777" w:rsidR="00A32B32" w:rsidRPr="00CD44C7" w:rsidRDefault="00A32B32" w:rsidP="00A32B32">
            <w:pPr>
              <w:rPr>
                <w:sz w:val="18"/>
                <w:szCs w:val="18"/>
              </w:rPr>
            </w:pPr>
            <w:r w:rsidRPr="00CD44C7">
              <w:rPr>
                <w:sz w:val="18"/>
                <w:szCs w:val="18"/>
              </w:rPr>
              <w:t xml:space="preserve">           в т.ч. нетен прираст на държавния резерв</w:t>
            </w:r>
          </w:p>
        </w:tc>
        <w:tc>
          <w:tcPr>
            <w:tcW w:w="1418" w:type="dxa"/>
            <w:tcBorders>
              <w:top w:val="nil"/>
              <w:left w:val="nil"/>
              <w:bottom w:val="nil"/>
              <w:right w:val="nil"/>
            </w:tcBorders>
            <w:shd w:val="clear" w:color="auto" w:fill="auto"/>
            <w:noWrap/>
            <w:vAlign w:val="bottom"/>
          </w:tcPr>
          <w:p w14:paraId="70AF4C1C" w14:textId="77777777" w:rsidR="00A32B32" w:rsidRDefault="00A32B32" w:rsidP="00A32B32">
            <w:pPr>
              <w:jc w:val="right"/>
              <w:rPr>
                <w:sz w:val="18"/>
                <w:szCs w:val="18"/>
              </w:rPr>
            </w:pPr>
            <w:r>
              <w:rPr>
                <w:sz w:val="18"/>
                <w:szCs w:val="18"/>
              </w:rPr>
              <w:t>47,5</w:t>
            </w:r>
          </w:p>
        </w:tc>
        <w:tc>
          <w:tcPr>
            <w:tcW w:w="1095" w:type="dxa"/>
            <w:tcBorders>
              <w:top w:val="nil"/>
              <w:left w:val="nil"/>
              <w:bottom w:val="nil"/>
              <w:right w:val="nil"/>
            </w:tcBorders>
            <w:shd w:val="clear" w:color="000000" w:fill="FFFFFF"/>
            <w:noWrap/>
            <w:vAlign w:val="bottom"/>
          </w:tcPr>
          <w:p w14:paraId="1007C157" w14:textId="77777777" w:rsidR="00A32B32" w:rsidRDefault="00A32B32" w:rsidP="00A32B32">
            <w:pPr>
              <w:jc w:val="right"/>
              <w:rPr>
                <w:sz w:val="18"/>
                <w:szCs w:val="18"/>
              </w:rPr>
            </w:pPr>
            <w:r>
              <w:rPr>
                <w:sz w:val="18"/>
                <w:szCs w:val="18"/>
              </w:rPr>
              <w:t>30,5</w:t>
            </w:r>
          </w:p>
        </w:tc>
        <w:tc>
          <w:tcPr>
            <w:tcW w:w="1222" w:type="dxa"/>
            <w:tcBorders>
              <w:top w:val="nil"/>
              <w:left w:val="nil"/>
              <w:bottom w:val="nil"/>
              <w:right w:val="nil"/>
            </w:tcBorders>
            <w:shd w:val="clear" w:color="auto" w:fill="auto"/>
            <w:noWrap/>
            <w:vAlign w:val="bottom"/>
          </w:tcPr>
          <w:p w14:paraId="1490E121" w14:textId="77777777" w:rsidR="00A32B32" w:rsidRDefault="00A32B32" w:rsidP="00A32B32">
            <w:pPr>
              <w:jc w:val="right"/>
              <w:rPr>
                <w:sz w:val="18"/>
                <w:szCs w:val="18"/>
              </w:rPr>
            </w:pPr>
            <w:r>
              <w:rPr>
                <w:sz w:val="18"/>
                <w:szCs w:val="18"/>
              </w:rPr>
              <w:t>30,5</w:t>
            </w:r>
          </w:p>
        </w:tc>
        <w:tc>
          <w:tcPr>
            <w:tcW w:w="1199" w:type="dxa"/>
            <w:tcBorders>
              <w:top w:val="nil"/>
              <w:left w:val="nil"/>
              <w:bottom w:val="nil"/>
              <w:right w:val="nil"/>
            </w:tcBorders>
            <w:shd w:val="clear" w:color="auto" w:fill="auto"/>
            <w:noWrap/>
            <w:vAlign w:val="bottom"/>
          </w:tcPr>
          <w:p w14:paraId="15195D26" w14:textId="77777777" w:rsidR="00A32B32" w:rsidRDefault="00A32B32" w:rsidP="00A32B32">
            <w:pPr>
              <w:jc w:val="right"/>
              <w:rPr>
                <w:sz w:val="18"/>
                <w:szCs w:val="18"/>
              </w:rPr>
            </w:pPr>
          </w:p>
        </w:tc>
        <w:tc>
          <w:tcPr>
            <w:tcW w:w="1209" w:type="dxa"/>
            <w:tcBorders>
              <w:top w:val="nil"/>
              <w:left w:val="nil"/>
              <w:bottom w:val="nil"/>
              <w:right w:val="single" w:sz="4" w:space="0" w:color="auto"/>
            </w:tcBorders>
            <w:shd w:val="clear" w:color="auto" w:fill="auto"/>
            <w:noWrap/>
            <w:vAlign w:val="bottom"/>
          </w:tcPr>
          <w:p w14:paraId="09172A17" w14:textId="77777777" w:rsidR="00A32B32" w:rsidRDefault="00A32B32" w:rsidP="00A32B32">
            <w:pPr>
              <w:jc w:val="right"/>
              <w:rPr>
                <w:sz w:val="18"/>
                <w:szCs w:val="18"/>
              </w:rPr>
            </w:pPr>
            <w:r>
              <w:rPr>
                <w:sz w:val="18"/>
                <w:szCs w:val="18"/>
              </w:rPr>
              <w:t>64,2%</w:t>
            </w:r>
          </w:p>
        </w:tc>
      </w:tr>
      <w:tr w:rsidR="00A32B32" w:rsidRPr="00BC72AC" w14:paraId="32ADAB3B"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tcPr>
          <w:p w14:paraId="6683E187" w14:textId="77777777" w:rsidR="00A32B32" w:rsidRPr="00CD44C7" w:rsidRDefault="00A32B32" w:rsidP="00A32B32">
            <w:pPr>
              <w:rPr>
                <w:sz w:val="18"/>
                <w:szCs w:val="18"/>
              </w:rPr>
            </w:pPr>
            <w:r w:rsidRPr="00CD44C7">
              <w:rPr>
                <w:sz w:val="18"/>
                <w:szCs w:val="18"/>
              </w:rPr>
              <w:t xml:space="preserve">    Предоставени тек. и капит. трансфери за чужбина</w:t>
            </w:r>
          </w:p>
        </w:tc>
        <w:tc>
          <w:tcPr>
            <w:tcW w:w="1418" w:type="dxa"/>
            <w:tcBorders>
              <w:top w:val="nil"/>
              <w:left w:val="nil"/>
              <w:bottom w:val="nil"/>
              <w:right w:val="nil"/>
            </w:tcBorders>
            <w:shd w:val="clear" w:color="auto" w:fill="auto"/>
            <w:noWrap/>
            <w:vAlign w:val="bottom"/>
          </w:tcPr>
          <w:p w14:paraId="6C6FD7A6" w14:textId="77777777" w:rsidR="00A32B32" w:rsidRDefault="00A32B32" w:rsidP="00A32B32">
            <w:pPr>
              <w:jc w:val="right"/>
              <w:rPr>
                <w:sz w:val="18"/>
                <w:szCs w:val="18"/>
              </w:rPr>
            </w:pPr>
            <w:r>
              <w:rPr>
                <w:sz w:val="18"/>
                <w:szCs w:val="18"/>
              </w:rPr>
              <w:t>14,5</w:t>
            </w:r>
          </w:p>
        </w:tc>
        <w:tc>
          <w:tcPr>
            <w:tcW w:w="1095" w:type="dxa"/>
            <w:tcBorders>
              <w:top w:val="nil"/>
              <w:left w:val="nil"/>
              <w:bottom w:val="nil"/>
              <w:right w:val="nil"/>
            </w:tcBorders>
            <w:shd w:val="clear" w:color="000000" w:fill="FFFFFF"/>
            <w:noWrap/>
            <w:vAlign w:val="bottom"/>
          </w:tcPr>
          <w:p w14:paraId="19B0F2D1" w14:textId="77777777" w:rsidR="00A32B32" w:rsidRDefault="00A32B32" w:rsidP="00A32B32">
            <w:pPr>
              <w:jc w:val="right"/>
              <w:rPr>
                <w:sz w:val="18"/>
                <w:szCs w:val="18"/>
              </w:rPr>
            </w:pPr>
            <w:r>
              <w:rPr>
                <w:sz w:val="18"/>
                <w:szCs w:val="18"/>
              </w:rPr>
              <w:t>15,6</w:t>
            </w:r>
          </w:p>
        </w:tc>
        <w:tc>
          <w:tcPr>
            <w:tcW w:w="1222" w:type="dxa"/>
            <w:tcBorders>
              <w:top w:val="nil"/>
              <w:left w:val="nil"/>
              <w:bottom w:val="nil"/>
              <w:right w:val="nil"/>
            </w:tcBorders>
            <w:shd w:val="clear" w:color="auto" w:fill="auto"/>
            <w:noWrap/>
            <w:vAlign w:val="bottom"/>
          </w:tcPr>
          <w:p w14:paraId="34600AFA" w14:textId="77777777" w:rsidR="00A32B32" w:rsidRDefault="00A32B32" w:rsidP="00A32B32">
            <w:pPr>
              <w:jc w:val="right"/>
              <w:rPr>
                <w:sz w:val="18"/>
                <w:szCs w:val="18"/>
              </w:rPr>
            </w:pPr>
            <w:r>
              <w:rPr>
                <w:sz w:val="18"/>
                <w:szCs w:val="18"/>
              </w:rPr>
              <w:t>2,1</w:t>
            </w:r>
          </w:p>
        </w:tc>
        <w:tc>
          <w:tcPr>
            <w:tcW w:w="1199" w:type="dxa"/>
            <w:tcBorders>
              <w:top w:val="nil"/>
              <w:left w:val="nil"/>
              <w:bottom w:val="nil"/>
              <w:right w:val="nil"/>
            </w:tcBorders>
            <w:shd w:val="clear" w:color="auto" w:fill="auto"/>
            <w:noWrap/>
            <w:vAlign w:val="bottom"/>
          </w:tcPr>
          <w:p w14:paraId="6391E47F" w14:textId="77777777" w:rsidR="00A32B32" w:rsidRDefault="00A32B32" w:rsidP="00A32B32">
            <w:pPr>
              <w:jc w:val="right"/>
              <w:rPr>
                <w:sz w:val="18"/>
                <w:szCs w:val="18"/>
              </w:rPr>
            </w:pPr>
            <w:r>
              <w:rPr>
                <w:sz w:val="18"/>
                <w:szCs w:val="18"/>
              </w:rPr>
              <w:t>13,5</w:t>
            </w:r>
          </w:p>
        </w:tc>
        <w:tc>
          <w:tcPr>
            <w:tcW w:w="1209" w:type="dxa"/>
            <w:tcBorders>
              <w:top w:val="nil"/>
              <w:left w:val="nil"/>
              <w:bottom w:val="nil"/>
              <w:right w:val="single" w:sz="4" w:space="0" w:color="auto"/>
            </w:tcBorders>
            <w:shd w:val="clear" w:color="auto" w:fill="auto"/>
            <w:noWrap/>
            <w:vAlign w:val="bottom"/>
          </w:tcPr>
          <w:p w14:paraId="6EF7C782" w14:textId="77777777" w:rsidR="00A32B32" w:rsidRDefault="00A32B32" w:rsidP="00A32B32">
            <w:pPr>
              <w:jc w:val="right"/>
              <w:rPr>
                <w:sz w:val="18"/>
                <w:szCs w:val="18"/>
              </w:rPr>
            </w:pPr>
            <w:r>
              <w:rPr>
                <w:sz w:val="18"/>
                <w:szCs w:val="18"/>
              </w:rPr>
              <w:t>107,1%</w:t>
            </w:r>
          </w:p>
        </w:tc>
      </w:tr>
      <w:tr w:rsidR="00A32B32" w:rsidRPr="00BC72AC" w14:paraId="08333359" w14:textId="77777777" w:rsidTr="00673641">
        <w:trPr>
          <w:trHeight w:val="250"/>
        </w:trPr>
        <w:tc>
          <w:tcPr>
            <w:tcW w:w="4003" w:type="dxa"/>
            <w:tcBorders>
              <w:top w:val="nil"/>
              <w:left w:val="single" w:sz="8" w:space="0" w:color="auto"/>
              <w:bottom w:val="nil"/>
              <w:right w:val="single" w:sz="4" w:space="0" w:color="auto"/>
            </w:tcBorders>
            <w:shd w:val="clear" w:color="auto" w:fill="auto"/>
            <w:noWrap/>
            <w:vAlign w:val="bottom"/>
            <w:hideMark/>
          </w:tcPr>
          <w:p w14:paraId="4B8ECA94" w14:textId="77777777" w:rsidR="00A32B32" w:rsidRPr="00CD44C7" w:rsidRDefault="00A32B32" w:rsidP="00A32B32">
            <w:pPr>
              <w:rPr>
                <w:sz w:val="18"/>
                <w:szCs w:val="18"/>
              </w:rPr>
            </w:pPr>
            <w:r w:rsidRPr="00CD44C7">
              <w:rPr>
                <w:sz w:val="18"/>
                <w:szCs w:val="18"/>
              </w:rPr>
              <w:t xml:space="preserve">  Лихвени</w:t>
            </w:r>
          </w:p>
        </w:tc>
        <w:tc>
          <w:tcPr>
            <w:tcW w:w="1418" w:type="dxa"/>
            <w:tcBorders>
              <w:top w:val="nil"/>
              <w:left w:val="single" w:sz="4" w:space="0" w:color="auto"/>
              <w:bottom w:val="nil"/>
              <w:right w:val="nil"/>
            </w:tcBorders>
            <w:shd w:val="clear" w:color="auto" w:fill="auto"/>
            <w:noWrap/>
            <w:vAlign w:val="bottom"/>
            <w:hideMark/>
          </w:tcPr>
          <w:p w14:paraId="3FFE68EE" w14:textId="77777777" w:rsidR="00A32B32" w:rsidRDefault="00A32B32" w:rsidP="00A32B32">
            <w:pPr>
              <w:jc w:val="right"/>
              <w:rPr>
                <w:sz w:val="18"/>
                <w:szCs w:val="18"/>
              </w:rPr>
            </w:pPr>
            <w:r>
              <w:rPr>
                <w:sz w:val="18"/>
                <w:szCs w:val="18"/>
              </w:rPr>
              <w:t>1 059,2</w:t>
            </w:r>
          </w:p>
        </w:tc>
        <w:tc>
          <w:tcPr>
            <w:tcW w:w="1095" w:type="dxa"/>
            <w:tcBorders>
              <w:top w:val="nil"/>
              <w:left w:val="nil"/>
              <w:bottom w:val="nil"/>
              <w:right w:val="nil"/>
            </w:tcBorders>
            <w:shd w:val="clear" w:color="auto" w:fill="auto"/>
            <w:noWrap/>
            <w:vAlign w:val="bottom"/>
            <w:hideMark/>
          </w:tcPr>
          <w:p w14:paraId="1E0C5226" w14:textId="77777777" w:rsidR="00A32B32" w:rsidRDefault="00A32B32" w:rsidP="00A32B32">
            <w:pPr>
              <w:jc w:val="right"/>
              <w:rPr>
                <w:sz w:val="18"/>
                <w:szCs w:val="18"/>
              </w:rPr>
            </w:pPr>
            <w:r>
              <w:rPr>
                <w:sz w:val="18"/>
                <w:szCs w:val="18"/>
              </w:rPr>
              <w:t>516,7</w:t>
            </w:r>
          </w:p>
        </w:tc>
        <w:tc>
          <w:tcPr>
            <w:tcW w:w="1222" w:type="dxa"/>
            <w:tcBorders>
              <w:top w:val="nil"/>
              <w:left w:val="nil"/>
              <w:bottom w:val="nil"/>
              <w:right w:val="nil"/>
            </w:tcBorders>
            <w:shd w:val="clear" w:color="auto" w:fill="auto"/>
            <w:noWrap/>
            <w:vAlign w:val="bottom"/>
            <w:hideMark/>
          </w:tcPr>
          <w:p w14:paraId="59B82D8E" w14:textId="77777777" w:rsidR="00A32B32" w:rsidRDefault="00A32B32" w:rsidP="00A32B32">
            <w:pPr>
              <w:jc w:val="right"/>
              <w:rPr>
                <w:sz w:val="18"/>
                <w:szCs w:val="18"/>
              </w:rPr>
            </w:pPr>
            <w:r>
              <w:rPr>
                <w:sz w:val="18"/>
                <w:szCs w:val="18"/>
              </w:rPr>
              <w:t>516,7</w:t>
            </w:r>
          </w:p>
        </w:tc>
        <w:tc>
          <w:tcPr>
            <w:tcW w:w="1199" w:type="dxa"/>
            <w:tcBorders>
              <w:top w:val="nil"/>
              <w:left w:val="nil"/>
              <w:bottom w:val="nil"/>
              <w:right w:val="nil"/>
            </w:tcBorders>
            <w:shd w:val="clear" w:color="auto" w:fill="auto"/>
            <w:noWrap/>
            <w:vAlign w:val="bottom"/>
          </w:tcPr>
          <w:p w14:paraId="09B891CE" w14:textId="77777777" w:rsidR="00A32B32" w:rsidRDefault="00A32B32" w:rsidP="00A32B32">
            <w:pPr>
              <w:jc w:val="right"/>
              <w:rPr>
                <w:sz w:val="18"/>
                <w:szCs w:val="18"/>
              </w:rPr>
            </w:pPr>
          </w:p>
        </w:tc>
        <w:tc>
          <w:tcPr>
            <w:tcW w:w="1209" w:type="dxa"/>
            <w:tcBorders>
              <w:top w:val="nil"/>
              <w:left w:val="nil"/>
              <w:bottom w:val="nil"/>
              <w:right w:val="single" w:sz="4" w:space="0" w:color="auto"/>
            </w:tcBorders>
            <w:shd w:val="clear" w:color="auto" w:fill="auto"/>
            <w:noWrap/>
            <w:vAlign w:val="bottom"/>
            <w:hideMark/>
          </w:tcPr>
          <w:p w14:paraId="08BE50EC" w14:textId="77777777" w:rsidR="00A32B32" w:rsidRDefault="00A32B32" w:rsidP="00A32B32">
            <w:pPr>
              <w:jc w:val="right"/>
              <w:rPr>
                <w:sz w:val="18"/>
                <w:szCs w:val="18"/>
              </w:rPr>
            </w:pPr>
            <w:r>
              <w:rPr>
                <w:sz w:val="18"/>
                <w:szCs w:val="18"/>
              </w:rPr>
              <w:t>48,8%</w:t>
            </w:r>
          </w:p>
        </w:tc>
      </w:tr>
      <w:tr w:rsidR="00A32B32" w:rsidRPr="00BC72AC" w14:paraId="717C51FC" w14:textId="77777777" w:rsidTr="00673641">
        <w:trPr>
          <w:trHeight w:val="250"/>
        </w:trPr>
        <w:tc>
          <w:tcPr>
            <w:tcW w:w="4003" w:type="dxa"/>
            <w:tcBorders>
              <w:top w:val="nil"/>
              <w:left w:val="single" w:sz="8" w:space="0" w:color="auto"/>
              <w:bottom w:val="single" w:sz="4" w:space="0" w:color="auto"/>
              <w:right w:val="single" w:sz="4" w:space="0" w:color="auto"/>
            </w:tcBorders>
            <w:shd w:val="clear" w:color="auto" w:fill="auto"/>
            <w:noWrap/>
            <w:vAlign w:val="bottom"/>
          </w:tcPr>
          <w:p w14:paraId="2F4586FE" w14:textId="77777777" w:rsidR="00A32B32" w:rsidRPr="00CD44C7" w:rsidRDefault="00A32B32" w:rsidP="00A32B32">
            <w:pPr>
              <w:rPr>
                <w:sz w:val="18"/>
                <w:szCs w:val="18"/>
              </w:rPr>
            </w:pPr>
            <w:r w:rsidRPr="00CD44C7">
              <w:rPr>
                <w:sz w:val="18"/>
                <w:szCs w:val="18"/>
                <w:lang w:val="ru-RU"/>
              </w:rPr>
              <w:t xml:space="preserve">  </w:t>
            </w:r>
            <w:r w:rsidRPr="00CD44C7">
              <w:rPr>
                <w:sz w:val="18"/>
                <w:szCs w:val="18"/>
              </w:rPr>
              <w:t>Резерв за неотложни и непредвидени разходи</w:t>
            </w:r>
            <w:r w:rsidRPr="00CD44C7">
              <w:rPr>
                <w:rStyle w:val="FootnoteReference"/>
                <w:sz w:val="18"/>
                <w:szCs w:val="18"/>
              </w:rPr>
              <w:footnoteReference w:id="5"/>
            </w:r>
          </w:p>
        </w:tc>
        <w:tc>
          <w:tcPr>
            <w:tcW w:w="1418" w:type="dxa"/>
            <w:tcBorders>
              <w:top w:val="nil"/>
              <w:left w:val="single" w:sz="4" w:space="0" w:color="auto"/>
              <w:bottom w:val="single" w:sz="4" w:space="0" w:color="auto"/>
              <w:right w:val="nil"/>
            </w:tcBorders>
            <w:shd w:val="clear" w:color="auto" w:fill="auto"/>
            <w:noWrap/>
            <w:vAlign w:val="bottom"/>
          </w:tcPr>
          <w:p w14:paraId="195897D1" w14:textId="77777777" w:rsidR="00A32B32" w:rsidRDefault="00A32B32" w:rsidP="00A32B32">
            <w:pPr>
              <w:jc w:val="right"/>
              <w:rPr>
                <w:sz w:val="18"/>
                <w:szCs w:val="18"/>
              </w:rPr>
            </w:pPr>
            <w:r>
              <w:rPr>
                <w:sz w:val="18"/>
                <w:szCs w:val="18"/>
              </w:rPr>
              <w:t>221,3</w:t>
            </w:r>
          </w:p>
        </w:tc>
        <w:tc>
          <w:tcPr>
            <w:tcW w:w="1095" w:type="dxa"/>
            <w:tcBorders>
              <w:top w:val="nil"/>
              <w:left w:val="nil"/>
              <w:bottom w:val="single" w:sz="4" w:space="0" w:color="auto"/>
              <w:right w:val="nil"/>
            </w:tcBorders>
            <w:shd w:val="clear" w:color="auto" w:fill="auto"/>
            <w:noWrap/>
            <w:vAlign w:val="bottom"/>
          </w:tcPr>
          <w:p w14:paraId="76C4E2B9" w14:textId="77777777" w:rsidR="00A32B32" w:rsidRDefault="00A32B32" w:rsidP="00A32B32">
            <w:pPr>
              <w:rPr>
                <w:sz w:val="20"/>
                <w:szCs w:val="20"/>
              </w:rPr>
            </w:pPr>
          </w:p>
        </w:tc>
        <w:tc>
          <w:tcPr>
            <w:tcW w:w="1222" w:type="dxa"/>
            <w:tcBorders>
              <w:top w:val="nil"/>
              <w:left w:val="nil"/>
              <w:bottom w:val="single" w:sz="4" w:space="0" w:color="auto"/>
              <w:right w:val="nil"/>
            </w:tcBorders>
            <w:shd w:val="clear" w:color="auto" w:fill="auto"/>
            <w:noWrap/>
            <w:vAlign w:val="bottom"/>
          </w:tcPr>
          <w:p w14:paraId="7A3ABD14" w14:textId="77777777" w:rsidR="00A32B32" w:rsidRDefault="00A32B32" w:rsidP="00A32B32">
            <w:pPr>
              <w:rPr>
                <w:sz w:val="20"/>
                <w:szCs w:val="20"/>
              </w:rPr>
            </w:pPr>
          </w:p>
        </w:tc>
        <w:tc>
          <w:tcPr>
            <w:tcW w:w="1199" w:type="dxa"/>
            <w:tcBorders>
              <w:top w:val="nil"/>
              <w:left w:val="nil"/>
              <w:bottom w:val="single" w:sz="4" w:space="0" w:color="auto"/>
              <w:right w:val="nil"/>
            </w:tcBorders>
            <w:shd w:val="clear" w:color="auto" w:fill="auto"/>
            <w:noWrap/>
            <w:vAlign w:val="bottom"/>
          </w:tcPr>
          <w:p w14:paraId="3A749B6E" w14:textId="77777777" w:rsidR="00A32B32" w:rsidRDefault="00A32B32" w:rsidP="00A32B32">
            <w:pPr>
              <w:rPr>
                <w:sz w:val="20"/>
                <w:szCs w:val="20"/>
              </w:rPr>
            </w:pPr>
          </w:p>
        </w:tc>
        <w:tc>
          <w:tcPr>
            <w:tcW w:w="1209" w:type="dxa"/>
            <w:tcBorders>
              <w:top w:val="nil"/>
              <w:left w:val="nil"/>
              <w:bottom w:val="single" w:sz="4" w:space="0" w:color="auto"/>
              <w:right w:val="single" w:sz="4" w:space="0" w:color="auto"/>
            </w:tcBorders>
            <w:shd w:val="clear" w:color="auto" w:fill="auto"/>
            <w:noWrap/>
            <w:vAlign w:val="bottom"/>
          </w:tcPr>
          <w:p w14:paraId="267BABD8" w14:textId="77777777" w:rsidR="00A32B32" w:rsidRDefault="00A32B32" w:rsidP="00A32B32">
            <w:pPr>
              <w:rPr>
                <w:sz w:val="18"/>
                <w:szCs w:val="18"/>
              </w:rPr>
            </w:pPr>
            <w:r>
              <w:rPr>
                <w:sz w:val="18"/>
                <w:szCs w:val="18"/>
              </w:rPr>
              <w:t> </w:t>
            </w:r>
          </w:p>
        </w:tc>
      </w:tr>
      <w:tr w:rsidR="00A32B32" w:rsidRPr="00BC72AC" w14:paraId="3BE86F25" w14:textId="77777777" w:rsidTr="00673641">
        <w:trPr>
          <w:trHeight w:val="250"/>
        </w:trPr>
        <w:tc>
          <w:tcPr>
            <w:tcW w:w="4003" w:type="dxa"/>
            <w:tcBorders>
              <w:top w:val="nil"/>
              <w:left w:val="single" w:sz="8" w:space="0" w:color="auto"/>
              <w:bottom w:val="single" w:sz="4" w:space="0" w:color="auto"/>
              <w:right w:val="single" w:sz="4" w:space="0" w:color="auto"/>
            </w:tcBorders>
            <w:shd w:val="clear" w:color="auto" w:fill="auto"/>
            <w:noWrap/>
            <w:vAlign w:val="bottom"/>
          </w:tcPr>
          <w:p w14:paraId="49622C8E" w14:textId="77777777" w:rsidR="00A32B32" w:rsidRPr="00CD44C7" w:rsidRDefault="00A32B32" w:rsidP="00A32B32">
            <w:pPr>
              <w:rPr>
                <w:sz w:val="18"/>
                <w:szCs w:val="18"/>
              </w:rPr>
            </w:pPr>
            <w:r w:rsidRPr="00CD44C7">
              <w:rPr>
                <w:sz w:val="18"/>
                <w:szCs w:val="18"/>
              </w:rPr>
              <w:t xml:space="preserve">  Вноска за общия бюджет на ЕС</w:t>
            </w:r>
          </w:p>
        </w:tc>
        <w:tc>
          <w:tcPr>
            <w:tcW w:w="1418" w:type="dxa"/>
            <w:tcBorders>
              <w:top w:val="nil"/>
              <w:left w:val="single" w:sz="4" w:space="0" w:color="auto"/>
              <w:bottom w:val="single" w:sz="4" w:space="0" w:color="auto"/>
              <w:right w:val="nil"/>
            </w:tcBorders>
            <w:shd w:val="clear" w:color="auto" w:fill="auto"/>
            <w:noWrap/>
            <w:vAlign w:val="bottom"/>
          </w:tcPr>
          <w:p w14:paraId="56540EBD" w14:textId="77777777" w:rsidR="00A32B32" w:rsidRDefault="00A32B32" w:rsidP="00A32B32">
            <w:pPr>
              <w:jc w:val="right"/>
              <w:rPr>
                <w:sz w:val="18"/>
                <w:szCs w:val="18"/>
              </w:rPr>
            </w:pPr>
            <w:r>
              <w:rPr>
                <w:sz w:val="18"/>
                <w:szCs w:val="18"/>
              </w:rPr>
              <w:t>1 282,2</w:t>
            </w:r>
          </w:p>
        </w:tc>
        <w:tc>
          <w:tcPr>
            <w:tcW w:w="1095" w:type="dxa"/>
            <w:tcBorders>
              <w:top w:val="single" w:sz="4" w:space="0" w:color="auto"/>
              <w:left w:val="nil"/>
              <w:bottom w:val="single" w:sz="4" w:space="0" w:color="auto"/>
              <w:right w:val="nil"/>
            </w:tcBorders>
            <w:shd w:val="clear" w:color="auto" w:fill="auto"/>
            <w:noWrap/>
            <w:vAlign w:val="bottom"/>
          </w:tcPr>
          <w:p w14:paraId="71C6499D" w14:textId="77777777" w:rsidR="00A32B32" w:rsidRDefault="00A32B32" w:rsidP="00A32B32">
            <w:pPr>
              <w:jc w:val="right"/>
              <w:rPr>
                <w:sz w:val="18"/>
                <w:szCs w:val="18"/>
              </w:rPr>
            </w:pPr>
            <w:r>
              <w:rPr>
                <w:sz w:val="18"/>
                <w:szCs w:val="18"/>
              </w:rPr>
              <w:t>560,3</w:t>
            </w:r>
          </w:p>
        </w:tc>
        <w:tc>
          <w:tcPr>
            <w:tcW w:w="1222" w:type="dxa"/>
            <w:tcBorders>
              <w:top w:val="single" w:sz="4" w:space="0" w:color="auto"/>
              <w:left w:val="nil"/>
              <w:bottom w:val="single" w:sz="4" w:space="0" w:color="auto"/>
              <w:right w:val="nil"/>
            </w:tcBorders>
            <w:shd w:val="clear" w:color="auto" w:fill="auto"/>
            <w:noWrap/>
            <w:vAlign w:val="bottom"/>
          </w:tcPr>
          <w:p w14:paraId="5F030DE2" w14:textId="77777777" w:rsidR="00A32B32" w:rsidRDefault="00A32B32" w:rsidP="00A32B32">
            <w:pPr>
              <w:jc w:val="right"/>
              <w:rPr>
                <w:sz w:val="18"/>
                <w:szCs w:val="18"/>
              </w:rPr>
            </w:pPr>
            <w:r>
              <w:rPr>
                <w:sz w:val="18"/>
                <w:szCs w:val="18"/>
              </w:rPr>
              <w:t>560,3</w:t>
            </w:r>
          </w:p>
        </w:tc>
        <w:tc>
          <w:tcPr>
            <w:tcW w:w="1199" w:type="dxa"/>
            <w:tcBorders>
              <w:top w:val="single" w:sz="4" w:space="0" w:color="auto"/>
              <w:left w:val="nil"/>
              <w:bottom w:val="single" w:sz="4" w:space="0" w:color="auto"/>
              <w:right w:val="nil"/>
            </w:tcBorders>
            <w:shd w:val="clear" w:color="auto" w:fill="auto"/>
            <w:noWrap/>
            <w:vAlign w:val="bottom"/>
          </w:tcPr>
          <w:p w14:paraId="13388F11" w14:textId="77777777" w:rsidR="00A32B32" w:rsidRDefault="00A32B32" w:rsidP="00A32B32">
            <w:pPr>
              <w:rPr>
                <w:sz w:val="18"/>
                <w:szCs w:val="18"/>
              </w:rPr>
            </w:pPr>
            <w:r>
              <w:rPr>
                <w:sz w:val="18"/>
                <w:szCs w:val="18"/>
              </w:rPr>
              <w:t> </w:t>
            </w:r>
          </w:p>
        </w:tc>
        <w:tc>
          <w:tcPr>
            <w:tcW w:w="1209" w:type="dxa"/>
            <w:tcBorders>
              <w:top w:val="single" w:sz="4" w:space="0" w:color="auto"/>
              <w:left w:val="nil"/>
              <w:bottom w:val="single" w:sz="4" w:space="0" w:color="auto"/>
              <w:right w:val="single" w:sz="4" w:space="0" w:color="auto"/>
            </w:tcBorders>
            <w:shd w:val="clear" w:color="auto" w:fill="auto"/>
            <w:noWrap/>
            <w:vAlign w:val="bottom"/>
          </w:tcPr>
          <w:p w14:paraId="7BD52B3B" w14:textId="77777777" w:rsidR="00A32B32" w:rsidRDefault="00A32B32" w:rsidP="00A32B32">
            <w:pPr>
              <w:jc w:val="right"/>
              <w:rPr>
                <w:sz w:val="18"/>
                <w:szCs w:val="18"/>
              </w:rPr>
            </w:pPr>
            <w:r>
              <w:rPr>
                <w:sz w:val="18"/>
                <w:szCs w:val="18"/>
              </w:rPr>
              <w:t>43,7%</w:t>
            </w:r>
          </w:p>
        </w:tc>
      </w:tr>
      <w:tr w:rsidR="00A32B32" w:rsidRPr="00BC72AC" w14:paraId="1616497F" w14:textId="77777777" w:rsidTr="00673641">
        <w:trPr>
          <w:trHeight w:val="250"/>
        </w:trPr>
        <w:tc>
          <w:tcPr>
            <w:tcW w:w="4003" w:type="dxa"/>
            <w:tcBorders>
              <w:top w:val="nil"/>
              <w:left w:val="single" w:sz="8" w:space="0" w:color="auto"/>
              <w:bottom w:val="single" w:sz="4" w:space="0" w:color="auto"/>
              <w:right w:val="single" w:sz="4" w:space="0" w:color="auto"/>
            </w:tcBorders>
            <w:shd w:val="clear" w:color="auto" w:fill="auto"/>
            <w:noWrap/>
            <w:vAlign w:val="bottom"/>
            <w:hideMark/>
          </w:tcPr>
          <w:p w14:paraId="5EFCA9E5" w14:textId="77777777" w:rsidR="00A32B32" w:rsidRPr="00CD44C7" w:rsidRDefault="00A32B32" w:rsidP="00A32B32">
            <w:pPr>
              <w:rPr>
                <w:sz w:val="18"/>
                <w:szCs w:val="18"/>
              </w:rPr>
            </w:pPr>
            <w:r w:rsidRPr="00CD44C7">
              <w:rPr>
                <w:sz w:val="18"/>
                <w:szCs w:val="18"/>
              </w:rPr>
              <w:t>Трансфери</w:t>
            </w:r>
            <w:r w:rsidRPr="00CD44C7">
              <w:rPr>
                <w:sz w:val="18"/>
                <w:szCs w:val="18"/>
                <w:lang w:val="en-US"/>
              </w:rPr>
              <w:t xml:space="preserve"> </w:t>
            </w:r>
            <w:r w:rsidRPr="00CD44C7">
              <w:rPr>
                <w:sz w:val="18"/>
                <w:szCs w:val="18"/>
              </w:rPr>
              <w:t>-</w:t>
            </w:r>
            <w:r w:rsidRPr="00CD44C7">
              <w:rPr>
                <w:sz w:val="18"/>
                <w:szCs w:val="18"/>
                <w:lang w:val="en-US"/>
              </w:rPr>
              <w:t xml:space="preserve"> </w:t>
            </w:r>
            <w:r w:rsidRPr="00CD44C7">
              <w:rPr>
                <w:sz w:val="18"/>
                <w:szCs w:val="18"/>
              </w:rPr>
              <w:t>нето</w:t>
            </w:r>
          </w:p>
        </w:tc>
        <w:tc>
          <w:tcPr>
            <w:tcW w:w="1418" w:type="dxa"/>
            <w:tcBorders>
              <w:top w:val="single" w:sz="4" w:space="0" w:color="auto"/>
              <w:left w:val="single" w:sz="4" w:space="0" w:color="auto"/>
              <w:bottom w:val="single" w:sz="4" w:space="0" w:color="auto"/>
              <w:right w:val="nil"/>
            </w:tcBorders>
            <w:shd w:val="clear" w:color="auto" w:fill="auto"/>
            <w:noWrap/>
            <w:vAlign w:val="bottom"/>
            <w:hideMark/>
          </w:tcPr>
          <w:p w14:paraId="1E0E8CA9" w14:textId="77777777" w:rsidR="00A32B32" w:rsidRDefault="00A32B32" w:rsidP="00A32B32">
            <w:pPr>
              <w:jc w:val="right"/>
              <w:rPr>
                <w:sz w:val="18"/>
                <w:szCs w:val="18"/>
              </w:rPr>
            </w:pPr>
          </w:p>
        </w:tc>
        <w:tc>
          <w:tcPr>
            <w:tcW w:w="1095" w:type="dxa"/>
            <w:tcBorders>
              <w:top w:val="nil"/>
              <w:left w:val="nil"/>
              <w:bottom w:val="single" w:sz="4" w:space="0" w:color="auto"/>
              <w:right w:val="nil"/>
            </w:tcBorders>
            <w:shd w:val="clear" w:color="auto" w:fill="auto"/>
            <w:noWrap/>
            <w:vAlign w:val="bottom"/>
            <w:hideMark/>
          </w:tcPr>
          <w:p w14:paraId="2F36FA66" w14:textId="77777777" w:rsidR="00A32B32" w:rsidRDefault="00A32B32" w:rsidP="00A32B32">
            <w:pPr>
              <w:rPr>
                <w:color w:val="0070C0"/>
                <w:sz w:val="18"/>
                <w:szCs w:val="18"/>
              </w:rPr>
            </w:pPr>
            <w:r>
              <w:rPr>
                <w:color w:val="0070C0"/>
                <w:sz w:val="18"/>
                <w:szCs w:val="18"/>
              </w:rPr>
              <w:t> </w:t>
            </w:r>
          </w:p>
        </w:tc>
        <w:tc>
          <w:tcPr>
            <w:tcW w:w="1222" w:type="dxa"/>
            <w:tcBorders>
              <w:top w:val="nil"/>
              <w:left w:val="nil"/>
              <w:bottom w:val="single" w:sz="4" w:space="0" w:color="auto"/>
              <w:right w:val="nil"/>
            </w:tcBorders>
            <w:shd w:val="clear" w:color="auto" w:fill="auto"/>
            <w:noWrap/>
            <w:vAlign w:val="bottom"/>
            <w:hideMark/>
          </w:tcPr>
          <w:p w14:paraId="6B30EE13" w14:textId="77777777" w:rsidR="00A32B32" w:rsidRDefault="00A32B32" w:rsidP="00A32B32">
            <w:pPr>
              <w:jc w:val="right"/>
              <w:rPr>
                <w:sz w:val="18"/>
                <w:szCs w:val="18"/>
              </w:rPr>
            </w:pPr>
            <w:r>
              <w:rPr>
                <w:sz w:val="18"/>
                <w:szCs w:val="18"/>
              </w:rPr>
              <w:t>-444,1</w:t>
            </w:r>
          </w:p>
        </w:tc>
        <w:tc>
          <w:tcPr>
            <w:tcW w:w="1199" w:type="dxa"/>
            <w:tcBorders>
              <w:top w:val="single" w:sz="4" w:space="0" w:color="auto"/>
              <w:left w:val="nil"/>
              <w:bottom w:val="single" w:sz="4" w:space="0" w:color="auto"/>
              <w:right w:val="nil"/>
            </w:tcBorders>
            <w:shd w:val="clear" w:color="auto" w:fill="auto"/>
            <w:noWrap/>
            <w:vAlign w:val="bottom"/>
          </w:tcPr>
          <w:p w14:paraId="4F2A32A2" w14:textId="77777777" w:rsidR="00A32B32" w:rsidRDefault="00A32B32" w:rsidP="00A32B32">
            <w:pPr>
              <w:jc w:val="right"/>
              <w:rPr>
                <w:sz w:val="18"/>
                <w:szCs w:val="18"/>
              </w:rPr>
            </w:pPr>
            <w:r>
              <w:rPr>
                <w:sz w:val="18"/>
                <w:szCs w:val="18"/>
              </w:rPr>
              <w:t>444,1</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20E541B4" w14:textId="77777777" w:rsidR="00A32B32" w:rsidRDefault="00A32B32" w:rsidP="00A32B32">
            <w:pPr>
              <w:rPr>
                <w:b/>
                <w:bCs/>
                <w:sz w:val="18"/>
                <w:szCs w:val="18"/>
              </w:rPr>
            </w:pPr>
            <w:r>
              <w:rPr>
                <w:b/>
                <w:bCs/>
                <w:sz w:val="18"/>
                <w:szCs w:val="18"/>
              </w:rPr>
              <w:t> </w:t>
            </w:r>
          </w:p>
        </w:tc>
      </w:tr>
      <w:tr w:rsidR="00A32B32" w:rsidRPr="00BC72AC" w14:paraId="13936DF3" w14:textId="77777777" w:rsidTr="00673641">
        <w:trPr>
          <w:trHeight w:val="250"/>
        </w:trPr>
        <w:tc>
          <w:tcPr>
            <w:tcW w:w="4003"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hideMark/>
          </w:tcPr>
          <w:p w14:paraId="700E3BF7" w14:textId="77777777" w:rsidR="00A32B32" w:rsidRPr="00CD44C7" w:rsidRDefault="00A32B32" w:rsidP="00A32B32">
            <w:pPr>
              <w:rPr>
                <w:sz w:val="18"/>
                <w:szCs w:val="18"/>
              </w:rPr>
            </w:pPr>
            <w:r w:rsidRPr="00CD44C7">
              <w:rPr>
                <w:b/>
                <w:bCs/>
                <w:sz w:val="18"/>
                <w:szCs w:val="18"/>
              </w:rPr>
              <w:t>БЮДЖЕТНО САЛДО</w:t>
            </w:r>
          </w:p>
        </w:tc>
        <w:tc>
          <w:tcPr>
            <w:tcW w:w="1418" w:type="dxa"/>
            <w:tcBorders>
              <w:top w:val="nil"/>
              <w:left w:val="single" w:sz="4" w:space="0" w:color="auto"/>
              <w:bottom w:val="single" w:sz="8" w:space="0" w:color="auto"/>
              <w:right w:val="nil"/>
            </w:tcBorders>
            <w:shd w:val="clear" w:color="auto" w:fill="auto"/>
            <w:noWrap/>
            <w:vAlign w:val="bottom"/>
            <w:hideMark/>
          </w:tcPr>
          <w:p w14:paraId="6D1F60B9" w14:textId="77777777" w:rsidR="00A32B32" w:rsidRDefault="00A32B32" w:rsidP="00A32B32">
            <w:pPr>
              <w:jc w:val="right"/>
              <w:rPr>
                <w:b/>
                <w:bCs/>
                <w:sz w:val="18"/>
                <w:szCs w:val="18"/>
              </w:rPr>
            </w:pPr>
            <w:r>
              <w:rPr>
                <w:b/>
                <w:bCs/>
                <w:sz w:val="18"/>
                <w:szCs w:val="18"/>
              </w:rPr>
              <w:t>-7 191,9</w:t>
            </w:r>
          </w:p>
        </w:tc>
        <w:tc>
          <w:tcPr>
            <w:tcW w:w="1095" w:type="dxa"/>
            <w:tcBorders>
              <w:top w:val="nil"/>
              <w:left w:val="nil"/>
              <w:bottom w:val="single" w:sz="8" w:space="0" w:color="auto"/>
              <w:right w:val="nil"/>
            </w:tcBorders>
            <w:shd w:val="clear" w:color="auto" w:fill="auto"/>
            <w:noWrap/>
            <w:vAlign w:val="bottom"/>
            <w:hideMark/>
          </w:tcPr>
          <w:p w14:paraId="67CE8BEC" w14:textId="77777777" w:rsidR="00A32B32" w:rsidRDefault="00A32B32" w:rsidP="00A32B32">
            <w:pPr>
              <w:jc w:val="right"/>
              <w:rPr>
                <w:b/>
                <w:bCs/>
                <w:sz w:val="18"/>
                <w:szCs w:val="18"/>
              </w:rPr>
            </w:pPr>
            <w:r>
              <w:rPr>
                <w:b/>
                <w:bCs/>
                <w:sz w:val="18"/>
                <w:szCs w:val="18"/>
              </w:rPr>
              <w:t>-2 416,2</w:t>
            </w:r>
          </w:p>
        </w:tc>
        <w:tc>
          <w:tcPr>
            <w:tcW w:w="1222" w:type="dxa"/>
            <w:tcBorders>
              <w:top w:val="nil"/>
              <w:left w:val="nil"/>
              <w:bottom w:val="single" w:sz="8" w:space="0" w:color="auto"/>
              <w:right w:val="nil"/>
            </w:tcBorders>
            <w:shd w:val="clear" w:color="auto" w:fill="auto"/>
            <w:noWrap/>
            <w:vAlign w:val="bottom"/>
            <w:hideMark/>
          </w:tcPr>
          <w:p w14:paraId="79DABA2B" w14:textId="77777777" w:rsidR="00A32B32" w:rsidRDefault="00A32B32" w:rsidP="00A32B32">
            <w:pPr>
              <w:jc w:val="right"/>
              <w:rPr>
                <w:b/>
                <w:bCs/>
                <w:sz w:val="18"/>
                <w:szCs w:val="18"/>
              </w:rPr>
            </w:pPr>
            <w:r>
              <w:rPr>
                <w:b/>
                <w:bCs/>
                <w:sz w:val="18"/>
                <w:szCs w:val="18"/>
              </w:rPr>
              <w:t>-1 959,6</w:t>
            </w:r>
          </w:p>
        </w:tc>
        <w:tc>
          <w:tcPr>
            <w:tcW w:w="1199" w:type="dxa"/>
            <w:tcBorders>
              <w:top w:val="single" w:sz="4" w:space="0" w:color="auto"/>
              <w:left w:val="nil"/>
              <w:bottom w:val="single" w:sz="8" w:space="0" w:color="auto"/>
              <w:right w:val="nil"/>
            </w:tcBorders>
            <w:shd w:val="clear" w:color="auto" w:fill="auto"/>
            <w:noWrap/>
            <w:vAlign w:val="bottom"/>
            <w:hideMark/>
          </w:tcPr>
          <w:p w14:paraId="5724F0DE" w14:textId="77777777" w:rsidR="00A32B32" w:rsidRDefault="00A32B32" w:rsidP="00A32B32">
            <w:pPr>
              <w:jc w:val="right"/>
              <w:rPr>
                <w:b/>
                <w:bCs/>
                <w:sz w:val="18"/>
                <w:szCs w:val="18"/>
              </w:rPr>
            </w:pPr>
            <w:r>
              <w:rPr>
                <w:b/>
                <w:bCs/>
                <w:sz w:val="18"/>
                <w:szCs w:val="18"/>
              </w:rPr>
              <w:t>-456,6</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3F394832" w14:textId="77777777" w:rsidR="00A32B32" w:rsidRDefault="00A32B32" w:rsidP="00A32B32">
            <w:pPr>
              <w:rPr>
                <w:b/>
                <w:bCs/>
                <w:sz w:val="18"/>
                <w:szCs w:val="18"/>
              </w:rPr>
            </w:pPr>
            <w:r>
              <w:rPr>
                <w:b/>
                <w:bCs/>
                <w:sz w:val="18"/>
                <w:szCs w:val="18"/>
              </w:rPr>
              <w:t> </w:t>
            </w:r>
          </w:p>
        </w:tc>
      </w:tr>
    </w:tbl>
    <w:p w14:paraId="19EDB735" w14:textId="77777777" w:rsidR="00044565" w:rsidRPr="00BC72AC" w:rsidRDefault="00044565" w:rsidP="00044565">
      <w:pPr>
        <w:spacing w:before="120"/>
        <w:rPr>
          <w:b/>
          <w:i/>
          <w:color w:val="0070C0"/>
          <w:sz w:val="22"/>
          <w:szCs w:val="22"/>
        </w:rPr>
      </w:pPr>
    </w:p>
    <w:p w14:paraId="4F9A1B02" w14:textId="0C936D7E" w:rsidR="00044565" w:rsidRPr="00BC72AC" w:rsidRDefault="00044565" w:rsidP="00044565">
      <w:pPr>
        <w:numPr>
          <w:ilvl w:val="1"/>
          <w:numId w:val="9"/>
        </w:numPr>
        <w:tabs>
          <w:tab w:val="num" w:pos="426"/>
        </w:tabs>
        <w:ind w:left="0" w:firstLine="0"/>
        <w:jc w:val="both"/>
        <w:rPr>
          <w:rFonts w:eastAsia="Calibri"/>
          <w:color w:val="0070C0"/>
        </w:rPr>
      </w:pPr>
      <w:r w:rsidRPr="00077378">
        <w:rPr>
          <w:b/>
        </w:rPr>
        <w:t>Приходите, помощите и даренията по консолидираната фискална програма</w:t>
      </w:r>
      <w:r w:rsidRPr="00077378">
        <w:t xml:space="preserve"> (КФП) за </w:t>
      </w:r>
      <w:r w:rsidRPr="00375341">
        <w:t xml:space="preserve">първото полугодие на 2026 г. </w:t>
      </w:r>
      <w:r w:rsidRPr="00375341">
        <w:rPr>
          <w:bCs/>
        </w:rPr>
        <w:t xml:space="preserve">са в размер на </w:t>
      </w:r>
      <w:r w:rsidRPr="00375341">
        <w:rPr>
          <w:b/>
          <w:bCs/>
        </w:rPr>
        <w:t>21 573,8 млн. евро</w:t>
      </w:r>
      <w:r w:rsidR="003919FB" w:rsidRPr="00375341">
        <w:rPr>
          <w:b/>
          <w:bCs/>
        </w:rPr>
        <w:t>, което представлява 43,</w:t>
      </w:r>
      <w:r w:rsidR="00375341" w:rsidRPr="00375341">
        <w:rPr>
          <w:b/>
          <w:bCs/>
        </w:rPr>
        <w:t>5</w:t>
      </w:r>
      <w:r w:rsidR="003919FB" w:rsidRPr="00375341">
        <w:rPr>
          <w:b/>
          <w:bCs/>
        </w:rPr>
        <w:t xml:space="preserve"> % от разчетите към ЗДБРБ за 2026 година</w:t>
      </w:r>
      <w:r w:rsidRPr="00375341">
        <w:rPr>
          <w:b/>
          <w:bCs/>
        </w:rPr>
        <w:t xml:space="preserve">. </w:t>
      </w:r>
      <w:r w:rsidRPr="00375341">
        <w:rPr>
          <w:rFonts w:eastAsia="Calibri"/>
        </w:rPr>
        <w:t>Постъпленията</w:t>
      </w:r>
      <w:r w:rsidRPr="00077378">
        <w:rPr>
          <w:rFonts w:eastAsia="Calibri"/>
        </w:rPr>
        <w:t xml:space="preserve"> нарастват с 8,1 % </w:t>
      </w:r>
      <w:r w:rsidRPr="005C2FF0">
        <w:rPr>
          <w:rFonts w:eastAsia="Calibri"/>
        </w:rPr>
        <w:t xml:space="preserve">(1 621,9 млн. евро) спрямо същия период на 2025 г. Данъчно-осигурителните  приходи нарастват номинално с 9,2 % (1 504,8 млн. евро), неданъчните приходи са по-ниски с 292,0 млн. евро </w:t>
      </w:r>
      <w:r w:rsidRPr="005C2FF0">
        <w:rPr>
          <w:rFonts w:eastAsia="Calibri"/>
          <w:lang w:val="en-US"/>
        </w:rPr>
        <w:t>(</w:t>
      </w:r>
      <w:r w:rsidR="008B1FF4" w:rsidRPr="00D8398B">
        <w:rPr>
          <w:rFonts w:eastAsia="Calibri"/>
        </w:rPr>
        <w:t xml:space="preserve">основно </w:t>
      </w:r>
      <w:r w:rsidR="008B1FF4">
        <w:rPr>
          <w:rFonts w:eastAsia="Calibri"/>
        </w:rPr>
        <w:t>в резултат на</w:t>
      </w:r>
      <w:r w:rsidR="008B1FF4" w:rsidRPr="00D8398B">
        <w:rPr>
          <w:rFonts w:eastAsia="Calibri"/>
        </w:rPr>
        <w:t xml:space="preserve"> по-ниските приходи от дивидент от държавни предприятия през 2026  г., поради внесен междинен дивидент през 2025</w:t>
      </w:r>
      <w:r w:rsidR="008B1FF4">
        <w:rPr>
          <w:rFonts w:eastAsia="Calibri"/>
        </w:rPr>
        <w:t> </w:t>
      </w:r>
      <w:r w:rsidR="008B1FF4" w:rsidRPr="00D8398B">
        <w:rPr>
          <w:rFonts w:eastAsia="Calibri"/>
        </w:rPr>
        <w:t>г.</w:t>
      </w:r>
      <w:r w:rsidRPr="005C2FF0">
        <w:rPr>
          <w:rFonts w:eastAsia="Calibri"/>
          <w:lang w:val="en-US"/>
        </w:rPr>
        <w:t>)</w:t>
      </w:r>
      <w:r w:rsidRPr="005C2FF0">
        <w:rPr>
          <w:rFonts w:eastAsia="Calibri"/>
        </w:rPr>
        <w:t>, а постъпленията в частта на помощите и даренията са повече с 409,2 млн. евро</w:t>
      </w:r>
      <w:r w:rsidRPr="00BC72AC">
        <w:rPr>
          <w:color w:val="0070C0"/>
        </w:rPr>
        <w:t>.</w:t>
      </w:r>
    </w:p>
    <w:p w14:paraId="660B02C0" w14:textId="77777777" w:rsidR="00044565" w:rsidRPr="00E8536F" w:rsidRDefault="00044565" w:rsidP="00044565">
      <w:pPr>
        <w:spacing w:before="120" w:after="120"/>
        <w:jc w:val="both"/>
        <w:rPr>
          <w:rFonts w:eastAsia="Calibri"/>
        </w:rPr>
      </w:pPr>
      <w:r w:rsidRPr="00E8536F">
        <w:rPr>
          <w:b/>
          <w:i/>
        </w:rPr>
        <w:t>Данъчните постъпления</w:t>
      </w:r>
      <w:r w:rsidRPr="00E8536F">
        <w:t xml:space="preserve"> (вкл. приходите от осигурителни вноски) са в размер на </w:t>
      </w:r>
      <w:r w:rsidRPr="00E8536F">
        <w:rPr>
          <w:b/>
          <w:bCs/>
          <w:i/>
          <w:lang w:val="ru-RU"/>
        </w:rPr>
        <w:t xml:space="preserve">17 799,1 </w:t>
      </w:r>
      <w:r w:rsidRPr="00E8536F">
        <w:rPr>
          <w:b/>
          <w:i/>
        </w:rPr>
        <w:t xml:space="preserve">млн. </w:t>
      </w:r>
      <w:r w:rsidRPr="00D40005">
        <w:rPr>
          <w:b/>
          <w:i/>
        </w:rPr>
        <w:t xml:space="preserve">евро </w:t>
      </w:r>
      <w:r w:rsidR="006B2093" w:rsidRPr="00D40005">
        <w:rPr>
          <w:lang w:val="en-US"/>
        </w:rPr>
        <w:t>(</w:t>
      </w:r>
      <w:r w:rsidR="00D40005" w:rsidRPr="00D40005">
        <w:rPr>
          <w:lang w:val="en-US"/>
        </w:rPr>
        <w:t>46,3</w:t>
      </w:r>
      <w:r w:rsidR="00D40005" w:rsidRPr="00D40005">
        <w:t xml:space="preserve"> </w:t>
      </w:r>
      <w:r w:rsidR="00D40005" w:rsidRPr="00D40005">
        <w:rPr>
          <w:lang w:val="en-US"/>
        </w:rPr>
        <w:t xml:space="preserve">% </w:t>
      </w:r>
      <w:r w:rsidR="006B2093" w:rsidRPr="00D40005">
        <w:t xml:space="preserve">от разчетените за годината) </w:t>
      </w:r>
      <w:r w:rsidRPr="00D40005">
        <w:t>и формират</w:t>
      </w:r>
      <w:r w:rsidRPr="00E8536F">
        <w:t xml:space="preserve"> 82,5 % от общите постъпления по КФП за периода.</w:t>
      </w:r>
    </w:p>
    <w:p w14:paraId="4F757696" w14:textId="77777777" w:rsidR="00044565" w:rsidRPr="005F1916" w:rsidRDefault="00044565" w:rsidP="00044565">
      <w:pPr>
        <w:spacing w:before="120"/>
        <w:jc w:val="both"/>
        <w:rPr>
          <w:color w:val="0070C0"/>
        </w:rPr>
      </w:pPr>
      <w:r w:rsidRPr="00493D61">
        <w:t xml:space="preserve">Приходите в частта на </w:t>
      </w:r>
      <w:r w:rsidRPr="00493D61">
        <w:rPr>
          <w:b/>
          <w:i/>
        </w:rPr>
        <w:t>преките данъци</w:t>
      </w:r>
      <w:r w:rsidRPr="00493D61">
        <w:rPr>
          <w:i/>
        </w:rPr>
        <w:t xml:space="preserve"> </w:t>
      </w:r>
      <w:r w:rsidRPr="00493D61">
        <w:t xml:space="preserve">възлизат на 3 790,1 млн. евро, </w:t>
      </w:r>
      <w:r w:rsidR="002F242D" w:rsidRPr="00493D61">
        <w:t xml:space="preserve">което представлява </w:t>
      </w:r>
      <w:r w:rsidR="00493D61" w:rsidRPr="00493D61">
        <w:t xml:space="preserve">45,9 % </w:t>
      </w:r>
      <w:r w:rsidR="002F242D" w:rsidRPr="00493D61">
        <w:t>от разчета за 2026 г. и</w:t>
      </w:r>
      <w:r w:rsidRPr="00493D61">
        <w:t xml:space="preserve"> ръст от 187,5 </w:t>
      </w:r>
      <w:r w:rsidRPr="00493D61">
        <w:rPr>
          <w:rFonts w:eastAsia="Calibri"/>
        </w:rPr>
        <w:t xml:space="preserve">млн. евро </w:t>
      </w:r>
      <w:r w:rsidRPr="00493D61">
        <w:rPr>
          <w:rFonts w:eastAsia="Calibri"/>
          <w:lang w:val="en-US"/>
        </w:rPr>
        <w:t>(</w:t>
      </w:r>
      <w:r w:rsidRPr="00493D61">
        <w:rPr>
          <w:rFonts w:eastAsia="Calibri"/>
        </w:rPr>
        <w:t>5,2</w:t>
      </w:r>
      <w:r w:rsidRPr="00493D61">
        <w:rPr>
          <w:rFonts w:eastAsia="Calibri"/>
          <w:lang w:val="en-US"/>
        </w:rPr>
        <w:t xml:space="preserve"> %)</w:t>
      </w:r>
      <w:r w:rsidRPr="00493D61">
        <w:rPr>
          <w:rFonts w:eastAsia="Calibri"/>
        </w:rPr>
        <w:t xml:space="preserve"> </w:t>
      </w:r>
      <w:r w:rsidRPr="00493D61">
        <w:rPr>
          <w:rFonts w:eastAsia="Calibri"/>
          <w:lang w:val="ru-RU"/>
        </w:rPr>
        <w:t xml:space="preserve">спрямо </w:t>
      </w:r>
      <w:r w:rsidRPr="00493D61">
        <w:t xml:space="preserve">отчетените към юни 2025 г. Приходите от </w:t>
      </w:r>
      <w:r w:rsidRPr="00493D61">
        <w:rPr>
          <w:b/>
          <w:i/>
        </w:rPr>
        <w:t>косвени данъци</w:t>
      </w:r>
      <w:r w:rsidRPr="00493D61">
        <w:t xml:space="preserve"> са в размер на 7 558,7 </w:t>
      </w:r>
      <w:r w:rsidRPr="00493D61">
        <w:rPr>
          <w:rFonts w:eastAsia="Calibri"/>
          <w:bCs/>
          <w:iCs/>
        </w:rPr>
        <w:t>млн. евро</w:t>
      </w:r>
      <w:r w:rsidRPr="00493D61">
        <w:rPr>
          <w:rFonts w:eastAsia="Calibri"/>
        </w:rPr>
        <w:t xml:space="preserve">, </w:t>
      </w:r>
      <w:r w:rsidR="000120FA" w:rsidRPr="00493D61">
        <w:rPr>
          <w:rFonts w:eastAsia="Calibri"/>
        </w:rPr>
        <w:t xml:space="preserve">което представлява </w:t>
      </w:r>
      <w:r w:rsidR="00493D61" w:rsidRPr="00493D61">
        <w:rPr>
          <w:rFonts w:eastAsia="Calibri"/>
        </w:rPr>
        <w:t xml:space="preserve">44,4 % </w:t>
      </w:r>
      <w:r w:rsidR="000120FA" w:rsidRPr="00493D61">
        <w:rPr>
          <w:rFonts w:eastAsia="Calibri"/>
        </w:rPr>
        <w:t>от предвидените в ЗДБРБ за 2026 г. и</w:t>
      </w:r>
      <w:r w:rsidR="000120FA" w:rsidRPr="00493D61">
        <w:t xml:space="preserve"> </w:t>
      </w:r>
      <w:r w:rsidRPr="00493D61">
        <w:t xml:space="preserve">ръст от 709,6 млн. евро </w:t>
      </w:r>
      <w:r w:rsidRPr="00493D61">
        <w:rPr>
          <w:lang w:val="en-US"/>
        </w:rPr>
        <w:t>(</w:t>
      </w:r>
      <w:r w:rsidRPr="00493D61">
        <w:t>10,4 %</w:t>
      </w:r>
      <w:r w:rsidRPr="00493D61">
        <w:rPr>
          <w:lang w:val="en-US"/>
        </w:rPr>
        <w:t>)</w:t>
      </w:r>
      <w:r w:rsidRPr="00493D61">
        <w:t xml:space="preserve"> спрямо отчетените към юни 2025 г. Постъпленията от </w:t>
      </w:r>
      <w:r w:rsidRPr="00493D61">
        <w:rPr>
          <w:b/>
          <w:i/>
        </w:rPr>
        <w:t>други данъци</w:t>
      </w:r>
      <w:r w:rsidRPr="00493D61">
        <w:t xml:space="preserve"> (включват други данъци по ЗКПО, имуществени и др. данъци) са в размер на 835,1 млн. евро, </w:t>
      </w:r>
      <w:r w:rsidR="003A6DC0" w:rsidRPr="00493D61">
        <w:t xml:space="preserve">което представлява </w:t>
      </w:r>
      <w:r w:rsidR="00493D61" w:rsidRPr="00493D61">
        <w:t xml:space="preserve">54,6 % </w:t>
      </w:r>
      <w:r w:rsidR="003A6DC0" w:rsidRPr="00493D61">
        <w:t xml:space="preserve">от годишния разчет и </w:t>
      </w:r>
      <w:r w:rsidRPr="00493D61">
        <w:t xml:space="preserve">ръст спрямо отчетените към юни 2025 г. с 58,2 млн. евро </w:t>
      </w:r>
      <w:r w:rsidRPr="00493D61">
        <w:rPr>
          <w:lang w:val="ru-RU"/>
        </w:rPr>
        <w:t>(</w:t>
      </w:r>
      <w:r w:rsidRPr="00493D61">
        <w:t>7,5</w:t>
      </w:r>
      <w:r w:rsidRPr="00493D61">
        <w:rPr>
          <w:lang w:val="ru-RU"/>
        </w:rPr>
        <w:t> %).</w:t>
      </w:r>
      <w:r w:rsidRPr="00493D61">
        <w:t xml:space="preserve"> Приходите от </w:t>
      </w:r>
      <w:r w:rsidRPr="00493D61">
        <w:rPr>
          <w:b/>
          <w:i/>
        </w:rPr>
        <w:t>социални и</w:t>
      </w:r>
      <w:r w:rsidRPr="00E74D8D">
        <w:rPr>
          <w:b/>
          <w:i/>
        </w:rPr>
        <w:t xml:space="preserve"> </w:t>
      </w:r>
      <w:r w:rsidRPr="00614EA7">
        <w:rPr>
          <w:b/>
          <w:i/>
        </w:rPr>
        <w:t>здравноосигурителни вноски</w:t>
      </w:r>
      <w:r w:rsidRPr="00614EA7">
        <w:rPr>
          <w:b/>
        </w:rPr>
        <w:t xml:space="preserve"> </w:t>
      </w:r>
      <w:r w:rsidRPr="00614EA7">
        <w:t xml:space="preserve">са в размер на 5 615,2 млн. евро </w:t>
      </w:r>
      <w:r w:rsidR="00CC539F" w:rsidRPr="00614EA7">
        <w:rPr>
          <w:rFonts w:eastAsia="Calibri"/>
          <w:bCs/>
          <w:iCs/>
        </w:rPr>
        <w:t xml:space="preserve">или </w:t>
      </w:r>
      <w:r w:rsidR="00614EA7" w:rsidRPr="00614EA7">
        <w:rPr>
          <w:rFonts w:eastAsia="Calibri"/>
          <w:bCs/>
          <w:iCs/>
        </w:rPr>
        <w:t xml:space="preserve">48,3 % </w:t>
      </w:r>
      <w:r w:rsidR="00CC539F" w:rsidRPr="00614EA7">
        <w:rPr>
          <w:rFonts w:eastAsia="Calibri"/>
          <w:bCs/>
          <w:iCs/>
        </w:rPr>
        <w:t xml:space="preserve">от разчета за 2026 г. и </w:t>
      </w:r>
      <w:r w:rsidRPr="00614EA7">
        <w:rPr>
          <w:rFonts w:eastAsia="Calibri"/>
          <w:bCs/>
          <w:iCs/>
        </w:rPr>
        <w:t>ръст от 549,6 млн. евро (10,8 %) спрямо отчетените към юни 2025 г</w:t>
      </w:r>
      <w:r w:rsidRPr="00614EA7">
        <w:t>.</w:t>
      </w:r>
      <w:r w:rsidRPr="00E74D8D">
        <w:t xml:space="preserve"> </w:t>
      </w:r>
    </w:p>
    <w:p w14:paraId="6853357A" w14:textId="77777777" w:rsidR="00044565" w:rsidRPr="005F1916" w:rsidRDefault="00044565" w:rsidP="00044565">
      <w:pPr>
        <w:spacing w:before="120" w:after="120"/>
        <w:jc w:val="both"/>
        <w:rPr>
          <w:color w:val="0070C0"/>
          <w:lang w:val="ru-RU"/>
        </w:rPr>
      </w:pPr>
      <w:r w:rsidRPr="00985306">
        <w:rPr>
          <w:b/>
          <w:bCs/>
          <w:i/>
          <w:iCs/>
        </w:rPr>
        <w:lastRenderedPageBreak/>
        <w:t>Неданъчните приходи</w:t>
      </w:r>
      <w:r w:rsidRPr="00985306">
        <w:rPr>
          <w:b/>
          <w:bCs/>
          <w:iCs/>
        </w:rPr>
        <w:t xml:space="preserve"> </w:t>
      </w:r>
      <w:r w:rsidRPr="00985306">
        <w:t xml:space="preserve">са в размер на </w:t>
      </w:r>
      <w:r w:rsidRPr="00985306">
        <w:rPr>
          <w:b/>
          <w:i/>
        </w:rPr>
        <w:t xml:space="preserve">2 661,7 </w:t>
      </w:r>
      <w:r w:rsidRPr="00985306">
        <w:rPr>
          <w:b/>
          <w:bCs/>
          <w:i/>
        </w:rPr>
        <w:t xml:space="preserve">млн. евро, </w:t>
      </w:r>
      <w:r w:rsidRPr="00985306">
        <w:rPr>
          <w:rFonts w:eastAsia="Calibri"/>
          <w:bCs/>
        </w:rPr>
        <w:t>което представлява</w:t>
      </w:r>
      <w:r w:rsidR="00F71A05" w:rsidRPr="00985306">
        <w:rPr>
          <w:rFonts w:eastAsia="Calibri"/>
          <w:bCs/>
        </w:rPr>
        <w:t xml:space="preserve"> </w:t>
      </w:r>
      <w:r w:rsidR="00985306" w:rsidRPr="00985306">
        <w:rPr>
          <w:rFonts w:eastAsia="Calibri"/>
          <w:bCs/>
        </w:rPr>
        <w:t xml:space="preserve">46,0 % </w:t>
      </w:r>
      <w:r w:rsidR="00F71A05" w:rsidRPr="00985306">
        <w:rPr>
          <w:rFonts w:eastAsia="Calibri"/>
          <w:bCs/>
        </w:rPr>
        <w:t>от годишните разчети и</w:t>
      </w:r>
      <w:r w:rsidRPr="00985306">
        <w:rPr>
          <w:rFonts w:eastAsia="Calibri"/>
          <w:bCs/>
        </w:rPr>
        <w:t xml:space="preserve"> </w:t>
      </w:r>
      <w:r w:rsidRPr="00985306">
        <w:rPr>
          <w:rFonts w:eastAsia="Calibri"/>
        </w:rPr>
        <w:t>спад с 292,0 млн. евро, 9,9 % спрямо същия период на</w:t>
      </w:r>
      <w:r w:rsidRPr="00985306">
        <w:t xml:space="preserve"> 2025 г</w:t>
      </w:r>
      <w:r w:rsidRPr="004D4790">
        <w:rPr>
          <w:rFonts w:eastAsia="Calibri"/>
          <w:bCs/>
          <w:iCs/>
        </w:rPr>
        <w:t>. Тези приходи</w:t>
      </w:r>
      <w:r w:rsidRPr="004D4790">
        <w:rPr>
          <w:rFonts w:eastAsia="Calibri"/>
          <w:bCs/>
        </w:rPr>
        <w:t xml:space="preserve"> се</w:t>
      </w:r>
      <w:r w:rsidRPr="00985306">
        <w:rPr>
          <w:rFonts w:eastAsia="Calibri"/>
          <w:bCs/>
        </w:rPr>
        <w:t xml:space="preserve"> формират</w:t>
      </w:r>
      <w:r w:rsidRPr="008D1704">
        <w:rPr>
          <w:rFonts w:eastAsia="Calibri"/>
          <w:bCs/>
        </w:rPr>
        <w:t xml:space="preserve">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Pr="008D1704">
        <w:rPr>
          <w:rFonts w:eastAsia="Calibri"/>
        </w:rPr>
        <w:t>.</w:t>
      </w:r>
      <w:r w:rsidRPr="008D1704">
        <w:rPr>
          <w:rFonts w:eastAsia="Calibri"/>
          <w:lang w:val="ru-RU"/>
        </w:rPr>
        <w:t xml:space="preserve"> </w:t>
      </w:r>
    </w:p>
    <w:p w14:paraId="5B37731E" w14:textId="77777777" w:rsidR="00044565" w:rsidRPr="00EC3A5E" w:rsidRDefault="00044565" w:rsidP="00044565">
      <w:pPr>
        <w:jc w:val="both"/>
        <w:rPr>
          <w:sz w:val="12"/>
        </w:rPr>
      </w:pPr>
      <w:r w:rsidRPr="00EC3A5E">
        <w:t xml:space="preserve">Приходите от </w:t>
      </w:r>
      <w:r w:rsidRPr="00EC3A5E">
        <w:rPr>
          <w:b/>
          <w:i/>
        </w:rPr>
        <w:t>помощи</w:t>
      </w:r>
      <w:r w:rsidRPr="00EC3A5E">
        <w:t xml:space="preserve"> </w:t>
      </w:r>
      <w:r w:rsidRPr="00EC3A5E">
        <w:rPr>
          <w:b/>
          <w:i/>
        </w:rPr>
        <w:t>и дарения</w:t>
      </w:r>
      <w:r w:rsidRPr="00EC3A5E">
        <w:t xml:space="preserve"> (основно постъпления по програмите и фондовете на ЕС) към юни 2026 г. са в размер на </w:t>
      </w:r>
      <w:r w:rsidRPr="00EC3A5E">
        <w:rPr>
          <w:b/>
          <w:i/>
        </w:rPr>
        <w:t>1 113,0 млн. евро</w:t>
      </w:r>
      <w:r w:rsidRPr="00EC3A5E">
        <w:t>.</w:t>
      </w:r>
      <w:r w:rsidRPr="00EC3A5E" w:rsidDel="00250507">
        <w:t xml:space="preserve"> </w:t>
      </w:r>
    </w:p>
    <w:p w14:paraId="79483204" w14:textId="77777777" w:rsidR="00044565" w:rsidRPr="005F1916" w:rsidRDefault="00044565" w:rsidP="00044565">
      <w:pPr>
        <w:jc w:val="both"/>
        <w:rPr>
          <w:rFonts w:eastAsia="Calibri"/>
          <w:b/>
          <w:color w:val="0070C0"/>
        </w:rPr>
      </w:pPr>
      <w:bookmarkStart w:id="18" w:name="_MON_1562495641"/>
      <w:bookmarkStart w:id="19" w:name="_MON_1562495680"/>
      <w:bookmarkStart w:id="20" w:name="_MON_1562495725"/>
      <w:bookmarkStart w:id="21" w:name="_MON_1562495759"/>
      <w:bookmarkStart w:id="22" w:name="_MON_1562495782"/>
      <w:bookmarkStart w:id="23" w:name="_MON_1562495848"/>
      <w:bookmarkStart w:id="24" w:name="_MON_1562495926"/>
      <w:bookmarkStart w:id="25" w:name="_MON_1562495995"/>
      <w:bookmarkStart w:id="26" w:name="_MON_1562496100"/>
      <w:bookmarkStart w:id="27" w:name="_MON_1562496172"/>
      <w:bookmarkStart w:id="28" w:name="_MON_1562496201"/>
      <w:bookmarkStart w:id="29" w:name="_MON_1562496223"/>
      <w:bookmarkStart w:id="30" w:name="_MON_1562496546"/>
      <w:bookmarkStart w:id="31" w:name="_MON_1562494801"/>
      <w:bookmarkStart w:id="32" w:name="_MON_1562575628"/>
      <w:bookmarkStart w:id="33" w:name="_MON_1562575824"/>
      <w:bookmarkStart w:id="34" w:name="_MON_1562575867"/>
      <w:bookmarkStart w:id="35" w:name="_MON_1562494914"/>
      <w:bookmarkStart w:id="36" w:name="_MON_1562495064"/>
      <w:bookmarkStart w:id="37" w:name="_MON_1562495152"/>
      <w:bookmarkStart w:id="38" w:name="_MON_1562495221"/>
      <w:bookmarkStart w:id="39" w:name="_MON_1562495389"/>
      <w:bookmarkStart w:id="40" w:name="_MON_1522508180"/>
      <w:bookmarkStart w:id="41" w:name="_MON_1522508239"/>
      <w:bookmarkStart w:id="42" w:name="_MON_1522508269"/>
      <w:bookmarkStart w:id="43" w:name="_MON_1522508157"/>
      <w:bookmarkStart w:id="44" w:name="_MON_1549360449"/>
      <w:bookmarkStart w:id="45" w:name="_MON_1549360548"/>
      <w:bookmarkStart w:id="46" w:name="_MON_1549360567"/>
      <w:bookmarkStart w:id="47" w:name="_MON_1562165742"/>
      <w:bookmarkStart w:id="48" w:name="_MON_1562165832"/>
      <w:bookmarkStart w:id="49" w:name="_MON_1562165842"/>
      <w:bookmarkStart w:id="50" w:name="_MON_1562166008"/>
      <w:bookmarkStart w:id="51" w:name="_MON_1562166044"/>
      <w:bookmarkStart w:id="52" w:name="_MON_1522569064"/>
      <w:bookmarkStart w:id="53" w:name="_MON_1522569263"/>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61B3C7C6" w14:textId="77777777" w:rsidR="00044565" w:rsidRPr="005F1916" w:rsidRDefault="00044565" w:rsidP="00044565">
      <w:pPr>
        <w:jc w:val="both"/>
        <w:rPr>
          <w:rFonts w:eastAsia="Calibri"/>
          <w:b/>
          <w:color w:val="0070C0"/>
        </w:rPr>
      </w:pPr>
      <w:r w:rsidRPr="005F1916">
        <w:rPr>
          <w:rFonts w:eastAsia="Calibri"/>
          <w:noProof/>
          <w:color w:val="0070C0"/>
          <w:lang w:eastAsia="bg-BG"/>
        </w:rPr>
        <w:drawing>
          <wp:inline distT="0" distB="0" distL="0" distR="0" wp14:anchorId="40DD655D" wp14:editId="08867E73">
            <wp:extent cx="5695950" cy="2828925"/>
            <wp:effectExtent l="0" t="0" r="0" b="9525"/>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903EEBD" w14:textId="77777777" w:rsidR="00044565" w:rsidRPr="00CB0D7D" w:rsidRDefault="00044565" w:rsidP="00044565">
      <w:pPr>
        <w:jc w:val="both"/>
        <w:rPr>
          <w:rFonts w:eastAsia="Calibri"/>
          <w:b/>
        </w:rPr>
      </w:pPr>
    </w:p>
    <w:p w14:paraId="36EAB382" w14:textId="77777777" w:rsidR="00044565" w:rsidRPr="005F1916" w:rsidRDefault="00044565" w:rsidP="00044565">
      <w:pPr>
        <w:jc w:val="both"/>
        <w:rPr>
          <w:rFonts w:eastAsia="Calibri"/>
          <w:color w:val="0070C0"/>
        </w:rPr>
      </w:pPr>
      <w:r w:rsidRPr="007D684E">
        <w:rPr>
          <w:rFonts w:eastAsia="Calibri"/>
          <w:b/>
        </w:rPr>
        <w:t>Разходите</w:t>
      </w:r>
      <w:r w:rsidRPr="007D684E">
        <w:rPr>
          <w:rFonts w:eastAsia="Calibri"/>
        </w:rPr>
        <w:t xml:space="preserve"> по КФП (вкл. вноската в бюджета на ЕС) към юни 2026 г. </w:t>
      </w:r>
      <w:r w:rsidRPr="007D684E">
        <w:rPr>
          <w:rFonts w:eastAsia="Calibri"/>
          <w:lang w:val="ru-RU"/>
        </w:rPr>
        <w:t xml:space="preserve">възлизат на </w:t>
      </w:r>
      <w:r w:rsidRPr="007D684E">
        <w:rPr>
          <w:rFonts w:eastAsia="Calibri"/>
          <w:b/>
          <w:lang w:val="ru-RU"/>
        </w:rPr>
        <w:t xml:space="preserve">23 990,0 млн. </w:t>
      </w:r>
      <w:r w:rsidR="009517D8" w:rsidRPr="00DB0C89">
        <w:rPr>
          <w:rFonts w:eastAsia="Calibri"/>
          <w:b/>
          <w:lang w:val="ru-RU"/>
        </w:rPr>
        <w:t>е</w:t>
      </w:r>
      <w:r w:rsidRPr="00DB0C89">
        <w:rPr>
          <w:rFonts w:eastAsia="Calibri"/>
          <w:b/>
          <w:lang w:val="ru-RU"/>
        </w:rPr>
        <w:t>вро</w:t>
      </w:r>
      <w:r w:rsidR="009517D8" w:rsidRPr="00DB0C89">
        <w:rPr>
          <w:rFonts w:eastAsia="Calibri"/>
          <w:b/>
          <w:lang w:val="ru-RU"/>
        </w:rPr>
        <w:t xml:space="preserve">, </w:t>
      </w:r>
      <w:r w:rsidR="009517D8" w:rsidRPr="00DB0C89">
        <w:rPr>
          <w:rFonts w:eastAsia="Calibri"/>
        </w:rPr>
        <w:t xml:space="preserve">което е </w:t>
      </w:r>
      <w:r w:rsidR="00DB0C89" w:rsidRPr="00DB0C89">
        <w:rPr>
          <w:rFonts w:eastAsia="Calibri"/>
        </w:rPr>
        <w:t xml:space="preserve">42,2 % </w:t>
      </w:r>
      <w:r w:rsidR="009517D8" w:rsidRPr="00DB0C89">
        <w:rPr>
          <w:rFonts w:eastAsia="Calibri"/>
        </w:rPr>
        <w:t>от годишните разчети</w:t>
      </w:r>
      <w:r w:rsidRPr="00BC3C64">
        <w:rPr>
          <w:rFonts w:eastAsia="Calibri"/>
          <w:lang w:val="ru-RU"/>
        </w:rPr>
        <w:t>.</w:t>
      </w:r>
      <w:r w:rsidRPr="00DB0C89">
        <w:rPr>
          <w:rFonts w:eastAsia="Calibri"/>
          <w:lang w:val="ru-RU"/>
        </w:rPr>
        <w:t xml:space="preserve"> </w:t>
      </w:r>
      <w:r w:rsidRPr="00DB0C89">
        <w:rPr>
          <w:rFonts w:eastAsia="Calibri"/>
        </w:rPr>
        <w:t>За сравнение</w:t>
      </w:r>
      <w:r w:rsidRPr="007D684E">
        <w:rPr>
          <w:rFonts w:eastAsia="Calibri"/>
        </w:rPr>
        <w:t xml:space="preserve">, разходите по КФП към юни 2025 г. бяха в размер на 21 667,4 млн. евро. </w:t>
      </w:r>
      <w:r w:rsidRPr="00CB0D7D">
        <w:rPr>
          <w:rFonts w:eastAsia="Calibri"/>
        </w:rPr>
        <w:t>Нарастване на разходите има основно при социалните и здравноосигурителните плащания, включително разходите за пенсии, както и при разходите за персонал, капиталовите разходи и други. Причините за наблюдавания ръст на разходите  основно са: базов ефект в разходите за пенсии след тяхната индексация от 1 юли 2025 г. с 8,6 на сто, увеличението на минималната работна заплата от януари 2026 г., както и допълнителното увеличение на възнагражденията с размера на натрупаната инфлация за 2025 г., считано от януари 2026 г., значителен ръст на капиталовите разходи, който се дължи на изпълнението на инвестициите и проектите по Общинската инвестиционна програма и Националния план за възстановяване и устойчивост, и други</w:t>
      </w:r>
      <w:r w:rsidRPr="00CB0D7D">
        <w:rPr>
          <w:rFonts w:eastAsia="Calibri"/>
          <w:lang w:val="ru-RU"/>
        </w:rPr>
        <w:t>.</w:t>
      </w:r>
    </w:p>
    <w:p w14:paraId="64F55CD0" w14:textId="77777777" w:rsidR="00044565" w:rsidRPr="005F1916" w:rsidRDefault="00044565" w:rsidP="00044565">
      <w:pPr>
        <w:spacing w:before="120"/>
        <w:jc w:val="both"/>
        <w:rPr>
          <w:color w:val="0070C0"/>
        </w:rPr>
      </w:pPr>
      <w:r w:rsidRPr="00850724">
        <w:rPr>
          <w:b/>
          <w:i/>
        </w:rPr>
        <w:t>Нелихвените разходи</w:t>
      </w:r>
      <w:r w:rsidRPr="00850724">
        <w:t xml:space="preserve"> към юни 2026 г. са в размер на 22 913,0 млн. евро</w:t>
      </w:r>
      <w:r w:rsidRPr="00850724">
        <w:rPr>
          <w:rFonts w:eastAsia="Calibri"/>
          <w:bCs/>
        </w:rPr>
        <w:t xml:space="preserve">, което представлява </w:t>
      </w:r>
      <w:r w:rsidR="00DB0C89" w:rsidRPr="00DB0C89">
        <w:rPr>
          <w:rFonts w:eastAsia="Calibri"/>
          <w:bCs/>
        </w:rPr>
        <w:t xml:space="preserve">42,2 % </w:t>
      </w:r>
      <w:r w:rsidR="00512353" w:rsidRPr="00DB0C89">
        <w:rPr>
          <w:rFonts w:eastAsia="Calibri"/>
          <w:bCs/>
        </w:rPr>
        <w:t xml:space="preserve">от годишния разчет и </w:t>
      </w:r>
      <w:r w:rsidRPr="00DB0C89">
        <w:rPr>
          <w:rFonts w:eastAsia="Calibri"/>
          <w:bCs/>
        </w:rPr>
        <w:t>ръст от 2 130,2 млн. евро (10,2 %) спрямо отчетените към юни 2025</w:t>
      </w:r>
      <w:r w:rsidR="00512353" w:rsidRPr="00DB0C89">
        <w:rPr>
          <w:rFonts w:eastAsia="Calibri"/>
          <w:bCs/>
        </w:rPr>
        <w:t> </w:t>
      </w:r>
      <w:r w:rsidRPr="00DB0C89">
        <w:rPr>
          <w:rFonts w:eastAsia="Calibri"/>
          <w:bCs/>
        </w:rPr>
        <w:t xml:space="preserve">г. </w:t>
      </w:r>
      <w:r w:rsidRPr="00DB0C89">
        <w:rPr>
          <w:rFonts w:eastAsia="Calibri"/>
          <w:bCs/>
          <w:i/>
        </w:rPr>
        <w:t>Текущите нелихвени разходи</w:t>
      </w:r>
      <w:r w:rsidRPr="00DB0C89">
        <w:rPr>
          <w:rFonts w:eastAsia="Calibri"/>
          <w:bCs/>
        </w:rPr>
        <w:t xml:space="preserve"> са в размер на 20 508,8 млн. евро. </w:t>
      </w:r>
      <w:r w:rsidRPr="00DB0C89">
        <w:rPr>
          <w:rFonts w:eastAsia="Calibri"/>
          <w:bCs/>
          <w:i/>
        </w:rPr>
        <w:t>Капиталовите разходи</w:t>
      </w:r>
      <w:r w:rsidRPr="00DB0C89">
        <w:rPr>
          <w:rFonts w:eastAsia="Calibri"/>
          <w:bCs/>
        </w:rPr>
        <w:t xml:space="preserve"> (вкл. нетния прираст на държавния резерв) възлизат на 2 388,7 млн. евро. </w:t>
      </w:r>
      <w:r w:rsidRPr="00DB0C89">
        <w:rPr>
          <w:rFonts w:eastAsia="Calibri"/>
          <w:bCs/>
          <w:i/>
        </w:rPr>
        <w:t>Предоставените текущи и капиталови трансфери за чужбина</w:t>
      </w:r>
      <w:r w:rsidRPr="00DB0C89">
        <w:rPr>
          <w:rFonts w:eastAsia="Calibri"/>
          <w:bCs/>
        </w:rPr>
        <w:t xml:space="preserve"> са в размер на 15,6 млн. евро. </w:t>
      </w:r>
      <w:r w:rsidRPr="00DB0C89">
        <w:rPr>
          <w:rFonts w:eastAsia="Calibri"/>
          <w:b/>
          <w:bCs/>
          <w:i/>
        </w:rPr>
        <w:t>Лихвените плащания</w:t>
      </w:r>
      <w:r w:rsidRPr="00DB0C89">
        <w:rPr>
          <w:rFonts w:eastAsia="Calibri"/>
          <w:bCs/>
        </w:rPr>
        <w:t xml:space="preserve"> са в размер на 516,7 млн. евро (</w:t>
      </w:r>
      <w:r w:rsidR="00DB0C89" w:rsidRPr="00DB0C89">
        <w:rPr>
          <w:rFonts w:eastAsia="Calibri"/>
          <w:bCs/>
        </w:rPr>
        <w:t xml:space="preserve">48,8 % </w:t>
      </w:r>
      <w:r w:rsidR="0036620F" w:rsidRPr="00DB0C89">
        <w:rPr>
          <w:rFonts w:eastAsia="Calibri"/>
          <w:bCs/>
        </w:rPr>
        <w:t xml:space="preserve">от планираните за годината и </w:t>
      </w:r>
      <w:r w:rsidRPr="00DB0C89">
        <w:rPr>
          <w:rFonts w:eastAsia="Calibri"/>
          <w:bCs/>
        </w:rPr>
        <w:t>ръст</w:t>
      </w:r>
      <w:r w:rsidRPr="006E63B2">
        <w:rPr>
          <w:rFonts w:eastAsia="Calibri"/>
          <w:bCs/>
        </w:rPr>
        <w:t xml:space="preserve"> от 153,1 млн. евро спрямо същия период на 2025 г.</w:t>
      </w:r>
      <w:r w:rsidRPr="006E63B2">
        <w:rPr>
          <w:rFonts w:eastAsia="Calibri"/>
          <w:bCs/>
          <w:lang w:val="ru-RU"/>
        </w:rPr>
        <w:t>)</w:t>
      </w:r>
      <w:r w:rsidRPr="006E63B2">
        <w:t>.</w:t>
      </w:r>
    </w:p>
    <w:p w14:paraId="33F6888E" w14:textId="77777777" w:rsidR="00044565" w:rsidRPr="00850724" w:rsidRDefault="00044565" w:rsidP="00044565">
      <w:pPr>
        <w:spacing w:before="120"/>
        <w:jc w:val="both"/>
      </w:pPr>
      <w:r w:rsidRPr="00850724">
        <w:t>Разходите по КФП по основните разходни групи към юни 2025 г. и 2026 г. са представени на следната графика:</w:t>
      </w:r>
    </w:p>
    <w:p w14:paraId="13E18622" w14:textId="77777777" w:rsidR="00044565" w:rsidRPr="005F1916" w:rsidRDefault="00044565" w:rsidP="00044565">
      <w:pPr>
        <w:spacing w:before="120"/>
        <w:jc w:val="both"/>
        <w:rPr>
          <w:color w:val="0070C0"/>
        </w:rPr>
      </w:pPr>
      <w:r w:rsidRPr="005F1916">
        <w:rPr>
          <w:noProof/>
          <w:color w:val="0070C0"/>
          <w:lang w:eastAsia="bg-BG"/>
        </w:rPr>
        <w:lastRenderedPageBreak/>
        <w:drawing>
          <wp:inline distT="0" distB="0" distL="0" distR="0" wp14:anchorId="2AADB734" wp14:editId="655A0CEC">
            <wp:extent cx="6042660" cy="3097530"/>
            <wp:effectExtent l="0" t="0" r="15240" b="7620"/>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DE371F6" w14:textId="77777777" w:rsidR="00044565" w:rsidRPr="00091EE6" w:rsidRDefault="00044565" w:rsidP="00044565">
      <w:pPr>
        <w:spacing w:before="120" w:after="240"/>
        <w:jc w:val="both"/>
        <w:rPr>
          <w:sz w:val="14"/>
          <w:szCs w:val="14"/>
        </w:rPr>
      </w:pPr>
      <w:bookmarkStart w:id="54" w:name="_MON_1549378791"/>
      <w:bookmarkStart w:id="55" w:name="_MON_1522508435"/>
      <w:bookmarkStart w:id="56" w:name="_MON_1522508500"/>
      <w:bookmarkStart w:id="57" w:name="_MON_1522508578"/>
      <w:bookmarkStart w:id="58" w:name="_MON_1522508396"/>
      <w:bookmarkStart w:id="59" w:name="_MON_1562166431"/>
      <w:bookmarkStart w:id="60" w:name="_MON_1562166533"/>
      <w:bookmarkStart w:id="61" w:name="_MON_1562166556"/>
      <w:bookmarkStart w:id="62" w:name="_MON_1562166578"/>
      <w:bookmarkStart w:id="63" w:name="_MON_1522569336"/>
      <w:bookmarkStart w:id="64" w:name="_MON_1541257307"/>
      <w:bookmarkStart w:id="65" w:name="_MON_1541257332"/>
      <w:bookmarkStart w:id="66" w:name="_MON_1522569451"/>
      <w:bookmarkStart w:id="67" w:name="_MON_1522569507"/>
      <w:bookmarkStart w:id="68" w:name="_MON_1549376308"/>
      <w:bookmarkStart w:id="69" w:name="_MON_1549378514"/>
      <w:bookmarkStart w:id="70" w:name="_MON_1549378678"/>
      <w:bookmarkStart w:id="71" w:name="_MON_154937872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091EE6">
        <w:rPr>
          <w:sz w:val="18"/>
          <w:szCs w:val="14"/>
          <w:lang w:val="ru-RU"/>
        </w:rPr>
        <w:t xml:space="preserve">*  </w:t>
      </w:r>
      <w:r w:rsidRPr="00091EE6">
        <w:rPr>
          <w:sz w:val="18"/>
          <w:szCs w:val="14"/>
        </w:rPr>
        <w:t>Вкл. нетния прираст на държавния резерв</w:t>
      </w:r>
    </w:p>
    <w:p w14:paraId="2997B945" w14:textId="77777777" w:rsidR="00044565" w:rsidRPr="00BC72AC" w:rsidRDefault="00044565" w:rsidP="00044565">
      <w:pPr>
        <w:spacing w:before="120" w:after="120"/>
        <w:jc w:val="both"/>
        <w:rPr>
          <w:color w:val="0070C0"/>
          <w:sz w:val="14"/>
          <w:szCs w:val="14"/>
        </w:rPr>
      </w:pPr>
    </w:p>
    <w:p w14:paraId="3CAB49CF" w14:textId="77777777" w:rsidR="00044565" w:rsidRPr="00EB261A" w:rsidRDefault="00044565" w:rsidP="00044565">
      <w:pPr>
        <w:pStyle w:val="ListParagraph"/>
        <w:numPr>
          <w:ilvl w:val="0"/>
          <w:numId w:val="18"/>
        </w:numPr>
        <w:tabs>
          <w:tab w:val="left" w:pos="426"/>
        </w:tabs>
        <w:spacing w:before="120" w:line="240" w:lineRule="auto"/>
        <w:ind w:left="0" w:firstLine="0"/>
        <w:contextualSpacing w:val="0"/>
        <w:rPr>
          <w:rFonts w:ascii="Times New Roman" w:hAnsi="Times New Roman"/>
        </w:rPr>
      </w:pPr>
      <w:r w:rsidRPr="00EB261A">
        <w:rPr>
          <w:rFonts w:ascii="Times New Roman" w:hAnsi="Times New Roman"/>
          <w:b/>
        </w:rPr>
        <w:t>Вноската на Република България в общия бюджет на ЕС</w:t>
      </w:r>
      <w:r w:rsidRPr="00EB261A">
        <w:rPr>
          <w:rFonts w:ascii="Times New Roman" w:hAnsi="Times New Roman"/>
        </w:rPr>
        <w:t xml:space="preserve">, изплатена </w:t>
      </w:r>
      <w:r w:rsidRPr="00EB261A">
        <w:rPr>
          <w:rFonts w:ascii="Times New Roman" w:eastAsia="Calibri" w:hAnsi="Times New Roman"/>
          <w:bCs/>
        </w:rPr>
        <w:t xml:space="preserve">към 30.06.2026 г. от централния бюджет, възлиза на </w:t>
      </w:r>
      <w:r w:rsidRPr="00EB261A">
        <w:rPr>
          <w:rFonts w:ascii="Times New Roman" w:eastAsia="Calibri" w:hAnsi="Times New Roman"/>
          <w:b/>
          <w:bCs/>
          <w:lang w:val="ru-RU"/>
        </w:rPr>
        <w:t xml:space="preserve">560,3 </w:t>
      </w:r>
      <w:r w:rsidRPr="00EB261A">
        <w:rPr>
          <w:rFonts w:ascii="Times New Roman" w:eastAsia="Calibri" w:hAnsi="Times New Roman"/>
          <w:b/>
          <w:bCs/>
        </w:rPr>
        <w:t>млн. евро.</w:t>
      </w:r>
      <w:r w:rsidRPr="00EB261A">
        <w:rPr>
          <w:rFonts w:ascii="Times New Roman" w:hAnsi="Times New Roman"/>
          <w:bCs/>
        </w:rPr>
        <w:t>, което е в изпълнение на действащото към момента законодателство в областта на собствените ресурси на ЕС</w:t>
      </w:r>
      <w:r w:rsidRPr="00EB261A">
        <w:rPr>
          <w:rFonts w:ascii="Times New Roman" w:hAnsi="Times New Roman"/>
        </w:rPr>
        <w:t xml:space="preserve">. </w:t>
      </w:r>
    </w:p>
    <w:p w14:paraId="123B5774" w14:textId="77777777" w:rsidR="00044565" w:rsidRPr="00B17441" w:rsidRDefault="00044565" w:rsidP="00044565">
      <w:pPr>
        <w:pStyle w:val="ListParagraph"/>
        <w:numPr>
          <w:ilvl w:val="0"/>
          <w:numId w:val="18"/>
        </w:numPr>
        <w:tabs>
          <w:tab w:val="left" w:pos="426"/>
        </w:tabs>
        <w:autoSpaceDE w:val="0"/>
        <w:autoSpaceDN w:val="0"/>
        <w:adjustRightInd w:val="0"/>
        <w:spacing w:line="240" w:lineRule="auto"/>
        <w:ind w:left="0" w:firstLine="0"/>
        <w:rPr>
          <w:rFonts w:ascii="Times New Roman" w:hAnsi="Times New Roman"/>
        </w:rPr>
      </w:pPr>
      <w:r w:rsidRPr="00EB261A">
        <w:rPr>
          <w:rFonts w:ascii="Times New Roman" w:hAnsi="Times New Roman"/>
          <w:b/>
        </w:rPr>
        <w:t xml:space="preserve">Бюджетното салдо </w:t>
      </w:r>
      <w:r w:rsidRPr="00EB261A">
        <w:rPr>
          <w:rFonts w:ascii="Times New Roman" w:hAnsi="Times New Roman"/>
          <w:bCs/>
        </w:rPr>
        <w:t xml:space="preserve">по консолидираната фискална програма към юни 2026 г. е </w:t>
      </w:r>
      <w:r w:rsidRPr="00EB261A">
        <w:rPr>
          <w:rFonts w:ascii="Times New Roman" w:hAnsi="Times New Roman"/>
          <w:b/>
          <w:bCs/>
        </w:rPr>
        <w:t>отрицателно</w:t>
      </w:r>
      <w:r w:rsidRPr="00EB261A">
        <w:rPr>
          <w:rFonts w:ascii="Times New Roman" w:hAnsi="Times New Roman"/>
          <w:bCs/>
        </w:rPr>
        <w:t xml:space="preserve"> </w:t>
      </w:r>
      <w:r w:rsidRPr="00B17441">
        <w:rPr>
          <w:rFonts w:ascii="Times New Roman" w:hAnsi="Times New Roman"/>
          <w:bCs/>
        </w:rPr>
        <w:t xml:space="preserve">в размер на </w:t>
      </w:r>
      <w:r w:rsidRPr="00B17441">
        <w:rPr>
          <w:rFonts w:ascii="Times New Roman" w:hAnsi="Times New Roman"/>
          <w:b/>
          <w:bCs/>
        </w:rPr>
        <w:t>2 416,2</w:t>
      </w:r>
      <w:r w:rsidRPr="00B17441">
        <w:rPr>
          <w:rFonts w:ascii="Times New Roman" w:hAnsi="Times New Roman"/>
          <w:b/>
          <w:bCs/>
          <w:lang w:val="en-US"/>
        </w:rPr>
        <w:t xml:space="preserve"> </w:t>
      </w:r>
      <w:r w:rsidRPr="00B17441">
        <w:rPr>
          <w:rFonts w:ascii="Times New Roman" w:hAnsi="Times New Roman"/>
          <w:b/>
          <w:bCs/>
        </w:rPr>
        <w:t>млн. евро (1,9 % от прогнозния БВП)</w:t>
      </w:r>
      <w:r w:rsidRPr="00B17441">
        <w:rPr>
          <w:rFonts w:ascii="Times New Roman" w:hAnsi="Times New Roman"/>
          <w:bCs/>
        </w:rPr>
        <w:t>.</w:t>
      </w:r>
    </w:p>
    <w:p w14:paraId="0996BB09" w14:textId="6DA0E7E1" w:rsidR="00044565" w:rsidRPr="00B17441" w:rsidRDefault="00044565" w:rsidP="00044565">
      <w:pPr>
        <w:numPr>
          <w:ilvl w:val="0"/>
          <w:numId w:val="7"/>
        </w:numPr>
        <w:tabs>
          <w:tab w:val="num" w:pos="0"/>
          <w:tab w:val="left" w:pos="426"/>
          <w:tab w:val="left" w:pos="720"/>
        </w:tabs>
        <w:spacing w:before="120" w:after="60"/>
        <w:ind w:left="0" w:firstLine="0"/>
        <w:jc w:val="both"/>
        <w:rPr>
          <w:sz w:val="22"/>
        </w:rPr>
      </w:pPr>
      <w:r w:rsidRPr="00B17441">
        <w:rPr>
          <w:b/>
          <w:szCs w:val="28"/>
          <w:lang w:eastAsia="bg-BG"/>
        </w:rPr>
        <w:t>Общият размер</w:t>
      </w:r>
      <w:r w:rsidRPr="00B17441">
        <w:rPr>
          <w:bCs/>
          <w:sz w:val="22"/>
          <w:lang w:eastAsia="bg-BG"/>
        </w:rPr>
        <w:t xml:space="preserve"> </w:t>
      </w:r>
      <w:r w:rsidRPr="00B17441">
        <w:rPr>
          <w:b/>
          <w:bCs/>
          <w:szCs w:val="28"/>
          <w:lang w:eastAsia="bg-BG"/>
        </w:rPr>
        <w:t>на касовите постъпления от ЕС</w:t>
      </w:r>
      <w:r w:rsidRPr="00B17441">
        <w:rPr>
          <w:bCs/>
          <w:szCs w:val="28"/>
          <w:lang w:eastAsia="bg-BG"/>
        </w:rPr>
        <w:t xml:space="preserve"> (от Структурните и Кохезионния фондове, от</w:t>
      </w:r>
      <w:r w:rsidRPr="00B17441">
        <w:rPr>
          <w:szCs w:val="28"/>
          <w:lang w:eastAsia="bg-BG"/>
        </w:rPr>
        <w:t xml:space="preserve"> ЕЗФРСР и ЕФМДР</w:t>
      </w:r>
      <w:r w:rsidRPr="00B17441">
        <w:rPr>
          <w:bCs/>
          <w:szCs w:val="28"/>
          <w:lang w:eastAsia="bg-BG"/>
        </w:rPr>
        <w:t xml:space="preserve">, от средства за директни плащания към земеделските производители и плащания по пазарни мерки и др.) за </w:t>
      </w:r>
      <w:r w:rsidRPr="00B17441">
        <w:rPr>
          <w:lang w:eastAsia="bg-BG"/>
        </w:rPr>
        <w:t>първото полугодие на 202</w:t>
      </w:r>
      <w:r w:rsidRPr="00B17441">
        <w:rPr>
          <w:lang w:val="en-US" w:eastAsia="bg-BG"/>
        </w:rPr>
        <w:t>6</w:t>
      </w:r>
      <w:r w:rsidRPr="00B17441">
        <w:rPr>
          <w:lang w:eastAsia="bg-BG"/>
        </w:rPr>
        <w:t> </w:t>
      </w:r>
      <w:r w:rsidRPr="00B17441">
        <w:rPr>
          <w:bCs/>
          <w:szCs w:val="28"/>
          <w:lang w:eastAsia="bg-BG"/>
        </w:rPr>
        <w:t xml:space="preserve"> г. е </w:t>
      </w:r>
      <w:r w:rsidRPr="00B17441">
        <w:rPr>
          <w:b/>
          <w:bCs/>
          <w:szCs w:val="28"/>
          <w:lang w:eastAsia="bg-BG"/>
        </w:rPr>
        <w:t xml:space="preserve">1 694,0 млн. </w:t>
      </w:r>
      <w:r w:rsidR="00A5622B" w:rsidRPr="00EB261A">
        <w:rPr>
          <w:rFonts w:eastAsia="Calibri"/>
          <w:b/>
          <w:bCs/>
        </w:rPr>
        <w:t>евро</w:t>
      </w:r>
      <w:r w:rsidRPr="00B17441">
        <w:rPr>
          <w:b/>
          <w:bCs/>
          <w:szCs w:val="28"/>
          <w:lang w:eastAsia="bg-BG"/>
        </w:rPr>
        <w:t>.</w:t>
      </w:r>
      <w:r w:rsidRPr="00B17441">
        <w:rPr>
          <w:b/>
          <w:szCs w:val="28"/>
          <w:lang w:eastAsia="bg-BG"/>
        </w:rPr>
        <w:t xml:space="preserve"> </w:t>
      </w:r>
      <w:r w:rsidRPr="00B17441">
        <w:rPr>
          <w:b/>
          <w:bCs/>
          <w:szCs w:val="28"/>
          <w:lang w:eastAsia="bg-BG"/>
        </w:rPr>
        <w:t xml:space="preserve">Нетните постъпления от ЕС към 30.06.2026 г. </w:t>
      </w:r>
      <w:r w:rsidRPr="00B17441">
        <w:rPr>
          <w:bCs/>
          <w:szCs w:val="28"/>
          <w:lang w:eastAsia="bg-BG"/>
        </w:rPr>
        <w:t xml:space="preserve">(касови постъпления от ЕС, намалени с вноската в общия бюджет на ЕС) са положителни в размер на </w:t>
      </w:r>
      <w:r w:rsidRPr="00B17441">
        <w:rPr>
          <w:b/>
          <w:bCs/>
          <w:szCs w:val="28"/>
          <w:lang w:eastAsia="bg-BG"/>
        </w:rPr>
        <w:t xml:space="preserve">1 133,7 млн. </w:t>
      </w:r>
      <w:r w:rsidR="00A5622B" w:rsidRPr="00EB261A">
        <w:rPr>
          <w:rFonts w:eastAsia="Calibri"/>
          <w:b/>
          <w:bCs/>
        </w:rPr>
        <w:t>евро</w:t>
      </w:r>
      <w:r w:rsidRPr="00B17441">
        <w:rPr>
          <w:b/>
          <w:sz w:val="22"/>
        </w:rPr>
        <w:t>.</w:t>
      </w:r>
    </w:p>
    <w:p w14:paraId="7691FD17" w14:textId="77777777" w:rsidR="00044565" w:rsidRPr="00B17441" w:rsidRDefault="00044565" w:rsidP="00044565">
      <w:pPr>
        <w:pStyle w:val="ListParagraph"/>
        <w:numPr>
          <w:ilvl w:val="0"/>
          <w:numId w:val="26"/>
        </w:numPr>
        <w:tabs>
          <w:tab w:val="left" w:pos="426"/>
          <w:tab w:val="left" w:pos="567"/>
          <w:tab w:val="left" w:pos="2694"/>
        </w:tabs>
        <w:spacing w:before="120" w:line="240" w:lineRule="auto"/>
        <w:ind w:left="0" w:firstLine="0"/>
        <w:contextualSpacing w:val="0"/>
        <w:rPr>
          <w:rFonts w:ascii="Times New Roman" w:hAnsi="Times New Roman"/>
          <w:bCs/>
        </w:rPr>
      </w:pPr>
      <w:r w:rsidRPr="00B17441">
        <w:rPr>
          <w:rFonts w:ascii="Times New Roman" w:hAnsi="Times New Roman"/>
          <w:b/>
        </w:rPr>
        <w:t>Фискалният резерв</w:t>
      </w:r>
      <w:r w:rsidRPr="00B17441">
        <w:rPr>
          <w:rFonts w:ascii="Times New Roman" w:hAnsi="Times New Roman"/>
          <w:b/>
          <w:vertAlign w:val="superscript"/>
          <w:lang w:eastAsia="bg-BG"/>
        </w:rPr>
        <w:footnoteReference w:id="6"/>
      </w:r>
      <w:r w:rsidRPr="00B17441">
        <w:rPr>
          <w:rFonts w:ascii="Times New Roman" w:hAnsi="Times New Roman"/>
          <w:bCs/>
          <w:lang w:eastAsia="bg-BG"/>
        </w:rPr>
        <w:t xml:space="preserve"> </w:t>
      </w:r>
      <w:r w:rsidRPr="00B17441">
        <w:rPr>
          <w:rFonts w:ascii="Times New Roman" w:hAnsi="Times New Roman"/>
          <w:bCs/>
        </w:rPr>
        <w:t>към 30.</w:t>
      </w:r>
      <w:r w:rsidRPr="00B17441">
        <w:rPr>
          <w:rFonts w:ascii="Times New Roman" w:hAnsi="Times New Roman"/>
          <w:bCs/>
          <w:lang w:val="en-US"/>
        </w:rPr>
        <w:t>0</w:t>
      </w:r>
      <w:r w:rsidRPr="00B17441">
        <w:rPr>
          <w:rFonts w:ascii="Times New Roman" w:hAnsi="Times New Roman"/>
          <w:bCs/>
        </w:rPr>
        <w:t>6.202</w:t>
      </w:r>
      <w:r w:rsidRPr="00B17441">
        <w:rPr>
          <w:rFonts w:ascii="Times New Roman" w:hAnsi="Times New Roman"/>
          <w:bCs/>
          <w:lang w:val="en-US"/>
        </w:rPr>
        <w:t>6</w:t>
      </w:r>
      <w:r w:rsidRPr="00B17441">
        <w:rPr>
          <w:rFonts w:ascii="Times New Roman" w:hAnsi="Times New Roman"/>
          <w:bCs/>
        </w:rPr>
        <w:t xml:space="preserve"> г. е</w:t>
      </w:r>
      <w:r w:rsidRPr="00B17441">
        <w:rPr>
          <w:rFonts w:ascii="Times New Roman" w:hAnsi="Times New Roman"/>
          <w:b/>
          <w:bCs/>
        </w:rPr>
        <w:t xml:space="preserve"> 6 881,6 млн. евро</w:t>
      </w:r>
      <w:r w:rsidRPr="00B17441">
        <w:rPr>
          <w:rFonts w:ascii="Times New Roman" w:hAnsi="Times New Roman"/>
          <w:bCs/>
        </w:rPr>
        <w:t xml:space="preserve">, в т. ч. 5 365,0 млн. евро депозити на фискалния резерв в БНБ и банки и 1 516,6 млн. евро вземания от фондовете на Европейския съюз за сертифицирани разходи, аванси и други. </w:t>
      </w:r>
      <w:r w:rsidRPr="00B17441">
        <w:rPr>
          <w:rFonts w:ascii="Times New Roman" w:hAnsi="Times New Roman"/>
          <w:bCs/>
        </w:rPr>
        <w:br w:type="page"/>
      </w:r>
    </w:p>
    <w:p w14:paraId="59A75DBB" w14:textId="77777777" w:rsidR="00044565" w:rsidRPr="00B00C90" w:rsidRDefault="00044565" w:rsidP="00044565">
      <w:pPr>
        <w:pStyle w:val="Heading1"/>
        <w:numPr>
          <w:ilvl w:val="0"/>
          <w:numId w:val="8"/>
        </w:numPr>
        <w:spacing w:before="360"/>
        <w:ind w:right="-108"/>
        <w:jc w:val="both"/>
        <w:rPr>
          <w:sz w:val="24"/>
        </w:rPr>
      </w:pPr>
      <w:r w:rsidRPr="00B00C90">
        <w:rPr>
          <w:sz w:val="24"/>
        </w:rPr>
        <w:lastRenderedPageBreak/>
        <w:t>Изпълнение на държавния бюджет</w:t>
      </w:r>
      <w:r w:rsidRPr="00B00C90">
        <w:rPr>
          <w:sz w:val="24"/>
          <w:vertAlign w:val="superscript"/>
          <w:lang w:eastAsia="bg-BG"/>
        </w:rPr>
        <w:footnoteReference w:id="7"/>
      </w:r>
      <w:r w:rsidRPr="00B00C90">
        <w:rPr>
          <w:sz w:val="24"/>
        </w:rPr>
        <w:t xml:space="preserve"> за първото полугодие на 2026 г.</w:t>
      </w:r>
    </w:p>
    <w:p w14:paraId="04C3AAE0" w14:textId="77777777" w:rsidR="00044565" w:rsidRPr="00C46285" w:rsidRDefault="00044565" w:rsidP="00044565">
      <w:pPr>
        <w:pStyle w:val="BodyTextIndent"/>
        <w:tabs>
          <w:tab w:val="left" w:pos="1080"/>
        </w:tabs>
        <w:spacing w:before="120" w:after="0"/>
        <w:ind w:left="0"/>
        <w:jc w:val="both"/>
        <w:rPr>
          <w:b/>
          <w:bCs/>
          <w:sz w:val="20"/>
          <w:szCs w:val="20"/>
          <w:lang w:val="ru-RU"/>
        </w:rPr>
      </w:pPr>
      <w:r w:rsidRPr="00C46285">
        <w:t>Изпълнението на основните показатели по държавния бюджет, на база месечните отчети на първостепенните разпоредители с бюджет е, както следва:</w:t>
      </w:r>
      <w:r w:rsidRPr="00C46285">
        <w:rPr>
          <w:b/>
          <w:bCs/>
          <w:sz w:val="20"/>
          <w:szCs w:val="20"/>
          <w:lang w:val="ru-RU"/>
        </w:rPr>
        <w:t xml:space="preserve">   </w:t>
      </w:r>
    </w:p>
    <w:p w14:paraId="617F01FB" w14:textId="77777777" w:rsidR="00044565" w:rsidRPr="00C46285" w:rsidRDefault="00044565" w:rsidP="00044565">
      <w:pPr>
        <w:pStyle w:val="BodyTextIndent"/>
        <w:tabs>
          <w:tab w:val="left" w:pos="1080"/>
        </w:tabs>
        <w:spacing w:before="120"/>
        <w:ind w:left="0"/>
        <w:jc w:val="both"/>
        <w:rPr>
          <w:b/>
          <w:bCs/>
          <w:sz w:val="20"/>
          <w:szCs w:val="20"/>
        </w:rPr>
      </w:pPr>
      <w:r w:rsidRPr="00C46285">
        <w:rPr>
          <w:b/>
          <w:bCs/>
          <w:sz w:val="20"/>
          <w:szCs w:val="20"/>
          <w:lang w:val="ru-RU"/>
        </w:rPr>
        <w:t xml:space="preserve">             </w:t>
      </w:r>
      <w:r w:rsidRPr="00C46285">
        <w:rPr>
          <w:b/>
          <w:bCs/>
          <w:sz w:val="20"/>
          <w:szCs w:val="20"/>
        </w:rPr>
        <w:t>Таблица</w:t>
      </w:r>
      <w:r w:rsidRPr="00C46285">
        <w:rPr>
          <w:rStyle w:val="FootnoteReference"/>
        </w:rPr>
        <w:footnoteReference w:id="8"/>
      </w:r>
      <w:r w:rsidRPr="00C46285">
        <w:rPr>
          <w:b/>
          <w:bCs/>
          <w:sz w:val="20"/>
          <w:szCs w:val="20"/>
        </w:rPr>
        <w:t xml:space="preserve">  №1      </w:t>
      </w:r>
      <w:r w:rsidRPr="00C46285">
        <w:rPr>
          <w:b/>
          <w:bCs/>
          <w:sz w:val="20"/>
          <w:szCs w:val="20"/>
        </w:rPr>
        <w:tab/>
      </w:r>
      <w:r w:rsidRPr="00C46285">
        <w:rPr>
          <w:b/>
          <w:bCs/>
          <w:sz w:val="20"/>
          <w:szCs w:val="20"/>
        </w:rPr>
        <w:tab/>
        <w:t xml:space="preserve">                                          </w:t>
      </w:r>
      <w:r w:rsidRPr="00C46285">
        <w:rPr>
          <w:b/>
          <w:bCs/>
          <w:sz w:val="20"/>
          <w:szCs w:val="20"/>
        </w:rPr>
        <w:tab/>
      </w:r>
      <w:r w:rsidRPr="00C46285">
        <w:rPr>
          <w:b/>
          <w:bCs/>
          <w:sz w:val="20"/>
          <w:szCs w:val="20"/>
        </w:rPr>
        <w:tab/>
      </w:r>
      <w:r w:rsidRPr="00C46285">
        <w:rPr>
          <w:b/>
          <w:bCs/>
          <w:sz w:val="20"/>
          <w:szCs w:val="20"/>
        </w:rPr>
        <w:tab/>
      </w:r>
      <w:r w:rsidRPr="00C46285">
        <w:rPr>
          <w:b/>
          <w:bCs/>
          <w:sz w:val="20"/>
          <w:szCs w:val="20"/>
        </w:rPr>
        <w:tab/>
      </w:r>
      <w:r>
        <w:rPr>
          <w:b/>
          <w:bCs/>
          <w:sz w:val="20"/>
          <w:szCs w:val="20"/>
        </w:rPr>
        <w:tab/>
      </w:r>
      <w:r w:rsidRPr="00C46285">
        <w:rPr>
          <w:b/>
          <w:bCs/>
          <w:sz w:val="20"/>
          <w:szCs w:val="20"/>
        </w:rPr>
        <w:t>(млн. евро)</w:t>
      </w:r>
    </w:p>
    <w:tbl>
      <w:tblPr>
        <w:tblW w:w="9062" w:type="dxa"/>
        <w:jc w:val="center"/>
        <w:tblCellMar>
          <w:left w:w="70" w:type="dxa"/>
          <w:right w:w="70" w:type="dxa"/>
        </w:tblCellMar>
        <w:tblLook w:val="0000" w:firstRow="0" w:lastRow="0" w:firstColumn="0" w:lastColumn="0" w:noHBand="0" w:noVBand="0"/>
      </w:tblPr>
      <w:tblGrid>
        <w:gridCol w:w="4668"/>
        <w:gridCol w:w="1538"/>
        <w:gridCol w:w="1155"/>
        <w:gridCol w:w="142"/>
        <w:gridCol w:w="1559"/>
      </w:tblGrid>
      <w:tr w:rsidR="00044565" w:rsidRPr="005F1916" w14:paraId="6DC9207F" w14:textId="77777777" w:rsidTr="005D0C16">
        <w:trPr>
          <w:trHeight w:val="520"/>
          <w:jc w:val="center"/>
        </w:trPr>
        <w:tc>
          <w:tcPr>
            <w:tcW w:w="4668" w:type="dxa"/>
            <w:tcBorders>
              <w:top w:val="single" w:sz="8" w:space="0" w:color="auto"/>
              <w:left w:val="single" w:sz="8" w:space="0" w:color="auto"/>
              <w:bottom w:val="nil"/>
              <w:right w:val="single" w:sz="8" w:space="0" w:color="auto"/>
            </w:tcBorders>
            <w:shd w:val="clear" w:color="auto" w:fill="auto"/>
            <w:noWrap/>
            <w:vAlign w:val="center"/>
          </w:tcPr>
          <w:p w14:paraId="607BD346" w14:textId="77777777" w:rsidR="00044565" w:rsidRPr="00C46285" w:rsidRDefault="00044565" w:rsidP="00754DE8">
            <w:pPr>
              <w:jc w:val="center"/>
              <w:rPr>
                <w:b/>
                <w:bCs/>
                <w:sz w:val="18"/>
                <w:szCs w:val="18"/>
              </w:rPr>
            </w:pPr>
            <w:r w:rsidRPr="00C46285">
              <w:rPr>
                <w:b/>
                <w:bCs/>
                <w:sz w:val="18"/>
                <w:szCs w:val="18"/>
              </w:rPr>
              <w:t>ПОКАЗАТЕЛИ</w:t>
            </w:r>
          </w:p>
        </w:tc>
        <w:tc>
          <w:tcPr>
            <w:tcW w:w="1538" w:type="dxa"/>
            <w:tcBorders>
              <w:top w:val="single" w:sz="8" w:space="0" w:color="auto"/>
              <w:left w:val="nil"/>
              <w:bottom w:val="single" w:sz="4" w:space="0" w:color="auto"/>
              <w:right w:val="nil"/>
            </w:tcBorders>
            <w:shd w:val="clear" w:color="auto" w:fill="auto"/>
            <w:vAlign w:val="center"/>
          </w:tcPr>
          <w:p w14:paraId="0964FD26" w14:textId="77777777" w:rsidR="00044565" w:rsidRPr="00E553BA" w:rsidRDefault="005D0C16" w:rsidP="005D0C16">
            <w:pPr>
              <w:ind w:right="237"/>
              <w:jc w:val="center"/>
              <w:rPr>
                <w:b/>
                <w:bCs/>
                <w:sz w:val="18"/>
                <w:szCs w:val="18"/>
                <w:highlight w:val="yellow"/>
              </w:rPr>
            </w:pPr>
            <w:r w:rsidRPr="000864FB">
              <w:rPr>
                <w:b/>
                <w:bCs/>
                <w:sz w:val="18"/>
                <w:szCs w:val="18"/>
              </w:rPr>
              <w:t xml:space="preserve">ЗДБРБ </w:t>
            </w:r>
            <w:r>
              <w:rPr>
                <w:b/>
                <w:bCs/>
                <w:sz w:val="18"/>
                <w:szCs w:val="18"/>
                <w:lang w:val="en-US"/>
              </w:rPr>
              <w:t xml:space="preserve"> </w:t>
            </w:r>
            <w:r w:rsidRPr="000864FB">
              <w:rPr>
                <w:b/>
                <w:bCs/>
                <w:sz w:val="18"/>
                <w:szCs w:val="18"/>
              </w:rPr>
              <w:t xml:space="preserve">   </w:t>
            </w:r>
            <w:r w:rsidRPr="000864FB">
              <w:rPr>
                <w:b/>
                <w:bCs/>
                <w:sz w:val="18"/>
                <w:szCs w:val="18"/>
                <w:highlight w:val="yellow"/>
              </w:rPr>
              <w:t xml:space="preserve"> </w:t>
            </w:r>
            <w:r w:rsidRPr="000864FB">
              <w:rPr>
                <w:b/>
                <w:bCs/>
                <w:sz w:val="18"/>
                <w:szCs w:val="18"/>
              </w:rPr>
              <w:t>202</w:t>
            </w:r>
            <w:r>
              <w:rPr>
                <w:b/>
                <w:bCs/>
                <w:sz w:val="18"/>
                <w:szCs w:val="18"/>
                <w:lang w:val="en-US"/>
              </w:rPr>
              <w:t>6</w:t>
            </w:r>
            <w:r w:rsidRPr="000864FB">
              <w:rPr>
                <w:b/>
                <w:bCs/>
                <w:sz w:val="18"/>
                <w:szCs w:val="18"/>
              </w:rPr>
              <w:t xml:space="preserve"> г</w:t>
            </w:r>
            <w:r w:rsidR="00E553BA">
              <w:rPr>
                <w:b/>
                <w:bCs/>
                <w:sz w:val="18"/>
                <w:szCs w:val="18"/>
              </w:rPr>
              <w:t>.</w:t>
            </w:r>
          </w:p>
        </w:tc>
        <w:tc>
          <w:tcPr>
            <w:tcW w:w="1297" w:type="dxa"/>
            <w:gridSpan w:val="2"/>
            <w:tcBorders>
              <w:top w:val="single" w:sz="8" w:space="0" w:color="auto"/>
              <w:left w:val="nil"/>
              <w:bottom w:val="single" w:sz="4" w:space="0" w:color="auto"/>
              <w:right w:val="nil"/>
            </w:tcBorders>
            <w:shd w:val="clear" w:color="auto" w:fill="auto"/>
            <w:vAlign w:val="center"/>
          </w:tcPr>
          <w:p w14:paraId="025050AF" w14:textId="77777777" w:rsidR="00044565" w:rsidRPr="000A2CAC" w:rsidRDefault="00044565" w:rsidP="00754DE8">
            <w:pPr>
              <w:jc w:val="center"/>
              <w:rPr>
                <w:b/>
                <w:bCs/>
                <w:sz w:val="18"/>
                <w:szCs w:val="18"/>
              </w:rPr>
            </w:pPr>
            <w:r w:rsidRPr="000A2CAC">
              <w:rPr>
                <w:b/>
                <w:bCs/>
                <w:sz w:val="18"/>
                <w:szCs w:val="18"/>
              </w:rPr>
              <w:t>Отчет</w:t>
            </w:r>
          </w:p>
          <w:p w14:paraId="5E33EDB0" w14:textId="77777777" w:rsidR="00044565" w:rsidRPr="000A2CAC" w:rsidRDefault="00044565" w:rsidP="00754DE8">
            <w:pPr>
              <w:jc w:val="center"/>
              <w:rPr>
                <w:b/>
                <w:bCs/>
                <w:sz w:val="18"/>
                <w:szCs w:val="18"/>
              </w:rPr>
            </w:pPr>
            <w:r w:rsidRPr="000A2CAC">
              <w:rPr>
                <w:b/>
                <w:bCs/>
                <w:sz w:val="18"/>
                <w:szCs w:val="18"/>
              </w:rPr>
              <w:t>юни 2026 г.</w:t>
            </w:r>
          </w:p>
        </w:tc>
        <w:tc>
          <w:tcPr>
            <w:tcW w:w="1559" w:type="dxa"/>
            <w:tcBorders>
              <w:top w:val="single" w:sz="8" w:space="0" w:color="auto"/>
              <w:left w:val="nil"/>
              <w:bottom w:val="single" w:sz="4" w:space="0" w:color="auto"/>
              <w:right w:val="single" w:sz="8" w:space="0" w:color="auto"/>
            </w:tcBorders>
            <w:shd w:val="clear" w:color="auto" w:fill="auto"/>
            <w:vAlign w:val="center"/>
          </w:tcPr>
          <w:p w14:paraId="093267EA" w14:textId="77777777" w:rsidR="00044565" w:rsidRPr="00D60B13" w:rsidRDefault="005D0C16" w:rsidP="005D0C16">
            <w:pPr>
              <w:ind w:left="207"/>
              <w:jc w:val="center"/>
              <w:rPr>
                <w:b/>
                <w:bCs/>
                <w:sz w:val="18"/>
                <w:szCs w:val="18"/>
                <w:highlight w:val="yellow"/>
              </w:rPr>
            </w:pPr>
            <w:r w:rsidRPr="000864FB">
              <w:rPr>
                <w:b/>
                <w:bCs/>
                <w:sz w:val="18"/>
                <w:szCs w:val="18"/>
              </w:rPr>
              <w:t>Изпълнение спрямо ЗДБРБ 202</w:t>
            </w:r>
            <w:r>
              <w:rPr>
                <w:b/>
                <w:bCs/>
                <w:sz w:val="18"/>
                <w:szCs w:val="18"/>
                <w:lang w:val="en-US"/>
              </w:rPr>
              <w:t>6</w:t>
            </w:r>
            <w:r w:rsidRPr="000864FB">
              <w:rPr>
                <w:b/>
                <w:bCs/>
                <w:sz w:val="18"/>
                <w:szCs w:val="18"/>
              </w:rPr>
              <w:t xml:space="preserve"> г.</w:t>
            </w:r>
          </w:p>
        </w:tc>
      </w:tr>
      <w:tr w:rsidR="00136E65" w:rsidRPr="005F1916" w14:paraId="787855EA" w14:textId="77777777" w:rsidTr="00371AAD">
        <w:trPr>
          <w:trHeight w:val="92"/>
          <w:jc w:val="center"/>
        </w:trPr>
        <w:tc>
          <w:tcPr>
            <w:tcW w:w="4668" w:type="dxa"/>
            <w:tcBorders>
              <w:top w:val="single" w:sz="4" w:space="0" w:color="auto"/>
              <w:left w:val="single" w:sz="8" w:space="0" w:color="auto"/>
              <w:bottom w:val="single" w:sz="4" w:space="0" w:color="auto"/>
              <w:right w:val="single" w:sz="8" w:space="0" w:color="auto"/>
            </w:tcBorders>
            <w:shd w:val="clear" w:color="auto" w:fill="auto"/>
            <w:noWrap/>
            <w:vAlign w:val="bottom"/>
          </w:tcPr>
          <w:p w14:paraId="57F09395" w14:textId="77777777" w:rsidR="00136E65" w:rsidRPr="00C46285" w:rsidRDefault="00136E65" w:rsidP="00136E65">
            <w:pPr>
              <w:rPr>
                <w:b/>
                <w:bCs/>
                <w:sz w:val="18"/>
                <w:szCs w:val="18"/>
              </w:rPr>
            </w:pPr>
            <w:r w:rsidRPr="00C46285">
              <w:rPr>
                <w:b/>
                <w:bCs/>
                <w:sz w:val="18"/>
                <w:szCs w:val="18"/>
              </w:rPr>
              <w:t>Общо приходи, помощи и дарения</w:t>
            </w:r>
          </w:p>
        </w:tc>
        <w:tc>
          <w:tcPr>
            <w:tcW w:w="1538" w:type="dxa"/>
            <w:tcBorders>
              <w:top w:val="nil"/>
              <w:left w:val="nil"/>
              <w:bottom w:val="nil"/>
              <w:right w:val="nil"/>
            </w:tcBorders>
            <w:shd w:val="clear" w:color="auto" w:fill="auto"/>
            <w:noWrap/>
            <w:vAlign w:val="bottom"/>
          </w:tcPr>
          <w:p w14:paraId="435AA740" w14:textId="77777777" w:rsidR="00136E65" w:rsidRDefault="00136E65" w:rsidP="00136E65">
            <w:pPr>
              <w:jc w:val="right"/>
              <w:rPr>
                <w:b/>
                <w:bCs/>
                <w:sz w:val="18"/>
                <w:szCs w:val="18"/>
              </w:rPr>
            </w:pPr>
            <w:r>
              <w:rPr>
                <w:b/>
                <w:bCs/>
                <w:sz w:val="18"/>
                <w:szCs w:val="18"/>
              </w:rPr>
              <w:t>28 460,8</w:t>
            </w:r>
          </w:p>
        </w:tc>
        <w:tc>
          <w:tcPr>
            <w:tcW w:w="1155" w:type="dxa"/>
            <w:tcBorders>
              <w:top w:val="nil"/>
              <w:left w:val="nil"/>
              <w:bottom w:val="nil"/>
              <w:right w:val="nil"/>
            </w:tcBorders>
            <w:shd w:val="clear" w:color="auto" w:fill="auto"/>
            <w:noWrap/>
            <w:vAlign w:val="bottom"/>
          </w:tcPr>
          <w:p w14:paraId="07CF2037" w14:textId="77777777" w:rsidR="00136E65" w:rsidRDefault="00136E65" w:rsidP="00136E65">
            <w:pPr>
              <w:jc w:val="right"/>
              <w:rPr>
                <w:b/>
                <w:bCs/>
                <w:sz w:val="18"/>
                <w:szCs w:val="18"/>
              </w:rPr>
            </w:pPr>
            <w:r>
              <w:rPr>
                <w:b/>
                <w:bCs/>
                <w:sz w:val="18"/>
                <w:szCs w:val="18"/>
              </w:rPr>
              <w:t>12 796,3</w:t>
            </w:r>
          </w:p>
        </w:tc>
        <w:tc>
          <w:tcPr>
            <w:tcW w:w="1701" w:type="dxa"/>
            <w:gridSpan w:val="2"/>
            <w:tcBorders>
              <w:top w:val="single" w:sz="4" w:space="0" w:color="auto"/>
              <w:left w:val="nil"/>
              <w:bottom w:val="single" w:sz="4" w:space="0" w:color="auto"/>
              <w:right w:val="single" w:sz="8" w:space="0" w:color="auto"/>
            </w:tcBorders>
            <w:shd w:val="clear" w:color="auto" w:fill="auto"/>
            <w:noWrap/>
            <w:vAlign w:val="bottom"/>
          </w:tcPr>
          <w:p w14:paraId="301388EA" w14:textId="77777777" w:rsidR="00136E65" w:rsidRDefault="00136E65" w:rsidP="00136E65">
            <w:pPr>
              <w:jc w:val="right"/>
              <w:rPr>
                <w:b/>
                <w:bCs/>
                <w:sz w:val="18"/>
                <w:szCs w:val="18"/>
              </w:rPr>
            </w:pPr>
            <w:r>
              <w:rPr>
                <w:b/>
                <w:bCs/>
                <w:sz w:val="18"/>
                <w:szCs w:val="18"/>
              </w:rPr>
              <w:t>45,0%</w:t>
            </w:r>
          </w:p>
        </w:tc>
      </w:tr>
      <w:tr w:rsidR="00136E65" w:rsidRPr="005F1916" w14:paraId="45C8CB02" w14:textId="77777777" w:rsidTr="00435C51">
        <w:trPr>
          <w:trHeight w:val="80"/>
          <w:jc w:val="center"/>
        </w:trPr>
        <w:tc>
          <w:tcPr>
            <w:tcW w:w="4668" w:type="dxa"/>
            <w:tcBorders>
              <w:top w:val="single" w:sz="4" w:space="0" w:color="auto"/>
              <w:left w:val="single" w:sz="8" w:space="0" w:color="auto"/>
              <w:bottom w:val="nil"/>
              <w:right w:val="single" w:sz="8" w:space="0" w:color="auto"/>
            </w:tcBorders>
            <w:shd w:val="clear" w:color="auto" w:fill="auto"/>
            <w:noWrap/>
            <w:vAlign w:val="bottom"/>
          </w:tcPr>
          <w:p w14:paraId="3B84FB34" w14:textId="77777777" w:rsidR="00136E65" w:rsidRPr="00C46285" w:rsidRDefault="00136E65" w:rsidP="00136E65">
            <w:pPr>
              <w:rPr>
                <w:sz w:val="18"/>
                <w:szCs w:val="18"/>
              </w:rPr>
            </w:pPr>
            <w:r w:rsidRPr="00C46285">
              <w:rPr>
                <w:sz w:val="18"/>
                <w:szCs w:val="18"/>
              </w:rPr>
              <w:t xml:space="preserve">   -Данъчни приходи</w:t>
            </w:r>
          </w:p>
        </w:tc>
        <w:tc>
          <w:tcPr>
            <w:tcW w:w="1538" w:type="dxa"/>
            <w:tcBorders>
              <w:top w:val="single" w:sz="4" w:space="0" w:color="auto"/>
              <w:left w:val="nil"/>
              <w:bottom w:val="nil"/>
              <w:right w:val="nil"/>
            </w:tcBorders>
            <w:shd w:val="clear" w:color="auto" w:fill="auto"/>
            <w:noWrap/>
            <w:vAlign w:val="bottom"/>
          </w:tcPr>
          <w:p w14:paraId="77A5C3D7" w14:textId="77777777" w:rsidR="00136E65" w:rsidRDefault="00136E65" w:rsidP="00136E65">
            <w:pPr>
              <w:jc w:val="right"/>
              <w:rPr>
                <w:sz w:val="18"/>
                <w:szCs w:val="18"/>
              </w:rPr>
            </w:pPr>
            <w:r>
              <w:rPr>
                <w:sz w:val="18"/>
                <w:szCs w:val="18"/>
              </w:rPr>
              <w:t>25 409,5</w:t>
            </w:r>
          </w:p>
        </w:tc>
        <w:tc>
          <w:tcPr>
            <w:tcW w:w="1155" w:type="dxa"/>
            <w:tcBorders>
              <w:top w:val="single" w:sz="4" w:space="0" w:color="auto"/>
              <w:left w:val="nil"/>
              <w:bottom w:val="nil"/>
              <w:right w:val="nil"/>
            </w:tcBorders>
            <w:shd w:val="clear" w:color="auto" w:fill="auto"/>
            <w:noWrap/>
            <w:vAlign w:val="bottom"/>
          </w:tcPr>
          <w:p w14:paraId="2D571A06" w14:textId="77777777" w:rsidR="00136E65" w:rsidRDefault="00136E65" w:rsidP="00136E65">
            <w:pPr>
              <w:jc w:val="right"/>
              <w:rPr>
                <w:sz w:val="18"/>
                <w:szCs w:val="18"/>
              </w:rPr>
            </w:pPr>
            <w:r>
              <w:rPr>
                <w:sz w:val="18"/>
                <w:szCs w:val="18"/>
              </w:rPr>
              <w:t>11 429,3</w:t>
            </w:r>
          </w:p>
        </w:tc>
        <w:tc>
          <w:tcPr>
            <w:tcW w:w="1701" w:type="dxa"/>
            <w:gridSpan w:val="2"/>
            <w:tcBorders>
              <w:top w:val="nil"/>
              <w:left w:val="nil"/>
              <w:bottom w:val="nil"/>
              <w:right w:val="single" w:sz="8" w:space="0" w:color="auto"/>
            </w:tcBorders>
            <w:shd w:val="clear" w:color="auto" w:fill="auto"/>
            <w:noWrap/>
            <w:vAlign w:val="bottom"/>
          </w:tcPr>
          <w:p w14:paraId="018E2908" w14:textId="77777777" w:rsidR="00136E65" w:rsidRDefault="00136E65" w:rsidP="00136E65">
            <w:pPr>
              <w:jc w:val="right"/>
              <w:rPr>
                <w:sz w:val="18"/>
                <w:szCs w:val="18"/>
              </w:rPr>
            </w:pPr>
            <w:r>
              <w:rPr>
                <w:sz w:val="18"/>
                <w:szCs w:val="18"/>
              </w:rPr>
              <w:t>45,0%</w:t>
            </w:r>
          </w:p>
        </w:tc>
      </w:tr>
      <w:tr w:rsidR="00721B8F" w:rsidRPr="005F1916" w14:paraId="1AD4D73A" w14:textId="77777777" w:rsidTr="005D0C16">
        <w:trPr>
          <w:trHeight w:val="80"/>
          <w:jc w:val="center"/>
        </w:trPr>
        <w:tc>
          <w:tcPr>
            <w:tcW w:w="4668" w:type="dxa"/>
            <w:tcBorders>
              <w:left w:val="single" w:sz="8" w:space="0" w:color="auto"/>
              <w:right w:val="single" w:sz="8" w:space="0" w:color="auto"/>
            </w:tcBorders>
            <w:shd w:val="clear" w:color="auto" w:fill="auto"/>
            <w:noWrap/>
            <w:vAlign w:val="bottom"/>
          </w:tcPr>
          <w:p w14:paraId="4320E0EC" w14:textId="77777777" w:rsidR="00721B8F" w:rsidRPr="00C46285" w:rsidRDefault="00721B8F" w:rsidP="00721B8F">
            <w:pPr>
              <w:rPr>
                <w:sz w:val="18"/>
                <w:szCs w:val="18"/>
              </w:rPr>
            </w:pPr>
            <w:r w:rsidRPr="00C46285">
              <w:rPr>
                <w:sz w:val="18"/>
                <w:szCs w:val="18"/>
              </w:rPr>
              <w:t xml:space="preserve">      Корпоративни данъци</w:t>
            </w:r>
          </w:p>
        </w:tc>
        <w:tc>
          <w:tcPr>
            <w:tcW w:w="1538" w:type="dxa"/>
            <w:tcBorders>
              <w:left w:val="nil"/>
              <w:bottom w:val="nil"/>
            </w:tcBorders>
            <w:shd w:val="clear" w:color="auto" w:fill="auto"/>
            <w:noWrap/>
            <w:vAlign w:val="bottom"/>
          </w:tcPr>
          <w:p w14:paraId="5F6190D4" w14:textId="77777777" w:rsidR="00721B8F" w:rsidRDefault="00721B8F" w:rsidP="00721B8F">
            <w:pPr>
              <w:jc w:val="right"/>
              <w:rPr>
                <w:sz w:val="18"/>
                <w:szCs w:val="18"/>
              </w:rPr>
            </w:pPr>
            <w:r>
              <w:rPr>
                <w:sz w:val="18"/>
                <w:szCs w:val="18"/>
              </w:rPr>
              <w:t>3 498,5</w:t>
            </w:r>
          </w:p>
        </w:tc>
        <w:tc>
          <w:tcPr>
            <w:tcW w:w="1155" w:type="dxa"/>
            <w:shd w:val="clear" w:color="auto" w:fill="auto"/>
            <w:noWrap/>
            <w:vAlign w:val="bottom"/>
          </w:tcPr>
          <w:p w14:paraId="3CFDFFB7" w14:textId="77777777" w:rsidR="00721B8F" w:rsidRDefault="00721B8F" w:rsidP="00721B8F">
            <w:pPr>
              <w:jc w:val="right"/>
              <w:rPr>
                <w:sz w:val="18"/>
                <w:szCs w:val="18"/>
              </w:rPr>
            </w:pPr>
            <w:r>
              <w:rPr>
                <w:sz w:val="18"/>
                <w:szCs w:val="18"/>
              </w:rPr>
              <w:t>1 536,2</w:t>
            </w:r>
          </w:p>
        </w:tc>
        <w:tc>
          <w:tcPr>
            <w:tcW w:w="1701" w:type="dxa"/>
            <w:gridSpan w:val="2"/>
            <w:tcBorders>
              <w:right w:val="single" w:sz="4" w:space="0" w:color="auto"/>
            </w:tcBorders>
            <w:shd w:val="clear" w:color="auto" w:fill="auto"/>
            <w:noWrap/>
            <w:vAlign w:val="bottom"/>
          </w:tcPr>
          <w:p w14:paraId="7747DC21" w14:textId="77777777" w:rsidR="00721B8F" w:rsidRDefault="00721B8F" w:rsidP="00721B8F">
            <w:pPr>
              <w:jc w:val="right"/>
              <w:rPr>
                <w:sz w:val="18"/>
                <w:szCs w:val="18"/>
              </w:rPr>
            </w:pPr>
            <w:r>
              <w:rPr>
                <w:sz w:val="18"/>
                <w:szCs w:val="18"/>
              </w:rPr>
              <w:t>43,9%</w:t>
            </w:r>
          </w:p>
        </w:tc>
      </w:tr>
      <w:tr w:rsidR="00721B8F" w:rsidRPr="005F1916" w14:paraId="1A8FD897"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72517BA6" w14:textId="77777777" w:rsidR="00721B8F" w:rsidRPr="00C46285" w:rsidRDefault="00721B8F" w:rsidP="00721B8F">
            <w:pPr>
              <w:rPr>
                <w:sz w:val="18"/>
                <w:szCs w:val="18"/>
              </w:rPr>
            </w:pPr>
            <w:r w:rsidRPr="00C46285">
              <w:rPr>
                <w:sz w:val="18"/>
                <w:szCs w:val="18"/>
              </w:rPr>
              <w:t xml:space="preserve">     </w:t>
            </w:r>
            <w:r w:rsidRPr="00C46285">
              <w:rPr>
                <w:sz w:val="18"/>
                <w:szCs w:val="18"/>
                <w:lang w:val="en-US"/>
              </w:rPr>
              <w:t xml:space="preserve"> </w:t>
            </w:r>
            <w:r w:rsidRPr="00C46285">
              <w:rPr>
                <w:sz w:val="18"/>
                <w:szCs w:val="18"/>
              </w:rPr>
              <w:t>ДДФЛ</w:t>
            </w:r>
          </w:p>
        </w:tc>
        <w:tc>
          <w:tcPr>
            <w:tcW w:w="1538" w:type="dxa"/>
            <w:tcBorders>
              <w:left w:val="nil"/>
              <w:bottom w:val="nil"/>
            </w:tcBorders>
            <w:shd w:val="clear" w:color="auto" w:fill="auto"/>
            <w:noWrap/>
            <w:vAlign w:val="bottom"/>
          </w:tcPr>
          <w:p w14:paraId="3B017642" w14:textId="77777777" w:rsidR="00721B8F" w:rsidRDefault="00721B8F" w:rsidP="00721B8F">
            <w:pPr>
              <w:jc w:val="right"/>
              <w:rPr>
                <w:sz w:val="18"/>
                <w:szCs w:val="18"/>
              </w:rPr>
            </w:pPr>
            <w:r>
              <w:rPr>
                <w:sz w:val="18"/>
                <w:szCs w:val="18"/>
              </w:rPr>
              <w:t>4 752,0</w:t>
            </w:r>
          </w:p>
        </w:tc>
        <w:tc>
          <w:tcPr>
            <w:tcW w:w="1155" w:type="dxa"/>
            <w:tcBorders>
              <w:top w:val="nil"/>
            </w:tcBorders>
            <w:shd w:val="clear" w:color="auto" w:fill="auto"/>
            <w:noWrap/>
            <w:vAlign w:val="bottom"/>
          </w:tcPr>
          <w:p w14:paraId="42228BA2" w14:textId="77777777" w:rsidR="00721B8F" w:rsidRDefault="00721B8F" w:rsidP="00721B8F">
            <w:pPr>
              <w:jc w:val="right"/>
              <w:rPr>
                <w:sz w:val="18"/>
                <w:szCs w:val="18"/>
              </w:rPr>
            </w:pPr>
            <w:r>
              <w:rPr>
                <w:sz w:val="18"/>
                <w:szCs w:val="18"/>
              </w:rPr>
              <w:t>2 249,6</w:t>
            </w:r>
          </w:p>
        </w:tc>
        <w:tc>
          <w:tcPr>
            <w:tcW w:w="1701" w:type="dxa"/>
            <w:gridSpan w:val="2"/>
            <w:tcBorders>
              <w:top w:val="nil"/>
              <w:right w:val="single" w:sz="4" w:space="0" w:color="auto"/>
            </w:tcBorders>
            <w:shd w:val="clear" w:color="auto" w:fill="auto"/>
            <w:noWrap/>
            <w:vAlign w:val="bottom"/>
          </w:tcPr>
          <w:p w14:paraId="42538E88" w14:textId="77777777" w:rsidR="00721B8F" w:rsidRDefault="00721B8F" w:rsidP="00721B8F">
            <w:pPr>
              <w:jc w:val="right"/>
              <w:rPr>
                <w:sz w:val="18"/>
                <w:szCs w:val="18"/>
              </w:rPr>
            </w:pPr>
            <w:r>
              <w:rPr>
                <w:sz w:val="18"/>
                <w:szCs w:val="18"/>
              </w:rPr>
              <w:t>47,3%</w:t>
            </w:r>
          </w:p>
        </w:tc>
      </w:tr>
      <w:tr w:rsidR="00721B8F" w:rsidRPr="005F1916" w14:paraId="01284CE8"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1B74E2E3" w14:textId="77777777" w:rsidR="00721B8F" w:rsidRPr="00C46285" w:rsidRDefault="00721B8F" w:rsidP="00721B8F">
            <w:pPr>
              <w:rPr>
                <w:sz w:val="18"/>
                <w:szCs w:val="18"/>
              </w:rPr>
            </w:pPr>
            <w:r w:rsidRPr="00C46285">
              <w:rPr>
                <w:sz w:val="18"/>
                <w:szCs w:val="18"/>
              </w:rPr>
              <w:t xml:space="preserve">     </w:t>
            </w:r>
            <w:r w:rsidRPr="00C46285">
              <w:rPr>
                <w:sz w:val="18"/>
                <w:szCs w:val="18"/>
                <w:lang w:val="en-US"/>
              </w:rPr>
              <w:t xml:space="preserve"> </w:t>
            </w:r>
            <w:r w:rsidRPr="00C46285">
              <w:rPr>
                <w:sz w:val="18"/>
                <w:szCs w:val="18"/>
              </w:rPr>
              <w:t>ДДС</w:t>
            </w:r>
          </w:p>
        </w:tc>
        <w:tc>
          <w:tcPr>
            <w:tcW w:w="1538" w:type="dxa"/>
            <w:tcBorders>
              <w:left w:val="nil"/>
              <w:bottom w:val="nil"/>
            </w:tcBorders>
            <w:shd w:val="clear" w:color="auto" w:fill="auto"/>
            <w:noWrap/>
            <w:vAlign w:val="bottom"/>
          </w:tcPr>
          <w:p w14:paraId="6E30E39F" w14:textId="77777777" w:rsidR="00721B8F" w:rsidRDefault="00721B8F" w:rsidP="00721B8F">
            <w:pPr>
              <w:jc w:val="right"/>
              <w:rPr>
                <w:sz w:val="18"/>
                <w:szCs w:val="18"/>
              </w:rPr>
            </w:pPr>
            <w:r>
              <w:rPr>
                <w:sz w:val="18"/>
                <w:szCs w:val="18"/>
              </w:rPr>
              <w:t>12 803,8</w:t>
            </w:r>
          </w:p>
        </w:tc>
        <w:tc>
          <w:tcPr>
            <w:tcW w:w="1155" w:type="dxa"/>
            <w:tcBorders>
              <w:top w:val="nil"/>
            </w:tcBorders>
            <w:shd w:val="clear" w:color="auto" w:fill="auto"/>
            <w:noWrap/>
            <w:vAlign w:val="bottom"/>
          </w:tcPr>
          <w:p w14:paraId="64993DB3" w14:textId="77777777" w:rsidR="00721B8F" w:rsidRDefault="00721B8F" w:rsidP="00721B8F">
            <w:pPr>
              <w:jc w:val="right"/>
              <w:rPr>
                <w:sz w:val="18"/>
                <w:szCs w:val="18"/>
              </w:rPr>
            </w:pPr>
            <w:r>
              <w:rPr>
                <w:sz w:val="18"/>
                <w:szCs w:val="18"/>
              </w:rPr>
              <w:t>5 721,0</w:t>
            </w:r>
          </w:p>
        </w:tc>
        <w:tc>
          <w:tcPr>
            <w:tcW w:w="1701" w:type="dxa"/>
            <w:gridSpan w:val="2"/>
            <w:tcBorders>
              <w:top w:val="nil"/>
              <w:right w:val="single" w:sz="4" w:space="0" w:color="auto"/>
            </w:tcBorders>
            <w:shd w:val="clear" w:color="auto" w:fill="auto"/>
            <w:noWrap/>
            <w:vAlign w:val="bottom"/>
          </w:tcPr>
          <w:p w14:paraId="65E0EE71" w14:textId="77777777" w:rsidR="00721B8F" w:rsidRDefault="00721B8F" w:rsidP="00721B8F">
            <w:pPr>
              <w:jc w:val="right"/>
              <w:rPr>
                <w:sz w:val="18"/>
                <w:szCs w:val="18"/>
              </w:rPr>
            </w:pPr>
            <w:r>
              <w:rPr>
                <w:sz w:val="18"/>
                <w:szCs w:val="18"/>
              </w:rPr>
              <w:t>44,7%</w:t>
            </w:r>
          </w:p>
        </w:tc>
      </w:tr>
      <w:tr w:rsidR="00721B8F" w:rsidRPr="005F1916" w14:paraId="1F3FF372"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021B0A52" w14:textId="77777777" w:rsidR="00721B8F" w:rsidRPr="00C46285" w:rsidRDefault="00721B8F" w:rsidP="00721B8F">
            <w:pPr>
              <w:rPr>
                <w:sz w:val="18"/>
                <w:szCs w:val="18"/>
              </w:rPr>
            </w:pPr>
            <w:r w:rsidRPr="00C46285">
              <w:rPr>
                <w:sz w:val="18"/>
                <w:szCs w:val="18"/>
              </w:rPr>
              <w:t xml:space="preserve">     </w:t>
            </w:r>
            <w:r w:rsidRPr="00C46285">
              <w:rPr>
                <w:sz w:val="18"/>
                <w:szCs w:val="18"/>
                <w:lang w:val="en-US"/>
              </w:rPr>
              <w:t xml:space="preserve"> </w:t>
            </w:r>
            <w:r w:rsidRPr="00C46285">
              <w:rPr>
                <w:sz w:val="18"/>
                <w:szCs w:val="18"/>
              </w:rPr>
              <w:t xml:space="preserve">Акцизи </w:t>
            </w:r>
          </w:p>
        </w:tc>
        <w:tc>
          <w:tcPr>
            <w:tcW w:w="1538" w:type="dxa"/>
            <w:tcBorders>
              <w:left w:val="nil"/>
              <w:bottom w:val="nil"/>
            </w:tcBorders>
            <w:shd w:val="clear" w:color="auto" w:fill="auto"/>
            <w:noWrap/>
            <w:vAlign w:val="bottom"/>
          </w:tcPr>
          <w:p w14:paraId="62679B71" w14:textId="77777777" w:rsidR="00721B8F" w:rsidRDefault="00721B8F" w:rsidP="00721B8F">
            <w:pPr>
              <w:jc w:val="right"/>
              <w:rPr>
                <w:sz w:val="18"/>
                <w:szCs w:val="18"/>
              </w:rPr>
            </w:pPr>
            <w:r>
              <w:rPr>
                <w:sz w:val="18"/>
                <w:szCs w:val="18"/>
              </w:rPr>
              <w:t>3 963,5</w:t>
            </w:r>
          </w:p>
        </w:tc>
        <w:tc>
          <w:tcPr>
            <w:tcW w:w="1155" w:type="dxa"/>
            <w:tcBorders>
              <w:top w:val="nil"/>
            </w:tcBorders>
            <w:shd w:val="clear" w:color="auto" w:fill="auto"/>
            <w:noWrap/>
            <w:vAlign w:val="bottom"/>
          </w:tcPr>
          <w:p w14:paraId="3BC33778" w14:textId="77777777" w:rsidR="00721B8F" w:rsidRDefault="00721B8F" w:rsidP="00721B8F">
            <w:pPr>
              <w:jc w:val="right"/>
              <w:rPr>
                <w:sz w:val="18"/>
                <w:szCs w:val="18"/>
              </w:rPr>
            </w:pPr>
            <w:r>
              <w:rPr>
                <w:sz w:val="18"/>
                <w:szCs w:val="18"/>
              </w:rPr>
              <w:t>1 691,2</w:t>
            </w:r>
          </w:p>
        </w:tc>
        <w:tc>
          <w:tcPr>
            <w:tcW w:w="1701" w:type="dxa"/>
            <w:gridSpan w:val="2"/>
            <w:tcBorders>
              <w:top w:val="nil"/>
              <w:right w:val="single" w:sz="4" w:space="0" w:color="auto"/>
            </w:tcBorders>
            <w:shd w:val="clear" w:color="auto" w:fill="auto"/>
            <w:noWrap/>
            <w:vAlign w:val="bottom"/>
          </w:tcPr>
          <w:p w14:paraId="4B33DA06" w14:textId="77777777" w:rsidR="00721B8F" w:rsidRDefault="00721B8F" w:rsidP="00721B8F">
            <w:pPr>
              <w:jc w:val="right"/>
              <w:rPr>
                <w:sz w:val="18"/>
                <w:szCs w:val="18"/>
              </w:rPr>
            </w:pPr>
            <w:r>
              <w:rPr>
                <w:sz w:val="18"/>
                <w:szCs w:val="18"/>
              </w:rPr>
              <w:t>42,7%</w:t>
            </w:r>
          </w:p>
        </w:tc>
      </w:tr>
      <w:tr w:rsidR="00721B8F" w:rsidRPr="005F1916" w14:paraId="654A86BA"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736B1907" w14:textId="77777777" w:rsidR="00721B8F" w:rsidRPr="00C46285" w:rsidRDefault="00721B8F" w:rsidP="00721B8F">
            <w:pPr>
              <w:rPr>
                <w:sz w:val="18"/>
                <w:szCs w:val="18"/>
              </w:rPr>
            </w:pPr>
            <w:r w:rsidRPr="00C46285">
              <w:rPr>
                <w:sz w:val="18"/>
                <w:szCs w:val="18"/>
              </w:rPr>
              <w:t xml:space="preserve">      Данък в/у застрахователните премии</w:t>
            </w:r>
          </w:p>
        </w:tc>
        <w:tc>
          <w:tcPr>
            <w:tcW w:w="1538" w:type="dxa"/>
            <w:tcBorders>
              <w:left w:val="nil"/>
              <w:bottom w:val="nil"/>
            </w:tcBorders>
            <w:shd w:val="clear" w:color="auto" w:fill="auto"/>
            <w:noWrap/>
            <w:vAlign w:val="bottom"/>
          </w:tcPr>
          <w:p w14:paraId="6EAC1FB8" w14:textId="77777777" w:rsidR="00721B8F" w:rsidRDefault="00721B8F" w:rsidP="00721B8F">
            <w:pPr>
              <w:jc w:val="right"/>
              <w:rPr>
                <w:sz w:val="18"/>
                <w:szCs w:val="18"/>
              </w:rPr>
            </w:pPr>
            <w:r>
              <w:rPr>
                <w:sz w:val="18"/>
                <w:szCs w:val="18"/>
              </w:rPr>
              <w:t>43,4</w:t>
            </w:r>
          </w:p>
        </w:tc>
        <w:tc>
          <w:tcPr>
            <w:tcW w:w="1155" w:type="dxa"/>
            <w:tcBorders>
              <w:top w:val="nil"/>
            </w:tcBorders>
            <w:shd w:val="clear" w:color="auto" w:fill="auto"/>
            <w:noWrap/>
            <w:vAlign w:val="bottom"/>
          </w:tcPr>
          <w:p w14:paraId="5C49D18D" w14:textId="77777777" w:rsidR="00721B8F" w:rsidRDefault="00721B8F" w:rsidP="00721B8F">
            <w:pPr>
              <w:jc w:val="right"/>
              <w:rPr>
                <w:sz w:val="18"/>
                <w:szCs w:val="18"/>
              </w:rPr>
            </w:pPr>
            <w:r>
              <w:rPr>
                <w:sz w:val="18"/>
                <w:szCs w:val="18"/>
              </w:rPr>
              <w:t>20,5</w:t>
            </w:r>
          </w:p>
        </w:tc>
        <w:tc>
          <w:tcPr>
            <w:tcW w:w="1701" w:type="dxa"/>
            <w:gridSpan w:val="2"/>
            <w:tcBorders>
              <w:top w:val="nil"/>
              <w:right w:val="single" w:sz="4" w:space="0" w:color="auto"/>
            </w:tcBorders>
            <w:shd w:val="clear" w:color="auto" w:fill="auto"/>
            <w:noWrap/>
            <w:vAlign w:val="bottom"/>
          </w:tcPr>
          <w:p w14:paraId="16F8E3DE" w14:textId="77777777" w:rsidR="00721B8F" w:rsidRDefault="00721B8F" w:rsidP="00721B8F">
            <w:pPr>
              <w:jc w:val="right"/>
              <w:rPr>
                <w:sz w:val="18"/>
                <w:szCs w:val="18"/>
              </w:rPr>
            </w:pPr>
            <w:r>
              <w:rPr>
                <w:sz w:val="18"/>
                <w:szCs w:val="18"/>
              </w:rPr>
              <w:t>47,3%</w:t>
            </w:r>
          </w:p>
        </w:tc>
      </w:tr>
      <w:tr w:rsidR="00721B8F" w:rsidRPr="005F1916" w14:paraId="0A74A929"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771F678E" w14:textId="77777777" w:rsidR="00721B8F" w:rsidRPr="00C46285" w:rsidRDefault="00721B8F" w:rsidP="00721B8F">
            <w:pPr>
              <w:rPr>
                <w:sz w:val="18"/>
                <w:szCs w:val="18"/>
              </w:rPr>
            </w:pPr>
            <w:r w:rsidRPr="00C46285">
              <w:rPr>
                <w:sz w:val="18"/>
                <w:szCs w:val="18"/>
              </w:rPr>
              <w:t xml:space="preserve">     </w:t>
            </w:r>
            <w:r w:rsidRPr="00C46285">
              <w:rPr>
                <w:sz w:val="18"/>
                <w:szCs w:val="18"/>
                <w:lang w:val="en-US"/>
              </w:rPr>
              <w:t xml:space="preserve"> </w:t>
            </w:r>
            <w:r w:rsidRPr="00C46285">
              <w:rPr>
                <w:sz w:val="18"/>
                <w:szCs w:val="18"/>
              </w:rPr>
              <w:t>Мита и митнически такси</w:t>
            </w:r>
          </w:p>
        </w:tc>
        <w:tc>
          <w:tcPr>
            <w:tcW w:w="1538" w:type="dxa"/>
            <w:tcBorders>
              <w:left w:val="nil"/>
              <w:bottom w:val="nil"/>
            </w:tcBorders>
            <w:shd w:val="clear" w:color="auto" w:fill="auto"/>
            <w:noWrap/>
            <w:vAlign w:val="bottom"/>
          </w:tcPr>
          <w:p w14:paraId="0AD4B890" w14:textId="77777777" w:rsidR="00721B8F" w:rsidRDefault="00721B8F" w:rsidP="00721B8F">
            <w:pPr>
              <w:jc w:val="right"/>
              <w:rPr>
                <w:sz w:val="18"/>
                <w:szCs w:val="18"/>
              </w:rPr>
            </w:pPr>
            <w:r>
              <w:rPr>
                <w:sz w:val="18"/>
                <w:szCs w:val="18"/>
              </w:rPr>
              <w:t>220,0</w:t>
            </w:r>
          </w:p>
        </w:tc>
        <w:tc>
          <w:tcPr>
            <w:tcW w:w="1155" w:type="dxa"/>
            <w:tcBorders>
              <w:top w:val="nil"/>
            </w:tcBorders>
            <w:shd w:val="clear" w:color="auto" w:fill="auto"/>
            <w:noWrap/>
            <w:vAlign w:val="bottom"/>
          </w:tcPr>
          <w:p w14:paraId="1DB91719" w14:textId="77777777" w:rsidR="00721B8F" w:rsidRDefault="00721B8F" w:rsidP="00721B8F">
            <w:pPr>
              <w:jc w:val="right"/>
              <w:rPr>
                <w:sz w:val="18"/>
                <w:szCs w:val="18"/>
              </w:rPr>
            </w:pPr>
            <w:r>
              <w:rPr>
                <w:sz w:val="18"/>
                <w:szCs w:val="18"/>
              </w:rPr>
              <w:t>126,0</w:t>
            </w:r>
          </w:p>
        </w:tc>
        <w:tc>
          <w:tcPr>
            <w:tcW w:w="1701" w:type="dxa"/>
            <w:gridSpan w:val="2"/>
            <w:tcBorders>
              <w:top w:val="nil"/>
              <w:right w:val="single" w:sz="4" w:space="0" w:color="auto"/>
            </w:tcBorders>
            <w:shd w:val="clear" w:color="auto" w:fill="auto"/>
            <w:noWrap/>
            <w:vAlign w:val="bottom"/>
          </w:tcPr>
          <w:p w14:paraId="60B7E90E" w14:textId="77777777" w:rsidR="00721B8F" w:rsidRDefault="00721B8F" w:rsidP="00721B8F">
            <w:pPr>
              <w:jc w:val="right"/>
              <w:rPr>
                <w:sz w:val="18"/>
                <w:szCs w:val="18"/>
              </w:rPr>
            </w:pPr>
            <w:r>
              <w:rPr>
                <w:sz w:val="18"/>
                <w:szCs w:val="18"/>
              </w:rPr>
              <w:t>57,3%</w:t>
            </w:r>
          </w:p>
        </w:tc>
      </w:tr>
      <w:tr w:rsidR="00721B8F" w:rsidRPr="005F1916" w14:paraId="26D4C3F9"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388A5306" w14:textId="77777777" w:rsidR="00721B8F" w:rsidRPr="00C46285" w:rsidRDefault="00721B8F" w:rsidP="00721B8F">
            <w:pPr>
              <w:rPr>
                <w:sz w:val="18"/>
                <w:szCs w:val="18"/>
              </w:rPr>
            </w:pPr>
            <w:r w:rsidRPr="00C46285">
              <w:rPr>
                <w:sz w:val="18"/>
                <w:szCs w:val="18"/>
              </w:rPr>
              <w:t xml:space="preserve">     </w:t>
            </w:r>
            <w:r w:rsidRPr="00C46285">
              <w:rPr>
                <w:sz w:val="18"/>
                <w:szCs w:val="18"/>
                <w:lang w:val="en-US"/>
              </w:rPr>
              <w:t xml:space="preserve"> </w:t>
            </w:r>
            <w:r w:rsidRPr="00C46285">
              <w:rPr>
                <w:sz w:val="18"/>
                <w:szCs w:val="18"/>
              </w:rPr>
              <w:t>Други данъци</w:t>
            </w:r>
          </w:p>
        </w:tc>
        <w:tc>
          <w:tcPr>
            <w:tcW w:w="1538" w:type="dxa"/>
            <w:tcBorders>
              <w:top w:val="nil"/>
              <w:left w:val="nil"/>
              <w:bottom w:val="nil"/>
              <w:right w:val="nil"/>
            </w:tcBorders>
            <w:shd w:val="clear" w:color="auto" w:fill="auto"/>
            <w:noWrap/>
            <w:vAlign w:val="bottom"/>
          </w:tcPr>
          <w:p w14:paraId="2D9FF1CF" w14:textId="77777777" w:rsidR="00721B8F" w:rsidRDefault="00721B8F" w:rsidP="00721B8F">
            <w:pPr>
              <w:jc w:val="right"/>
              <w:rPr>
                <w:sz w:val="18"/>
                <w:szCs w:val="18"/>
              </w:rPr>
            </w:pPr>
            <w:r>
              <w:rPr>
                <w:sz w:val="18"/>
                <w:szCs w:val="18"/>
              </w:rPr>
              <w:t>128,3</w:t>
            </w:r>
          </w:p>
        </w:tc>
        <w:tc>
          <w:tcPr>
            <w:tcW w:w="1155" w:type="dxa"/>
            <w:tcBorders>
              <w:top w:val="nil"/>
              <w:left w:val="nil"/>
              <w:bottom w:val="nil"/>
              <w:right w:val="nil"/>
            </w:tcBorders>
            <w:shd w:val="clear" w:color="auto" w:fill="auto"/>
            <w:noWrap/>
            <w:vAlign w:val="bottom"/>
          </w:tcPr>
          <w:p w14:paraId="6C0C69DD" w14:textId="77777777" w:rsidR="00721B8F" w:rsidRDefault="00721B8F" w:rsidP="00721B8F">
            <w:pPr>
              <w:jc w:val="right"/>
              <w:rPr>
                <w:sz w:val="18"/>
                <w:szCs w:val="18"/>
              </w:rPr>
            </w:pPr>
            <w:r>
              <w:rPr>
                <w:sz w:val="18"/>
                <w:szCs w:val="18"/>
              </w:rPr>
              <w:t>84,8</w:t>
            </w:r>
          </w:p>
        </w:tc>
        <w:tc>
          <w:tcPr>
            <w:tcW w:w="1701" w:type="dxa"/>
            <w:gridSpan w:val="2"/>
            <w:tcBorders>
              <w:top w:val="nil"/>
              <w:left w:val="nil"/>
              <w:bottom w:val="nil"/>
              <w:right w:val="single" w:sz="4" w:space="0" w:color="auto"/>
            </w:tcBorders>
            <w:shd w:val="clear" w:color="auto" w:fill="auto"/>
            <w:noWrap/>
            <w:vAlign w:val="bottom"/>
          </w:tcPr>
          <w:p w14:paraId="3346310E" w14:textId="77777777" w:rsidR="00721B8F" w:rsidRDefault="00721B8F" w:rsidP="00721B8F">
            <w:pPr>
              <w:jc w:val="right"/>
              <w:rPr>
                <w:sz w:val="18"/>
                <w:szCs w:val="18"/>
              </w:rPr>
            </w:pPr>
            <w:r>
              <w:rPr>
                <w:sz w:val="18"/>
                <w:szCs w:val="18"/>
              </w:rPr>
              <w:t>66,1%</w:t>
            </w:r>
          </w:p>
        </w:tc>
      </w:tr>
      <w:tr w:rsidR="00935896" w:rsidRPr="005F1916" w14:paraId="72F18C1A" w14:textId="77777777" w:rsidTr="005D0C16">
        <w:trPr>
          <w:trHeight w:val="165"/>
          <w:jc w:val="center"/>
        </w:trPr>
        <w:tc>
          <w:tcPr>
            <w:tcW w:w="4668" w:type="dxa"/>
            <w:tcBorders>
              <w:left w:val="single" w:sz="8" w:space="0" w:color="auto"/>
              <w:right w:val="single" w:sz="8" w:space="0" w:color="auto"/>
            </w:tcBorders>
            <w:shd w:val="clear" w:color="auto" w:fill="auto"/>
            <w:noWrap/>
            <w:vAlign w:val="bottom"/>
          </w:tcPr>
          <w:p w14:paraId="4B6EF1C9" w14:textId="77777777" w:rsidR="00935896" w:rsidRPr="00C46285" w:rsidRDefault="00935896" w:rsidP="00935896">
            <w:pPr>
              <w:rPr>
                <w:sz w:val="18"/>
                <w:szCs w:val="18"/>
              </w:rPr>
            </w:pPr>
            <w:r w:rsidRPr="00C46285">
              <w:rPr>
                <w:sz w:val="18"/>
                <w:szCs w:val="18"/>
              </w:rPr>
              <w:t xml:space="preserve">   -Неданъчни приходи</w:t>
            </w:r>
          </w:p>
        </w:tc>
        <w:tc>
          <w:tcPr>
            <w:tcW w:w="1538" w:type="dxa"/>
            <w:tcBorders>
              <w:top w:val="nil"/>
              <w:left w:val="nil"/>
              <w:bottom w:val="nil"/>
              <w:right w:val="nil"/>
            </w:tcBorders>
            <w:shd w:val="clear" w:color="auto" w:fill="auto"/>
            <w:noWrap/>
            <w:vAlign w:val="bottom"/>
          </w:tcPr>
          <w:p w14:paraId="7A3E8D0C" w14:textId="77777777" w:rsidR="00935896" w:rsidRDefault="00935896" w:rsidP="00935896">
            <w:pPr>
              <w:jc w:val="right"/>
              <w:rPr>
                <w:sz w:val="18"/>
                <w:szCs w:val="18"/>
              </w:rPr>
            </w:pPr>
            <w:r>
              <w:rPr>
                <w:sz w:val="18"/>
                <w:szCs w:val="18"/>
              </w:rPr>
              <w:t>3 051,1</w:t>
            </w:r>
          </w:p>
        </w:tc>
        <w:tc>
          <w:tcPr>
            <w:tcW w:w="1155" w:type="dxa"/>
            <w:tcBorders>
              <w:top w:val="nil"/>
              <w:left w:val="nil"/>
              <w:bottom w:val="nil"/>
              <w:right w:val="nil"/>
            </w:tcBorders>
            <w:shd w:val="clear" w:color="auto" w:fill="auto"/>
            <w:noWrap/>
            <w:vAlign w:val="bottom"/>
          </w:tcPr>
          <w:p w14:paraId="4CB60E2E" w14:textId="77777777" w:rsidR="00935896" w:rsidRDefault="00935896" w:rsidP="00935896">
            <w:pPr>
              <w:jc w:val="right"/>
              <w:rPr>
                <w:sz w:val="18"/>
                <w:szCs w:val="18"/>
              </w:rPr>
            </w:pPr>
            <w:r>
              <w:rPr>
                <w:sz w:val="18"/>
                <w:szCs w:val="18"/>
              </w:rPr>
              <w:t>1 332,0</w:t>
            </w:r>
          </w:p>
        </w:tc>
        <w:tc>
          <w:tcPr>
            <w:tcW w:w="1701" w:type="dxa"/>
            <w:gridSpan w:val="2"/>
            <w:tcBorders>
              <w:top w:val="nil"/>
              <w:left w:val="nil"/>
              <w:bottom w:val="nil"/>
              <w:right w:val="single" w:sz="4" w:space="0" w:color="auto"/>
            </w:tcBorders>
            <w:shd w:val="clear" w:color="auto" w:fill="auto"/>
            <w:noWrap/>
            <w:vAlign w:val="bottom"/>
          </w:tcPr>
          <w:p w14:paraId="7F4AC842" w14:textId="77777777" w:rsidR="00935896" w:rsidRDefault="00935896" w:rsidP="00935896">
            <w:pPr>
              <w:jc w:val="right"/>
              <w:rPr>
                <w:sz w:val="18"/>
                <w:szCs w:val="18"/>
              </w:rPr>
            </w:pPr>
            <w:r>
              <w:rPr>
                <w:sz w:val="18"/>
                <w:szCs w:val="18"/>
              </w:rPr>
              <w:t>43,7%</w:t>
            </w:r>
          </w:p>
        </w:tc>
      </w:tr>
      <w:tr w:rsidR="00935896" w:rsidRPr="005F1916" w14:paraId="675DFF5D" w14:textId="77777777" w:rsidTr="005D0C16">
        <w:trPr>
          <w:trHeight w:val="165"/>
          <w:jc w:val="center"/>
        </w:trPr>
        <w:tc>
          <w:tcPr>
            <w:tcW w:w="4668" w:type="dxa"/>
            <w:tcBorders>
              <w:left w:val="single" w:sz="8" w:space="0" w:color="auto"/>
              <w:bottom w:val="single" w:sz="4" w:space="0" w:color="auto"/>
              <w:right w:val="single" w:sz="8" w:space="0" w:color="auto"/>
            </w:tcBorders>
            <w:shd w:val="clear" w:color="auto" w:fill="auto"/>
            <w:noWrap/>
            <w:vAlign w:val="bottom"/>
          </w:tcPr>
          <w:p w14:paraId="3798B2AA" w14:textId="77777777" w:rsidR="00935896" w:rsidRPr="00C46285" w:rsidRDefault="00935896" w:rsidP="00935896">
            <w:pPr>
              <w:rPr>
                <w:sz w:val="18"/>
                <w:szCs w:val="18"/>
              </w:rPr>
            </w:pPr>
            <w:r w:rsidRPr="00C46285">
              <w:rPr>
                <w:sz w:val="18"/>
                <w:szCs w:val="18"/>
              </w:rPr>
              <w:t xml:space="preserve">   -Помощи и дарения</w:t>
            </w:r>
          </w:p>
        </w:tc>
        <w:tc>
          <w:tcPr>
            <w:tcW w:w="1538" w:type="dxa"/>
            <w:tcBorders>
              <w:top w:val="nil"/>
              <w:left w:val="nil"/>
              <w:bottom w:val="single" w:sz="4" w:space="0" w:color="auto"/>
              <w:right w:val="nil"/>
            </w:tcBorders>
            <w:shd w:val="clear" w:color="auto" w:fill="auto"/>
            <w:noWrap/>
            <w:vAlign w:val="bottom"/>
          </w:tcPr>
          <w:p w14:paraId="780AE8EA" w14:textId="77777777" w:rsidR="00935896" w:rsidRDefault="00935896" w:rsidP="00935896">
            <w:pPr>
              <w:jc w:val="right"/>
              <w:rPr>
                <w:sz w:val="18"/>
                <w:szCs w:val="18"/>
              </w:rPr>
            </w:pPr>
            <w:r>
              <w:rPr>
                <w:sz w:val="18"/>
                <w:szCs w:val="18"/>
              </w:rPr>
              <w:t>0,3</w:t>
            </w:r>
          </w:p>
        </w:tc>
        <w:tc>
          <w:tcPr>
            <w:tcW w:w="1155" w:type="dxa"/>
            <w:tcBorders>
              <w:top w:val="nil"/>
              <w:left w:val="nil"/>
              <w:bottom w:val="single" w:sz="4" w:space="0" w:color="auto"/>
              <w:right w:val="nil"/>
            </w:tcBorders>
            <w:shd w:val="clear" w:color="auto" w:fill="auto"/>
            <w:noWrap/>
            <w:vAlign w:val="bottom"/>
          </w:tcPr>
          <w:p w14:paraId="55964BF2" w14:textId="77777777" w:rsidR="00935896" w:rsidRDefault="00935896" w:rsidP="00935896">
            <w:pPr>
              <w:jc w:val="right"/>
              <w:rPr>
                <w:sz w:val="18"/>
                <w:szCs w:val="18"/>
              </w:rPr>
            </w:pPr>
            <w:r>
              <w:rPr>
                <w:sz w:val="18"/>
                <w:szCs w:val="18"/>
              </w:rPr>
              <w:t>35,0</w:t>
            </w:r>
          </w:p>
        </w:tc>
        <w:tc>
          <w:tcPr>
            <w:tcW w:w="1701" w:type="dxa"/>
            <w:gridSpan w:val="2"/>
            <w:tcBorders>
              <w:top w:val="nil"/>
              <w:left w:val="nil"/>
              <w:bottom w:val="single" w:sz="4" w:space="0" w:color="auto"/>
              <w:right w:val="single" w:sz="4" w:space="0" w:color="auto"/>
            </w:tcBorders>
            <w:shd w:val="clear" w:color="auto" w:fill="auto"/>
            <w:noWrap/>
            <w:vAlign w:val="bottom"/>
          </w:tcPr>
          <w:p w14:paraId="01EC7555" w14:textId="77777777" w:rsidR="00935896" w:rsidRDefault="00935896" w:rsidP="00935896">
            <w:pPr>
              <w:jc w:val="right"/>
              <w:rPr>
                <w:sz w:val="18"/>
                <w:szCs w:val="18"/>
              </w:rPr>
            </w:pPr>
          </w:p>
        </w:tc>
      </w:tr>
      <w:tr w:rsidR="005D41C8" w:rsidRPr="005F1916" w14:paraId="0AA44802" w14:textId="77777777" w:rsidTr="005D0C16">
        <w:trPr>
          <w:trHeight w:val="199"/>
          <w:jc w:val="center"/>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1A898D" w14:textId="77777777" w:rsidR="005D41C8" w:rsidRPr="00C46285" w:rsidRDefault="005D41C8" w:rsidP="005D41C8">
            <w:pPr>
              <w:rPr>
                <w:b/>
                <w:bCs/>
                <w:sz w:val="18"/>
                <w:szCs w:val="18"/>
              </w:rPr>
            </w:pPr>
            <w:r w:rsidRPr="00C46285">
              <w:rPr>
                <w:b/>
                <w:bCs/>
                <w:sz w:val="18"/>
                <w:szCs w:val="18"/>
              </w:rPr>
              <w:t xml:space="preserve"> Разходи, трансфери и вноска в бюджета на ЕС</w:t>
            </w:r>
          </w:p>
        </w:tc>
        <w:tc>
          <w:tcPr>
            <w:tcW w:w="1538" w:type="dxa"/>
            <w:tcBorders>
              <w:top w:val="single" w:sz="4" w:space="0" w:color="auto"/>
              <w:left w:val="single" w:sz="8" w:space="0" w:color="auto"/>
              <w:bottom w:val="single" w:sz="4" w:space="0" w:color="auto"/>
              <w:right w:val="nil"/>
            </w:tcBorders>
            <w:shd w:val="clear" w:color="auto" w:fill="auto"/>
            <w:noWrap/>
            <w:vAlign w:val="bottom"/>
          </w:tcPr>
          <w:p w14:paraId="411BACE1" w14:textId="77777777" w:rsidR="005D41C8" w:rsidRDefault="005D41C8" w:rsidP="005D41C8">
            <w:pPr>
              <w:jc w:val="right"/>
              <w:rPr>
                <w:b/>
                <w:bCs/>
                <w:sz w:val="18"/>
                <w:szCs w:val="18"/>
              </w:rPr>
            </w:pPr>
            <w:r>
              <w:rPr>
                <w:b/>
                <w:bCs/>
                <w:sz w:val="18"/>
                <w:szCs w:val="18"/>
              </w:rPr>
              <w:t>35 780,7</w:t>
            </w:r>
          </w:p>
        </w:tc>
        <w:tc>
          <w:tcPr>
            <w:tcW w:w="1155" w:type="dxa"/>
            <w:tcBorders>
              <w:top w:val="single" w:sz="4" w:space="0" w:color="auto"/>
              <w:left w:val="nil"/>
              <w:bottom w:val="single" w:sz="4" w:space="0" w:color="auto"/>
              <w:right w:val="nil"/>
            </w:tcBorders>
            <w:shd w:val="clear" w:color="auto" w:fill="auto"/>
            <w:noWrap/>
            <w:vAlign w:val="bottom"/>
          </w:tcPr>
          <w:p w14:paraId="5DC41897" w14:textId="77777777" w:rsidR="005D41C8" w:rsidRDefault="005D41C8" w:rsidP="005D41C8">
            <w:pPr>
              <w:jc w:val="right"/>
              <w:rPr>
                <w:b/>
                <w:bCs/>
                <w:sz w:val="18"/>
                <w:szCs w:val="18"/>
              </w:rPr>
            </w:pPr>
            <w:r>
              <w:rPr>
                <w:b/>
                <w:bCs/>
                <w:sz w:val="18"/>
                <w:szCs w:val="18"/>
              </w:rPr>
              <w:t>14 710,7</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tcPr>
          <w:p w14:paraId="46F0456D" w14:textId="77777777" w:rsidR="005D41C8" w:rsidRDefault="005D41C8" w:rsidP="005D41C8">
            <w:pPr>
              <w:jc w:val="right"/>
              <w:rPr>
                <w:b/>
                <w:bCs/>
                <w:sz w:val="18"/>
                <w:szCs w:val="18"/>
              </w:rPr>
            </w:pPr>
            <w:r>
              <w:rPr>
                <w:b/>
                <w:bCs/>
                <w:sz w:val="18"/>
                <w:szCs w:val="18"/>
              </w:rPr>
              <w:t>41,1%</w:t>
            </w:r>
          </w:p>
        </w:tc>
      </w:tr>
      <w:tr w:rsidR="005D41C8" w:rsidRPr="005F1916" w14:paraId="2336423F" w14:textId="77777777" w:rsidTr="005D0C16">
        <w:trPr>
          <w:trHeight w:val="101"/>
          <w:jc w:val="center"/>
        </w:trPr>
        <w:tc>
          <w:tcPr>
            <w:tcW w:w="4668" w:type="dxa"/>
            <w:tcBorders>
              <w:top w:val="single" w:sz="4" w:space="0" w:color="auto"/>
              <w:left w:val="single" w:sz="4" w:space="0" w:color="auto"/>
              <w:bottom w:val="nil"/>
              <w:right w:val="single" w:sz="4" w:space="0" w:color="auto"/>
            </w:tcBorders>
            <w:shd w:val="clear" w:color="auto" w:fill="auto"/>
            <w:noWrap/>
            <w:vAlign w:val="bottom"/>
          </w:tcPr>
          <w:p w14:paraId="5B6B2D4C" w14:textId="77777777" w:rsidR="005D41C8" w:rsidRPr="00C46285" w:rsidRDefault="005D41C8" w:rsidP="005D41C8">
            <w:pPr>
              <w:rPr>
                <w:sz w:val="18"/>
                <w:szCs w:val="18"/>
              </w:rPr>
            </w:pPr>
            <w:r w:rsidRPr="00C46285">
              <w:rPr>
                <w:sz w:val="18"/>
                <w:szCs w:val="18"/>
              </w:rPr>
              <w:t xml:space="preserve">   -Нелихвени разходи</w:t>
            </w:r>
          </w:p>
        </w:tc>
        <w:tc>
          <w:tcPr>
            <w:tcW w:w="1538" w:type="dxa"/>
            <w:tcBorders>
              <w:top w:val="single" w:sz="4" w:space="0" w:color="auto"/>
              <w:left w:val="nil"/>
              <w:bottom w:val="nil"/>
              <w:right w:val="nil"/>
            </w:tcBorders>
            <w:shd w:val="clear" w:color="auto" w:fill="auto"/>
            <w:noWrap/>
            <w:vAlign w:val="bottom"/>
          </w:tcPr>
          <w:p w14:paraId="39B59BC5" w14:textId="77777777" w:rsidR="005D41C8" w:rsidRDefault="005D41C8" w:rsidP="005D41C8">
            <w:pPr>
              <w:jc w:val="right"/>
              <w:rPr>
                <w:sz w:val="18"/>
                <w:szCs w:val="18"/>
              </w:rPr>
            </w:pPr>
            <w:r>
              <w:rPr>
                <w:sz w:val="18"/>
                <w:szCs w:val="18"/>
              </w:rPr>
              <w:t>16 502,7</w:t>
            </w:r>
          </w:p>
        </w:tc>
        <w:tc>
          <w:tcPr>
            <w:tcW w:w="1155" w:type="dxa"/>
            <w:tcBorders>
              <w:top w:val="single" w:sz="4" w:space="0" w:color="auto"/>
              <w:left w:val="nil"/>
              <w:bottom w:val="nil"/>
              <w:right w:val="nil"/>
            </w:tcBorders>
            <w:shd w:val="clear" w:color="auto" w:fill="auto"/>
            <w:noWrap/>
            <w:vAlign w:val="bottom"/>
          </w:tcPr>
          <w:p w14:paraId="0725A245" w14:textId="77777777" w:rsidR="005D41C8" w:rsidRDefault="005D41C8" w:rsidP="005D41C8">
            <w:pPr>
              <w:jc w:val="right"/>
              <w:rPr>
                <w:sz w:val="18"/>
                <w:szCs w:val="18"/>
              </w:rPr>
            </w:pPr>
            <w:r>
              <w:rPr>
                <w:sz w:val="18"/>
                <w:szCs w:val="18"/>
              </w:rPr>
              <w:t>5 481,9</w:t>
            </w:r>
          </w:p>
        </w:tc>
        <w:tc>
          <w:tcPr>
            <w:tcW w:w="1701" w:type="dxa"/>
            <w:gridSpan w:val="2"/>
            <w:tcBorders>
              <w:top w:val="single" w:sz="4" w:space="0" w:color="auto"/>
              <w:left w:val="nil"/>
              <w:bottom w:val="nil"/>
              <w:right w:val="single" w:sz="4" w:space="0" w:color="auto"/>
            </w:tcBorders>
            <w:shd w:val="clear" w:color="auto" w:fill="auto"/>
            <w:noWrap/>
            <w:vAlign w:val="bottom"/>
          </w:tcPr>
          <w:p w14:paraId="49CEF267" w14:textId="77777777" w:rsidR="005D41C8" w:rsidRDefault="005D41C8" w:rsidP="005D41C8">
            <w:pPr>
              <w:jc w:val="right"/>
              <w:rPr>
                <w:sz w:val="18"/>
                <w:szCs w:val="18"/>
              </w:rPr>
            </w:pPr>
            <w:r>
              <w:rPr>
                <w:sz w:val="18"/>
                <w:szCs w:val="18"/>
              </w:rPr>
              <w:t>33,2%</w:t>
            </w:r>
          </w:p>
        </w:tc>
      </w:tr>
      <w:tr w:rsidR="005D41C8" w:rsidRPr="005F1916" w14:paraId="5B349049" w14:textId="77777777" w:rsidTr="005D0C16">
        <w:trPr>
          <w:trHeight w:val="80"/>
          <w:jc w:val="center"/>
        </w:trPr>
        <w:tc>
          <w:tcPr>
            <w:tcW w:w="4668" w:type="dxa"/>
            <w:tcBorders>
              <w:top w:val="nil"/>
              <w:left w:val="single" w:sz="4" w:space="0" w:color="auto"/>
              <w:bottom w:val="nil"/>
              <w:right w:val="single" w:sz="4" w:space="0" w:color="auto"/>
            </w:tcBorders>
            <w:shd w:val="clear" w:color="auto" w:fill="auto"/>
            <w:noWrap/>
            <w:vAlign w:val="bottom"/>
          </w:tcPr>
          <w:p w14:paraId="739822C8" w14:textId="77777777" w:rsidR="005D41C8" w:rsidRPr="00C46285" w:rsidRDefault="005D41C8" w:rsidP="005D41C8">
            <w:pPr>
              <w:rPr>
                <w:sz w:val="18"/>
                <w:szCs w:val="18"/>
              </w:rPr>
            </w:pPr>
            <w:r w:rsidRPr="00C46285">
              <w:rPr>
                <w:sz w:val="18"/>
                <w:szCs w:val="18"/>
              </w:rPr>
              <w:t xml:space="preserve">      Текущи </w:t>
            </w:r>
          </w:p>
        </w:tc>
        <w:tc>
          <w:tcPr>
            <w:tcW w:w="1538" w:type="dxa"/>
            <w:tcBorders>
              <w:top w:val="nil"/>
              <w:left w:val="nil"/>
              <w:bottom w:val="nil"/>
              <w:right w:val="nil"/>
            </w:tcBorders>
            <w:shd w:val="clear" w:color="auto" w:fill="auto"/>
            <w:noWrap/>
            <w:vAlign w:val="bottom"/>
          </w:tcPr>
          <w:p w14:paraId="2E7B3FD4" w14:textId="77777777" w:rsidR="005D41C8" w:rsidRDefault="005D41C8" w:rsidP="005D41C8">
            <w:pPr>
              <w:jc w:val="right"/>
              <w:rPr>
                <w:sz w:val="18"/>
                <w:szCs w:val="18"/>
              </w:rPr>
            </w:pPr>
            <w:r>
              <w:rPr>
                <w:sz w:val="18"/>
                <w:szCs w:val="18"/>
              </w:rPr>
              <w:t>13 326,8</w:t>
            </w:r>
          </w:p>
        </w:tc>
        <w:tc>
          <w:tcPr>
            <w:tcW w:w="1155" w:type="dxa"/>
            <w:tcBorders>
              <w:top w:val="nil"/>
              <w:left w:val="nil"/>
              <w:bottom w:val="nil"/>
              <w:right w:val="nil"/>
            </w:tcBorders>
            <w:shd w:val="clear" w:color="auto" w:fill="auto"/>
            <w:noWrap/>
            <w:vAlign w:val="bottom"/>
          </w:tcPr>
          <w:p w14:paraId="494C7484" w14:textId="77777777" w:rsidR="005D41C8" w:rsidRDefault="005D41C8" w:rsidP="005D41C8">
            <w:pPr>
              <w:jc w:val="right"/>
              <w:rPr>
                <w:sz w:val="18"/>
                <w:szCs w:val="18"/>
              </w:rPr>
            </w:pPr>
            <w:r>
              <w:rPr>
                <w:sz w:val="18"/>
                <w:szCs w:val="18"/>
              </w:rPr>
              <w:t>5 079,9</w:t>
            </w:r>
          </w:p>
        </w:tc>
        <w:tc>
          <w:tcPr>
            <w:tcW w:w="1701" w:type="dxa"/>
            <w:gridSpan w:val="2"/>
            <w:tcBorders>
              <w:top w:val="nil"/>
              <w:left w:val="nil"/>
              <w:bottom w:val="nil"/>
              <w:right w:val="single" w:sz="4" w:space="0" w:color="auto"/>
            </w:tcBorders>
            <w:shd w:val="clear" w:color="auto" w:fill="auto"/>
            <w:noWrap/>
            <w:vAlign w:val="bottom"/>
          </w:tcPr>
          <w:p w14:paraId="151ED741" w14:textId="77777777" w:rsidR="005D41C8" w:rsidRDefault="005D41C8" w:rsidP="005D41C8">
            <w:pPr>
              <w:jc w:val="right"/>
              <w:rPr>
                <w:sz w:val="18"/>
                <w:szCs w:val="18"/>
              </w:rPr>
            </w:pPr>
            <w:r>
              <w:rPr>
                <w:sz w:val="18"/>
                <w:szCs w:val="18"/>
              </w:rPr>
              <w:t>38,1%</w:t>
            </w:r>
          </w:p>
        </w:tc>
      </w:tr>
      <w:tr w:rsidR="005D41C8" w:rsidRPr="005F1916" w14:paraId="48E32D22" w14:textId="77777777" w:rsidTr="005D0C16">
        <w:trPr>
          <w:trHeight w:val="78"/>
          <w:jc w:val="center"/>
        </w:trPr>
        <w:tc>
          <w:tcPr>
            <w:tcW w:w="4668" w:type="dxa"/>
            <w:tcBorders>
              <w:top w:val="nil"/>
              <w:left w:val="single" w:sz="4" w:space="0" w:color="auto"/>
              <w:bottom w:val="nil"/>
              <w:right w:val="single" w:sz="4" w:space="0" w:color="auto"/>
            </w:tcBorders>
            <w:shd w:val="clear" w:color="auto" w:fill="auto"/>
            <w:noWrap/>
            <w:vAlign w:val="bottom"/>
          </w:tcPr>
          <w:p w14:paraId="0A9018CA" w14:textId="77777777" w:rsidR="005D41C8" w:rsidRPr="00C46285" w:rsidRDefault="005D41C8" w:rsidP="005D41C8">
            <w:pPr>
              <w:rPr>
                <w:sz w:val="18"/>
                <w:szCs w:val="18"/>
              </w:rPr>
            </w:pPr>
            <w:r w:rsidRPr="00C46285">
              <w:rPr>
                <w:sz w:val="18"/>
                <w:szCs w:val="18"/>
              </w:rPr>
              <w:t xml:space="preserve">      Предоставени тек. и капит. трансфери за чужбина</w:t>
            </w:r>
          </w:p>
        </w:tc>
        <w:tc>
          <w:tcPr>
            <w:tcW w:w="1538" w:type="dxa"/>
            <w:tcBorders>
              <w:top w:val="nil"/>
              <w:left w:val="nil"/>
              <w:bottom w:val="nil"/>
              <w:right w:val="nil"/>
            </w:tcBorders>
            <w:shd w:val="clear" w:color="auto" w:fill="auto"/>
            <w:noWrap/>
            <w:vAlign w:val="bottom"/>
          </w:tcPr>
          <w:p w14:paraId="5513AFCF" w14:textId="77777777" w:rsidR="005D41C8" w:rsidRDefault="005D41C8" w:rsidP="005D41C8">
            <w:pPr>
              <w:jc w:val="right"/>
              <w:rPr>
                <w:sz w:val="18"/>
                <w:szCs w:val="18"/>
              </w:rPr>
            </w:pPr>
            <w:r>
              <w:rPr>
                <w:sz w:val="18"/>
                <w:szCs w:val="18"/>
              </w:rPr>
              <w:t>14,2</w:t>
            </w:r>
          </w:p>
        </w:tc>
        <w:tc>
          <w:tcPr>
            <w:tcW w:w="1155" w:type="dxa"/>
            <w:tcBorders>
              <w:top w:val="nil"/>
              <w:left w:val="nil"/>
              <w:bottom w:val="nil"/>
              <w:right w:val="nil"/>
            </w:tcBorders>
            <w:shd w:val="clear" w:color="auto" w:fill="auto"/>
            <w:noWrap/>
            <w:vAlign w:val="bottom"/>
          </w:tcPr>
          <w:p w14:paraId="6F4C7B67" w14:textId="77777777" w:rsidR="005D41C8" w:rsidRDefault="005D41C8" w:rsidP="005D41C8">
            <w:pPr>
              <w:jc w:val="right"/>
              <w:rPr>
                <w:sz w:val="18"/>
                <w:szCs w:val="18"/>
              </w:rPr>
            </w:pPr>
            <w:r>
              <w:rPr>
                <w:sz w:val="18"/>
                <w:szCs w:val="18"/>
              </w:rPr>
              <w:t>1,8</w:t>
            </w:r>
          </w:p>
        </w:tc>
        <w:tc>
          <w:tcPr>
            <w:tcW w:w="1701" w:type="dxa"/>
            <w:gridSpan w:val="2"/>
            <w:tcBorders>
              <w:top w:val="nil"/>
              <w:left w:val="nil"/>
              <w:bottom w:val="nil"/>
              <w:right w:val="single" w:sz="4" w:space="0" w:color="auto"/>
            </w:tcBorders>
            <w:shd w:val="clear" w:color="auto" w:fill="auto"/>
            <w:noWrap/>
            <w:vAlign w:val="bottom"/>
          </w:tcPr>
          <w:p w14:paraId="64270B23" w14:textId="77777777" w:rsidR="005D41C8" w:rsidRDefault="005D41C8" w:rsidP="005D41C8">
            <w:pPr>
              <w:jc w:val="right"/>
              <w:rPr>
                <w:sz w:val="18"/>
                <w:szCs w:val="18"/>
              </w:rPr>
            </w:pPr>
            <w:r>
              <w:rPr>
                <w:sz w:val="18"/>
                <w:szCs w:val="18"/>
              </w:rPr>
              <w:t>12,9%</w:t>
            </w:r>
          </w:p>
        </w:tc>
      </w:tr>
      <w:tr w:rsidR="005D41C8" w:rsidRPr="005F1916" w14:paraId="20745099" w14:textId="77777777" w:rsidTr="005D0C16">
        <w:trPr>
          <w:trHeight w:val="179"/>
          <w:jc w:val="center"/>
        </w:trPr>
        <w:tc>
          <w:tcPr>
            <w:tcW w:w="4668" w:type="dxa"/>
            <w:tcBorders>
              <w:top w:val="nil"/>
              <w:left w:val="single" w:sz="4" w:space="0" w:color="auto"/>
              <w:bottom w:val="nil"/>
              <w:right w:val="single" w:sz="4" w:space="0" w:color="auto"/>
            </w:tcBorders>
            <w:shd w:val="clear" w:color="auto" w:fill="auto"/>
            <w:noWrap/>
            <w:vAlign w:val="bottom"/>
          </w:tcPr>
          <w:p w14:paraId="4E474F03" w14:textId="77777777" w:rsidR="005D41C8" w:rsidRPr="00C46285" w:rsidRDefault="005D41C8" w:rsidP="005D41C8">
            <w:pPr>
              <w:rPr>
                <w:sz w:val="18"/>
                <w:szCs w:val="18"/>
              </w:rPr>
            </w:pPr>
            <w:r w:rsidRPr="00C46285">
              <w:rPr>
                <w:sz w:val="18"/>
                <w:szCs w:val="18"/>
              </w:rPr>
              <w:t xml:space="preserve">      Капиталови</w:t>
            </w:r>
          </w:p>
        </w:tc>
        <w:tc>
          <w:tcPr>
            <w:tcW w:w="1538" w:type="dxa"/>
            <w:tcBorders>
              <w:top w:val="nil"/>
              <w:left w:val="nil"/>
              <w:bottom w:val="nil"/>
              <w:right w:val="nil"/>
            </w:tcBorders>
            <w:shd w:val="clear" w:color="auto" w:fill="auto"/>
            <w:noWrap/>
            <w:vAlign w:val="bottom"/>
          </w:tcPr>
          <w:p w14:paraId="20AF01E1" w14:textId="77777777" w:rsidR="005D41C8" w:rsidRDefault="005D41C8" w:rsidP="005D41C8">
            <w:pPr>
              <w:jc w:val="right"/>
              <w:rPr>
                <w:sz w:val="18"/>
                <w:szCs w:val="18"/>
              </w:rPr>
            </w:pPr>
            <w:r>
              <w:rPr>
                <w:sz w:val="18"/>
                <w:szCs w:val="18"/>
              </w:rPr>
              <w:t>3 161,7</w:t>
            </w:r>
          </w:p>
        </w:tc>
        <w:tc>
          <w:tcPr>
            <w:tcW w:w="1155" w:type="dxa"/>
            <w:tcBorders>
              <w:top w:val="nil"/>
              <w:left w:val="nil"/>
              <w:bottom w:val="nil"/>
              <w:right w:val="nil"/>
            </w:tcBorders>
            <w:shd w:val="clear" w:color="auto" w:fill="auto"/>
            <w:noWrap/>
            <w:vAlign w:val="bottom"/>
          </w:tcPr>
          <w:p w14:paraId="74E7DBC4" w14:textId="77777777" w:rsidR="005D41C8" w:rsidRDefault="005D41C8" w:rsidP="005D41C8">
            <w:pPr>
              <w:jc w:val="right"/>
              <w:rPr>
                <w:sz w:val="18"/>
                <w:szCs w:val="18"/>
              </w:rPr>
            </w:pPr>
            <w:r>
              <w:rPr>
                <w:sz w:val="18"/>
                <w:szCs w:val="18"/>
              </w:rPr>
              <w:t>400,2</w:t>
            </w:r>
          </w:p>
        </w:tc>
        <w:tc>
          <w:tcPr>
            <w:tcW w:w="1701" w:type="dxa"/>
            <w:gridSpan w:val="2"/>
            <w:tcBorders>
              <w:top w:val="nil"/>
              <w:left w:val="nil"/>
              <w:bottom w:val="nil"/>
              <w:right w:val="single" w:sz="4" w:space="0" w:color="auto"/>
            </w:tcBorders>
            <w:shd w:val="clear" w:color="auto" w:fill="auto"/>
            <w:noWrap/>
            <w:vAlign w:val="bottom"/>
          </w:tcPr>
          <w:p w14:paraId="7DE6F5E5" w14:textId="77777777" w:rsidR="005D41C8" w:rsidRDefault="005D41C8" w:rsidP="005D41C8">
            <w:pPr>
              <w:jc w:val="right"/>
              <w:rPr>
                <w:sz w:val="18"/>
                <w:szCs w:val="18"/>
              </w:rPr>
            </w:pPr>
            <w:r>
              <w:rPr>
                <w:sz w:val="18"/>
                <w:szCs w:val="18"/>
              </w:rPr>
              <w:t>12,7%</w:t>
            </w:r>
          </w:p>
        </w:tc>
      </w:tr>
      <w:tr w:rsidR="005D41C8" w:rsidRPr="005F1916" w14:paraId="383EFA20" w14:textId="77777777" w:rsidTr="005D0C16">
        <w:trPr>
          <w:trHeight w:val="80"/>
          <w:jc w:val="center"/>
        </w:trPr>
        <w:tc>
          <w:tcPr>
            <w:tcW w:w="4668" w:type="dxa"/>
            <w:tcBorders>
              <w:top w:val="nil"/>
              <w:left w:val="single" w:sz="4" w:space="0" w:color="auto"/>
              <w:bottom w:val="nil"/>
              <w:right w:val="single" w:sz="4" w:space="0" w:color="auto"/>
            </w:tcBorders>
            <w:shd w:val="clear" w:color="auto" w:fill="auto"/>
            <w:noWrap/>
            <w:vAlign w:val="bottom"/>
          </w:tcPr>
          <w:p w14:paraId="2944C18B" w14:textId="77777777" w:rsidR="005D41C8" w:rsidRPr="00C46285" w:rsidRDefault="005D41C8" w:rsidP="005D41C8">
            <w:pPr>
              <w:rPr>
                <w:sz w:val="18"/>
                <w:szCs w:val="18"/>
              </w:rPr>
            </w:pPr>
            <w:r w:rsidRPr="00C46285">
              <w:rPr>
                <w:sz w:val="18"/>
                <w:szCs w:val="18"/>
              </w:rPr>
              <w:t xml:space="preserve">   -Лихви</w:t>
            </w:r>
          </w:p>
        </w:tc>
        <w:tc>
          <w:tcPr>
            <w:tcW w:w="1538" w:type="dxa"/>
            <w:tcBorders>
              <w:top w:val="nil"/>
              <w:left w:val="nil"/>
              <w:bottom w:val="nil"/>
              <w:right w:val="nil"/>
            </w:tcBorders>
            <w:shd w:val="clear" w:color="auto" w:fill="auto"/>
            <w:noWrap/>
            <w:vAlign w:val="bottom"/>
          </w:tcPr>
          <w:p w14:paraId="4DC1C1AB" w14:textId="77777777" w:rsidR="005D41C8" w:rsidRDefault="005D41C8" w:rsidP="005D41C8">
            <w:pPr>
              <w:jc w:val="right"/>
              <w:rPr>
                <w:sz w:val="18"/>
                <w:szCs w:val="18"/>
              </w:rPr>
            </w:pPr>
            <w:r>
              <w:rPr>
                <w:sz w:val="18"/>
                <w:szCs w:val="18"/>
              </w:rPr>
              <w:t>1 030,7</w:t>
            </w:r>
          </w:p>
        </w:tc>
        <w:tc>
          <w:tcPr>
            <w:tcW w:w="1155" w:type="dxa"/>
            <w:tcBorders>
              <w:top w:val="nil"/>
              <w:left w:val="nil"/>
              <w:bottom w:val="nil"/>
              <w:right w:val="nil"/>
            </w:tcBorders>
            <w:shd w:val="clear" w:color="auto" w:fill="auto"/>
            <w:noWrap/>
            <w:vAlign w:val="bottom"/>
          </w:tcPr>
          <w:p w14:paraId="1D2FA499" w14:textId="77777777" w:rsidR="005D41C8" w:rsidRDefault="005D41C8" w:rsidP="005D41C8">
            <w:pPr>
              <w:jc w:val="right"/>
              <w:rPr>
                <w:sz w:val="18"/>
                <w:szCs w:val="18"/>
              </w:rPr>
            </w:pPr>
            <w:r>
              <w:rPr>
                <w:sz w:val="18"/>
                <w:szCs w:val="18"/>
              </w:rPr>
              <w:t>502,3</w:t>
            </w:r>
          </w:p>
        </w:tc>
        <w:tc>
          <w:tcPr>
            <w:tcW w:w="1701" w:type="dxa"/>
            <w:gridSpan w:val="2"/>
            <w:tcBorders>
              <w:top w:val="nil"/>
              <w:left w:val="nil"/>
              <w:bottom w:val="nil"/>
              <w:right w:val="single" w:sz="4" w:space="0" w:color="auto"/>
            </w:tcBorders>
            <w:shd w:val="clear" w:color="auto" w:fill="auto"/>
            <w:noWrap/>
            <w:vAlign w:val="bottom"/>
          </w:tcPr>
          <w:p w14:paraId="47CA5580" w14:textId="77777777" w:rsidR="005D41C8" w:rsidRDefault="005D41C8" w:rsidP="005D41C8">
            <w:pPr>
              <w:jc w:val="right"/>
              <w:rPr>
                <w:sz w:val="18"/>
                <w:szCs w:val="18"/>
              </w:rPr>
            </w:pPr>
            <w:r>
              <w:rPr>
                <w:sz w:val="18"/>
                <w:szCs w:val="18"/>
              </w:rPr>
              <w:t>48,7%</w:t>
            </w:r>
          </w:p>
        </w:tc>
      </w:tr>
      <w:tr w:rsidR="005D41C8" w:rsidRPr="005F1916" w14:paraId="2C926998" w14:textId="77777777" w:rsidTr="005D0C16">
        <w:trPr>
          <w:trHeight w:val="80"/>
          <w:jc w:val="center"/>
        </w:trPr>
        <w:tc>
          <w:tcPr>
            <w:tcW w:w="4668" w:type="dxa"/>
            <w:tcBorders>
              <w:top w:val="nil"/>
              <w:left w:val="single" w:sz="4" w:space="0" w:color="auto"/>
              <w:bottom w:val="nil"/>
              <w:right w:val="single" w:sz="4" w:space="0" w:color="auto"/>
            </w:tcBorders>
            <w:shd w:val="clear" w:color="auto" w:fill="auto"/>
            <w:noWrap/>
            <w:vAlign w:val="bottom"/>
          </w:tcPr>
          <w:p w14:paraId="630E634E" w14:textId="77777777" w:rsidR="005D41C8" w:rsidRPr="00C46285" w:rsidRDefault="005D41C8" w:rsidP="005D41C8">
            <w:pPr>
              <w:rPr>
                <w:sz w:val="18"/>
                <w:szCs w:val="18"/>
              </w:rPr>
            </w:pPr>
            <w:r w:rsidRPr="00C46285">
              <w:rPr>
                <w:sz w:val="18"/>
                <w:szCs w:val="18"/>
              </w:rPr>
              <w:t xml:space="preserve">      По външни заеми</w:t>
            </w:r>
          </w:p>
        </w:tc>
        <w:tc>
          <w:tcPr>
            <w:tcW w:w="1538" w:type="dxa"/>
            <w:tcBorders>
              <w:top w:val="nil"/>
              <w:left w:val="nil"/>
              <w:bottom w:val="nil"/>
              <w:right w:val="nil"/>
            </w:tcBorders>
            <w:shd w:val="clear" w:color="auto" w:fill="auto"/>
            <w:noWrap/>
            <w:vAlign w:val="bottom"/>
          </w:tcPr>
          <w:p w14:paraId="3A04A4B1" w14:textId="77777777" w:rsidR="005D41C8" w:rsidRDefault="005D41C8" w:rsidP="005D41C8">
            <w:pPr>
              <w:jc w:val="right"/>
              <w:rPr>
                <w:sz w:val="18"/>
                <w:szCs w:val="18"/>
              </w:rPr>
            </w:pPr>
            <w:r>
              <w:rPr>
                <w:sz w:val="18"/>
                <w:szCs w:val="18"/>
              </w:rPr>
              <w:t>880,8</w:t>
            </w:r>
          </w:p>
        </w:tc>
        <w:tc>
          <w:tcPr>
            <w:tcW w:w="1155" w:type="dxa"/>
            <w:tcBorders>
              <w:top w:val="nil"/>
              <w:left w:val="nil"/>
              <w:bottom w:val="nil"/>
              <w:right w:val="nil"/>
            </w:tcBorders>
            <w:shd w:val="clear" w:color="auto" w:fill="auto"/>
            <w:noWrap/>
            <w:vAlign w:val="bottom"/>
          </w:tcPr>
          <w:p w14:paraId="5F2EEFB8" w14:textId="77777777" w:rsidR="005D41C8" w:rsidRDefault="005D41C8" w:rsidP="005D41C8">
            <w:pPr>
              <w:jc w:val="right"/>
              <w:rPr>
                <w:sz w:val="18"/>
                <w:szCs w:val="18"/>
              </w:rPr>
            </w:pPr>
            <w:r>
              <w:rPr>
                <w:sz w:val="18"/>
                <w:szCs w:val="18"/>
              </w:rPr>
              <w:t>451,9</w:t>
            </w:r>
          </w:p>
        </w:tc>
        <w:tc>
          <w:tcPr>
            <w:tcW w:w="1701" w:type="dxa"/>
            <w:gridSpan w:val="2"/>
            <w:tcBorders>
              <w:top w:val="nil"/>
              <w:left w:val="nil"/>
              <w:bottom w:val="nil"/>
              <w:right w:val="single" w:sz="4" w:space="0" w:color="auto"/>
            </w:tcBorders>
            <w:shd w:val="clear" w:color="auto" w:fill="auto"/>
            <w:noWrap/>
            <w:vAlign w:val="bottom"/>
          </w:tcPr>
          <w:p w14:paraId="26AF4262" w14:textId="77777777" w:rsidR="005D41C8" w:rsidRDefault="005D41C8" w:rsidP="005D41C8">
            <w:pPr>
              <w:jc w:val="right"/>
              <w:rPr>
                <w:sz w:val="18"/>
                <w:szCs w:val="18"/>
              </w:rPr>
            </w:pPr>
            <w:r>
              <w:rPr>
                <w:sz w:val="18"/>
                <w:szCs w:val="18"/>
              </w:rPr>
              <w:t>51,3%</w:t>
            </w:r>
          </w:p>
        </w:tc>
      </w:tr>
      <w:tr w:rsidR="005D41C8" w:rsidRPr="005F1916" w14:paraId="2F8475E6" w14:textId="77777777" w:rsidTr="005D0C16">
        <w:trPr>
          <w:trHeight w:val="60"/>
          <w:jc w:val="center"/>
        </w:trPr>
        <w:tc>
          <w:tcPr>
            <w:tcW w:w="4668" w:type="dxa"/>
            <w:tcBorders>
              <w:top w:val="nil"/>
              <w:left w:val="single" w:sz="4" w:space="0" w:color="auto"/>
              <w:bottom w:val="nil"/>
              <w:right w:val="single" w:sz="4" w:space="0" w:color="auto"/>
            </w:tcBorders>
            <w:shd w:val="clear" w:color="auto" w:fill="auto"/>
            <w:noWrap/>
            <w:vAlign w:val="bottom"/>
          </w:tcPr>
          <w:p w14:paraId="07E9A458" w14:textId="77777777" w:rsidR="005D41C8" w:rsidRPr="00C46285" w:rsidRDefault="005D41C8" w:rsidP="005D41C8">
            <w:pPr>
              <w:rPr>
                <w:sz w:val="18"/>
                <w:szCs w:val="18"/>
              </w:rPr>
            </w:pPr>
            <w:r w:rsidRPr="00C46285">
              <w:rPr>
                <w:sz w:val="18"/>
                <w:szCs w:val="18"/>
              </w:rPr>
              <w:t xml:space="preserve">      По вътрешни заеми</w:t>
            </w:r>
          </w:p>
        </w:tc>
        <w:tc>
          <w:tcPr>
            <w:tcW w:w="1538" w:type="dxa"/>
            <w:tcBorders>
              <w:top w:val="nil"/>
              <w:left w:val="nil"/>
              <w:bottom w:val="nil"/>
              <w:right w:val="nil"/>
            </w:tcBorders>
            <w:shd w:val="clear" w:color="auto" w:fill="auto"/>
            <w:noWrap/>
            <w:vAlign w:val="bottom"/>
          </w:tcPr>
          <w:p w14:paraId="29527952" w14:textId="77777777" w:rsidR="005D41C8" w:rsidRDefault="005D41C8" w:rsidP="005D41C8">
            <w:pPr>
              <w:jc w:val="right"/>
              <w:rPr>
                <w:sz w:val="18"/>
                <w:szCs w:val="18"/>
              </w:rPr>
            </w:pPr>
            <w:r>
              <w:rPr>
                <w:sz w:val="18"/>
                <w:szCs w:val="18"/>
              </w:rPr>
              <w:t>149,9</w:t>
            </w:r>
          </w:p>
        </w:tc>
        <w:tc>
          <w:tcPr>
            <w:tcW w:w="1155" w:type="dxa"/>
            <w:tcBorders>
              <w:top w:val="nil"/>
              <w:left w:val="nil"/>
              <w:bottom w:val="nil"/>
              <w:right w:val="nil"/>
            </w:tcBorders>
            <w:shd w:val="clear" w:color="auto" w:fill="auto"/>
            <w:noWrap/>
            <w:vAlign w:val="bottom"/>
          </w:tcPr>
          <w:p w14:paraId="5C04FEDA" w14:textId="77777777" w:rsidR="005D41C8" w:rsidRDefault="005D41C8" w:rsidP="005D41C8">
            <w:pPr>
              <w:jc w:val="right"/>
              <w:rPr>
                <w:sz w:val="18"/>
                <w:szCs w:val="18"/>
              </w:rPr>
            </w:pPr>
            <w:r>
              <w:rPr>
                <w:sz w:val="18"/>
                <w:szCs w:val="18"/>
              </w:rPr>
              <w:t>50,4</w:t>
            </w:r>
          </w:p>
        </w:tc>
        <w:tc>
          <w:tcPr>
            <w:tcW w:w="1701" w:type="dxa"/>
            <w:gridSpan w:val="2"/>
            <w:tcBorders>
              <w:top w:val="nil"/>
              <w:left w:val="nil"/>
              <w:bottom w:val="nil"/>
              <w:right w:val="single" w:sz="4" w:space="0" w:color="auto"/>
            </w:tcBorders>
            <w:shd w:val="clear" w:color="auto" w:fill="auto"/>
            <w:noWrap/>
            <w:vAlign w:val="bottom"/>
          </w:tcPr>
          <w:p w14:paraId="46B1D6A6" w14:textId="77777777" w:rsidR="005D41C8" w:rsidRDefault="005D41C8" w:rsidP="005D41C8">
            <w:pPr>
              <w:jc w:val="right"/>
              <w:rPr>
                <w:sz w:val="18"/>
                <w:szCs w:val="18"/>
              </w:rPr>
            </w:pPr>
            <w:r>
              <w:rPr>
                <w:sz w:val="18"/>
                <w:szCs w:val="18"/>
              </w:rPr>
              <w:t>33,6%</w:t>
            </w:r>
          </w:p>
        </w:tc>
      </w:tr>
      <w:tr w:rsidR="005D41C8" w:rsidRPr="005F1916" w14:paraId="35648411" w14:textId="77777777" w:rsidTr="005D0C16">
        <w:trPr>
          <w:trHeight w:val="85"/>
          <w:jc w:val="center"/>
        </w:trPr>
        <w:tc>
          <w:tcPr>
            <w:tcW w:w="4668" w:type="dxa"/>
            <w:tcBorders>
              <w:top w:val="nil"/>
              <w:left w:val="single" w:sz="4" w:space="0" w:color="auto"/>
              <w:bottom w:val="nil"/>
              <w:right w:val="single" w:sz="4" w:space="0" w:color="auto"/>
            </w:tcBorders>
            <w:shd w:val="clear" w:color="auto" w:fill="auto"/>
            <w:noWrap/>
            <w:vAlign w:val="bottom"/>
          </w:tcPr>
          <w:p w14:paraId="07ABB8FF" w14:textId="77777777" w:rsidR="005D41C8" w:rsidRPr="00C46285" w:rsidRDefault="005D41C8" w:rsidP="005D41C8">
            <w:pPr>
              <w:rPr>
                <w:sz w:val="18"/>
                <w:szCs w:val="18"/>
              </w:rPr>
            </w:pPr>
            <w:r w:rsidRPr="00C46285">
              <w:rPr>
                <w:sz w:val="18"/>
                <w:szCs w:val="18"/>
              </w:rPr>
              <w:t xml:space="preserve"> - Резерв за непредвидени и неотложни разходи</w:t>
            </w:r>
            <w:r w:rsidRPr="00C46285">
              <w:rPr>
                <w:rStyle w:val="FootnoteReference"/>
                <w:sz w:val="18"/>
                <w:szCs w:val="18"/>
              </w:rPr>
              <w:footnoteReference w:id="9"/>
            </w:r>
            <w:r w:rsidRPr="00C46285">
              <w:rPr>
                <w:sz w:val="18"/>
                <w:szCs w:val="18"/>
              </w:rPr>
              <w:tab/>
            </w:r>
          </w:p>
        </w:tc>
        <w:tc>
          <w:tcPr>
            <w:tcW w:w="1538" w:type="dxa"/>
            <w:tcBorders>
              <w:top w:val="nil"/>
              <w:left w:val="nil"/>
              <w:bottom w:val="nil"/>
              <w:right w:val="nil"/>
            </w:tcBorders>
            <w:shd w:val="clear" w:color="auto" w:fill="auto"/>
            <w:noWrap/>
            <w:vAlign w:val="bottom"/>
          </w:tcPr>
          <w:p w14:paraId="61E4CA34" w14:textId="77777777" w:rsidR="005D41C8" w:rsidRDefault="005D41C8" w:rsidP="005D41C8">
            <w:pPr>
              <w:jc w:val="right"/>
              <w:rPr>
                <w:sz w:val="18"/>
                <w:szCs w:val="18"/>
              </w:rPr>
            </w:pPr>
            <w:r>
              <w:rPr>
                <w:sz w:val="18"/>
                <w:szCs w:val="18"/>
              </w:rPr>
              <w:t>67,2</w:t>
            </w:r>
          </w:p>
        </w:tc>
        <w:tc>
          <w:tcPr>
            <w:tcW w:w="1155" w:type="dxa"/>
            <w:tcBorders>
              <w:top w:val="nil"/>
              <w:left w:val="nil"/>
              <w:bottom w:val="nil"/>
              <w:right w:val="nil"/>
            </w:tcBorders>
            <w:shd w:val="clear" w:color="auto" w:fill="auto"/>
            <w:noWrap/>
            <w:vAlign w:val="bottom"/>
          </w:tcPr>
          <w:p w14:paraId="212E163E" w14:textId="77777777" w:rsidR="005D41C8" w:rsidRDefault="005D41C8" w:rsidP="005D41C8">
            <w:pPr>
              <w:rPr>
                <w:sz w:val="20"/>
                <w:szCs w:val="20"/>
              </w:rPr>
            </w:pPr>
          </w:p>
        </w:tc>
        <w:tc>
          <w:tcPr>
            <w:tcW w:w="1701" w:type="dxa"/>
            <w:gridSpan w:val="2"/>
            <w:tcBorders>
              <w:top w:val="nil"/>
              <w:left w:val="nil"/>
              <w:bottom w:val="nil"/>
              <w:right w:val="single" w:sz="4" w:space="0" w:color="auto"/>
            </w:tcBorders>
            <w:shd w:val="clear" w:color="auto" w:fill="auto"/>
            <w:noWrap/>
            <w:vAlign w:val="bottom"/>
          </w:tcPr>
          <w:p w14:paraId="00180AD7" w14:textId="77777777" w:rsidR="005D41C8" w:rsidRDefault="005D41C8" w:rsidP="005D41C8">
            <w:pPr>
              <w:jc w:val="right"/>
              <w:rPr>
                <w:sz w:val="18"/>
                <w:szCs w:val="18"/>
              </w:rPr>
            </w:pPr>
          </w:p>
        </w:tc>
      </w:tr>
      <w:tr w:rsidR="005D41C8" w:rsidRPr="005F1916" w14:paraId="213847E2" w14:textId="77777777" w:rsidTr="005D0C16">
        <w:trPr>
          <w:trHeight w:val="85"/>
          <w:jc w:val="center"/>
        </w:trPr>
        <w:tc>
          <w:tcPr>
            <w:tcW w:w="4668" w:type="dxa"/>
            <w:tcBorders>
              <w:top w:val="nil"/>
              <w:left w:val="single" w:sz="4" w:space="0" w:color="auto"/>
              <w:bottom w:val="nil"/>
              <w:right w:val="single" w:sz="4" w:space="0" w:color="auto"/>
            </w:tcBorders>
            <w:shd w:val="clear" w:color="auto" w:fill="auto"/>
            <w:noWrap/>
            <w:vAlign w:val="bottom"/>
          </w:tcPr>
          <w:p w14:paraId="6C2B4F39" w14:textId="77777777" w:rsidR="005D41C8" w:rsidRPr="00C46285" w:rsidRDefault="005D41C8" w:rsidP="005D41C8">
            <w:pPr>
              <w:rPr>
                <w:sz w:val="18"/>
                <w:szCs w:val="18"/>
              </w:rPr>
            </w:pPr>
            <w:r w:rsidRPr="00C46285">
              <w:rPr>
                <w:sz w:val="18"/>
                <w:szCs w:val="18"/>
              </w:rPr>
              <w:t xml:space="preserve"> - Трансфери за  др. бюджети – нето</w:t>
            </w:r>
          </w:p>
        </w:tc>
        <w:tc>
          <w:tcPr>
            <w:tcW w:w="1538" w:type="dxa"/>
            <w:tcBorders>
              <w:top w:val="nil"/>
              <w:left w:val="nil"/>
              <w:bottom w:val="nil"/>
              <w:right w:val="nil"/>
            </w:tcBorders>
            <w:shd w:val="clear" w:color="auto" w:fill="auto"/>
            <w:noWrap/>
            <w:vAlign w:val="bottom"/>
          </w:tcPr>
          <w:p w14:paraId="548B3D62" w14:textId="77777777" w:rsidR="005D41C8" w:rsidRDefault="005D41C8" w:rsidP="005D41C8">
            <w:pPr>
              <w:jc w:val="right"/>
              <w:rPr>
                <w:sz w:val="18"/>
                <w:szCs w:val="18"/>
              </w:rPr>
            </w:pPr>
            <w:r>
              <w:rPr>
                <w:sz w:val="18"/>
                <w:szCs w:val="18"/>
              </w:rPr>
              <w:t>16 897,9</w:t>
            </w:r>
          </w:p>
        </w:tc>
        <w:tc>
          <w:tcPr>
            <w:tcW w:w="1155" w:type="dxa"/>
            <w:tcBorders>
              <w:top w:val="nil"/>
              <w:left w:val="nil"/>
              <w:bottom w:val="nil"/>
              <w:right w:val="nil"/>
            </w:tcBorders>
            <w:shd w:val="clear" w:color="auto" w:fill="auto"/>
            <w:noWrap/>
            <w:vAlign w:val="bottom"/>
          </w:tcPr>
          <w:p w14:paraId="7CBEC638" w14:textId="77777777" w:rsidR="005D41C8" w:rsidRDefault="005D41C8" w:rsidP="005D41C8">
            <w:pPr>
              <w:jc w:val="right"/>
              <w:rPr>
                <w:sz w:val="18"/>
                <w:szCs w:val="18"/>
              </w:rPr>
            </w:pPr>
            <w:r>
              <w:rPr>
                <w:sz w:val="18"/>
                <w:szCs w:val="18"/>
              </w:rPr>
              <w:t>8 166,2</w:t>
            </w:r>
          </w:p>
        </w:tc>
        <w:tc>
          <w:tcPr>
            <w:tcW w:w="1701" w:type="dxa"/>
            <w:gridSpan w:val="2"/>
            <w:tcBorders>
              <w:top w:val="nil"/>
              <w:left w:val="nil"/>
              <w:bottom w:val="nil"/>
              <w:right w:val="single" w:sz="4" w:space="0" w:color="auto"/>
            </w:tcBorders>
            <w:shd w:val="clear" w:color="auto" w:fill="auto"/>
            <w:noWrap/>
            <w:vAlign w:val="bottom"/>
          </w:tcPr>
          <w:p w14:paraId="3DC74895" w14:textId="77777777" w:rsidR="005D41C8" w:rsidRDefault="005D41C8" w:rsidP="005D41C8">
            <w:pPr>
              <w:jc w:val="right"/>
              <w:rPr>
                <w:sz w:val="18"/>
                <w:szCs w:val="18"/>
              </w:rPr>
            </w:pPr>
            <w:r>
              <w:rPr>
                <w:sz w:val="18"/>
                <w:szCs w:val="18"/>
              </w:rPr>
              <w:t>48,3%</w:t>
            </w:r>
          </w:p>
        </w:tc>
      </w:tr>
      <w:tr w:rsidR="005D41C8" w:rsidRPr="005F1916" w14:paraId="391CA031" w14:textId="77777777" w:rsidTr="005D0C16">
        <w:trPr>
          <w:trHeight w:val="80"/>
          <w:jc w:val="center"/>
        </w:trPr>
        <w:tc>
          <w:tcPr>
            <w:tcW w:w="4668" w:type="dxa"/>
            <w:tcBorders>
              <w:top w:val="nil"/>
              <w:left w:val="single" w:sz="4" w:space="0" w:color="auto"/>
              <w:bottom w:val="single" w:sz="4" w:space="0" w:color="auto"/>
              <w:right w:val="single" w:sz="4" w:space="0" w:color="auto"/>
            </w:tcBorders>
            <w:shd w:val="clear" w:color="auto" w:fill="auto"/>
            <w:noWrap/>
            <w:vAlign w:val="bottom"/>
          </w:tcPr>
          <w:p w14:paraId="072A7515" w14:textId="77777777" w:rsidR="005D41C8" w:rsidRPr="00C46285" w:rsidRDefault="005D41C8" w:rsidP="005D41C8">
            <w:pPr>
              <w:rPr>
                <w:bCs/>
                <w:sz w:val="18"/>
                <w:szCs w:val="18"/>
              </w:rPr>
            </w:pPr>
            <w:r w:rsidRPr="00C46285">
              <w:rPr>
                <w:bCs/>
                <w:sz w:val="18"/>
                <w:szCs w:val="18"/>
              </w:rPr>
              <w:t xml:space="preserve"> - Вноска в бюджета на ЕС</w:t>
            </w:r>
          </w:p>
        </w:tc>
        <w:tc>
          <w:tcPr>
            <w:tcW w:w="1538" w:type="dxa"/>
            <w:tcBorders>
              <w:top w:val="nil"/>
              <w:left w:val="single" w:sz="8" w:space="0" w:color="auto"/>
              <w:bottom w:val="single" w:sz="4" w:space="0" w:color="auto"/>
              <w:right w:val="nil"/>
            </w:tcBorders>
            <w:shd w:val="clear" w:color="auto" w:fill="auto"/>
            <w:noWrap/>
            <w:vAlign w:val="bottom"/>
          </w:tcPr>
          <w:p w14:paraId="02DA6127" w14:textId="77777777" w:rsidR="005D41C8" w:rsidRDefault="005D41C8" w:rsidP="005D41C8">
            <w:pPr>
              <w:jc w:val="right"/>
              <w:rPr>
                <w:sz w:val="18"/>
                <w:szCs w:val="18"/>
              </w:rPr>
            </w:pPr>
            <w:r>
              <w:rPr>
                <w:sz w:val="18"/>
                <w:szCs w:val="18"/>
              </w:rPr>
              <w:t>1 282,2</w:t>
            </w:r>
          </w:p>
        </w:tc>
        <w:tc>
          <w:tcPr>
            <w:tcW w:w="1155" w:type="dxa"/>
            <w:tcBorders>
              <w:top w:val="nil"/>
              <w:left w:val="nil"/>
              <w:bottom w:val="single" w:sz="4" w:space="0" w:color="auto"/>
              <w:right w:val="nil"/>
            </w:tcBorders>
            <w:shd w:val="clear" w:color="auto" w:fill="auto"/>
            <w:noWrap/>
            <w:vAlign w:val="bottom"/>
          </w:tcPr>
          <w:p w14:paraId="0ECDC354" w14:textId="77777777" w:rsidR="005D41C8" w:rsidRDefault="005D41C8" w:rsidP="005D41C8">
            <w:pPr>
              <w:jc w:val="right"/>
              <w:rPr>
                <w:sz w:val="18"/>
                <w:szCs w:val="18"/>
              </w:rPr>
            </w:pPr>
            <w:r>
              <w:rPr>
                <w:sz w:val="18"/>
                <w:szCs w:val="18"/>
              </w:rPr>
              <w:t>560,3</w:t>
            </w:r>
          </w:p>
        </w:tc>
        <w:tc>
          <w:tcPr>
            <w:tcW w:w="1701" w:type="dxa"/>
            <w:gridSpan w:val="2"/>
            <w:tcBorders>
              <w:top w:val="nil"/>
              <w:left w:val="nil"/>
              <w:bottom w:val="single" w:sz="4" w:space="0" w:color="auto"/>
              <w:right w:val="single" w:sz="4" w:space="0" w:color="auto"/>
            </w:tcBorders>
            <w:shd w:val="clear" w:color="auto" w:fill="auto"/>
            <w:noWrap/>
            <w:vAlign w:val="bottom"/>
          </w:tcPr>
          <w:p w14:paraId="06CB1CCD" w14:textId="77777777" w:rsidR="005D41C8" w:rsidRDefault="005D41C8" w:rsidP="005D41C8">
            <w:pPr>
              <w:jc w:val="right"/>
              <w:rPr>
                <w:sz w:val="18"/>
                <w:szCs w:val="18"/>
              </w:rPr>
            </w:pPr>
            <w:r>
              <w:rPr>
                <w:sz w:val="18"/>
                <w:szCs w:val="18"/>
              </w:rPr>
              <w:t>43,7%</w:t>
            </w:r>
          </w:p>
        </w:tc>
      </w:tr>
      <w:tr w:rsidR="005D41C8" w:rsidRPr="005F1916" w14:paraId="5285D4AD" w14:textId="77777777" w:rsidTr="005D0C16">
        <w:trPr>
          <w:trHeight w:val="50"/>
          <w:jc w:val="center"/>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A48BA" w14:textId="77777777" w:rsidR="005D41C8" w:rsidRPr="00C46285" w:rsidRDefault="005D41C8" w:rsidP="005D41C8">
            <w:pPr>
              <w:rPr>
                <w:b/>
                <w:bCs/>
                <w:sz w:val="18"/>
                <w:szCs w:val="18"/>
              </w:rPr>
            </w:pPr>
            <w:r w:rsidRPr="00C46285">
              <w:rPr>
                <w:b/>
                <w:bCs/>
                <w:sz w:val="18"/>
                <w:szCs w:val="18"/>
              </w:rPr>
              <w:t>Бюджетен баланс</w:t>
            </w:r>
          </w:p>
        </w:tc>
        <w:tc>
          <w:tcPr>
            <w:tcW w:w="1538" w:type="dxa"/>
            <w:tcBorders>
              <w:top w:val="nil"/>
              <w:left w:val="single" w:sz="8" w:space="0" w:color="auto"/>
              <w:bottom w:val="single" w:sz="8" w:space="0" w:color="auto"/>
              <w:right w:val="nil"/>
            </w:tcBorders>
            <w:shd w:val="clear" w:color="auto" w:fill="auto"/>
            <w:noWrap/>
            <w:vAlign w:val="bottom"/>
          </w:tcPr>
          <w:p w14:paraId="4904C1A4" w14:textId="77777777" w:rsidR="005D41C8" w:rsidRDefault="005D41C8" w:rsidP="005D41C8">
            <w:pPr>
              <w:jc w:val="right"/>
              <w:rPr>
                <w:b/>
                <w:bCs/>
                <w:sz w:val="18"/>
                <w:szCs w:val="18"/>
              </w:rPr>
            </w:pPr>
            <w:r>
              <w:rPr>
                <w:b/>
                <w:bCs/>
                <w:sz w:val="18"/>
                <w:szCs w:val="18"/>
              </w:rPr>
              <w:t>-7 319,8</w:t>
            </w:r>
          </w:p>
        </w:tc>
        <w:tc>
          <w:tcPr>
            <w:tcW w:w="1155" w:type="dxa"/>
            <w:tcBorders>
              <w:top w:val="nil"/>
              <w:left w:val="nil"/>
              <w:bottom w:val="single" w:sz="8" w:space="0" w:color="auto"/>
              <w:right w:val="nil"/>
            </w:tcBorders>
            <w:shd w:val="clear" w:color="auto" w:fill="auto"/>
            <w:noWrap/>
            <w:vAlign w:val="bottom"/>
          </w:tcPr>
          <w:p w14:paraId="568581A6" w14:textId="77777777" w:rsidR="005D41C8" w:rsidRDefault="005D41C8" w:rsidP="005D41C8">
            <w:pPr>
              <w:jc w:val="right"/>
              <w:rPr>
                <w:b/>
                <w:bCs/>
                <w:sz w:val="18"/>
                <w:szCs w:val="18"/>
              </w:rPr>
            </w:pPr>
            <w:r>
              <w:rPr>
                <w:b/>
                <w:bCs/>
                <w:sz w:val="18"/>
                <w:szCs w:val="18"/>
              </w:rPr>
              <w:t>-1 914,4</w:t>
            </w:r>
          </w:p>
        </w:tc>
        <w:tc>
          <w:tcPr>
            <w:tcW w:w="1701" w:type="dxa"/>
            <w:gridSpan w:val="2"/>
            <w:tcBorders>
              <w:top w:val="nil"/>
              <w:left w:val="nil"/>
              <w:bottom w:val="single" w:sz="8" w:space="0" w:color="auto"/>
              <w:right w:val="single" w:sz="4" w:space="0" w:color="auto"/>
            </w:tcBorders>
            <w:shd w:val="clear" w:color="auto" w:fill="auto"/>
            <w:noWrap/>
            <w:vAlign w:val="bottom"/>
          </w:tcPr>
          <w:p w14:paraId="5ACBABAC" w14:textId="77777777" w:rsidR="005D41C8" w:rsidRDefault="005D41C8" w:rsidP="005D41C8">
            <w:pPr>
              <w:jc w:val="right"/>
              <w:rPr>
                <w:b/>
                <w:bCs/>
                <w:sz w:val="18"/>
                <w:szCs w:val="18"/>
              </w:rPr>
            </w:pPr>
          </w:p>
        </w:tc>
      </w:tr>
    </w:tbl>
    <w:p w14:paraId="733CDFF7" w14:textId="77777777" w:rsidR="00044565" w:rsidRPr="005F1916" w:rsidRDefault="00044565" w:rsidP="00044565">
      <w:pPr>
        <w:ind w:right="-242"/>
        <w:rPr>
          <w:bCs/>
          <w:color w:val="0070C0"/>
          <w:sz w:val="6"/>
          <w:szCs w:val="6"/>
        </w:rPr>
      </w:pPr>
    </w:p>
    <w:p w14:paraId="0168EEE3" w14:textId="77777777" w:rsidR="00044565" w:rsidRPr="005F1916" w:rsidRDefault="00044565" w:rsidP="00044565">
      <w:pPr>
        <w:pStyle w:val="BodyTextIndent"/>
        <w:ind w:left="0"/>
        <w:jc w:val="both"/>
        <w:rPr>
          <w:b/>
          <w:color w:val="0070C0"/>
          <w:sz w:val="12"/>
        </w:rPr>
      </w:pPr>
    </w:p>
    <w:p w14:paraId="31A11A29" w14:textId="77777777" w:rsidR="00044565" w:rsidRPr="00442890" w:rsidRDefault="00044565" w:rsidP="00044565">
      <w:pPr>
        <w:pStyle w:val="BodyTextIndent"/>
        <w:numPr>
          <w:ilvl w:val="0"/>
          <w:numId w:val="2"/>
        </w:numPr>
        <w:jc w:val="both"/>
        <w:rPr>
          <w:b/>
        </w:rPr>
      </w:pPr>
      <w:r w:rsidRPr="00442890">
        <w:rPr>
          <w:b/>
          <w:bCs/>
        </w:rPr>
        <w:t xml:space="preserve">Приходи по държавния бюджет </w:t>
      </w:r>
    </w:p>
    <w:p w14:paraId="0C756A5F" w14:textId="77777777" w:rsidR="00044565" w:rsidRPr="005F1916" w:rsidRDefault="00044565" w:rsidP="00044565">
      <w:pPr>
        <w:spacing w:before="120"/>
        <w:jc w:val="both"/>
        <w:rPr>
          <w:bCs/>
          <w:color w:val="0070C0"/>
        </w:rPr>
      </w:pPr>
      <w:r w:rsidRPr="00442890">
        <w:rPr>
          <w:bCs/>
        </w:rPr>
        <w:t>Общият размер на</w:t>
      </w:r>
      <w:r w:rsidRPr="00442890">
        <w:rPr>
          <w:b/>
          <w:bCs/>
        </w:rPr>
        <w:t xml:space="preserve"> приходите, помощите и даренията по държавния бюджет</w:t>
      </w:r>
      <w:r w:rsidRPr="00442890">
        <w:rPr>
          <w:bCs/>
        </w:rPr>
        <w:t xml:space="preserve"> към юни 2026 г. </w:t>
      </w:r>
      <w:r w:rsidRPr="005A17D9">
        <w:rPr>
          <w:bCs/>
        </w:rPr>
        <w:t>е</w:t>
      </w:r>
      <w:r w:rsidRPr="005A17D9">
        <w:rPr>
          <w:b/>
          <w:bCs/>
        </w:rPr>
        <w:t xml:space="preserve"> </w:t>
      </w:r>
      <w:r w:rsidRPr="005A17D9">
        <w:rPr>
          <w:b/>
          <w:bCs/>
          <w:lang w:val="ru-RU"/>
        </w:rPr>
        <w:t xml:space="preserve">12 796,3 </w:t>
      </w:r>
      <w:r w:rsidRPr="005A17D9">
        <w:rPr>
          <w:b/>
          <w:bCs/>
        </w:rPr>
        <w:t>млн. евро</w:t>
      </w:r>
      <w:r w:rsidRPr="005A17D9">
        <w:rPr>
          <w:bCs/>
        </w:rPr>
        <w:t xml:space="preserve">, което представлява </w:t>
      </w:r>
      <w:r w:rsidR="005B3584" w:rsidRPr="005B3584">
        <w:rPr>
          <w:bCs/>
        </w:rPr>
        <w:t>45,0</w:t>
      </w:r>
      <w:r w:rsidR="005B3584" w:rsidRPr="005B3584">
        <w:rPr>
          <w:bCs/>
          <w:lang w:val="en-US"/>
        </w:rPr>
        <w:t xml:space="preserve"> </w:t>
      </w:r>
      <w:r w:rsidR="005B3584" w:rsidRPr="005B3584">
        <w:rPr>
          <w:bCs/>
        </w:rPr>
        <w:t>%</w:t>
      </w:r>
      <w:r w:rsidR="000140E4" w:rsidRPr="005B3584">
        <w:rPr>
          <w:bCs/>
        </w:rPr>
        <w:t xml:space="preserve"> изпълнение на разчетите по ЗДБРБ за 2026 г.</w:t>
      </w:r>
      <w:r w:rsidR="000140E4" w:rsidRPr="00AC59E0">
        <w:rPr>
          <w:bCs/>
        </w:rPr>
        <w:t xml:space="preserve"> и </w:t>
      </w:r>
      <w:r w:rsidRPr="005A17D9">
        <w:rPr>
          <w:bCs/>
        </w:rPr>
        <w:t xml:space="preserve">ръст от </w:t>
      </w:r>
      <w:r w:rsidRPr="005A17D9">
        <w:rPr>
          <w:bCs/>
          <w:lang w:val="ru-RU"/>
        </w:rPr>
        <w:t xml:space="preserve">460,9 </w:t>
      </w:r>
      <w:r w:rsidRPr="005A17D9">
        <w:rPr>
          <w:bCs/>
        </w:rPr>
        <w:t>млн. евро (3,7 %) спрямо отчетените за същия период на предходната година.</w:t>
      </w:r>
    </w:p>
    <w:p w14:paraId="0F7E6477" w14:textId="77777777" w:rsidR="00044565" w:rsidRPr="00B946F0" w:rsidRDefault="00044565" w:rsidP="00044565">
      <w:pPr>
        <w:numPr>
          <w:ilvl w:val="0"/>
          <w:numId w:val="3"/>
        </w:numPr>
        <w:tabs>
          <w:tab w:val="num" w:pos="720"/>
        </w:tabs>
        <w:spacing w:before="120"/>
        <w:ind w:left="0" w:firstLine="181"/>
        <w:jc w:val="both"/>
        <w:rPr>
          <w:b/>
          <w:bCs/>
        </w:rPr>
      </w:pPr>
      <w:r w:rsidRPr="00B946F0">
        <w:rPr>
          <w:bCs/>
        </w:rPr>
        <w:t xml:space="preserve"> </w:t>
      </w:r>
      <w:r w:rsidRPr="00B946F0">
        <w:rPr>
          <w:b/>
          <w:bCs/>
        </w:rPr>
        <w:t>Данъчни приходи</w:t>
      </w:r>
    </w:p>
    <w:p w14:paraId="7EE0EFEC" w14:textId="77777777" w:rsidR="00044565" w:rsidRPr="005F1916" w:rsidRDefault="00044565" w:rsidP="00044565">
      <w:pPr>
        <w:jc w:val="both"/>
        <w:rPr>
          <w:bCs/>
          <w:color w:val="0070C0"/>
          <w:sz w:val="4"/>
          <w:szCs w:val="4"/>
        </w:rPr>
      </w:pPr>
    </w:p>
    <w:p w14:paraId="16612C42" w14:textId="77777777" w:rsidR="00044565" w:rsidRPr="00B946F0" w:rsidRDefault="00044565" w:rsidP="00044565">
      <w:pPr>
        <w:jc w:val="both"/>
      </w:pPr>
      <w:r w:rsidRPr="00B946F0">
        <w:rPr>
          <w:bCs/>
        </w:rPr>
        <w:t>Размерът на</w:t>
      </w:r>
      <w:r w:rsidRPr="00B946F0">
        <w:rPr>
          <w:b/>
          <w:bCs/>
        </w:rPr>
        <w:t xml:space="preserve"> данъчните постъпления по държавния бюджет</w:t>
      </w:r>
      <w:r w:rsidRPr="00B946F0">
        <w:rPr>
          <w:bCs/>
        </w:rPr>
        <w:t xml:space="preserve"> към юни 2026 г. </w:t>
      </w:r>
      <w:r w:rsidRPr="00B946F0">
        <w:t xml:space="preserve">е </w:t>
      </w:r>
      <w:r w:rsidRPr="00B946F0">
        <w:rPr>
          <w:b/>
          <w:lang w:val="ru-RU"/>
        </w:rPr>
        <w:t xml:space="preserve">11 429,3 </w:t>
      </w:r>
      <w:r w:rsidRPr="00B946F0">
        <w:rPr>
          <w:b/>
        </w:rPr>
        <w:t>млн. евро</w:t>
      </w:r>
      <w:r w:rsidR="0078421B">
        <w:rPr>
          <w:b/>
        </w:rPr>
        <w:t xml:space="preserve">, </w:t>
      </w:r>
      <w:r w:rsidR="0078421B" w:rsidRPr="00B02D26">
        <w:t xml:space="preserve">което представлява </w:t>
      </w:r>
      <w:r w:rsidR="00B02D26" w:rsidRPr="00B02D26">
        <w:t>45,0</w:t>
      </w:r>
      <w:r w:rsidR="00B02D26" w:rsidRPr="00B02D26">
        <w:rPr>
          <w:lang w:val="en-US"/>
        </w:rPr>
        <w:t xml:space="preserve"> </w:t>
      </w:r>
      <w:r w:rsidR="00B02D26" w:rsidRPr="00B02D26">
        <w:t>%</w:t>
      </w:r>
      <w:r w:rsidR="00B02D26" w:rsidRPr="00B02D26">
        <w:rPr>
          <w:lang w:val="en-US"/>
        </w:rPr>
        <w:t xml:space="preserve"> </w:t>
      </w:r>
      <w:r w:rsidR="0078421B" w:rsidRPr="00B02D26">
        <w:t>изпълнение на годишните разчети</w:t>
      </w:r>
      <w:r w:rsidRPr="00B02D26">
        <w:rPr>
          <w:b/>
        </w:rPr>
        <w:t>.</w:t>
      </w:r>
      <w:r w:rsidRPr="00B02D26">
        <w:t xml:space="preserve"> Сравнени</w:t>
      </w:r>
      <w:r w:rsidRPr="00B946F0">
        <w:t xml:space="preserve"> с данните към юни 2025 г. данъчните приходи нарастват с 899,4 млн. евро или 8,5 на сто. </w:t>
      </w:r>
    </w:p>
    <w:p w14:paraId="28EB910E" w14:textId="77777777" w:rsidR="00044565" w:rsidRPr="005F1916" w:rsidRDefault="00044565" w:rsidP="00044565">
      <w:pPr>
        <w:jc w:val="both"/>
        <w:rPr>
          <w:color w:val="0070C0"/>
        </w:rPr>
      </w:pPr>
    </w:p>
    <w:p w14:paraId="70289EF3" w14:textId="77777777" w:rsidR="00044565" w:rsidRPr="00247772" w:rsidRDefault="00044565" w:rsidP="00044565">
      <w:pPr>
        <w:numPr>
          <w:ilvl w:val="0"/>
          <w:numId w:val="4"/>
        </w:numPr>
        <w:tabs>
          <w:tab w:val="clear" w:pos="1440"/>
          <w:tab w:val="num" w:pos="540"/>
        </w:tabs>
        <w:ind w:left="-160"/>
        <w:jc w:val="both"/>
        <w:rPr>
          <w:b/>
          <w:bCs/>
        </w:rPr>
      </w:pPr>
      <w:r w:rsidRPr="00247772">
        <w:rPr>
          <w:b/>
          <w:bCs/>
        </w:rPr>
        <w:t>Преки данъци</w:t>
      </w:r>
    </w:p>
    <w:p w14:paraId="6166BA73" w14:textId="77777777" w:rsidR="00044565" w:rsidRPr="00C67876" w:rsidRDefault="00044565" w:rsidP="00044565">
      <w:pPr>
        <w:spacing w:before="120"/>
        <w:jc w:val="both"/>
        <w:rPr>
          <w:lang w:val="ru-RU"/>
        </w:rPr>
      </w:pPr>
      <w:r w:rsidRPr="00413DEA">
        <w:t>Приходите в групата на</w:t>
      </w:r>
      <w:r w:rsidRPr="00413DEA">
        <w:rPr>
          <w:b/>
        </w:rPr>
        <w:t xml:space="preserve"> преките данъци</w:t>
      </w:r>
      <w:r w:rsidRPr="00413DEA">
        <w:t xml:space="preserve"> са в размер на</w:t>
      </w:r>
      <w:r w:rsidRPr="00413DEA">
        <w:rPr>
          <w:b/>
        </w:rPr>
        <w:t xml:space="preserve"> </w:t>
      </w:r>
      <w:r w:rsidRPr="00413DEA">
        <w:rPr>
          <w:b/>
          <w:lang w:val="ru-RU"/>
        </w:rPr>
        <w:t xml:space="preserve">3 785,8 </w:t>
      </w:r>
      <w:r w:rsidRPr="00413DEA">
        <w:rPr>
          <w:b/>
        </w:rPr>
        <w:t>млн. евро</w:t>
      </w:r>
      <w:r w:rsidR="00EF446A" w:rsidRPr="00413DEA">
        <w:rPr>
          <w:b/>
        </w:rPr>
        <w:t xml:space="preserve"> </w:t>
      </w:r>
      <w:r w:rsidR="00EF446A" w:rsidRPr="00413DEA">
        <w:t xml:space="preserve">или </w:t>
      </w:r>
      <w:r w:rsidR="00413DEA" w:rsidRPr="00413DEA">
        <w:t>45,9</w:t>
      </w:r>
      <w:r w:rsidR="00413DEA" w:rsidRPr="00413DEA">
        <w:rPr>
          <w:lang w:val="en-US"/>
        </w:rPr>
        <w:t xml:space="preserve"> </w:t>
      </w:r>
      <w:r w:rsidR="00413DEA" w:rsidRPr="00413DEA">
        <w:t>%</w:t>
      </w:r>
      <w:r w:rsidR="00413DEA" w:rsidRPr="00413DEA">
        <w:rPr>
          <w:lang w:val="en-US"/>
        </w:rPr>
        <w:t xml:space="preserve"> </w:t>
      </w:r>
      <w:r w:rsidR="00EF446A" w:rsidRPr="00413DEA">
        <w:t>от планираните за годината</w:t>
      </w:r>
      <w:r w:rsidRPr="00413DEA">
        <w:t>, като съпоставени със същия период на предходната година</w:t>
      </w:r>
      <w:r w:rsidRPr="00C67876">
        <w:t xml:space="preserve"> постъпленията нарастват със 187,4 млн. евро (5,</w:t>
      </w:r>
      <w:r w:rsidRPr="00C67876">
        <w:rPr>
          <w:lang w:val="en-US"/>
        </w:rPr>
        <w:t>2</w:t>
      </w:r>
      <w:r w:rsidRPr="00C67876">
        <w:t xml:space="preserve"> %). Повишението се дължи основно на </w:t>
      </w:r>
      <w:r w:rsidRPr="002F68AA">
        <w:t xml:space="preserve">значително по-високите постъпленията от </w:t>
      </w:r>
      <w:r w:rsidRPr="00C67876">
        <w:t>данъци върху доходите на физически лица.</w:t>
      </w:r>
    </w:p>
    <w:p w14:paraId="3D0BB674" w14:textId="77777777" w:rsidR="00044565" w:rsidRPr="00822912" w:rsidRDefault="00044565" w:rsidP="00044565">
      <w:pPr>
        <w:spacing w:before="120"/>
        <w:jc w:val="both"/>
      </w:pPr>
      <w:r w:rsidRPr="0016449C">
        <w:t>Приходите от</w:t>
      </w:r>
      <w:r w:rsidRPr="0016449C">
        <w:rPr>
          <w:b/>
        </w:rPr>
        <w:t xml:space="preserve"> </w:t>
      </w:r>
      <w:r w:rsidRPr="0016449C">
        <w:rPr>
          <w:b/>
          <w:bCs/>
        </w:rPr>
        <w:t>корпоративни данъци</w:t>
      </w:r>
      <w:r w:rsidRPr="0016449C">
        <w:t xml:space="preserve"> </w:t>
      </w:r>
      <w:r w:rsidRPr="0016449C">
        <w:rPr>
          <w:bCs/>
        </w:rPr>
        <w:t>към юни 2026 г.</w:t>
      </w:r>
      <w:r w:rsidRPr="0016449C">
        <w:t xml:space="preserve"> са в размер на </w:t>
      </w:r>
      <w:r w:rsidRPr="0016449C">
        <w:rPr>
          <w:lang w:val="ru-RU"/>
        </w:rPr>
        <w:t xml:space="preserve">1 536,2 </w:t>
      </w:r>
      <w:r w:rsidRPr="0016449C">
        <w:t xml:space="preserve">млн. евро и отчитат спад със 100,0 млн. евро </w:t>
      </w:r>
      <w:r w:rsidRPr="0016449C">
        <w:rPr>
          <w:lang w:val="ru-RU"/>
        </w:rPr>
        <w:t xml:space="preserve">(6,1 %), </w:t>
      </w:r>
      <w:r w:rsidRPr="0016449C">
        <w:t xml:space="preserve">съпоставено с месец юни 2025 година. </w:t>
      </w:r>
      <w:r w:rsidRPr="00822912">
        <w:t xml:space="preserve">Намалението </w:t>
      </w:r>
      <w:r>
        <w:t xml:space="preserve">е при </w:t>
      </w:r>
      <w:r w:rsidRPr="00822912">
        <w:t xml:space="preserve">постъпленията от корпоративен данък от финансови институции </w:t>
      </w:r>
      <w:r w:rsidRPr="00822912">
        <w:rPr>
          <w:lang w:val="en-US"/>
        </w:rPr>
        <w:t xml:space="preserve">(спад 60,5 %, </w:t>
      </w:r>
      <w:r w:rsidRPr="00822912">
        <w:t>311,8 млн. евро спрямо същия период на 2025 г.</w:t>
      </w:r>
      <w:r w:rsidRPr="00822912">
        <w:rPr>
          <w:lang w:val="en-US"/>
        </w:rPr>
        <w:t>)</w:t>
      </w:r>
      <w:r w:rsidRPr="00822912">
        <w:t xml:space="preserve"> и се дължи на направените през месец юни на предходната година допълнителни авансови вноски.</w:t>
      </w:r>
    </w:p>
    <w:p w14:paraId="05635078" w14:textId="77777777" w:rsidR="00044565" w:rsidRPr="00573193" w:rsidRDefault="00044565" w:rsidP="00044565">
      <w:pPr>
        <w:spacing w:before="120"/>
        <w:jc w:val="both"/>
      </w:pPr>
      <w:r w:rsidRPr="00573193">
        <w:t>Постъпленията от</w:t>
      </w:r>
      <w:r w:rsidRPr="00573193">
        <w:rPr>
          <w:b/>
          <w:i/>
        </w:rPr>
        <w:t xml:space="preserve"> </w:t>
      </w:r>
      <w:r w:rsidRPr="00573193">
        <w:rPr>
          <w:i/>
        </w:rPr>
        <w:t>корпоративен данък</w:t>
      </w:r>
      <w:r w:rsidRPr="00573193">
        <w:t xml:space="preserve"> през 2026 г. са в пряка зависимост от следните показатели:</w:t>
      </w:r>
    </w:p>
    <w:p w14:paraId="4E12B447" w14:textId="77777777" w:rsidR="00044565" w:rsidRPr="00573193" w:rsidRDefault="00044565" w:rsidP="00044565">
      <w:pPr>
        <w:numPr>
          <w:ilvl w:val="0"/>
          <w:numId w:val="22"/>
        </w:numPr>
        <w:tabs>
          <w:tab w:val="left" w:pos="900"/>
        </w:tabs>
        <w:ind w:left="0" w:firstLine="720"/>
        <w:jc w:val="both"/>
      </w:pPr>
      <w:r w:rsidRPr="00573193">
        <w:t>декларирана данъчна печалба по подадените ГДД за 2025 г.;</w:t>
      </w:r>
    </w:p>
    <w:p w14:paraId="3E9AF9D6" w14:textId="77777777" w:rsidR="00044565" w:rsidRPr="00573193" w:rsidRDefault="00044565" w:rsidP="00044565">
      <w:pPr>
        <w:numPr>
          <w:ilvl w:val="0"/>
          <w:numId w:val="22"/>
        </w:numPr>
        <w:tabs>
          <w:tab w:val="left" w:pos="900"/>
        </w:tabs>
        <w:ind w:left="0" w:firstLine="720"/>
        <w:jc w:val="both"/>
      </w:pPr>
      <w:r w:rsidRPr="00573193">
        <w:lastRenderedPageBreak/>
        <w:t>декларирана данъчна загуба за 2025 г.;</w:t>
      </w:r>
    </w:p>
    <w:p w14:paraId="5A6F4BC0" w14:textId="77777777" w:rsidR="00044565" w:rsidRPr="00573193" w:rsidRDefault="00044565" w:rsidP="00044565">
      <w:pPr>
        <w:numPr>
          <w:ilvl w:val="0"/>
          <w:numId w:val="22"/>
        </w:numPr>
        <w:tabs>
          <w:tab w:val="left" w:pos="900"/>
        </w:tabs>
        <w:ind w:left="0" w:firstLine="720"/>
        <w:jc w:val="both"/>
      </w:pPr>
      <w:r w:rsidRPr="00573193">
        <w:t>общ размер на авансовите вноски, които данъчно задължените лица правят въз основа на прогнозната данъчна печалба за текущата година;</w:t>
      </w:r>
    </w:p>
    <w:p w14:paraId="7AB9E9C0" w14:textId="77777777" w:rsidR="00044565" w:rsidRPr="007A3A73" w:rsidRDefault="00044565" w:rsidP="00044565">
      <w:pPr>
        <w:numPr>
          <w:ilvl w:val="0"/>
          <w:numId w:val="22"/>
        </w:numPr>
        <w:tabs>
          <w:tab w:val="left" w:pos="900"/>
        </w:tabs>
        <w:ind w:left="0" w:firstLine="720"/>
        <w:jc w:val="both"/>
      </w:pPr>
      <w:r w:rsidRPr="007A3A73">
        <w:rPr>
          <w:szCs w:val="16"/>
        </w:rPr>
        <w:t>общ размер на разликата за внасяне по ГДД за 2025 г</w:t>
      </w:r>
      <w:r w:rsidRPr="007A3A73">
        <w:t>.;</w:t>
      </w:r>
    </w:p>
    <w:p w14:paraId="49496542" w14:textId="77777777" w:rsidR="00044565" w:rsidRPr="007A3A73" w:rsidRDefault="00044565" w:rsidP="00044565">
      <w:pPr>
        <w:numPr>
          <w:ilvl w:val="0"/>
          <w:numId w:val="22"/>
        </w:numPr>
        <w:tabs>
          <w:tab w:val="left" w:pos="900"/>
        </w:tabs>
        <w:ind w:left="0" w:firstLine="720"/>
        <w:jc w:val="both"/>
      </w:pPr>
      <w:r w:rsidRPr="007A3A73">
        <w:t>начислените по ревизионни актове суми за корпоративен данък;</w:t>
      </w:r>
    </w:p>
    <w:p w14:paraId="1FBE6E38" w14:textId="77777777" w:rsidR="00044565" w:rsidRPr="007A3A73" w:rsidRDefault="00044565" w:rsidP="00044565">
      <w:pPr>
        <w:numPr>
          <w:ilvl w:val="0"/>
          <w:numId w:val="22"/>
        </w:numPr>
        <w:tabs>
          <w:tab w:val="left" w:pos="900"/>
        </w:tabs>
        <w:ind w:left="0" w:firstLine="720"/>
        <w:jc w:val="both"/>
      </w:pPr>
      <w:r w:rsidRPr="007A3A73">
        <w:t>относителния дял на постигнатата събираемост при корпоративния данък.</w:t>
      </w:r>
    </w:p>
    <w:p w14:paraId="67971AA1" w14:textId="77777777" w:rsidR="00044565" w:rsidRPr="00CB6C67" w:rsidRDefault="00044565" w:rsidP="00044565">
      <w:pPr>
        <w:spacing w:before="120"/>
        <w:jc w:val="both"/>
      </w:pPr>
      <w:r w:rsidRPr="00A20660">
        <w:t>Върху размера на приходите от корпоративен данък влияние оказва и прилагането на преференцията за пренасяне на данъчни загуби, както и на възможността за допълнителна еднократна корекция на годишната данъчна декларация при откриване на счетоводни или други грешки и при отразяване на коригиращи събития по смисъла на приложимите счетоводни стандарти в срок до 30 септември на текущата година.</w:t>
      </w:r>
    </w:p>
    <w:p w14:paraId="2AE58CD9" w14:textId="77777777" w:rsidR="00044565" w:rsidRPr="00A649DF" w:rsidRDefault="00044565" w:rsidP="00044565">
      <w:pPr>
        <w:spacing w:before="120"/>
        <w:jc w:val="both"/>
      </w:pPr>
      <w:r w:rsidRPr="00A649DF">
        <w:t xml:space="preserve">В тази група данъци са и приходите от </w:t>
      </w:r>
      <w:r w:rsidRPr="00A649DF">
        <w:rPr>
          <w:i/>
        </w:rPr>
        <w:t>данък върху дивидентите, ликвидационните дялове и доходите на местни и чуждестранни юридически лица</w:t>
      </w:r>
      <w:r w:rsidRPr="00A649DF">
        <w:t xml:space="preserve">, които са в размер на </w:t>
      </w:r>
      <w:r w:rsidRPr="00A649DF">
        <w:rPr>
          <w:lang w:val="ru-RU"/>
        </w:rPr>
        <w:t xml:space="preserve">44,3 </w:t>
      </w:r>
      <w:r w:rsidRPr="00A649DF">
        <w:t>млн. евро. Постъпленията от данъци върху дивидентите, ликвидационните дялове и доходите на юридически лица зависят от състоянието на икономиката и осъществяващите се процеси по разпределение на фирмена собственост в страната.</w:t>
      </w:r>
    </w:p>
    <w:p w14:paraId="43592C0F" w14:textId="77777777" w:rsidR="00044565" w:rsidRPr="00CB5853" w:rsidRDefault="00044565" w:rsidP="00044565">
      <w:pPr>
        <w:spacing w:before="120" w:after="120"/>
        <w:jc w:val="both"/>
        <w:rPr>
          <w:lang w:val="ru-RU"/>
        </w:rPr>
      </w:pPr>
      <w:r w:rsidRPr="00CB5853">
        <w:t>Приходите от</w:t>
      </w:r>
      <w:r w:rsidRPr="00CB5853">
        <w:rPr>
          <w:b/>
        </w:rPr>
        <w:t xml:space="preserve"> данъци върху доходите на физически лица </w:t>
      </w:r>
      <w:r w:rsidRPr="00CB5853">
        <w:t xml:space="preserve">(ДДФЛ) са в размер на </w:t>
      </w:r>
      <w:r w:rsidRPr="00CB5853">
        <w:rPr>
          <w:b/>
        </w:rPr>
        <w:t xml:space="preserve">2 249,6 млн. </w:t>
      </w:r>
      <w:r w:rsidRPr="00C82A66">
        <w:rPr>
          <w:b/>
        </w:rPr>
        <w:t xml:space="preserve">евро </w:t>
      </w:r>
      <w:r w:rsidR="003A4EC4" w:rsidRPr="00C82A66">
        <w:t xml:space="preserve">или </w:t>
      </w:r>
      <w:r w:rsidR="00C82A66" w:rsidRPr="00C82A66">
        <w:t>47,3</w:t>
      </w:r>
      <w:r w:rsidR="00C82A66" w:rsidRPr="00C82A66">
        <w:rPr>
          <w:lang w:val="en-US"/>
        </w:rPr>
        <w:t xml:space="preserve"> </w:t>
      </w:r>
      <w:r w:rsidR="00C82A66" w:rsidRPr="00C82A66">
        <w:t>%</w:t>
      </w:r>
      <w:r w:rsidR="00C82A66" w:rsidRPr="00C82A66">
        <w:rPr>
          <w:lang w:val="en-US"/>
        </w:rPr>
        <w:t xml:space="preserve"> </w:t>
      </w:r>
      <w:r w:rsidR="003A4EC4" w:rsidRPr="00C82A66">
        <w:t>от заложените в разчета за годината.</w:t>
      </w:r>
      <w:r w:rsidR="003A4EC4" w:rsidRPr="00C82A66">
        <w:rPr>
          <w:b/>
        </w:rPr>
        <w:t xml:space="preserve"> </w:t>
      </w:r>
      <w:r w:rsidR="003A4EC4" w:rsidRPr="00C82A66">
        <w:t>Тези</w:t>
      </w:r>
      <w:r w:rsidR="003A4EC4" w:rsidRPr="00F3704F">
        <w:t xml:space="preserve"> приходи </w:t>
      </w:r>
      <w:r w:rsidR="003A4EC4" w:rsidRPr="00CB5853">
        <w:t>са с 287,4 млн. евро повече или 14,6 % ръст спрямо същия период на предходната година</w:t>
      </w:r>
      <w:r w:rsidRPr="00CB5853">
        <w:t>.</w:t>
      </w:r>
      <w:r w:rsidRPr="00CB5853">
        <w:rPr>
          <w:lang w:val="ru-RU"/>
        </w:rPr>
        <w:t xml:space="preserve"> </w:t>
      </w:r>
    </w:p>
    <w:p w14:paraId="4EFC2360" w14:textId="77777777" w:rsidR="00044565" w:rsidRPr="000E65A9" w:rsidRDefault="00044565" w:rsidP="00044565">
      <w:pPr>
        <w:spacing w:after="120"/>
        <w:jc w:val="both"/>
      </w:pPr>
      <w:r w:rsidRPr="00AB22D7">
        <w:t xml:space="preserve">Основен фактор за размера на данъчните постъпления от ДДФЛ е развитието на  параметрите на пазара на труда. Нарастването на заетостта, спадът на безработицата и ръстът на заплащането на </w:t>
      </w:r>
      <w:r w:rsidRPr="00EE2BC6">
        <w:t>труда са предпоставки за по-високи приходи от този вид данъци</w:t>
      </w:r>
      <w:r w:rsidRPr="00EE2BC6">
        <w:rPr>
          <w:lang w:val="en-US"/>
        </w:rPr>
        <w:t>.</w:t>
      </w:r>
      <w:r w:rsidRPr="00EE2BC6">
        <w:t xml:space="preserve"> Влияние върху размера на постъпленията от ДДФЛ оказват действащите законодателни и административни мерки в областта на трудовото, социалното и данъчното законодателство. За повишаване на тази група данъчни приходи допринасят и предприетите мерки за намаляване на недекларирания труд, мерките за повишаване на събираемостта на задължения за минали периоди и тематичните кампании за контрол, провеждани от НАП.</w:t>
      </w:r>
    </w:p>
    <w:p w14:paraId="39E5F13E" w14:textId="77777777" w:rsidR="00044565" w:rsidRPr="00E56B13" w:rsidRDefault="00044565" w:rsidP="00044565">
      <w:pPr>
        <w:jc w:val="both"/>
      </w:pPr>
      <w:r w:rsidRPr="00DA4E5A">
        <w:rPr>
          <w:i/>
        </w:rPr>
        <w:t>По трудови правоотношения</w:t>
      </w:r>
      <w:r w:rsidRPr="00DA4E5A">
        <w:t xml:space="preserve"> приходите от данъка </w:t>
      </w:r>
      <w:r w:rsidRPr="00DA4E5A">
        <w:rPr>
          <w:bCs/>
        </w:rPr>
        <w:t>към юни 2026 г.</w:t>
      </w:r>
      <w:r w:rsidRPr="00DA4E5A">
        <w:t xml:space="preserve"> са 1 832,7 млн. евро</w:t>
      </w:r>
      <w:r w:rsidR="00603A00" w:rsidRPr="00DA4E5A">
        <w:t xml:space="preserve">, </w:t>
      </w:r>
      <w:r w:rsidR="00DA4E5A" w:rsidRPr="00DA4E5A">
        <w:t>45,9</w:t>
      </w:r>
      <w:r w:rsidR="00DA4E5A" w:rsidRPr="00DA4E5A">
        <w:rPr>
          <w:lang w:val="en-US"/>
        </w:rPr>
        <w:t xml:space="preserve"> </w:t>
      </w:r>
      <w:r w:rsidR="00DA4E5A" w:rsidRPr="00DA4E5A">
        <w:t>%</w:t>
      </w:r>
      <w:r w:rsidR="00DA4E5A" w:rsidRPr="00DA4E5A">
        <w:rPr>
          <w:lang w:val="en-US"/>
        </w:rPr>
        <w:t xml:space="preserve"> </w:t>
      </w:r>
      <w:r w:rsidR="00603A00" w:rsidRPr="00DA4E5A">
        <w:t>от годишните разчети</w:t>
      </w:r>
      <w:r w:rsidRPr="00DA4E5A">
        <w:t>. Тези</w:t>
      </w:r>
      <w:r w:rsidRPr="00E56B13">
        <w:t xml:space="preserve"> приходи са със 187,7 млн. евро повече или 11,4 % ръст в сравнение със същия период на предходната година.</w:t>
      </w:r>
    </w:p>
    <w:p w14:paraId="4564A96C" w14:textId="198DC778" w:rsidR="00044565" w:rsidRPr="00DD0CDF" w:rsidRDefault="00044565" w:rsidP="00044565">
      <w:pPr>
        <w:tabs>
          <w:tab w:val="left" w:pos="0"/>
        </w:tabs>
        <w:spacing w:before="120"/>
        <w:jc w:val="both"/>
        <w:rPr>
          <w:highlight w:val="cyan"/>
        </w:rPr>
      </w:pPr>
      <w:r>
        <w:t>Ф</w:t>
      </w:r>
      <w:r w:rsidRPr="008605D1">
        <w:t>актор</w:t>
      </w:r>
      <w:r>
        <w:t>и</w:t>
      </w:r>
      <w:r w:rsidRPr="008605D1">
        <w:t xml:space="preserve"> за нарастване на приходите от ДДФЛ са висок</w:t>
      </w:r>
      <w:r w:rsidR="002C1FDF">
        <w:t>ия</w:t>
      </w:r>
      <w:r w:rsidRPr="008605D1">
        <w:t xml:space="preserve"> номинален ръст на средната работна заплата, както в частния сектор, така и в обществения сектор, в т. ч. </w:t>
      </w:r>
      <w:r w:rsidRPr="00E46812">
        <w:t>увеличението на разходите за персонал в бюджетните организации</w:t>
      </w:r>
      <w:r w:rsidRPr="008605D1">
        <w:t xml:space="preserve">. </w:t>
      </w:r>
      <w:r>
        <w:t>П</w:t>
      </w:r>
      <w:r w:rsidRPr="008605D1">
        <w:t xml:space="preserve">ри тази група данъчни приходи </w:t>
      </w:r>
      <w:r>
        <w:t>през 2026 г. влияние оказва</w:t>
      </w:r>
      <w:r w:rsidRPr="008605D1">
        <w:t xml:space="preserve"> увеличението от 1 януари 202</w:t>
      </w:r>
      <w:r>
        <w:t>6</w:t>
      </w:r>
      <w:r w:rsidRPr="008605D1">
        <w:t xml:space="preserve"> г. (съгласно постановения механизъм в чл. 244, ал. 2 от Кодекса на труда) на минималната работна заплата за страната от </w:t>
      </w:r>
      <w:r>
        <w:t xml:space="preserve">551 евро </w:t>
      </w:r>
      <w:r w:rsidRPr="005C1A1F">
        <w:t>(1</w:t>
      </w:r>
      <w:r w:rsidRPr="00831D57">
        <w:t> </w:t>
      </w:r>
      <w:r w:rsidRPr="005C1A1F">
        <w:t>077 лв.)</w:t>
      </w:r>
      <w:r w:rsidRPr="008605D1">
        <w:t xml:space="preserve"> на </w:t>
      </w:r>
      <w:r>
        <w:t>620,20</w:t>
      </w:r>
      <w:r w:rsidRPr="008605D1">
        <w:t xml:space="preserve"> </w:t>
      </w:r>
      <w:r>
        <w:t>евро (1 213 лв.)</w:t>
      </w:r>
      <w:r w:rsidRPr="008605D1">
        <w:t xml:space="preserve"> или с </w:t>
      </w:r>
      <w:r w:rsidRPr="005C1A1F">
        <w:t>1</w:t>
      </w:r>
      <w:r w:rsidRPr="00831D57">
        <w:t>2,6</w:t>
      </w:r>
      <w:r w:rsidRPr="005C1A1F">
        <w:t> %.</w:t>
      </w:r>
      <w:r>
        <w:t xml:space="preserve"> Допълнителен положителен ефект има </w:t>
      </w:r>
      <w:r w:rsidRPr="00097062">
        <w:t>еднократна</w:t>
      </w:r>
      <w:r>
        <w:t>та</w:t>
      </w:r>
      <w:r w:rsidRPr="00097062">
        <w:t xml:space="preserve"> индексация </w:t>
      </w:r>
      <w:r>
        <w:t xml:space="preserve">на възнагражденията </w:t>
      </w:r>
      <w:r w:rsidRPr="00097062">
        <w:t>в размер на натрупаната към 31 декември 2025 г. годишна инфлация</w:t>
      </w:r>
      <w:r>
        <w:t xml:space="preserve"> (5 % по данни на НСИ)</w:t>
      </w:r>
      <w:r w:rsidRPr="00097062">
        <w:t xml:space="preserve"> в бюджетните организации на заетите на </w:t>
      </w:r>
      <w:r>
        <w:t xml:space="preserve">по-висока от </w:t>
      </w:r>
      <w:r w:rsidRPr="00097062">
        <w:t>минимална</w:t>
      </w:r>
      <w:r>
        <w:t>та</w:t>
      </w:r>
      <w:r w:rsidRPr="00097062">
        <w:t xml:space="preserve"> </w:t>
      </w:r>
      <w:r w:rsidRPr="005B20C6">
        <w:t>работна заплата.</w:t>
      </w:r>
    </w:p>
    <w:p w14:paraId="41C45C2A" w14:textId="77777777" w:rsidR="00044565" w:rsidRPr="0043178B" w:rsidRDefault="00044565" w:rsidP="00044565">
      <w:pPr>
        <w:tabs>
          <w:tab w:val="left" w:pos="0"/>
        </w:tabs>
        <w:spacing w:before="120"/>
        <w:jc w:val="both"/>
      </w:pPr>
      <w:r w:rsidRPr="008605D1">
        <w:t xml:space="preserve">Влияние върху приходите от трудови правоотношения в посока намаление през </w:t>
      </w:r>
      <w:r>
        <w:t>периода</w:t>
      </w:r>
      <w:r w:rsidRPr="008605D1">
        <w:t xml:space="preserve"> оказва ползването на облекченията за деца по чл. 22в и чл. 22г от ЗДДФЛ чрез подаване на декларация по образец при работодателя през месец декември</w:t>
      </w:r>
      <w:r>
        <w:t xml:space="preserve"> и при </w:t>
      </w:r>
      <w:r w:rsidRPr="008605D1">
        <w:t>подаване на годишната данъчна декларация за доходите, придобити през 202</w:t>
      </w:r>
      <w:r>
        <w:t>5</w:t>
      </w:r>
      <w:r w:rsidRPr="008605D1">
        <w:t xml:space="preserve"> г</w:t>
      </w:r>
      <w:r>
        <w:t>одина</w:t>
      </w:r>
      <w:r w:rsidRPr="008605D1">
        <w:t xml:space="preserve">. Очаква се авансовото ползване при работодател </w:t>
      </w:r>
      <w:r>
        <w:t xml:space="preserve">на двете облекчения </w:t>
      </w:r>
      <w:r w:rsidRPr="008605D1">
        <w:t>за придобитите доходи през 202</w:t>
      </w:r>
      <w:r>
        <w:t>6</w:t>
      </w:r>
      <w:r w:rsidRPr="008605D1">
        <w:t xml:space="preserve"> г</w:t>
      </w:r>
      <w:r>
        <w:t>.</w:t>
      </w:r>
      <w:r w:rsidRPr="008605D1">
        <w:t xml:space="preserve"> да окаже въздействие и през следващите отчетни </w:t>
      </w:r>
      <w:r w:rsidRPr="00FC59EB">
        <w:t>периоди.</w:t>
      </w:r>
    </w:p>
    <w:p w14:paraId="25109F7C" w14:textId="1290665F" w:rsidR="00044565" w:rsidRPr="005F1916" w:rsidRDefault="00044565" w:rsidP="00044565">
      <w:pPr>
        <w:tabs>
          <w:tab w:val="left" w:pos="0"/>
        </w:tabs>
        <w:spacing w:before="120"/>
        <w:jc w:val="both"/>
        <w:rPr>
          <w:color w:val="0070C0"/>
        </w:rPr>
      </w:pPr>
      <w:r w:rsidRPr="00757289">
        <w:t>От</w:t>
      </w:r>
      <w:r w:rsidRPr="00757289">
        <w:rPr>
          <w:i/>
        </w:rPr>
        <w:t xml:space="preserve"> извънтрудови правоотношения</w:t>
      </w:r>
      <w:r w:rsidRPr="00757289">
        <w:t xml:space="preserve"> </w:t>
      </w:r>
      <w:r w:rsidRPr="00757289">
        <w:rPr>
          <w:i/>
        </w:rPr>
        <w:t xml:space="preserve">(ЕТ, свободни професии, граждански договори, годишен и </w:t>
      </w:r>
      <w:r w:rsidRPr="00F15169">
        <w:rPr>
          <w:i/>
        </w:rPr>
        <w:t>авансов данък и др.)</w:t>
      </w:r>
      <w:r w:rsidRPr="00F15169">
        <w:rPr>
          <w:b/>
          <w:i/>
        </w:rPr>
        <w:t xml:space="preserve"> </w:t>
      </w:r>
      <w:r w:rsidRPr="00F15169">
        <w:t>приходите</w:t>
      </w:r>
      <w:r w:rsidRPr="00F15169">
        <w:rPr>
          <w:i/>
        </w:rPr>
        <w:t xml:space="preserve"> </w:t>
      </w:r>
      <w:r w:rsidRPr="00F15169">
        <w:t>от данъка към</w:t>
      </w:r>
      <w:r w:rsidRPr="00F15169">
        <w:rPr>
          <w:b/>
          <w:i/>
        </w:rPr>
        <w:t xml:space="preserve"> </w:t>
      </w:r>
      <w:r w:rsidRPr="00F15169">
        <w:t>30.06.2026 г. са 169,9 млн. евро</w:t>
      </w:r>
      <w:r w:rsidR="00603A00" w:rsidRPr="00F15169">
        <w:t xml:space="preserve">, което представлява </w:t>
      </w:r>
      <w:r w:rsidR="00F15169" w:rsidRPr="00F15169">
        <w:t>55,7</w:t>
      </w:r>
      <w:r w:rsidR="00F15169" w:rsidRPr="00F15169">
        <w:rPr>
          <w:lang w:val="en-US"/>
        </w:rPr>
        <w:t xml:space="preserve"> </w:t>
      </w:r>
      <w:r w:rsidR="00F15169" w:rsidRPr="00F15169">
        <w:t>%</w:t>
      </w:r>
      <w:r w:rsidR="00F15169" w:rsidRPr="00F15169">
        <w:rPr>
          <w:lang w:val="en-US"/>
        </w:rPr>
        <w:t xml:space="preserve"> </w:t>
      </w:r>
      <w:r w:rsidR="00603A00" w:rsidRPr="00F15169">
        <w:t>спрямо годишния план</w:t>
      </w:r>
      <w:r w:rsidRPr="00F15169">
        <w:t>. Основно</w:t>
      </w:r>
      <w:r w:rsidRPr="00757289">
        <w:t xml:space="preserve">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както и плащанията за минали години и размерът на възстановения и прихванат данък. </w:t>
      </w:r>
      <w:r w:rsidRPr="00CF7ED6">
        <w:t>По данни на НАП към 3</w:t>
      </w:r>
      <w:r w:rsidRPr="00EA5738">
        <w:rPr>
          <w:lang w:val="en-US"/>
        </w:rPr>
        <w:t>0</w:t>
      </w:r>
      <w:r w:rsidRPr="00CF7ED6">
        <w:t>.</w:t>
      </w:r>
      <w:r w:rsidRPr="00EA5738">
        <w:rPr>
          <w:lang w:val="en-US"/>
        </w:rPr>
        <w:t>06</w:t>
      </w:r>
      <w:r w:rsidRPr="00CF7ED6">
        <w:t>.202</w:t>
      </w:r>
      <w:r w:rsidRPr="00EA5738">
        <w:rPr>
          <w:lang w:val="en-US"/>
        </w:rPr>
        <w:t>6</w:t>
      </w:r>
      <w:r w:rsidRPr="00CF7ED6">
        <w:t xml:space="preserve"> г. плащанията по декларации </w:t>
      </w:r>
      <w:r w:rsidRPr="00CF7ED6">
        <w:lastRenderedPageBreak/>
        <w:t>нарастват</w:t>
      </w:r>
      <w:r w:rsidRPr="005279FF">
        <w:t xml:space="preserve"> с </w:t>
      </w:r>
      <w:r w:rsidRPr="00EA5738">
        <w:rPr>
          <w:lang w:val="en-US"/>
        </w:rPr>
        <w:t>1</w:t>
      </w:r>
      <w:r w:rsidRPr="00EA5738">
        <w:t>,</w:t>
      </w:r>
      <w:r w:rsidRPr="00EA5738">
        <w:rPr>
          <w:lang w:val="en-US"/>
        </w:rPr>
        <w:t>9</w:t>
      </w:r>
      <w:r w:rsidRPr="00CF7ED6">
        <w:t> % (3</w:t>
      </w:r>
      <w:r w:rsidRPr="005279FF">
        <w:t xml:space="preserve">,3 млн. </w:t>
      </w:r>
      <w:r w:rsidRPr="004812CF">
        <w:t>евро) спрямо края на</w:t>
      </w:r>
      <w:r w:rsidRPr="00EA5738">
        <w:t xml:space="preserve"> юни</w:t>
      </w:r>
      <w:r w:rsidRPr="00CF7ED6">
        <w:t xml:space="preserve"> 202</w:t>
      </w:r>
      <w:r>
        <w:t>5</w:t>
      </w:r>
      <w:r w:rsidRPr="00CF7ED6">
        <w:t xml:space="preserve"> г., авансовите вноски </w:t>
      </w:r>
      <w:r w:rsidRPr="005279FF">
        <w:t xml:space="preserve">нарастват с </w:t>
      </w:r>
      <w:r w:rsidRPr="00EA5738">
        <w:t>8,7</w:t>
      </w:r>
      <w:r w:rsidR="00B50106">
        <w:t> </w:t>
      </w:r>
      <w:r w:rsidRPr="00CF7ED6">
        <w:t>% (</w:t>
      </w:r>
      <w:r w:rsidRPr="00EA5738">
        <w:t>1,6</w:t>
      </w:r>
      <w:r w:rsidRPr="00CF7ED6">
        <w:t xml:space="preserve"> млн. евро</w:t>
      </w:r>
      <w:r w:rsidRPr="005279FF">
        <w:t xml:space="preserve">), а ръстът на плащанията за минали години е </w:t>
      </w:r>
      <w:r w:rsidRPr="00EA5738">
        <w:t>24,5</w:t>
      </w:r>
      <w:r w:rsidRPr="00CF7ED6">
        <w:t> % (</w:t>
      </w:r>
      <w:r w:rsidRPr="00EA5738">
        <w:t>9,9</w:t>
      </w:r>
      <w:r w:rsidRPr="00CF7ED6">
        <w:t xml:space="preserve"> млн. евро</w:t>
      </w:r>
      <w:r w:rsidRPr="005279FF">
        <w:t xml:space="preserve">). Размерът на възстановения и прихванат данък нараства на годишна база с </w:t>
      </w:r>
      <w:r w:rsidRPr="00EA5738">
        <w:t>4,</w:t>
      </w:r>
      <w:r w:rsidRPr="00CF7ED6">
        <w:t>8 % (</w:t>
      </w:r>
      <w:r w:rsidRPr="00EA5738">
        <w:t>3,8</w:t>
      </w:r>
      <w:r w:rsidRPr="00CF7ED6">
        <w:t xml:space="preserve"> млн. евро) и влияе в посока намаление на приходите от тази група данъци.</w:t>
      </w:r>
      <w:r w:rsidRPr="00110EDC">
        <w:t xml:space="preserve"> Това се дължи основно на ползването с подаването на годишните декларации на постановените в ЗДДФЛ данъчни облекчения, от които с най-голям ефект за намаляване на данъчните приходи са облекченията за деца и за деца с увреждания, и данъчното облекчение за лица с намалена работоспособност</w:t>
      </w:r>
      <w:r w:rsidRPr="005F1916">
        <w:rPr>
          <w:color w:val="0070C0"/>
        </w:rPr>
        <w:t>.</w:t>
      </w:r>
    </w:p>
    <w:p w14:paraId="09C324ED" w14:textId="77777777" w:rsidR="00044565" w:rsidRPr="00113FE1" w:rsidRDefault="00044565" w:rsidP="00044565">
      <w:pPr>
        <w:tabs>
          <w:tab w:val="left" w:pos="0"/>
        </w:tabs>
        <w:spacing w:before="120"/>
        <w:jc w:val="both"/>
      </w:pPr>
      <w:r w:rsidRPr="00E91FDA">
        <w:rPr>
          <w:i/>
        </w:rPr>
        <w:t xml:space="preserve">Окончателен данък на местните и чуждестранни физически лица по чл. 37 и 38 от ЗДДФЛ </w:t>
      </w:r>
      <w:r w:rsidRPr="00E91FDA">
        <w:t xml:space="preserve">и </w:t>
      </w:r>
      <w:r w:rsidRPr="00E91FDA">
        <w:rPr>
          <w:i/>
        </w:rPr>
        <w:t>данък върху дивидентите и ликвидационните дялове на физически лица</w:t>
      </w:r>
      <w:r w:rsidRPr="00E91FDA">
        <w:t xml:space="preserve"> - постъпленията от тези данъци са в размер на </w:t>
      </w:r>
      <w:r w:rsidRPr="003617A8">
        <w:rPr>
          <w:lang w:val="ru-RU"/>
        </w:rPr>
        <w:t xml:space="preserve">247,0 </w:t>
      </w:r>
      <w:r w:rsidRPr="003617A8">
        <w:t xml:space="preserve">млн. евро, </w:t>
      </w:r>
      <w:r w:rsidR="00B97B6C" w:rsidRPr="003617A8">
        <w:t xml:space="preserve">което е </w:t>
      </w:r>
      <w:r w:rsidR="003617A8" w:rsidRPr="003617A8">
        <w:t>54,3</w:t>
      </w:r>
      <w:r w:rsidR="003617A8" w:rsidRPr="003617A8">
        <w:rPr>
          <w:lang w:val="en-US"/>
        </w:rPr>
        <w:t xml:space="preserve"> </w:t>
      </w:r>
      <w:r w:rsidR="003617A8" w:rsidRPr="003617A8">
        <w:t>%</w:t>
      </w:r>
      <w:r w:rsidR="003617A8" w:rsidRPr="003617A8">
        <w:rPr>
          <w:lang w:val="en-US"/>
        </w:rPr>
        <w:t xml:space="preserve"> </w:t>
      </w:r>
      <w:r w:rsidR="00B97B6C" w:rsidRPr="003617A8">
        <w:t xml:space="preserve">от плана за 2026 година и ръст от </w:t>
      </w:r>
      <w:r w:rsidRPr="003617A8">
        <w:t>88,0</w:t>
      </w:r>
      <w:r w:rsidRPr="00E91FDA">
        <w:t xml:space="preserve"> млн. евро повече (55,4 %) спрямо </w:t>
      </w:r>
      <w:r>
        <w:t>шестте</w:t>
      </w:r>
      <w:r w:rsidRPr="00E91FDA">
        <w:t xml:space="preserve"> месеца на 2025 година. </w:t>
      </w:r>
      <w:r w:rsidRPr="008605D1">
        <w:t>Ръстът на тази група данъци се дължи, както на отчетените финансови резултати от нефинансовите предприятия през 202</w:t>
      </w:r>
      <w:r>
        <w:t>5</w:t>
      </w:r>
      <w:r w:rsidRPr="008605D1">
        <w:t xml:space="preserve"> г., така и от </w:t>
      </w:r>
      <w:r>
        <w:t>прилаганите</w:t>
      </w:r>
      <w:r w:rsidRPr="008605D1">
        <w:t xml:space="preserve"> законодателни и контролни мерки. 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имат предприетите контролни действия от НАП за проверка на касови наличности. Контролните действия са насочени приоритетно към лица, за които има информация за висока касова наличност, и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Скритото разпределение на печалбата се третира като дивидент, за който се внася 5 % данък върху разпределените суми. </w:t>
      </w:r>
      <w:r>
        <w:t>Влияние върху п</w:t>
      </w:r>
      <w:r w:rsidRPr="008605D1">
        <w:t xml:space="preserve">остъпленията от данъка върху дивидентите </w:t>
      </w:r>
      <w:r>
        <w:t>има и</w:t>
      </w:r>
      <w:r w:rsidRPr="008605D1">
        <w:t xml:space="preserve"> действащата разпоредба от Закона за ограничаване на плащанията в брой (чл.</w:t>
      </w:r>
      <w:r>
        <w:t> </w:t>
      </w:r>
      <w:r w:rsidRPr="008605D1">
        <w:t xml:space="preserve">3, ал. 4, т. 3), плащанията на територията на страната на дивиденти, със стойност равна на или надвишаваща </w:t>
      </w:r>
      <w:r>
        <w:t>511,29 евро</w:t>
      </w:r>
      <w:r w:rsidRPr="00387F65">
        <w:t xml:space="preserve"> </w:t>
      </w:r>
      <w:r>
        <w:t>(</w:t>
      </w:r>
      <w:r w:rsidRPr="008605D1">
        <w:t>1000 лв.</w:t>
      </w:r>
      <w:r>
        <w:t>)</w:t>
      </w:r>
      <w:r w:rsidRPr="008605D1">
        <w:t>, да се извършват само чрез превод или внасяне по платежна сметк</w:t>
      </w:r>
      <w:r w:rsidRPr="006B78D5">
        <w:t>а.</w:t>
      </w:r>
      <w:r w:rsidRPr="00113FE1">
        <w:t xml:space="preserve"> </w:t>
      </w:r>
    </w:p>
    <w:p w14:paraId="1E6C5983" w14:textId="77777777" w:rsidR="00044565" w:rsidRPr="005B5C29" w:rsidRDefault="00044565" w:rsidP="00044565">
      <w:pPr>
        <w:numPr>
          <w:ilvl w:val="0"/>
          <w:numId w:val="4"/>
        </w:numPr>
        <w:tabs>
          <w:tab w:val="clear" w:pos="1440"/>
          <w:tab w:val="num" w:pos="540"/>
        </w:tabs>
        <w:spacing w:before="120"/>
        <w:ind w:left="0" w:firstLine="181"/>
        <w:jc w:val="both"/>
        <w:rPr>
          <w:b/>
          <w:bCs/>
        </w:rPr>
      </w:pPr>
      <w:r w:rsidRPr="005B5C29">
        <w:rPr>
          <w:b/>
          <w:bCs/>
        </w:rPr>
        <w:t>Косвени данъци</w:t>
      </w:r>
    </w:p>
    <w:p w14:paraId="3DB2C005" w14:textId="77777777" w:rsidR="00044565" w:rsidRPr="005F1916" w:rsidRDefault="00044565" w:rsidP="00044565">
      <w:pPr>
        <w:jc w:val="both"/>
        <w:rPr>
          <w:b/>
          <w:bCs/>
          <w:color w:val="0070C0"/>
          <w:sz w:val="4"/>
          <w:szCs w:val="4"/>
        </w:rPr>
      </w:pPr>
    </w:p>
    <w:p w14:paraId="0D7D59F5" w14:textId="77777777" w:rsidR="00044565" w:rsidRPr="00AD0854" w:rsidRDefault="00044565" w:rsidP="00044565">
      <w:pPr>
        <w:spacing w:after="120"/>
        <w:jc w:val="both"/>
      </w:pPr>
      <w:r w:rsidRPr="00AD0854">
        <w:t xml:space="preserve">Приходите от </w:t>
      </w:r>
      <w:r w:rsidRPr="00AD0854">
        <w:rPr>
          <w:b/>
        </w:rPr>
        <w:t>косвени данъци</w:t>
      </w:r>
      <w:r w:rsidRPr="00AD0854">
        <w:t xml:space="preserve"> </w:t>
      </w:r>
      <w:r w:rsidRPr="00AD0854">
        <w:rPr>
          <w:bCs/>
        </w:rPr>
        <w:t>към юни 2026 г.</w:t>
      </w:r>
      <w:r w:rsidRPr="00AD0854">
        <w:t xml:space="preserve"> са в размер на </w:t>
      </w:r>
      <w:r w:rsidRPr="00AD0854">
        <w:rPr>
          <w:b/>
        </w:rPr>
        <w:t>7 558,7 млн. евро</w:t>
      </w:r>
      <w:r w:rsidR="0042739D" w:rsidRPr="00AD0854">
        <w:rPr>
          <w:b/>
        </w:rPr>
        <w:t xml:space="preserve"> </w:t>
      </w:r>
      <w:r w:rsidR="0042739D" w:rsidRPr="00AD0854">
        <w:t xml:space="preserve">или </w:t>
      </w:r>
      <w:r w:rsidR="00AD0854" w:rsidRPr="00AD0854">
        <w:t>44,4</w:t>
      </w:r>
      <w:r w:rsidR="00AD0854" w:rsidRPr="00AD0854">
        <w:rPr>
          <w:lang w:val="en-US"/>
        </w:rPr>
        <w:t xml:space="preserve"> </w:t>
      </w:r>
      <w:r w:rsidR="00AD0854" w:rsidRPr="00AD0854">
        <w:t>%</w:t>
      </w:r>
      <w:r w:rsidR="00AD0854" w:rsidRPr="00AD0854">
        <w:rPr>
          <w:lang w:val="en-US"/>
        </w:rPr>
        <w:t xml:space="preserve"> </w:t>
      </w:r>
      <w:r w:rsidR="0042739D" w:rsidRPr="00AD0854">
        <w:t>от годишния разчет</w:t>
      </w:r>
      <w:r w:rsidRPr="00AD0854">
        <w:rPr>
          <w:b/>
        </w:rPr>
        <w:t>.</w:t>
      </w:r>
      <w:r w:rsidRPr="00AD0854">
        <w:t xml:space="preserve"> Сравнени с данните за същия период на предходната година постъпленията </w:t>
      </w:r>
      <w:r w:rsidRPr="00AD0854">
        <w:rPr>
          <w:bCs/>
        </w:rPr>
        <w:t>нарастват</w:t>
      </w:r>
      <w:r w:rsidRPr="00AD0854">
        <w:t xml:space="preserve"> със 709,6 млн. евро </w:t>
      </w:r>
      <w:r w:rsidRPr="00AD0854">
        <w:rPr>
          <w:lang w:val="ru-RU"/>
        </w:rPr>
        <w:t>(</w:t>
      </w:r>
      <w:r w:rsidRPr="00AD0854">
        <w:t>10,4 %</w:t>
      </w:r>
      <w:r w:rsidRPr="00AD0854">
        <w:rPr>
          <w:lang w:val="ru-RU"/>
        </w:rPr>
        <w:t>). Това нарастване се дължи основно на по-големите приходи от ДДС</w:t>
      </w:r>
      <w:r w:rsidRPr="00AD0854">
        <w:t>.</w:t>
      </w:r>
    </w:p>
    <w:p w14:paraId="1CF0D330" w14:textId="77777777" w:rsidR="00044565" w:rsidRPr="00E60E25" w:rsidRDefault="00044565" w:rsidP="00044565">
      <w:pPr>
        <w:spacing w:after="120"/>
        <w:jc w:val="both"/>
      </w:pPr>
      <w:r w:rsidRPr="00AD0854">
        <w:rPr>
          <w:b/>
        </w:rPr>
        <w:t>Приходите от ДДС</w:t>
      </w:r>
      <w:r w:rsidRPr="00AD0854">
        <w:t xml:space="preserve"> са в размер на </w:t>
      </w:r>
      <w:r w:rsidRPr="00AD0854">
        <w:rPr>
          <w:b/>
        </w:rPr>
        <w:t>5 721,0 млн. евро</w:t>
      </w:r>
      <w:r w:rsidR="0042739D" w:rsidRPr="00AD0854">
        <w:rPr>
          <w:b/>
        </w:rPr>
        <w:t xml:space="preserve">, </w:t>
      </w:r>
      <w:r w:rsidR="0042739D" w:rsidRPr="00AD0854">
        <w:t xml:space="preserve">което представлява </w:t>
      </w:r>
      <w:r w:rsidR="00AD0854" w:rsidRPr="00AD0854">
        <w:t>44,7</w:t>
      </w:r>
      <w:r w:rsidR="00AD0854" w:rsidRPr="00AD0854">
        <w:rPr>
          <w:lang w:val="en-US"/>
        </w:rPr>
        <w:t xml:space="preserve"> </w:t>
      </w:r>
      <w:r w:rsidR="00AD0854" w:rsidRPr="00AD0854">
        <w:t>%</w:t>
      </w:r>
      <w:r w:rsidR="00AD0854" w:rsidRPr="00AD0854">
        <w:rPr>
          <w:lang w:val="en-US"/>
        </w:rPr>
        <w:t xml:space="preserve"> </w:t>
      </w:r>
      <w:r w:rsidR="0042739D" w:rsidRPr="00AD0854">
        <w:t>от планираните със ЗДБРБ за 2026 година</w:t>
      </w:r>
      <w:r w:rsidRPr="00AD0854">
        <w:rPr>
          <w:b/>
        </w:rPr>
        <w:t>.</w:t>
      </w:r>
      <w:r w:rsidRPr="00AD0854">
        <w:t xml:space="preserve"> Съпоставени</w:t>
      </w:r>
      <w:r w:rsidRPr="00E60E25">
        <w:t xml:space="preserve"> с края на юни 2025 г., приходите от ДДС нарастват със 769,5 млн. евро </w:t>
      </w:r>
      <w:r w:rsidRPr="00E60E25">
        <w:rPr>
          <w:lang w:val="ru-RU"/>
        </w:rPr>
        <w:t>(</w:t>
      </w:r>
      <w:r w:rsidRPr="00E60E25">
        <w:t>15,5 на сто</w:t>
      </w:r>
      <w:r w:rsidRPr="00E60E25">
        <w:rPr>
          <w:lang w:val="ru-RU"/>
        </w:rPr>
        <w:t>)</w:t>
      </w:r>
      <w:r w:rsidRPr="00E60E25">
        <w:t>.</w:t>
      </w:r>
    </w:p>
    <w:p w14:paraId="5DE2A157" w14:textId="7AE131A7" w:rsidR="00044565" w:rsidRPr="005F1916" w:rsidRDefault="00044565" w:rsidP="00044565">
      <w:pPr>
        <w:spacing w:after="120"/>
        <w:contextualSpacing/>
        <w:jc w:val="both"/>
        <w:rPr>
          <w:color w:val="0070C0"/>
        </w:rPr>
      </w:pPr>
      <w:r w:rsidRPr="00422F83">
        <w:t xml:space="preserve">Нетният размер на приходите от </w:t>
      </w:r>
      <w:r w:rsidRPr="00422F83">
        <w:rPr>
          <w:i/>
        </w:rPr>
        <w:t>ДДС от внос</w:t>
      </w:r>
      <w:r w:rsidRPr="00422F83">
        <w:t xml:space="preserve"> </w:t>
      </w:r>
      <w:r w:rsidRPr="00422F83">
        <w:rPr>
          <w:bCs/>
        </w:rPr>
        <w:t>към юни 2026 г.</w:t>
      </w:r>
      <w:r w:rsidRPr="00422F83">
        <w:t xml:space="preserve"> е 1 978,6 млн. евро. Върху постъпленията от ДДС от внос влияние оказва възможността </w:t>
      </w:r>
      <w:r w:rsidRPr="00422F83">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422F83">
        <w:rPr>
          <w:bCs/>
        </w:rPr>
        <w:t xml:space="preserve"> </w:t>
      </w:r>
      <w:r w:rsidRPr="00422F83">
        <w:t xml:space="preserve">Ефектът от прилагането на този режим </w:t>
      </w:r>
      <w:r w:rsidRPr="00422F83">
        <w:rPr>
          <w:bCs/>
        </w:rPr>
        <w:t xml:space="preserve">е неначислен ДДС при внос в </w:t>
      </w:r>
      <w:r w:rsidRPr="00DB361D">
        <w:t xml:space="preserve">размер на </w:t>
      </w:r>
      <w:r>
        <w:t>498,0</w:t>
      </w:r>
      <w:r w:rsidRPr="00DB361D">
        <w:t xml:space="preserve"> млн. евро, което е с</w:t>
      </w:r>
      <w:r>
        <w:t>ъс</w:t>
      </w:r>
      <w:r w:rsidRPr="00DB361D">
        <w:t xml:space="preserve"> </w:t>
      </w:r>
      <w:r>
        <w:t>166,1</w:t>
      </w:r>
      <w:r w:rsidRPr="00CA0B8B">
        <w:t xml:space="preserve"> млн. евро (</w:t>
      </w:r>
      <w:r>
        <w:t>50,0 </w:t>
      </w:r>
      <w:r w:rsidRPr="00CA0B8B">
        <w:t>%) повече</w:t>
      </w:r>
      <w:r w:rsidRPr="00DB361D">
        <w:t xml:space="preserve"> спрямо </w:t>
      </w:r>
      <w:r>
        <w:t>същия период на</w:t>
      </w:r>
      <w:r w:rsidRPr="00DB361D">
        <w:t xml:space="preserve"> 2025 година. </w:t>
      </w:r>
      <w:r w:rsidRPr="00E8070D">
        <w:t xml:space="preserve">Стоките с най-значителен дял в сумата на неначисления ДДС през първите </w:t>
      </w:r>
      <w:r>
        <w:t>шест</w:t>
      </w:r>
      <w:r w:rsidRPr="00E8070D">
        <w:t xml:space="preserve"> месеца на 2026 г. са:</w:t>
      </w:r>
      <w:r w:rsidRPr="00DB361D">
        <w:t xml:space="preserve"> Руди, шлаки и пепели – </w:t>
      </w:r>
      <w:r>
        <w:t>311,0</w:t>
      </w:r>
      <w:r w:rsidRPr="00CA0B8B">
        <w:t xml:space="preserve"> млн. евро (увеличение с</w:t>
      </w:r>
      <w:r>
        <w:t>ъс</w:t>
      </w:r>
      <w:r w:rsidRPr="00CA0B8B">
        <w:t xml:space="preserve"> </w:t>
      </w:r>
      <w:r>
        <w:t>147,9</w:t>
      </w:r>
      <w:r w:rsidRPr="00CA0B8B">
        <w:t xml:space="preserve"> млн. евро, </w:t>
      </w:r>
      <w:r>
        <w:t>90,6 </w:t>
      </w:r>
      <w:r w:rsidRPr="00CA0B8B">
        <w:t xml:space="preserve">% ръст, отн. дял </w:t>
      </w:r>
      <w:r>
        <w:t xml:space="preserve">62,5 </w:t>
      </w:r>
      <w:r w:rsidRPr="00CA0B8B">
        <w:t>%)</w:t>
      </w:r>
      <w:r w:rsidRPr="00DB361D">
        <w:t xml:space="preserve">, Мед и изделия от мед – </w:t>
      </w:r>
      <w:r>
        <w:t>106,1</w:t>
      </w:r>
      <w:r w:rsidRPr="00CA0B8B">
        <w:t xml:space="preserve"> млн. евро (увеличение с </w:t>
      </w:r>
      <w:r>
        <w:t>30,9</w:t>
      </w:r>
      <w:r w:rsidR="00444013">
        <w:t> </w:t>
      </w:r>
      <w:r w:rsidRPr="00CA0B8B">
        <w:t xml:space="preserve">млн. евро, </w:t>
      </w:r>
      <w:r>
        <w:t>41,2 </w:t>
      </w:r>
      <w:r w:rsidRPr="00CA0B8B">
        <w:t xml:space="preserve">% ръст, отн. дял </w:t>
      </w:r>
      <w:r>
        <w:t>21,3 </w:t>
      </w:r>
      <w:r w:rsidRPr="00CA0B8B">
        <w:t>%)</w:t>
      </w:r>
      <w:r w:rsidRPr="00DB361D">
        <w:t xml:space="preserve"> и Чугун, желязо и стомана – </w:t>
      </w:r>
      <w:r>
        <w:t>34,8</w:t>
      </w:r>
      <w:r w:rsidRPr="00CA0B8B">
        <w:t xml:space="preserve"> млн. евро (намаление с</w:t>
      </w:r>
      <w:r>
        <w:t>ъс</w:t>
      </w:r>
      <w:r w:rsidRPr="00CA0B8B">
        <w:t xml:space="preserve"> </w:t>
      </w:r>
      <w:r>
        <w:t>7,3</w:t>
      </w:r>
      <w:r w:rsidRPr="00CA0B8B">
        <w:t xml:space="preserve"> млн. евро, </w:t>
      </w:r>
      <w:r>
        <w:t>17,3 </w:t>
      </w:r>
      <w:r w:rsidRPr="00CA0B8B">
        <w:t xml:space="preserve">% спад, отн. дял </w:t>
      </w:r>
      <w:r>
        <w:t xml:space="preserve">7,0 </w:t>
      </w:r>
      <w:r w:rsidRPr="00CA0B8B">
        <w:t>%). Изброените три групи стоки формират 9</w:t>
      </w:r>
      <w:r>
        <w:t xml:space="preserve">0,8 </w:t>
      </w:r>
      <w:r w:rsidRPr="00CA0B8B">
        <w:t xml:space="preserve">% от неначисления ДДС за </w:t>
      </w:r>
      <w:r>
        <w:t>първите шест</w:t>
      </w:r>
      <w:r w:rsidRPr="00CA0B8B">
        <w:t xml:space="preserve"> месеца на </w:t>
      </w:r>
      <w:r w:rsidRPr="00DB361D">
        <w:t>2026 година</w:t>
      </w:r>
      <w:r w:rsidRPr="005F1916">
        <w:rPr>
          <w:color w:val="0070C0"/>
        </w:rPr>
        <w:t>.</w:t>
      </w:r>
    </w:p>
    <w:p w14:paraId="5A547CB1" w14:textId="77777777" w:rsidR="00044565" w:rsidRPr="005F1916" w:rsidRDefault="00044565" w:rsidP="00044565">
      <w:pPr>
        <w:spacing w:after="120"/>
        <w:contextualSpacing/>
        <w:jc w:val="both"/>
        <w:rPr>
          <w:bCs/>
          <w:color w:val="0070C0"/>
        </w:rPr>
      </w:pPr>
      <w:r w:rsidRPr="00762798">
        <w:t>Постъпленията от</w:t>
      </w:r>
      <w:r w:rsidRPr="00762798">
        <w:rPr>
          <w:i/>
        </w:rPr>
        <w:t xml:space="preserve"> ДДС при сделки в страната и ВОП (нето)</w:t>
      </w:r>
      <w:r w:rsidRPr="00762798">
        <w:t xml:space="preserve"> </w:t>
      </w:r>
      <w:r w:rsidRPr="00762798">
        <w:rPr>
          <w:bCs/>
        </w:rPr>
        <w:t>към юни 2026 г.</w:t>
      </w:r>
      <w:r w:rsidRPr="00762798">
        <w:t xml:space="preserve"> възлизат на 3 742,4 млн. евро. Сравнени с данните за същия период на предходната година постъпленията </w:t>
      </w:r>
      <w:r w:rsidRPr="00762798">
        <w:rPr>
          <w:bCs/>
        </w:rPr>
        <w:t xml:space="preserve">нарастват с 412,3 </w:t>
      </w:r>
      <w:r w:rsidRPr="00762798">
        <w:rPr>
          <w:bCs/>
          <w:lang w:val="ru-RU"/>
        </w:rPr>
        <w:t>млн. евро (12,4 %).</w:t>
      </w:r>
    </w:p>
    <w:p w14:paraId="76407654" w14:textId="77777777" w:rsidR="00044565" w:rsidRPr="00885079" w:rsidRDefault="00044565" w:rsidP="00044565">
      <w:pPr>
        <w:tabs>
          <w:tab w:val="left" w:pos="0"/>
        </w:tabs>
        <w:ind w:right="51"/>
        <w:jc w:val="both"/>
      </w:pPr>
      <w:r w:rsidRPr="00885079">
        <w:t>Ефективно внесеният ДДС по сметките на Националната агенция за приходите</w:t>
      </w:r>
      <w:r w:rsidRPr="00885079">
        <w:rPr>
          <w:i/>
        </w:rPr>
        <w:t xml:space="preserve"> </w:t>
      </w:r>
      <w:r w:rsidRPr="00885079">
        <w:t>се</w:t>
      </w:r>
      <w:r w:rsidRPr="00885079">
        <w:rPr>
          <w:i/>
        </w:rPr>
        <w:t xml:space="preserve"> </w:t>
      </w:r>
      <w:r w:rsidRPr="00885079">
        <w:t xml:space="preserve">формира от данък по справки-декларации от сделки в страната и ВОП и допълнително внесени суми, разкрити с данъчно-ревизионни актове при ревизии.   </w:t>
      </w:r>
    </w:p>
    <w:p w14:paraId="2208612A" w14:textId="77777777" w:rsidR="00044565" w:rsidRPr="005F1916" w:rsidRDefault="00044565" w:rsidP="00044565">
      <w:pPr>
        <w:tabs>
          <w:tab w:val="left" w:pos="9900"/>
        </w:tabs>
        <w:ind w:right="-28"/>
        <w:jc w:val="both"/>
        <w:rPr>
          <w:color w:val="0070C0"/>
          <w:shd w:val="clear" w:color="auto" w:fill="FFFFFF"/>
        </w:rPr>
      </w:pPr>
      <w:r w:rsidRPr="00885079">
        <w:t xml:space="preserve">Размерът на декларирания ДДС за възстановяване зависи основно от обема на износа и извършените инвестиции. Регистрираните по ЗДДС лица упражняват правото си на данъчен кредит чрез приспадане по реда на чл. 92, ал. 1 от ЗДДС или чрез ефективно възстановяване от </w:t>
      </w:r>
      <w:r w:rsidRPr="00885079">
        <w:lastRenderedPageBreak/>
        <w:t xml:space="preserve">страна на данъчната администрация след изтичане на законоустановения срок. </w:t>
      </w:r>
      <w:r>
        <w:t>Към 3</w:t>
      </w:r>
      <w:r>
        <w:rPr>
          <w:lang w:val="en-US"/>
        </w:rPr>
        <w:t>0</w:t>
      </w:r>
      <w:r>
        <w:t>.0</w:t>
      </w:r>
      <w:r>
        <w:rPr>
          <w:lang w:val="en-US"/>
        </w:rPr>
        <w:t>6</w:t>
      </w:r>
      <w:r>
        <w:t>.</w:t>
      </w:r>
      <w:r w:rsidRPr="008605D1">
        <w:t>202</w:t>
      </w:r>
      <w:r>
        <w:t>6</w:t>
      </w:r>
      <w:r w:rsidRPr="008605D1">
        <w:t xml:space="preserve"> г.</w:t>
      </w:r>
      <w:r>
        <w:t xml:space="preserve"> </w:t>
      </w:r>
      <w:r>
        <w:rPr>
          <w:i/>
        </w:rPr>
        <w:t>п</w:t>
      </w:r>
      <w:r w:rsidRPr="008605D1">
        <w:rPr>
          <w:i/>
        </w:rPr>
        <w:t>риспаднатият данък</w:t>
      </w:r>
      <w:r>
        <w:rPr>
          <w:i/>
        </w:rPr>
        <w:t xml:space="preserve"> </w:t>
      </w:r>
      <w:r w:rsidRPr="00F0462A">
        <w:t>възлиза на</w:t>
      </w:r>
      <w:r w:rsidRPr="008605D1">
        <w:t xml:space="preserve"> </w:t>
      </w:r>
      <w:r w:rsidRPr="00CD2985">
        <w:rPr>
          <w:lang w:val="en-US"/>
        </w:rPr>
        <w:t>334,8</w:t>
      </w:r>
      <w:r w:rsidRPr="009A2FD9">
        <w:t xml:space="preserve"> млн. </w:t>
      </w:r>
      <w:r w:rsidRPr="00FE5D2B">
        <w:t>евро</w:t>
      </w:r>
      <w:r>
        <w:t>, което представлява увеличение</w:t>
      </w:r>
      <w:r w:rsidRPr="009A2FD9">
        <w:t xml:space="preserve"> с </w:t>
      </w:r>
      <w:r w:rsidRPr="00CD2985">
        <w:rPr>
          <w:lang w:val="en-US"/>
        </w:rPr>
        <w:t>55,2</w:t>
      </w:r>
      <w:r w:rsidRPr="009A2FD9">
        <w:t xml:space="preserve"> млн. евро</w:t>
      </w:r>
      <w:r>
        <w:t xml:space="preserve"> </w:t>
      </w:r>
      <w:r w:rsidRPr="00123191">
        <w:t>(</w:t>
      </w:r>
      <w:r>
        <w:t>19,7</w:t>
      </w:r>
      <w:r w:rsidRPr="00123191">
        <w:t xml:space="preserve"> %)</w:t>
      </w:r>
      <w:r w:rsidRPr="008605D1">
        <w:t xml:space="preserve"> </w:t>
      </w:r>
      <w:r>
        <w:t xml:space="preserve">спрямо края на юни </w:t>
      </w:r>
      <w:r w:rsidRPr="008605D1">
        <w:t>202</w:t>
      </w:r>
      <w:r>
        <w:t>5</w:t>
      </w:r>
      <w:r w:rsidRPr="008605D1">
        <w:t xml:space="preserve"> година. </w:t>
      </w:r>
      <w:r w:rsidRPr="008605D1">
        <w:rPr>
          <w:i/>
        </w:rPr>
        <w:t>Възстановеният данък</w:t>
      </w:r>
      <w:r w:rsidRPr="008605D1">
        <w:t xml:space="preserve"> е в размер на </w:t>
      </w:r>
      <w:r w:rsidRPr="006342A5">
        <w:t>3 110,8</w:t>
      </w:r>
      <w:r w:rsidRPr="008605D1">
        <w:t xml:space="preserve"> млн. </w:t>
      </w:r>
      <w:r>
        <w:t>евро</w:t>
      </w:r>
      <w:r w:rsidRPr="008605D1">
        <w:t xml:space="preserve">, </w:t>
      </w:r>
      <w:r>
        <w:t xml:space="preserve">като </w:t>
      </w:r>
      <w:r w:rsidRPr="008605D1">
        <w:t>възстановени</w:t>
      </w:r>
      <w:r>
        <w:t>те</w:t>
      </w:r>
      <w:r w:rsidRPr="008605D1">
        <w:t xml:space="preserve"> суми </w:t>
      </w:r>
      <w:r>
        <w:t>са</w:t>
      </w:r>
      <w:r w:rsidRPr="008605D1">
        <w:t xml:space="preserve"> с </w:t>
      </w:r>
      <w:r w:rsidRPr="006342A5">
        <w:t>383,5</w:t>
      </w:r>
      <w:r w:rsidRPr="008605D1">
        <w:t xml:space="preserve"> млн.</w:t>
      </w:r>
      <w:r>
        <w:t xml:space="preserve"> евро</w:t>
      </w:r>
      <w:r w:rsidRPr="008605D1">
        <w:t xml:space="preserve"> </w:t>
      </w:r>
      <w:r w:rsidRPr="00123191">
        <w:t>(</w:t>
      </w:r>
      <w:r>
        <w:t>14,</w:t>
      </w:r>
      <w:r>
        <w:rPr>
          <w:lang w:val="en-US"/>
        </w:rPr>
        <w:t>1</w:t>
      </w:r>
      <w:r w:rsidRPr="00123191">
        <w:t xml:space="preserve"> %)</w:t>
      </w:r>
      <w:r>
        <w:rPr>
          <w:lang w:val="en-US"/>
        </w:rPr>
        <w:t xml:space="preserve"> </w:t>
      </w:r>
      <w:r w:rsidRPr="008605D1">
        <w:t>по</w:t>
      </w:r>
      <w:r>
        <w:t>вече</w:t>
      </w:r>
      <w:r w:rsidRPr="008605D1">
        <w:t xml:space="preserve"> </w:t>
      </w:r>
      <w:r>
        <w:t>в сравнение със същия период на предходната</w:t>
      </w:r>
      <w:r w:rsidRPr="008605D1">
        <w:t xml:space="preserve"> година. </w:t>
      </w:r>
      <w:r w:rsidRPr="00EA5738">
        <w:rPr>
          <w:i/>
          <w:shd w:val="clear" w:color="auto" w:fill="FFFFFF"/>
        </w:rPr>
        <w:t>Невъзстановеният ДДС</w:t>
      </w:r>
      <w:r w:rsidRPr="004F38D3">
        <w:rPr>
          <w:shd w:val="clear" w:color="auto" w:fill="FFFFFF"/>
        </w:rPr>
        <w:t xml:space="preserve"> </w:t>
      </w:r>
      <w:r>
        <w:rPr>
          <w:shd w:val="clear" w:color="auto" w:fill="FFFFFF"/>
        </w:rPr>
        <w:t>към</w:t>
      </w:r>
      <w:r w:rsidRPr="004F38D3">
        <w:rPr>
          <w:shd w:val="clear" w:color="auto" w:fill="FFFFFF"/>
        </w:rPr>
        <w:t xml:space="preserve"> </w:t>
      </w:r>
      <w:r>
        <w:rPr>
          <w:shd w:val="clear" w:color="auto" w:fill="FFFFFF"/>
        </w:rPr>
        <w:t xml:space="preserve">края на </w:t>
      </w:r>
      <w:r>
        <w:t>юни</w:t>
      </w:r>
      <w:r w:rsidRPr="004F38D3">
        <w:rPr>
          <w:shd w:val="clear" w:color="auto" w:fill="FFFFFF"/>
        </w:rPr>
        <w:t xml:space="preserve"> 202</w:t>
      </w:r>
      <w:r>
        <w:rPr>
          <w:shd w:val="clear" w:color="auto" w:fill="FFFFFF"/>
        </w:rPr>
        <w:t>6</w:t>
      </w:r>
      <w:r w:rsidRPr="004F38D3">
        <w:rPr>
          <w:shd w:val="clear" w:color="auto" w:fill="FFFFFF"/>
        </w:rPr>
        <w:t xml:space="preserve"> г. </w:t>
      </w:r>
      <w:r>
        <w:rPr>
          <w:shd w:val="clear" w:color="auto" w:fill="FFFFFF"/>
        </w:rPr>
        <w:t xml:space="preserve">възлиза </w:t>
      </w:r>
      <w:r w:rsidRPr="004F38D3">
        <w:rPr>
          <w:shd w:val="clear" w:color="auto" w:fill="FFFFFF"/>
        </w:rPr>
        <w:t xml:space="preserve">на </w:t>
      </w:r>
      <w:r w:rsidRPr="006342A5">
        <w:rPr>
          <w:shd w:val="clear" w:color="auto" w:fill="FFFFFF"/>
        </w:rPr>
        <w:t>32,9</w:t>
      </w:r>
      <w:r w:rsidRPr="004F38D3">
        <w:rPr>
          <w:shd w:val="clear" w:color="auto" w:fill="FFFFFF"/>
        </w:rPr>
        <w:t xml:space="preserve"> млн. </w:t>
      </w:r>
      <w:r w:rsidRPr="00831D57">
        <w:rPr>
          <w:shd w:val="clear" w:color="auto" w:fill="FFFFFF"/>
        </w:rPr>
        <w:t>евро</w:t>
      </w:r>
      <w:r w:rsidRPr="004F38D3">
        <w:rPr>
          <w:shd w:val="clear" w:color="auto" w:fill="FFFFFF"/>
        </w:rPr>
        <w:t xml:space="preserve">, </w:t>
      </w:r>
      <w:r>
        <w:rPr>
          <w:shd w:val="clear" w:color="auto" w:fill="FFFFFF"/>
        </w:rPr>
        <w:t>което</w:t>
      </w:r>
      <w:r w:rsidRPr="004F38D3">
        <w:rPr>
          <w:shd w:val="clear" w:color="auto" w:fill="FFFFFF"/>
        </w:rPr>
        <w:t xml:space="preserve"> </w:t>
      </w:r>
      <w:r w:rsidRPr="00831D57">
        <w:rPr>
          <w:shd w:val="clear" w:color="auto" w:fill="FFFFFF"/>
        </w:rPr>
        <w:t xml:space="preserve">е с </w:t>
      </w:r>
      <w:r>
        <w:rPr>
          <w:shd w:val="clear" w:color="auto" w:fill="FFFFFF"/>
        </w:rPr>
        <w:t>4,6</w:t>
      </w:r>
      <w:r w:rsidRPr="004F38D3">
        <w:rPr>
          <w:shd w:val="clear" w:color="auto" w:fill="FFFFFF"/>
        </w:rPr>
        <w:t xml:space="preserve"> млн. </w:t>
      </w:r>
      <w:r w:rsidRPr="00831D57">
        <w:rPr>
          <w:shd w:val="clear" w:color="auto" w:fill="FFFFFF"/>
        </w:rPr>
        <w:t>евро по</w:t>
      </w:r>
      <w:r>
        <w:rPr>
          <w:shd w:val="clear" w:color="auto" w:fill="FFFFFF"/>
        </w:rPr>
        <w:t>-малко</w:t>
      </w:r>
      <w:r w:rsidRPr="00831D57">
        <w:rPr>
          <w:shd w:val="clear" w:color="auto" w:fill="FFFFFF"/>
        </w:rPr>
        <w:t xml:space="preserve"> </w:t>
      </w:r>
      <w:r w:rsidRPr="004F38D3">
        <w:rPr>
          <w:shd w:val="clear" w:color="auto" w:fill="FFFFFF"/>
        </w:rPr>
        <w:t>спрямо</w:t>
      </w:r>
      <w:r>
        <w:rPr>
          <w:shd w:val="clear" w:color="auto" w:fill="FFFFFF"/>
        </w:rPr>
        <w:t xml:space="preserve"> същия период на </w:t>
      </w:r>
      <w:r w:rsidRPr="004F38D3">
        <w:rPr>
          <w:shd w:val="clear" w:color="auto" w:fill="FFFFFF"/>
        </w:rPr>
        <w:t>202</w:t>
      </w:r>
      <w:r w:rsidRPr="00831D57">
        <w:rPr>
          <w:shd w:val="clear" w:color="auto" w:fill="FFFFFF"/>
          <w:lang w:val="en-US"/>
        </w:rPr>
        <w:t>5</w:t>
      </w:r>
      <w:r w:rsidRPr="004F38D3">
        <w:rPr>
          <w:shd w:val="clear" w:color="auto" w:fill="FFFFFF"/>
        </w:rPr>
        <w:t xml:space="preserve"> година</w:t>
      </w:r>
      <w:r w:rsidRPr="005F1916">
        <w:rPr>
          <w:color w:val="0070C0"/>
          <w:shd w:val="clear" w:color="auto" w:fill="FFFFFF"/>
        </w:rPr>
        <w:t>.</w:t>
      </w:r>
    </w:p>
    <w:p w14:paraId="36844A6C" w14:textId="77777777" w:rsidR="00044565" w:rsidRPr="005F1916" w:rsidRDefault="00044565" w:rsidP="00044565">
      <w:pPr>
        <w:tabs>
          <w:tab w:val="left" w:pos="9900"/>
        </w:tabs>
        <w:spacing w:before="120"/>
        <w:ind w:right="-28"/>
        <w:jc w:val="both"/>
        <w:rPr>
          <w:color w:val="0070C0"/>
        </w:rPr>
      </w:pPr>
      <w:r w:rsidRPr="005B2FDF">
        <w:rPr>
          <w:b/>
        </w:rPr>
        <w:t xml:space="preserve">Приходите от акцизи (нето) </w:t>
      </w:r>
      <w:r w:rsidRPr="005B2FDF">
        <w:t xml:space="preserve">от внос, вътрешно производство и въведени в страната от други държави-членки на ЕС акцизни стоки са в размер на </w:t>
      </w:r>
      <w:r w:rsidRPr="005B2FDF">
        <w:rPr>
          <w:b/>
        </w:rPr>
        <w:t>1 691,2 млн. евро</w:t>
      </w:r>
      <w:r w:rsidR="00A35697" w:rsidRPr="005B2FDF">
        <w:t>,</w:t>
      </w:r>
      <w:r w:rsidR="00A35697" w:rsidRPr="005B2FDF">
        <w:rPr>
          <w:b/>
        </w:rPr>
        <w:t xml:space="preserve"> </w:t>
      </w:r>
      <w:r w:rsidR="00A35697" w:rsidRPr="005B2FDF">
        <w:t xml:space="preserve">което е </w:t>
      </w:r>
      <w:r w:rsidR="005B2FDF" w:rsidRPr="005B2FDF">
        <w:t>42,7</w:t>
      </w:r>
      <w:r w:rsidR="005B2FDF" w:rsidRPr="005B2FDF">
        <w:rPr>
          <w:lang w:val="en-US"/>
        </w:rPr>
        <w:t xml:space="preserve"> </w:t>
      </w:r>
      <w:r w:rsidR="005B2FDF" w:rsidRPr="005B2FDF">
        <w:t>%</w:t>
      </w:r>
      <w:r w:rsidR="005B2FDF" w:rsidRPr="005B2FDF">
        <w:rPr>
          <w:lang w:val="en-US"/>
        </w:rPr>
        <w:t xml:space="preserve"> </w:t>
      </w:r>
      <w:r w:rsidR="00A35697" w:rsidRPr="005B2FDF">
        <w:t>от планираните със ЗДБРБ за 2026 г.</w:t>
      </w:r>
      <w:r w:rsidR="00A35697" w:rsidRPr="005B2FDF">
        <w:rPr>
          <w:b/>
        </w:rPr>
        <w:t xml:space="preserve"> </w:t>
      </w:r>
      <w:r w:rsidRPr="005B2FDF">
        <w:t>Съпоставени със същия период на предходната година</w:t>
      </w:r>
      <w:r w:rsidRPr="005C6317">
        <w:t xml:space="preserve"> постъпленията от акцизи намаляват с 93,8 млн. евро (5,3 на сто). </w:t>
      </w:r>
      <w:r w:rsidRPr="00671646">
        <w:t xml:space="preserve">Спадът на постъпленията се дължи основно на групата на тютюна и тютюневите изделия, при която за периода са отчетени със </w:t>
      </w:r>
      <w:r>
        <w:t>71,2</w:t>
      </w:r>
      <w:r w:rsidRPr="00671646">
        <w:t xml:space="preserve"> млн. евро по-малко приходи спрямо съпоставимия период на предходната година. В тази връзка следва да се отбележи, че</w:t>
      </w:r>
      <w:r w:rsidRPr="00671646">
        <w:rPr>
          <w:lang w:val="en-US"/>
        </w:rPr>
        <w:t xml:space="preserve"> </w:t>
      </w:r>
      <w:r w:rsidRPr="00671646">
        <w:t xml:space="preserve">от 01.05.2025 г. в съответствие със законоустановения график бяха увеличени акцизните ставки на тютюна и тютюневите изделия, което доведе до изместване на постъпленията през месеците преди и след влизане в сила на промяната. В следствие на това, приходите от цигари през периода януари-юни 2025 г. са с </w:t>
      </w:r>
      <w:r>
        <w:t>55,1 </w:t>
      </w:r>
      <w:r w:rsidRPr="00671646">
        <w:t>млн. евро (</w:t>
      </w:r>
      <w:r>
        <w:t xml:space="preserve">5,6 </w:t>
      </w:r>
      <w:r w:rsidRPr="00671646">
        <w:t>%) повече от събраните през 2026 година</w:t>
      </w:r>
      <w:r w:rsidRPr="005F1916">
        <w:rPr>
          <w:color w:val="0070C0"/>
        </w:rPr>
        <w:t>.</w:t>
      </w:r>
    </w:p>
    <w:p w14:paraId="0C27D3A0" w14:textId="77777777" w:rsidR="00044565" w:rsidRPr="00F540AB" w:rsidRDefault="00044565" w:rsidP="00044565">
      <w:pPr>
        <w:spacing w:before="120" w:after="120"/>
        <w:jc w:val="both"/>
      </w:pPr>
      <w:r w:rsidRPr="00F540AB">
        <w:t>Относителният дял на нетните постъпления от акциз по стокови групи е от: тютюн и тютюневи изделия (57,4 %); горива (37,2 %); алкохол и алкохолни напитки, вкл. бира (4,6 %) и други акцизни стоки (0,8 %). Постъпленията от акциз към юни 2026 г. по основни стокови групи, са както следва:</w:t>
      </w:r>
    </w:p>
    <w:p w14:paraId="6EEE520D" w14:textId="77777777" w:rsidR="00044565" w:rsidRPr="00EE5854" w:rsidRDefault="00044565" w:rsidP="00044565">
      <w:pPr>
        <w:numPr>
          <w:ilvl w:val="0"/>
          <w:numId w:val="12"/>
        </w:numPr>
        <w:tabs>
          <w:tab w:val="clear" w:pos="360"/>
          <w:tab w:val="num" w:pos="720"/>
        </w:tabs>
        <w:ind w:left="720"/>
        <w:jc w:val="both"/>
        <w:rPr>
          <w:i/>
        </w:rPr>
      </w:pPr>
      <w:r w:rsidRPr="00EE5854">
        <w:rPr>
          <w:i/>
        </w:rPr>
        <w:t xml:space="preserve">акцизи от тютюн и тютюневи изделия – 970,6 млн. евро; </w:t>
      </w:r>
    </w:p>
    <w:p w14:paraId="47CEAE04" w14:textId="77777777" w:rsidR="00044565" w:rsidRPr="00EE73DF" w:rsidRDefault="00044565" w:rsidP="00044565">
      <w:pPr>
        <w:numPr>
          <w:ilvl w:val="0"/>
          <w:numId w:val="12"/>
        </w:numPr>
        <w:tabs>
          <w:tab w:val="clear" w:pos="360"/>
          <w:tab w:val="num" w:pos="720"/>
        </w:tabs>
        <w:ind w:left="720"/>
        <w:jc w:val="both"/>
        <w:rPr>
          <w:i/>
        </w:rPr>
      </w:pPr>
      <w:r w:rsidRPr="00EE73DF">
        <w:rPr>
          <w:i/>
        </w:rPr>
        <w:t xml:space="preserve">акцизи от горива – 629,0 млн. евро; </w:t>
      </w:r>
    </w:p>
    <w:p w14:paraId="5EF69B81" w14:textId="77777777" w:rsidR="00044565" w:rsidRPr="00EE73DF" w:rsidRDefault="00044565" w:rsidP="00044565">
      <w:pPr>
        <w:numPr>
          <w:ilvl w:val="0"/>
          <w:numId w:val="12"/>
        </w:numPr>
        <w:tabs>
          <w:tab w:val="clear" w:pos="360"/>
          <w:tab w:val="num" w:pos="720"/>
        </w:tabs>
        <w:ind w:left="720"/>
        <w:jc w:val="both"/>
        <w:rPr>
          <w:i/>
        </w:rPr>
      </w:pPr>
      <w:r w:rsidRPr="00EE73DF">
        <w:rPr>
          <w:i/>
        </w:rPr>
        <w:t xml:space="preserve">акцизи от алкохол и алкохолни напитки (вкл. бира) – 78,3 млн. евро; </w:t>
      </w:r>
    </w:p>
    <w:p w14:paraId="35B88BB7" w14:textId="77777777" w:rsidR="00044565" w:rsidRPr="00EE73DF" w:rsidRDefault="00044565" w:rsidP="00044565">
      <w:pPr>
        <w:numPr>
          <w:ilvl w:val="0"/>
          <w:numId w:val="12"/>
        </w:numPr>
        <w:tabs>
          <w:tab w:val="clear" w:pos="360"/>
          <w:tab w:val="num" w:pos="720"/>
        </w:tabs>
        <w:ind w:left="720"/>
        <w:jc w:val="both"/>
        <w:rPr>
          <w:i/>
        </w:rPr>
      </w:pPr>
      <w:r w:rsidRPr="00EE73DF">
        <w:rPr>
          <w:i/>
        </w:rPr>
        <w:t>приходи от ел. енергия и др. акцизни стоки – 13,3 млн. евро.</w:t>
      </w:r>
    </w:p>
    <w:p w14:paraId="03D4BBE2" w14:textId="77777777" w:rsidR="00044565" w:rsidRPr="00EE73DF" w:rsidRDefault="00044565" w:rsidP="00044565">
      <w:pPr>
        <w:ind w:left="360"/>
        <w:jc w:val="both"/>
        <w:rPr>
          <w:color w:val="0070C0"/>
          <w:sz w:val="8"/>
          <w:szCs w:val="8"/>
        </w:rPr>
      </w:pPr>
    </w:p>
    <w:p w14:paraId="13387CC2" w14:textId="77777777" w:rsidR="00044565" w:rsidRPr="00EE73DF" w:rsidRDefault="00044565" w:rsidP="00044565">
      <w:pPr>
        <w:ind w:left="360"/>
        <w:jc w:val="both"/>
        <w:rPr>
          <w:color w:val="0070C0"/>
          <w:sz w:val="8"/>
          <w:szCs w:val="8"/>
        </w:rPr>
      </w:pPr>
    </w:p>
    <w:p w14:paraId="7916E608" w14:textId="77777777" w:rsidR="00044565" w:rsidRPr="00EE73DF" w:rsidRDefault="00044565" w:rsidP="00044565">
      <w:pPr>
        <w:spacing w:after="120"/>
        <w:jc w:val="both"/>
      </w:pPr>
      <w:r w:rsidRPr="00EE73DF">
        <w:rPr>
          <w:b/>
        </w:rPr>
        <w:t>Приходите от данък върху застрахователните премии</w:t>
      </w:r>
      <w:r w:rsidRPr="00EE73DF">
        <w:t xml:space="preserve"> са в размер на </w:t>
      </w:r>
      <w:r w:rsidRPr="00EE73DF">
        <w:rPr>
          <w:b/>
        </w:rPr>
        <w:t>20,5 млн. евро</w:t>
      </w:r>
      <w:r w:rsidR="00DC560B" w:rsidRPr="00EE73DF">
        <w:rPr>
          <w:b/>
        </w:rPr>
        <w:t xml:space="preserve"> </w:t>
      </w:r>
      <w:r w:rsidR="00DC560B" w:rsidRPr="00EE73DF">
        <w:t xml:space="preserve">при планирани за годината </w:t>
      </w:r>
      <w:r w:rsidR="00EE73DF" w:rsidRPr="00EE73DF">
        <w:t>43,4</w:t>
      </w:r>
      <w:r w:rsidR="00EE73DF" w:rsidRPr="00EE73DF">
        <w:rPr>
          <w:lang w:val="en-US"/>
        </w:rPr>
        <w:t xml:space="preserve"> </w:t>
      </w:r>
      <w:r w:rsidR="00DC560B" w:rsidRPr="00EE73DF">
        <w:t xml:space="preserve">млн. </w:t>
      </w:r>
      <w:r w:rsidR="00EE73DF" w:rsidRPr="00EE73DF">
        <w:t>евро</w:t>
      </w:r>
      <w:r w:rsidR="00DC560B" w:rsidRPr="00EE73DF">
        <w:t xml:space="preserve">, като в </w:t>
      </w:r>
      <w:r w:rsidRPr="00EE73DF">
        <w:t xml:space="preserve">сравнение със същия период на 2025 г. отчитат ръст от 1,6 млн. евро </w:t>
      </w:r>
      <w:r w:rsidRPr="00EE73DF">
        <w:rPr>
          <w:lang w:val="en-US"/>
        </w:rPr>
        <w:t>(</w:t>
      </w:r>
      <w:r w:rsidRPr="00EE73DF">
        <w:t xml:space="preserve"> 8,4 %</w:t>
      </w:r>
      <w:r w:rsidRPr="00EE73DF">
        <w:rPr>
          <w:lang w:val="en-US"/>
        </w:rPr>
        <w:t>)</w:t>
      </w:r>
      <w:r w:rsidRPr="00EE73DF">
        <w:t>. Изпълнението на приходите от данъка върху застрахователните премии по облагаеми застрахователни договори, рисковете, по които са поети от застрахователи, зависят основно от ръста или спада на записаните застрахователни премии.</w:t>
      </w:r>
    </w:p>
    <w:p w14:paraId="7E83ACA6" w14:textId="77777777" w:rsidR="00044565" w:rsidRPr="005F1916" w:rsidRDefault="00044565" w:rsidP="00044565">
      <w:pPr>
        <w:autoSpaceDE w:val="0"/>
        <w:autoSpaceDN w:val="0"/>
        <w:adjustRightInd w:val="0"/>
        <w:spacing w:after="120"/>
        <w:jc w:val="both"/>
        <w:rPr>
          <w:rFonts w:eastAsia="Batang"/>
          <w:bCs/>
          <w:color w:val="0070C0"/>
        </w:rPr>
      </w:pPr>
      <w:r w:rsidRPr="00EE73DF">
        <w:rPr>
          <w:b/>
        </w:rPr>
        <w:t>Постъпленията от</w:t>
      </w:r>
      <w:r w:rsidRPr="00EE73DF">
        <w:t xml:space="preserve"> </w:t>
      </w:r>
      <w:r w:rsidRPr="00EE73DF">
        <w:rPr>
          <w:b/>
          <w:bCs/>
        </w:rPr>
        <w:t xml:space="preserve">мита </w:t>
      </w:r>
      <w:r w:rsidRPr="00EE73DF">
        <w:t xml:space="preserve">възлизат на </w:t>
      </w:r>
      <w:r w:rsidRPr="00EE73DF">
        <w:rPr>
          <w:b/>
        </w:rPr>
        <w:t>126,0 млн. евро</w:t>
      </w:r>
      <w:r w:rsidR="006F28A3" w:rsidRPr="00EE73DF">
        <w:rPr>
          <w:b/>
        </w:rPr>
        <w:t xml:space="preserve"> </w:t>
      </w:r>
      <w:r w:rsidR="006F28A3" w:rsidRPr="00EE73DF">
        <w:t xml:space="preserve">или </w:t>
      </w:r>
      <w:r w:rsidR="00725A85" w:rsidRPr="00725A85">
        <w:t>57,3</w:t>
      </w:r>
      <w:r w:rsidR="00725A85">
        <w:t xml:space="preserve"> </w:t>
      </w:r>
      <w:r w:rsidR="00725A85" w:rsidRPr="00725A85">
        <w:t>%</w:t>
      </w:r>
      <w:r w:rsidR="00725A85">
        <w:t xml:space="preserve"> </w:t>
      </w:r>
      <w:r w:rsidR="006F28A3" w:rsidRPr="00EE73DF">
        <w:t>от планираните със ЗДБРБ за 2026 г.</w:t>
      </w:r>
      <w:r w:rsidRPr="00EE73DF">
        <w:rPr>
          <w:b/>
        </w:rPr>
        <w:t>,</w:t>
      </w:r>
      <w:r w:rsidRPr="00EE73DF">
        <w:t xml:space="preserve"> като заемат 1,1 % относителен дял в общия размер на данъчните приходи по държавния</w:t>
      </w:r>
      <w:r w:rsidRPr="00F70F47">
        <w:t xml:space="preserve"> бюджет. В сравнение със същия период на предходната година събраните мита са с 32,3 млн. евро (34,5 %) повече.</w:t>
      </w:r>
    </w:p>
    <w:p w14:paraId="1C83644D" w14:textId="77777777" w:rsidR="00044565" w:rsidRPr="00241B63" w:rsidRDefault="00044565" w:rsidP="00044565">
      <w:pPr>
        <w:tabs>
          <w:tab w:val="right" w:pos="9072"/>
        </w:tabs>
        <w:spacing w:after="120"/>
        <w:jc w:val="both"/>
      </w:pPr>
      <w:r w:rsidRPr="00241B63">
        <w:t>Към юни 2026 г., сравнено със същия период на предходната година, при декларираните стоки, обложени със ставка на митото, различна от нула се наблюдава ръст на количествата (3,9 %), ръст на осреднената статистическа стойност за кг (42,1 %) и спад (10,8 %) на осреднената ставка на митото, приложена за облагане на внесените от трети страни стоки.</w:t>
      </w:r>
    </w:p>
    <w:p w14:paraId="77ABAB85" w14:textId="77777777" w:rsidR="00044565" w:rsidRPr="009D61A2" w:rsidRDefault="00044565" w:rsidP="00044565">
      <w:pPr>
        <w:numPr>
          <w:ilvl w:val="0"/>
          <w:numId w:val="4"/>
        </w:numPr>
        <w:tabs>
          <w:tab w:val="clear" w:pos="1440"/>
          <w:tab w:val="num" w:pos="540"/>
        </w:tabs>
        <w:spacing w:before="240"/>
        <w:ind w:left="0" w:firstLine="181"/>
        <w:jc w:val="both"/>
        <w:rPr>
          <w:b/>
          <w:bCs/>
        </w:rPr>
      </w:pPr>
      <w:r w:rsidRPr="009D61A2">
        <w:rPr>
          <w:b/>
          <w:bCs/>
        </w:rPr>
        <w:t>Други данъци</w:t>
      </w:r>
    </w:p>
    <w:p w14:paraId="0FE00D72" w14:textId="77777777" w:rsidR="00044565" w:rsidRPr="009D61A2" w:rsidRDefault="00044565" w:rsidP="00044565">
      <w:pPr>
        <w:spacing w:before="120"/>
        <w:jc w:val="both"/>
        <w:rPr>
          <w:bCs/>
        </w:rPr>
      </w:pPr>
      <w:r w:rsidRPr="009D61A2">
        <w:t xml:space="preserve">Постъпленията от </w:t>
      </w:r>
      <w:r w:rsidRPr="009D61A2">
        <w:rPr>
          <w:b/>
        </w:rPr>
        <w:t>други данъци</w:t>
      </w:r>
      <w:r w:rsidRPr="009D61A2">
        <w:t xml:space="preserve"> по държавния бюджет </w:t>
      </w:r>
      <w:r w:rsidRPr="009D61A2">
        <w:rPr>
          <w:bCs/>
        </w:rPr>
        <w:t>към края на юни 2026</w:t>
      </w:r>
      <w:r w:rsidRPr="009D61A2">
        <w:t xml:space="preserve"> г. са в размер на </w:t>
      </w:r>
      <w:r w:rsidRPr="009D61A2">
        <w:rPr>
          <w:b/>
        </w:rPr>
        <w:t>84,</w:t>
      </w:r>
      <w:r w:rsidRPr="00DA6844">
        <w:rPr>
          <w:b/>
        </w:rPr>
        <w:t>8 млн. евро</w:t>
      </w:r>
      <w:r w:rsidR="00B82BF9" w:rsidRPr="00DA6844">
        <w:rPr>
          <w:b/>
        </w:rPr>
        <w:t xml:space="preserve"> </w:t>
      </w:r>
      <w:r w:rsidR="00B82BF9" w:rsidRPr="00DA6844">
        <w:rPr>
          <w:bCs/>
        </w:rPr>
        <w:t xml:space="preserve">или </w:t>
      </w:r>
      <w:r w:rsidR="00DA6844" w:rsidRPr="00DA6844">
        <w:rPr>
          <w:bCs/>
        </w:rPr>
        <w:t xml:space="preserve">66,1 % </w:t>
      </w:r>
      <w:r w:rsidR="00B82BF9" w:rsidRPr="00DA6844">
        <w:rPr>
          <w:bCs/>
        </w:rPr>
        <w:t>от планираните със ЗДБРБ за 2026 г.</w:t>
      </w:r>
      <w:r w:rsidRPr="00DA6844">
        <w:rPr>
          <w:bCs/>
        </w:rPr>
        <w:t xml:space="preserve"> Съпоставени</w:t>
      </w:r>
      <w:r w:rsidRPr="009D61A2">
        <w:rPr>
          <w:bCs/>
        </w:rPr>
        <w:t xml:space="preserve"> с данните към юни 2025 г. приходите от други данъци нарастват с 2,5 млн. евро </w:t>
      </w:r>
      <w:r w:rsidRPr="009D61A2">
        <w:rPr>
          <w:bCs/>
          <w:lang w:val="en-US"/>
        </w:rPr>
        <w:t>(</w:t>
      </w:r>
      <w:r w:rsidRPr="009D61A2">
        <w:rPr>
          <w:bCs/>
        </w:rPr>
        <w:t>3,0 %</w:t>
      </w:r>
      <w:r w:rsidRPr="009D61A2">
        <w:rPr>
          <w:bCs/>
          <w:lang w:val="en-US"/>
        </w:rPr>
        <w:t>)</w:t>
      </w:r>
      <w:r w:rsidRPr="009D61A2">
        <w:rPr>
          <w:bCs/>
          <w:lang w:val="ru-RU"/>
        </w:rPr>
        <w:t>.</w:t>
      </w:r>
      <w:r w:rsidRPr="009D61A2">
        <w:rPr>
          <w:bCs/>
        </w:rPr>
        <w:t xml:space="preserve"> </w:t>
      </w:r>
    </w:p>
    <w:p w14:paraId="21709945" w14:textId="77777777" w:rsidR="00044565" w:rsidRPr="007E1B57" w:rsidRDefault="00044565" w:rsidP="00044565">
      <w:pPr>
        <w:numPr>
          <w:ilvl w:val="0"/>
          <w:numId w:val="3"/>
        </w:numPr>
        <w:tabs>
          <w:tab w:val="num" w:pos="720"/>
        </w:tabs>
        <w:spacing w:before="120"/>
        <w:ind w:left="0" w:firstLine="181"/>
        <w:jc w:val="both"/>
      </w:pPr>
      <w:r w:rsidRPr="007E1B57">
        <w:rPr>
          <w:b/>
          <w:bCs/>
        </w:rPr>
        <w:t>Неданъчни приходи</w:t>
      </w:r>
    </w:p>
    <w:p w14:paraId="77B4B126" w14:textId="77777777" w:rsidR="00044565" w:rsidRPr="00C71152" w:rsidRDefault="00044565" w:rsidP="00044565">
      <w:pPr>
        <w:tabs>
          <w:tab w:val="left" w:pos="900"/>
        </w:tabs>
        <w:spacing w:before="120" w:after="120"/>
        <w:jc w:val="both"/>
        <w:rPr>
          <w:lang w:val="ru-RU"/>
        </w:rPr>
      </w:pPr>
      <w:r w:rsidRPr="00C71152">
        <w:rPr>
          <w:b/>
        </w:rPr>
        <w:t>Отчетените</w:t>
      </w:r>
      <w:r w:rsidRPr="00C71152">
        <w:rPr>
          <w:b/>
          <w:bCs/>
        </w:rPr>
        <w:t xml:space="preserve"> неданъчни приходи</w:t>
      </w:r>
      <w:r w:rsidRPr="00C71152">
        <w:rPr>
          <w:b/>
        </w:rPr>
        <w:t xml:space="preserve"> </w:t>
      </w:r>
      <w:r w:rsidRPr="00C71152">
        <w:t xml:space="preserve">по държавния бюджет </w:t>
      </w:r>
      <w:r w:rsidRPr="00C71152">
        <w:rPr>
          <w:bCs/>
        </w:rPr>
        <w:t>към юни 2026 г.</w:t>
      </w:r>
      <w:r w:rsidRPr="00C71152">
        <w:t xml:space="preserve"> са в размер на </w:t>
      </w:r>
      <w:r w:rsidRPr="00C71152">
        <w:rPr>
          <w:b/>
          <w:lang w:val="ru-RU"/>
        </w:rPr>
        <w:t xml:space="preserve">1 332,0 </w:t>
      </w:r>
      <w:r w:rsidRPr="00E14752">
        <w:rPr>
          <w:b/>
        </w:rPr>
        <w:t>млн. евро</w:t>
      </w:r>
      <w:r w:rsidRPr="00E14752">
        <w:t xml:space="preserve"> </w:t>
      </w:r>
      <w:r w:rsidR="000F61CB" w:rsidRPr="00E14752">
        <w:rPr>
          <w:lang w:val="en-US"/>
        </w:rPr>
        <w:t>(</w:t>
      </w:r>
      <w:r w:rsidR="00E14752" w:rsidRPr="00E14752">
        <w:t>4</w:t>
      </w:r>
      <w:r w:rsidR="00FB41D0">
        <w:t>3</w:t>
      </w:r>
      <w:r w:rsidR="00E14752" w:rsidRPr="00E14752">
        <w:t>,</w:t>
      </w:r>
      <w:r w:rsidR="00FB41D0">
        <w:t>7</w:t>
      </w:r>
      <w:r w:rsidR="00E14752" w:rsidRPr="00E14752">
        <w:t xml:space="preserve"> % </w:t>
      </w:r>
      <w:r w:rsidR="000F61CB" w:rsidRPr="00E14752">
        <w:t>от планираните за</w:t>
      </w:r>
      <w:r w:rsidR="000F61CB" w:rsidRPr="00E14752">
        <w:rPr>
          <w:lang w:val="en-US"/>
        </w:rPr>
        <w:t xml:space="preserve"> 202</w:t>
      </w:r>
      <w:r w:rsidR="000F61CB" w:rsidRPr="00E14752">
        <w:t>6</w:t>
      </w:r>
      <w:r w:rsidR="000F61CB" w:rsidRPr="00E14752">
        <w:rPr>
          <w:lang w:val="en-US"/>
        </w:rPr>
        <w:t xml:space="preserve"> г.)</w:t>
      </w:r>
      <w:r w:rsidR="000F61CB" w:rsidRPr="00E14752">
        <w:t xml:space="preserve"> </w:t>
      </w:r>
      <w:r w:rsidRPr="00E14752">
        <w:t>и се формират</w:t>
      </w:r>
      <w:r w:rsidRPr="00C71152">
        <w:t xml:space="preserve"> основно от приходи от държавни такси, приходи и доходи от собственост, приходи от концесии и други неданъчни приходи</w:t>
      </w:r>
      <w:r w:rsidRPr="00C71152">
        <w:rPr>
          <w:lang w:val="ru-RU"/>
        </w:rPr>
        <w:t xml:space="preserve">. </w:t>
      </w:r>
    </w:p>
    <w:p w14:paraId="69FCEAC6" w14:textId="77777777" w:rsidR="00044565" w:rsidRPr="00C71152" w:rsidRDefault="00044565" w:rsidP="00044565">
      <w:pPr>
        <w:numPr>
          <w:ilvl w:val="0"/>
          <w:numId w:val="3"/>
        </w:numPr>
        <w:tabs>
          <w:tab w:val="num" w:pos="720"/>
        </w:tabs>
        <w:ind w:left="0" w:firstLine="181"/>
        <w:jc w:val="both"/>
        <w:rPr>
          <w:b/>
          <w:bCs/>
        </w:rPr>
      </w:pPr>
      <w:r w:rsidRPr="00C71152">
        <w:rPr>
          <w:b/>
          <w:bCs/>
        </w:rPr>
        <w:t>Помощи и дарения</w:t>
      </w:r>
    </w:p>
    <w:p w14:paraId="26C7A465" w14:textId="77777777" w:rsidR="00044565" w:rsidRPr="00C71152" w:rsidRDefault="00044565" w:rsidP="00044565">
      <w:pPr>
        <w:spacing w:before="120" w:after="120"/>
        <w:jc w:val="both"/>
      </w:pPr>
      <w:r w:rsidRPr="00C71152">
        <w:rPr>
          <w:b/>
        </w:rPr>
        <w:t>Помощите</w:t>
      </w:r>
      <w:r w:rsidRPr="00C71152">
        <w:t xml:space="preserve"> </w:t>
      </w:r>
      <w:r w:rsidRPr="00C71152">
        <w:rPr>
          <w:b/>
        </w:rPr>
        <w:t>и даренията</w:t>
      </w:r>
      <w:r w:rsidRPr="00C71152">
        <w:t xml:space="preserve"> по държавния бюджет към юни 2026 г. са в размер на </w:t>
      </w:r>
      <w:r w:rsidRPr="00786899">
        <w:rPr>
          <w:b/>
        </w:rPr>
        <w:t>35,0</w:t>
      </w:r>
      <w:r>
        <w:rPr>
          <w:b/>
        </w:rPr>
        <w:t xml:space="preserve"> </w:t>
      </w:r>
      <w:r w:rsidRPr="00C71152">
        <w:rPr>
          <w:b/>
        </w:rPr>
        <w:t>млн. евро.</w:t>
      </w:r>
      <w:r w:rsidRPr="00C71152">
        <w:t xml:space="preserve"> </w:t>
      </w:r>
    </w:p>
    <w:p w14:paraId="53FA70D6" w14:textId="77777777" w:rsidR="00044565" w:rsidRPr="006F10EC" w:rsidRDefault="00044565" w:rsidP="00044565">
      <w:pPr>
        <w:numPr>
          <w:ilvl w:val="0"/>
          <w:numId w:val="5"/>
        </w:numPr>
        <w:tabs>
          <w:tab w:val="clear" w:pos="7650"/>
          <w:tab w:val="num" w:pos="426"/>
        </w:tabs>
        <w:spacing w:before="240"/>
        <w:ind w:left="0" w:firstLine="0"/>
        <w:jc w:val="both"/>
        <w:rPr>
          <w:b/>
          <w:bCs/>
        </w:rPr>
      </w:pPr>
      <w:r w:rsidRPr="006F10EC">
        <w:rPr>
          <w:b/>
          <w:bCs/>
        </w:rPr>
        <w:lastRenderedPageBreak/>
        <w:t>Разходи по държавния бюджет</w:t>
      </w:r>
    </w:p>
    <w:p w14:paraId="49C799C8" w14:textId="77777777" w:rsidR="00044565" w:rsidRPr="006F10EC" w:rsidRDefault="00044565" w:rsidP="00044565">
      <w:pPr>
        <w:jc w:val="both"/>
        <w:rPr>
          <w:b/>
          <w:bCs/>
          <w:sz w:val="4"/>
          <w:szCs w:val="4"/>
        </w:rPr>
      </w:pPr>
    </w:p>
    <w:p w14:paraId="096377E9" w14:textId="77777777" w:rsidR="00044565" w:rsidRPr="005F1916" w:rsidRDefault="00044565" w:rsidP="00044565">
      <w:pPr>
        <w:pStyle w:val="BodyTextIndent"/>
        <w:spacing w:after="0"/>
        <w:ind w:left="0"/>
        <w:jc w:val="both"/>
        <w:rPr>
          <w:color w:val="0070C0"/>
        </w:rPr>
      </w:pPr>
      <w:r w:rsidRPr="006F10EC">
        <w:t xml:space="preserve">Общият размер на </w:t>
      </w:r>
      <w:r w:rsidRPr="006F10EC">
        <w:rPr>
          <w:b/>
        </w:rPr>
        <w:t>разходите по държавния бюджет</w:t>
      </w:r>
      <w:r w:rsidRPr="006F10EC">
        <w:t xml:space="preserve"> </w:t>
      </w:r>
      <w:r w:rsidRPr="006F10EC">
        <w:rPr>
          <w:lang w:val="ru-RU"/>
        </w:rPr>
        <w:t xml:space="preserve">(вкл. трансферите за др. бюджети и вноската в бюджета на ЕС) </w:t>
      </w:r>
      <w:r w:rsidRPr="006F10EC">
        <w:rPr>
          <w:bCs/>
        </w:rPr>
        <w:t>към юни 2026 г.</w:t>
      </w:r>
      <w:r w:rsidRPr="006F10EC">
        <w:t xml:space="preserve"> </w:t>
      </w:r>
      <w:r w:rsidRPr="00561155">
        <w:t xml:space="preserve">е </w:t>
      </w:r>
      <w:r w:rsidRPr="00561155">
        <w:rPr>
          <w:b/>
        </w:rPr>
        <w:t>14 710,7 млн. евро.</w:t>
      </w:r>
      <w:r w:rsidRPr="00561155">
        <w:t xml:space="preserve"> </w:t>
      </w:r>
    </w:p>
    <w:p w14:paraId="47FBC87C" w14:textId="77777777" w:rsidR="00044565" w:rsidRPr="005F1916" w:rsidRDefault="00044565" w:rsidP="00044565">
      <w:pPr>
        <w:pStyle w:val="BodyTextIndent"/>
        <w:spacing w:after="0"/>
        <w:ind w:left="0"/>
        <w:jc w:val="both"/>
        <w:rPr>
          <w:color w:val="0070C0"/>
          <w:sz w:val="4"/>
          <w:szCs w:val="4"/>
        </w:rPr>
      </w:pPr>
    </w:p>
    <w:p w14:paraId="214728A5" w14:textId="77777777" w:rsidR="00044565" w:rsidRPr="005F1916" w:rsidRDefault="00044565" w:rsidP="00044565">
      <w:pPr>
        <w:pStyle w:val="BodyTextIndent"/>
        <w:spacing w:after="0"/>
        <w:ind w:left="0"/>
        <w:jc w:val="center"/>
        <w:rPr>
          <w:b/>
          <w:color w:val="0070C0"/>
          <w:sz w:val="4"/>
          <w:szCs w:val="4"/>
          <w:u w:val="single"/>
        </w:rPr>
      </w:pPr>
    </w:p>
    <w:p w14:paraId="41EF157D" w14:textId="77777777" w:rsidR="00044565" w:rsidRDefault="00044565" w:rsidP="00044565">
      <w:pPr>
        <w:pStyle w:val="BodyTextIndent"/>
        <w:spacing w:after="0"/>
        <w:ind w:left="0"/>
        <w:jc w:val="center"/>
        <w:rPr>
          <w:b/>
          <w:color w:val="0070C0"/>
          <w:u w:val="single"/>
        </w:rPr>
      </w:pPr>
    </w:p>
    <w:p w14:paraId="0C182432" w14:textId="77777777" w:rsidR="00044565" w:rsidRPr="005F1916" w:rsidRDefault="00044565" w:rsidP="00044565">
      <w:pPr>
        <w:pStyle w:val="BodyTextIndent"/>
        <w:spacing w:after="0"/>
        <w:ind w:left="0"/>
        <w:jc w:val="center"/>
        <w:rPr>
          <w:b/>
          <w:color w:val="0070C0"/>
          <w:u w:val="single"/>
        </w:rPr>
      </w:pPr>
    </w:p>
    <w:p w14:paraId="15314618" w14:textId="77777777" w:rsidR="00044565" w:rsidRPr="00846084" w:rsidRDefault="00044565" w:rsidP="00044565">
      <w:pPr>
        <w:pStyle w:val="BodyTextIndent"/>
        <w:spacing w:after="0"/>
        <w:ind w:left="0"/>
        <w:jc w:val="center"/>
        <w:rPr>
          <w:b/>
          <w:u w:val="single"/>
        </w:rPr>
      </w:pPr>
      <w:r w:rsidRPr="00846084">
        <w:rPr>
          <w:b/>
          <w:u w:val="single"/>
        </w:rPr>
        <w:t xml:space="preserve">Разходи, трансфери за други бюджети и вноска в бюджета на ЕС </w:t>
      </w:r>
    </w:p>
    <w:p w14:paraId="1E5AB57A" w14:textId="77777777" w:rsidR="00044565" w:rsidRPr="00846084" w:rsidRDefault="00044565" w:rsidP="00044565">
      <w:pPr>
        <w:pStyle w:val="BodyTextIndent"/>
        <w:spacing w:after="0"/>
        <w:ind w:left="0"/>
        <w:jc w:val="center"/>
        <w:rPr>
          <w:b/>
          <w:u w:val="single"/>
        </w:rPr>
      </w:pPr>
      <w:r w:rsidRPr="00846084">
        <w:rPr>
          <w:b/>
          <w:u w:val="single"/>
        </w:rPr>
        <w:t>към юни 2025 г. и 2026 г.</w:t>
      </w:r>
    </w:p>
    <w:p w14:paraId="18F0C9FC" w14:textId="77777777" w:rsidR="00044565" w:rsidRPr="005F1916" w:rsidRDefault="00044565" w:rsidP="00044565">
      <w:pPr>
        <w:pStyle w:val="BodyTextIndent"/>
        <w:spacing w:after="0"/>
        <w:ind w:left="0"/>
        <w:jc w:val="center"/>
        <w:rPr>
          <w:b/>
          <w:color w:val="0070C0"/>
          <w:u w:val="single"/>
          <w:lang w:val="ru-RU"/>
        </w:rPr>
      </w:pPr>
    </w:p>
    <w:p w14:paraId="68819905" w14:textId="77777777" w:rsidR="00044565" w:rsidRPr="005F1916" w:rsidRDefault="00044565" w:rsidP="00044565">
      <w:pPr>
        <w:pStyle w:val="BodyTextIndent"/>
        <w:spacing w:after="0"/>
        <w:ind w:left="0"/>
        <w:jc w:val="center"/>
        <w:rPr>
          <w:b/>
          <w:color w:val="0070C0"/>
          <w:u w:val="single"/>
        </w:rPr>
      </w:pPr>
      <w:r w:rsidRPr="005F1916">
        <w:rPr>
          <w:noProof/>
          <w:color w:val="0070C0"/>
          <w:lang w:eastAsia="bg-BG"/>
        </w:rPr>
        <w:drawing>
          <wp:inline distT="0" distB="0" distL="0" distR="0" wp14:anchorId="4AAE9B11" wp14:editId="277FB325">
            <wp:extent cx="5579745" cy="2325600"/>
            <wp:effectExtent l="0" t="0" r="1905" b="17780"/>
            <wp:docPr id="7"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ED831CD" w14:textId="77777777" w:rsidR="00044565" w:rsidRPr="005F1916" w:rsidRDefault="00044565" w:rsidP="00044565">
      <w:pPr>
        <w:pStyle w:val="BodyTextIndent"/>
        <w:spacing w:after="0"/>
        <w:ind w:left="0"/>
        <w:jc w:val="center"/>
        <w:rPr>
          <w:b/>
          <w:color w:val="0070C0"/>
          <w:sz w:val="14"/>
          <w:u w:val="single"/>
          <w:lang w:val="ru-RU"/>
        </w:rPr>
      </w:pPr>
    </w:p>
    <w:p w14:paraId="56FB6F45" w14:textId="77777777" w:rsidR="00044565" w:rsidRPr="008278B9" w:rsidRDefault="00044565" w:rsidP="00044565">
      <w:pPr>
        <w:ind w:firstLine="360"/>
        <w:rPr>
          <w:sz w:val="18"/>
          <w:szCs w:val="18"/>
        </w:rPr>
      </w:pPr>
      <w:bookmarkStart w:id="72" w:name="_MON_1562146415"/>
      <w:bookmarkStart w:id="73" w:name="_MON_1562146493"/>
      <w:bookmarkStart w:id="74" w:name="_MON_1562146700"/>
      <w:bookmarkStart w:id="75" w:name="_MON_1562146782"/>
      <w:bookmarkStart w:id="76" w:name="_MON_1562146967"/>
      <w:bookmarkStart w:id="77" w:name="_MON_1562147372"/>
      <w:bookmarkStart w:id="78" w:name="_MON_1562147473"/>
      <w:bookmarkStart w:id="79" w:name="_MON_1562147677"/>
      <w:bookmarkStart w:id="80" w:name="_MON_1562147743"/>
      <w:bookmarkStart w:id="81" w:name="_MON_1562147867"/>
      <w:bookmarkStart w:id="82" w:name="_MON_1562147934"/>
      <w:bookmarkStart w:id="83" w:name="_MON_1562148056"/>
      <w:bookmarkStart w:id="84" w:name="_MON_1562148171"/>
      <w:bookmarkStart w:id="85" w:name="_MON_1562148229"/>
      <w:bookmarkStart w:id="86" w:name="_MON_1562148307"/>
      <w:bookmarkStart w:id="87" w:name="_MON_1562148447"/>
      <w:bookmarkStart w:id="88" w:name="_MON_1562148558"/>
      <w:bookmarkStart w:id="89" w:name="_MON_1562152805"/>
      <w:bookmarkStart w:id="90" w:name="_MON_1562152984"/>
      <w:bookmarkStart w:id="91" w:name="_MON_1562153459"/>
      <w:bookmarkStart w:id="92" w:name="_MON_1562153503"/>
      <w:bookmarkStart w:id="93" w:name="_MON_1562153559"/>
      <w:bookmarkStart w:id="94" w:name="_MON_1562153646"/>
      <w:bookmarkStart w:id="95" w:name="_MON_1562153939"/>
      <w:bookmarkStart w:id="96" w:name="_MON_1562154053"/>
      <w:bookmarkStart w:id="97" w:name="_MON_1562154282"/>
      <w:bookmarkStart w:id="98" w:name="_MON_1562146286"/>
      <w:bookmarkStart w:id="99" w:name="_MON_1562154881"/>
      <w:bookmarkStart w:id="100" w:name="_MON_1562154973"/>
      <w:bookmarkStart w:id="101" w:name="_MON_1562155194"/>
      <w:bookmarkStart w:id="102" w:name="_MON_1562155231"/>
      <w:bookmarkStart w:id="103" w:name="_MON_1562155321"/>
      <w:bookmarkStart w:id="104" w:name="_MON_156215539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8278B9">
        <w:rPr>
          <w:sz w:val="18"/>
          <w:szCs w:val="18"/>
        </w:rPr>
        <w:t>*</w:t>
      </w:r>
      <w:r w:rsidRPr="008278B9">
        <w:t xml:space="preserve"> </w:t>
      </w:r>
      <w:r w:rsidRPr="008278B9">
        <w:rPr>
          <w:sz w:val="18"/>
          <w:szCs w:val="18"/>
        </w:rPr>
        <w:t>Вкл. нетния прираст на държавния резерв</w:t>
      </w:r>
    </w:p>
    <w:p w14:paraId="06E89631" w14:textId="77777777" w:rsidR="00044565" w:rsidRPr="005F1916" w:rsidRDefault="00044565" w:rsidP="00044565">
      <w:pPr>
        <w:ind w:firstLine="360"/>
        <w:rPr>
          <w:color w:val="0070C0"/>
          <w:sz w:val="18"/>
          <w:szCs w:val="18"/>
        </w:rPr>
      </w:pPr>
    </w:p>
    <w:p w14:paraId="23D68D66" w14:textId="77777777" w:rsidR="00044565" w:rsidRPr="00152558" w:rsidRDefault="00044565" w:rsidP="00044565">
      <w:pPr>
        <w:pStyle w:val="BodyTextIndent"/>
        <w:numPr>
          <w:ilvl w:val="0"/>
          <w:numId w:val="13"/>
        </w:numPr>
        <w:spacing w:before="120" w:after="0"/>
        <w:jc w:val="both"/>
        <w:rPr>
          <w:b/>
          <w:bCs/>
        </w:rPr>
      </w:pPr>
      <w:r w:rsidRPr="00152558">
        <w:rPr>
          <w:b/>
          <w:bCs/>
        </w:rPr>
        <w:t>Нелихвени разходи</w:t>
      </w:r>
    </w:p>
    <w:p w14:paraId="78FB5359" w14:textId="77777777" w:rsidR="00044565" w:rsidRPr="00F9386D" w:rsidRDefault="00044565" w:rsidP="00044565">
      <w:pPr>
        <w:spacing w:before="120"/>
        <w:jc w:val="both"/>
        <w:rPr>
          <w:bCs/>
        </w:rPr>
      </w:pPr>
      <w:r w:rsidRPr="00F9386D">
        <w:rPr>
          <w:b/>
          <w:bCs/>
        </w:rPr>
        <w:t>Нелихвените разходи</w:t>
      </w:r>
      <w:r w:rsidRPr="00F9386D">
        <w:rPr>
          <w:bCs/>
        </w:rPr>
        <w:t xml:space="preserve"> по държавния бюджет към юни 2026 г.</w:t>
      </w:r>
      <w:r w:rsidRPr="00F9386D">
        <w:t xml:space="preserve"> </w:t>
      </w:r>
      <w:r w:rsidRPr="00F9386D">
        <w:rPr>
          <w:bCs/>
        </w:rPr>
        <w:t xml:space="preserve">са в размер на </w:t>
      </w:r>
      <w:r w:rsidRPr="00F9386D">
        <w:rPr>
          <w:b/>
          <w:bCs/>
        </w:rPr>
        <w:t>5 481,9 млн. евро</w:t>
      </w:r>
      <w:r w:rsidRPr="00F9386D">
        <w:rPr>
          <w:bCs/>
        </w:rPr>
        <w:t xml:space="preserve">, като разходите към юни 2026 г. намаляват </w:t>
      </w:r>
      <w:r w:rsidRPr="00D249EB">
        <w:rPr>
          <w:bCs/>
        </w:rPr>
        <w:t>номинално</w:t>
      </w:r>
      <w:r w:rsidRPr="00F9386D">
        <w:rPr>
          <w:bCs/>
        </w:rPr>
        <w:t xml:space="preserve"> със 134,9 млн. евро (2,4 на сто), сравнени със същия период на предходната година.</w:t>
      </w:r>
    </w:p>
    <w:p w14:paraId="5CB9809B" w14:textId="77777777" w:rsidR="00044565" w:rsidRPr="005F1916" w:rsidRDefault="003C71E5" w:rsidP="00044565">
      <w:pPr>
        <w:jc w:val="both"/>
        <w:rPr>
          <w:bCs/>
          <w:color w:val="0070C0"/>
        </w:rPr>
      </w:pPr>
      <w:r w:rsidRPr="001D1425">
        <w:rPr>
          <w:bCs/>
        </w:rPr>
        <w:t xml:space="preserve">Разходите за персонал (заплати и възнаграждения, други възнаграждения и плащания за персонала и осигурителни вноски) са в общ размер на 3 272,7 млн. евро или </w:t>
      </w:r>
      <w:r w:rsidR="001D1425" w:rsidRPr="001D1425">
        <w:rPr>
          <w:bCs/>
        </w:rPr>
        <w:t xml:space="preserve">48,7 % </w:t>
      </w:r>
      <w:r w:rsidRPr="001D1425">
        <w:rPr>
          <w:bCs/>
        </w:rPr>
        <w:t>от планираните за 2026 г. и ръст от</w:t>
      </w:r>
      <w:r w:rsidRPr="008974CA">
        <w:rPr>
          <w:bCs/>
        </w:rPr>
        <w:t xml:space="preserve"> 220,1 млн. </w:t>
      </w:r>
      <w:r w:rsidRPr="008A2FF8">
        <w:rPr>
          <w:bCs/>
        </w:rPr>
        <w:t xml:space="preserve">евро </w:t>
      </w:r>
      <w:r w:rsidRPr="008A2FF8">
        <w:rPr>
          <w:bCs/>
          <w:lang w:val="ru-RU"/>
        </w:rPr>
        <w:t>(</w:t>
      </w:r>
      <w:r w:rsidRPr="008A2FF8">
        <w:rPr>
          <w:bCs/>
        </w:rPr>
        <w:t xml:space="preserve">7,2 %) спрямо същия период на предходната година. Разходите за издръжка (вкл. разходи за членски внос и участие в нетърговски организации и дейности и </w:t>
      </w:r>
      <w:r w:rsidRPr="000F0D92">
        <w:rPr>
          <w:bCs/>
        </w:rPr>
        <w:t xml:space="preserve">платени данъци, такси и административни санкции) са в размер на 827,6 млн. евро или </w:t>
      </w:r>
      <w:r w:rsidR="000F0D92" w:rsidRPr="000F0D92">
        <w:rPr>
          <w:bCs/>
        </w:rPr>
        <w:t xml:space="preserve">23,9 % </w:t>
      </w:r>
      <w:r w:rsidRPr="000F0D92">
        <w:rPr>
          <w:bCs/>
        </w:rPr>
        <w:t xml:space="preserve">от </w:t>
      </w:r>
      <w:r w:rsidRPr="00C8454D">
        <w:rPr>
          <w:bCs/>
        </w:rPr>
        <w:t xml:space="preserve">планираните за годината и ръст от 61,1 млн. евро (8,0 %) спрямо същия период на предходната година. Социалните разходи (вкл. разходите за стипендии) са в размер на 517,4 млн. евро или </w:t>
      </w:r>
      <w:r w:rsidR="00C8454D" w:rsidRPr="00C8454D">
        <w:rPr>
          <w:bCs/>
        </w:rPr>
        <w:t xml:space="preserve">25,6 % </w:t>
      </w:r>
      <w:r w:rsidRPr="00C8454D">
        <w:rPr>
          <w:bCs/>
        </w:rPr>
        <w:t xml:space="preserve">от предвидените </w:t>
      </w:r>
      <w:r w:rsidRPr="00C8454D">
        <w:t>за годината</w:t>
      </w:r>
      <w:r w:rsidRPr="00C8454D">
        <w:rPr>
          <w:bCs/>
        </w:rPr>
        <w:t>, като нарастват</w:t>
      </w:r>
      <w:r w:rsidRPr="002E0C90">
        <w:rPr>
          <w:bCs/>
        </w:rPr>
        <w:t xml:space="preserve"> със 79,1 млн. евро (18,1 %) спрямо същия период на предходната година.</w:t>
      </w:r>
      <w:r w:rsidRPr="002E0C90">
        <w:rPr>
          <w:bCs/>
          <w:lang w:val="ru-RU"/>
        </w:rPr>
        <w:t xml:space="preserve"> </w:t>
      </w:r>
      <w:r w:rsidRPr="007E1380">
        <w:t xml:space="preserve">Част от социалните разходи по държавния бюджет се предоставят </w:t>
      </w:r>
      <w:r w:rsidRPr="0057328E">
        <w:t>като трансфери за общинските бюджети.</w:t>
      </w:r>
      <w:r w:rsidRPr="0057328E">
        <w:rPr>
          <w:bCs/>
        </w:rPr>
        <w:t xml:space="preserve"> Разходите за субсидии са в размер на 462,2 млн. евро или </w:t>
      </w:r>
      <w:r w:rsidR="0057328E" w:rsidRPr="0057328E">
        <w:rPr>
          <w:bCs/>
        </w:rPr>
        <w:t xml:space="preserve">41,0 % </w:t>
      </w:r>
      <w:r w:rsidRPr="0057328E">
        <w:rPr>
          <w:bCs/>
        </w:rPr>
        <w:t>спрямо планираните за годината и ръст от 18,9</w:t>
      </w:r>
      <w:r w:rsidRPr="002E0C90">
        <w:rPr>
          <w:bCs/>
        </w:rPr>
        <w:t xml:space="preserve"> млн. евро (</w:t>
      </w:r>
      <w:r>
        <w:rPr>
          <w:bCs/>
        </w:rPr>
        <w:t>4,3</w:t>
      </w:r>
      <w:r w:rsidRPr="002E0C90">
        <w:rPr>
          <w:bCs/>
        </w:rPr>
        <w:t> %) спрямо същия период на предходната година.</w:t>
      </w:r>
      <w:r w:rsidRPr="002E0C90">
        <w:rPr>
          <w:bCs/>
          <w:lang w:val="ru-RU"/>
        </w:rPr>
        <w:t xml:space="preserve"> </w:t>
      </w:r>
      <w:r w:rsidR="00044565" w:rsidRPr="00576CF8">
        <w:rPr>
          <w:bCs/>
        </w:rPr>
        <w:t xml:space="preserve">Към юни 2026 г. </w:t>
      </w:r>
      <w:r w:rsidR="00044565" w:rsidRPr="00441CF6">
        <w:rPr>
          <w:bCs/>
        </w:rPr>
        <w:t>субсидиите за „БДЖ – Пътнически превози” ЕООД са в размер на 64,5 млн. евро (в т. ч. 5,8 млн. евро субсидия за изпълнението на обществена превозна услуга по РМС 217/13.03.2026 г. и 0,7 млн. евро компенсация съгласно РМС № 359/04.05.2026 г.), субсидиите за Национална компания „Железопътна инфраструктура” са 105,9 млн. евро (в т. ч. 9,0 млн. евро субсидия за текущо поддържане и експлоатация на железопътната инфраструктура по РМС 217/13.03.2026 г.) и 24,8 млн. евро (в т. ч. 5,0 млн. евро субсидия по РМС 219/13.03.2026 г.) са за „Български пощи” ЕАД, от които 7,5 млн. евро за извършване на универсална пощенска услуга, 7,6 млн. евро за разпространение на периодични печатни издания - вестници и списания и 4,8 млн. евро за административни услуги. За отчетния период субсидиите за „България Хели Мед Сървиз“ (център за спешна медицинска помощ по въздуха) са в размер на 2,1 млн. евро. Към месец юни 2026 г. ДФ „Земеделие“ e изплатил субсидии в общ размер на 74,6 млн. евро, от които</w:t>
      </w:r>
      <w:r w:rsidR="00044565" w:rsidRPr="004E742E">
        <w:rPr>
          <w:bCs/>
        </w:rPr>
        <w:t xml:space="preserve"> 38,6 млн. евро държавна помощ; 31,8 млн. </w:t>
      </w:r>
      <w:r w:rsidR="00591FBB" w:rsidRPr="004E742E">
        <w:rPr>
          <w:bCs/>
        </w:rPr>
        <w:t>евро</w:t>
      </w:r>
      <w:r w:rsidR="00044565" w:rsidRPr="004E742E">
        <w:rPr>
          <w:bCs/>
        </w:rPr>
        <w:t xml:space="preserve"> преходна национална помощ за тютюн и 4,0 млн. евро средства за ДДС по схеми „Училищен плод“ и „Училищно мляко“.</w:t>
      </w:r>
    </w:p>
    <w:p w14:paraId="53879D23" w14:textId="77777777" w:rsidR="00044565" w:rsidRPr="007F400A" w:rsidRDefault="00044565" w:rsidP="00044565">
      <w:pPr>
        <w:spacing w:before="120" w:after="120"/>
        <w:jc w:val="both"/>
        <w:rPr>
          <w:bCs/>
        </w:rPr>
      </w:pPr>
      <w:r w:rsidRPr="007F400A">
        <w:rPr>
          <w:bCs/>
        </w:rPr>
        <w:lastRenderedPageBreak/>
        <w:t>Капиталовите разходи (вкл. нетния прираст на държавния резерв) по държавния бюджет възлизат на 400,2 млн. евро.</w:t>
      </w:r>
    </w:p>
    <w:p w14:paraId="14A437F6" w14:textId="77777777" w:rsidR="00044565" w:rsidRPr="001301A9" w:rsidRDefault="00044565" w:rsidP="00044565">
      <w:pPr>
        <w:numPr>
          <w:ilvl w:val="0"/>
          <w:numId w:val="6"/>
        </w:numPr>
        <w:spacing w:after="120"/>
        <w:ind w:left="0" w:firstLine="360"/>
        <w:jc w:val="both"/>
        <w:rPr>
          <w:b/>
        </w:rPr>
      </w:pPr>
      <w:r w:rsidRPr="001301A9">
        <w:rPr>
          <w:b/>
        </w:rPr>
        <w:t xml:space="preserve">Разходи за лихви </w:t>
      </w:r>
    </w:p>
    <w:p w14:paraId="7B038F96" w14:textId="77777777" w:rsidR="00044565" w:rsidRPr="00A86FBB" w:rsidRDefault="00044565" w:rsidP="00044565">
      <w:pPr>
        <w:spacing w:after="60"/>
        <w:jc w:val="both"/>
      </w:pPr>
      <w:r w:rsidRPr="00A86FBB">
        <w:rPr>
          <w:b/>
        </w:rPr>
        <w:t xml:space="preserve">Лихвените плащания </w:t>
      </w:r>
      <w:r w:rsidRPr="00A86FBB">
        <w:t xml:space="preserve">по държавния бюджет към 30.06.2026 г. са в общ размер на </w:t>
      </w:r>
      <w:r w:rsidRPr="00A86FBB">
        <w:rPr>
          <w:b/>
          <w:lang w:val="ru-RU"/>
        </w:rPr>
        <w:t xml:space="preserve">502,3 </w:t>
      </w:r>
      <w:r w:rsidRPr="00A86FBB">
        <w:rPr>
          <w:b/>
        </w:rPr>
        <w:t xml:space="preserve">млн. </w:t>
      </w:r>
      <w:r w:rsidRPr="008E1046">
        <w:rPr>
          <w:b/>
        </w:rPr>
        <w:t>евро</w:t>
      </w:r>
      <w:r w:rsidR="00163535" w:rsidRPr="008E1046">
        <w:rPr>
          <w:b/>
        </w:rPr>
        <w:t xml:space="preserve"> </w:t>
      </w:r>
      <w:r w:rsidR="00163535" w:rsidRPr="008E1046">
        <w:t xml:space="preserve">или </w:t>
      </w:r>
      <w:r w:rsidR="008E1046" w:rsidRPr="008E1046">
        <w:t xml:space="preserve">48,7 % </w:t>
      </w:r>
      <w:r w:rsidR="00163535" w:rsidRPr="008E1046">
        <w:t>от предвидените в годишните разчети</w:t>
      </w:r>
      <w:r w:rsidRPr="008E1046">
        <w:t>.</w:t>
      </w:r>
    </w:p>
    <w:p w14:paraId="52A868AC" w14:textId="77777777" w:rsidR="00044565" w:rsidRPr="005F1916" w:rsidRDefault="00044565" w:rsidP="00044565">
      <w:pPr>
        <w:spacing w:after="120"/>
        <w:jc w:val="both"/>
        <w:rPr>
          <w:color w:val="0070C0"/>
        </w:rPr>
      </w:pPr>
      <w:r w:rsidRPr="0026198A">
        <w:t xml:space="preserve">Разходите за </w:t>
      </w:r>
      <w:r w:rsidRPr="0026198A">
        <w:rPr>
          <w:b/>
        </w:rPr>
        <w:t>лихви по външни заеми</w:t>
      </w:r>
      <w:r w:rsidRPr="0026198A">
        <w:t xml:space="preserve"> са в размер на </w:t>
      </w:r>
      <w:r w:rsidRPr="0026198A">
        <w:rPr>
          <w:lang w:val="ru-RU"/>
        </w:rPr>
        <w:t xml:space="preserve">451,9 </w:t>
      </w:r>
      <w:r w:rsidRPr="0026198A">
        <w:t xml:space="preserve">млн. евро, в т. ч. 449,0 млн. евро по централния </w:t>
      </w:r>
      <w:r w:rsidRPr="00476F85">
        <w:t xml:space="preserve">бюджет. По ДИЗ, управлявани от министерства и ведомства </w:t>
      </w:r>
      <w:r w:rsidRPr="00967E18">
        <w:t xml:space="preserve">са изплатени </w:t>
      </w:r>
      <w:r w:rsidRPr="00273963">
        <w:t xml:space="preserve">2,9 млн. евро (по ДИЗ с краен бенефициент - търговско дружество изплатените лихви възлизат на 0,1 млн. евро). </w:t>
      </w:r>
    </w:p>
    <w:p w14:paraId="21C48001" w14:textId="77777777" w:rsidR="00044565" w:rsidRPr="00D60B13" w:rsidRDefault="00044565" w:rsidP="00044565">
      <w:pPr>
        <w:spacing w:after="60"/>
        <w:jc w:val="both"/>
        <w:rPr>
          <w:color w:val="0070C0"/>
        </w:rPr>
      </w:pPr>
      <w:r w:rsidRPr="00D60B13">
        <w:rPr>
          <w:b/>
        </w:rPr>
        <w:t>Лихвите по вътрешни заеми</w:t>
      </w:r>
      <w:r w:rsidRPr="00D60B13">
        <w:t xml:space="preserve"> по държавния бюджет </w:t>
      </w:r>
      <w:r w:rsidRPr="00D60B13">
        <w:rPr>
          <w:bCs/>
        </w:rPr>
        <w:t>към юни 2026 г.</w:t>
      </w:r>
      <w:r w:rsidRPr="00D60B13">
        <w:t xml:space="preserve"> са в размер на </w:t>
      </w:r>
      <w:r w:rsidRPr="00D60B13">
        <w:rPr>
          <w:b/>
        </w:rPr>
        <w:t xml:space="preserve">50,4 млн. евро, </w:t>
      </w:r>
      <w:r w:rsidRPr="00D60B13">
        <w:t>като</w:t>
      </w:r>
      <w:r w:rsidRPr="00D60B13">
        <w:rPr>
          <w:b/>
        </w:rPr>
        <w:t xml:space="preserve"> </w:t>
      </w:r>
      <w:r w:rsidRPr="00D60B13">
        <w:t>платените лихви по ДЦК са в размер на 47,5 млн. евро  и 3,0 млн. евро са платените отстъпки</w:t>
      </w:r>
      <w:r w:rsidRPr="00D60B13">
        <w:rPr>
          <w:b/>
        </w:rPr>
        <w:t>.</w:t>
      </w:r>
    </w:p>
    <w:p w14:paraId="0A6F60F6" w14:textId="77777777" w:rsidR="00044565" w:rsidRPr="00D60B13" w:rsidRDefault="00044565" w:rsidP="00044565">
      <w:pPr>
        <w:pStyle w:val="ListParagraph"/>
        <w:numPr>
          <w:ilvl w:val="0"/>
          <w:numId w:val="21"/>
        </w:numPr>
        <w:tabs>
          <w:tab w:val="left" w:pos="426"/>
        </w:tabs>
        <w:spacing w:before="120" w:after="60" w:line="240" w:lineRule="auto"/>
        <w:ind w:left="0" w:firstLine="0"/>
        <w:contextualSpacing w:val="0"/>
        <w:rPr>
          <w:rFonts w:ascii="Times New Roman" w:hAnsi="Times New Roman"/>
          <w:b/>
          <w:bCs/>
        </w:rPr>
      </w:pPr>
      <w:r w:rsidRPr="00D60B13">
        <w:rPr>
          <w:rFonts w:ascii="Times New Roman" w:hAnsi="Times New Roman"/>
          <w:b/>
          <w:bCs/>
        </w:rPr>
        <w:t>Нетният размер на трансферите по държавния бюджет</w:t>
      </w:r>
      <w:r w:rsidRPr="00D60B13">
        <w:rPr>
          <w:rFonts w:ascii="Times New Roman" w:hAnsi="Times New Roman"/>
          <w:bCs/>
        </w:rPr>
        <w:t xml:space="preserve">  към юни 2026 г. е</w:t>
      </w:r>
      <w:r w:rsidRPr="00D60B13">
        <w:rPr>
          <w:rFonts w:ascii="Times New Roman" w:hAnsi="Times New Roman"/>
          <w:b/>
          <w:bCs/>
        </w:rPr>
        <w:t xml:space="preserve"> 8 166,2</w:t>
      </w:r>
      <w:r w:rsidRPr="00D60B13">
        <w:rPr>
          <w:rFonts w:ascii="Times New Roman" w:hAnsi="Times New Roman"/>
          <w:b/>
          <w:bCs/>
          <w:lang w:val="en-US"/>
        </w:rPr>
        <w:t xml:space="preserve"> </w:t>
      </w:r>
      <w:r w:rsidRPr="00D60B13">
        <w:rPr>
          <w:rFonts w:ascii="Times New Roman" w:hAnsi="Times New Roman"/>
          <w:b/>
          <w:bCs/>
        </w:rPr>
        <w:t xml:space="preserve">млн. евро,  </w:t>
      </w:r>
      <w:r w:rsidRPr="00D60B13">
        <w:rPr>
          <w:rFonts w:ascii="Times New Roman" w:hAnsi="Times New Roman"/>
          <w:bCs/>
        </w:rPr>
        <w:t>в т. ч.:</w:t>
      </w:r>
      <w:r w:rsidRPr="00D60B13">
        <w:rPr>
          <w:rFonts w:ascii="Times New Roman" w:hAnsi="Times New Roman"/>
          <w:b/>
          <w:bCs/>
        </w:rPr>
        <w:t xml:space="preserve"> </w:t>
      </w:r>
    </w:p>
    <w:p w14:paraId="6DE7727D" w14:textId="77777777" w:rsidR="00044565" w:rsidRPr="00604D94" w:rsidRDefault="00044565" w:rsidP="00044565">
      <w:pPr>
        <w:numPr>
          <w:ilvl w:val="0"/>
          <w:numId w:val="14"/>
        </w:numPr>
        <w:tabs>
          <w:tab w:val="clear" w:pos="700"/>
          <w:tab w:val="left" w:pos="180"/>
          <w:tab w:val="num" w:pos="540"/>
          <w:tab w:val="num" w:pos="1495"/>
          <w:tab w:val="num" w:pos="9858"/>
        </w:tabs>
        <w:ind w:left="538" w:hanging="357"/>
        <w:jc w:val="both"/>
      </w:pPr>
      <w:r w:rsidRPr="00D60B13">
        <w:t>бюджетните взаимоотношения</w:t>
      </w:r>
      <w:r w:rsidRPr="00604D94">
        <w:t xml:space="preserve">  с  общините  включват  нето трансфери  и временни безлихвени заеми в  размер  на </w:t>
      </w:r>
      <w:r w:rsidRPr="00604D94">
        <w:rPr>
          <w:lang w:val="en-US"/>
        </w:rPr>
        <w:t>3 260</w:t>
      </w:r>
      <w:r w:rsidRPr="00604D94">
        <w:t>,</w:t>
      </w:r>
      <w:r w:rsidRPr="00604D94">
        <w:rPr>
          <w:lang w:val="en-US"/>
        </w:rPr>
        <w:t>1</w:t>
      </w:r>
      <w:r w:rsidRPr="00604D94">
        <w:t xml:space="preserve"> млн. евро,</w:t>
      </w:r>
      <w:r w:rsidRPr="00604D94">
        <w:rPr>
          <w:lang w:val="ru-RU"/>
        </w:rPr>
        <w:t xml:space="preserve"> </w:t>
      </w:r>
      <w:r w:rsidRPr="00604D94">
        <w:t>от които субсидии от централния бюджет в размер на 2 536,7 млн. евро, други целеви трансфери от централния бюджет в размер на 227,6 млн. евро, нетни трансфери от/за други бюджети в размер на 503,9 млн. евро и възстановени трансфери от предходни години в централния бюджет – 8,1 млн. евро;</w:t>
      </w:r>
    </w:p>
    <w:p w14:paraId="63201D4B" w14:textId="77777777" w:rsidR="00044565" w:rsidRPr="00604D94" w:rsidRDefault="00044565" w:rsidP="00044565">
      <w:pPr>
        <w:numPr>
          <w:ilvl w:val="0"/>
          <w:numId w:val="14"/>
        </w:numPr>
        <w:tabs>
          <w:tab w:val="clear" w:pos="700"/>
          <w:tab w:val="left" w:pos="180"/>
          <w:tab w:val="num" w:pos="540"/>
          <w:tab w:val="num" w:pos="1495"/>
          <w:tab w:val="num" w:pos="9858"/>
        </w:tabs>
        <w:ind w:left="538" w:hanging="357"/>
        <w:jc w:val="both"/>
      </w:pPr>
      <w:r w:rsidRPr="00604D94">
        <w:t xml:space="preserve">на социалноосигурителните фондове (нето) – </w:t>
      </w:r>
      <w:r>
        <w:rPr>
          <w:lang w:val="ru-RU"/>
        </w:rPr>
        <w:t>4 083,3</w:t>
      </w:r>
      <w:r w:rsidRPr="00604D94">
        <w:t xml:space="preserve"> млн. евро;</w:t>
      </w:r>
    </w:p>
    <w:p w14:paraId="6210B80F" w14:textId="77777777" w:rsidR="00044565" w:rsidRPr="00055001" w:rsidRDefault="00044565" w:rsidP="00044565">
      <w:pPr>
        <w:numPr>
          <w:ilvl w:val="0"/>
          <w:numId w:val="14"/>
        </w:numPr>
        <w:tabs>
          <w:tab w:val="clear" w:pos="700"/>
          <w:tab w:val="left" w:pos="180"/>
          <w:tab w:val="num" w:pos="540"/>
          <w:tab w:val="num" w:pos="1495"/>
          <w:tab w:val="num" w:pos="9858"/>
        </w:tabs>
        <w:ind w:left="538" w:hanging="357"/>
        <w:jc w:val="both"/>
      </w:pPr>
      <w:r w:rsidRPr="00055001">
        <w:t xml:space="preserve">на други автономни бюджети (ДВУ, БАН, ССА, БНТ, БНР и БТА) – </w:t>
      </w:r>
      <w:r w:rsidRPr="00055001">
        <w:rPr>
          <w:lang w:val="ru-RU"/>
        </w:rPr>
        <w:t>327,1</w:t>
      </w:r>
      <w:r w:rsidRPr="00055001">
        <w:t xml:space="preserve"> млн. евро. </w:t>
      </w:r>
    </w:p>
    <w:p w14:paraId="36721448" w14:textId="77777777" w:rsidR="00044565" w:rsidRPr="00F14A83" w:rsidRDefault="00044565" w:rsidP="00044565">
      <w:pPr>
        <w:numPr>
          <w:ilvl w:val="0"/>
          <w:numId w:val="5"/>
        </w:numPr>
        <w:tabs>
          <w:tab w:val="clear" w:pos="7650"/>
          <w:tab w:val="left" w:pos="426"/>
          <w:tab w:val="num" w:pos="567"/>
        </w:tabs>
        <w:spacing w:before="120"/>
        <w:ind w:left="0" w:firstLine="0"/>
        <w:jc w:val="both"/>
        <w:rPr>
          <w:bCs/>
        </w:rPr>
      </w:pPr>
      <w:r w:rsidRPr="00F14A83">
        <w:t>Частта от</w:t>
      </w:r>
      <w:r w:rsidRPr="00F14A83">
        <w:rPr>
          <w:b/>
        </w:rPr>
        <w:t xml:space="preserve"> вноската на Република България в общия бюджет на ЕС, </w:t>
      </w:r>
      <w:r w:rsidRPr="00F14A83">
        <w:t>изплатена към 30.06.2026 г. от централния бюджет, възлиза на</w:t>
      </w:r>
      <w:r w:rsidRPr="00F14A83">
        <w:rPr>
          <w:b/>
        </w:rPr>
        <w:t xml:space="preserve"> 560,3 млн. евро.</w:t>
      </w:r>
      <w:r w:rsidRPr="00F14A83">
        <w:t xml:space="preserve"> </w:t>
      </w:r>
    </w:p>
    <w:p w14:paraId="5180D929" w14:textId="77777777" w:rsidR="00044565" w:rsidRPr="00215915" w:rsidRDefault="00044565" w:rsidP="00044565">
      <w:pPr>
        <w:numPr>
          <w:ilvl w:val="0"/>
          <w:numId w:val="5"/>
        </w:numPr>
        <w:tabs>
          <w:tab w:val="clear" w:pos="7650"/>
          <w:tab w:val="num" w:pos="426"/>
        </w:tabs>
        <w:spacing w:before="240" w:after="240"/>
        <w:ind w:left="0" w:firstLine="0"/>
        <w:jc w:val="both"/>
        <w:rPr>
          <w:sz w:val="16"/>
          <w:szCs w:val="16"/>
        </w:rPr>
      </w:pPr>
      <w:r w:rsidRPr="00215915">
        <w:rPr>
          <w:b/>
        </w:rPr>
        <w:t>Бюджетното салдо по държавния бюджет</w:t>
      </w:r>
      <w:r w:rsidRPr="00215915">
        <w:t xml:space="preserve"> към 30.06.2026 г. </w:t>
      </w:r>
      <w:r w:rsidRPr="00215915">
        <w:rPr>
          <w:b/>
        </w:rPr>
        <w:t>е отрицателно</w:t>
      </w:r>
      <w:r w:rsidRPr="00215915">
        <w:t xml:space="preserve"> в размер на </w:t>
      </w:r>
      <w:r w:rsidRPr="00215915">
        <w:rPr>
          <w:b/>
        </w:rPr>
        <w:t>1 914,4 млн. евро</w:t>
      </w:r>
      <w:r w:rsidRPr="00215915">
        <w:t xml:space="preserve">. </w:t>
      </w:r>
    </w:p>
    <w:p w14:paraId="5717CCEA" w14:textId="77777777" w:rsidR="00044565" w:rsidRPr="00FE5008" w:rsidRDefault="00044565" w:rsidP="00044565">
      <w:pPr>
        <w:numPr>
          <w:ilvl w:val="0"/>
          <w:numId w:val="5"/>
        </w:numPr>
        <w:tabs>
          <w:tab w:val="clear" w:pos="7650"/>
          <w:tab w:val="num" w:pos="426"/>
        </w:tabs>
        <w:spacing w:before="120" w:after="120"/>
        <w:ind w:left="0" w:firstLine="0"/>
        <w:jc w:val="both"/>
        <w:rPr>
          <w:b/>
        </w:rPr>
      </w:pPr>
      <w:r w:rsidRPr="00FE5008">
        <w:rPr>
          <w:b/>
        </w:rPr>
        <w:t>Финансиране на бюджета чрез операции по дълга</w:t>
      </w:r>
    </w:p>
    <w:p w14:paraId="471D10BD" w14:textId="77777777" w:rsidR="00044565" w:rsidRPr="005F1916" w:rsidRDefault="00044565" w:rsidP="00044565">
      <w:pPr>
        <w:tabs>
          <w:tab w:val="left" w:pos="567"/>
        </w:tabs>
        <w:jc w:val="both"/>
        <w:rPr>
          <w:color w:val="0070C0"/>
        </w:rPr>
      </w:pPr>
      <w:r>
        <w:t>Към 30</w:t>
      </w:r>
      <w:r w:rsidRPr="00163ED2">
        <w:t>.</w:t>
      </w:r>
      <w:r w:rsidRPr="00BD207C">
        <w:rPr>
          <w:lang w:val="en-US"/>
        </w:rPr>
        <w:t>0</w:t>
      </w:r>
      <w:r w:rsidRPr="00BD207C">
        <w:t>6.202</w:t>
      </w:r>
      <w:r w:rsidRPr="00BD207C">
        <w:rPr>
          <w:lang w:val="en-US"/>
        </w:rPr>
        <w:t>6</w:t>
      </w:r>
      <w:r w:rsidRPr="00BD207C">
        <w:t xml:space="preserve"> г. е</w:t>
      </w:r>
      <w:r w:rsidRPr="00163ED2">
        <w:t xml:space="preserve"> реализирано </w:t>
      </w:r>
      <w:r>
        <w:t>положително</w:t>
      </w:r>
      <w:r w:rsidRPr="00163ED2">
        <w:t xml:space="preserve"> нетно дългово финансиране на държавния бюджет в размер на</w:t>
      </w:r>
      <w:r>
        <w:t xml:space="preserve"> 844,4 </w:t>
      </w:r>
      <w:r w:rsidRPr="00163ED2">
        <w:t xml:space="preserve">млн. </w:t>
      </w:r>
      <w:r>
        <w:t>евро</w:t>
      </w:r>
      <w:r w:rsidRPr="00163ED2">
        <w:t xml:space="preserve">, като общият размер на постъпленията от емисии на ДЦК на </w:t>
      </w:r>
      <w:r>
        <w:t>местния</w:t>
      </w:r>
      <w:r w:rsidRPr="00163ED2">
        <w:t xml:space="preserve"> пазар </w:t>
      </w:r>
      <w:r w:rsidRPr="00A60BA8">
        <w:t xml:space="preserve">възлиза на </w:t>
      </w:r>
      <w:r>
        <w:rPr>
          <w:lang w:val="en-US"/>
        </w:rPr>
        <w:t>1</w:t>
      </w:r>
      <w:r>
        <w:t xml:space="preserve"> 376,8 </w:t>
      </w:r>
      <w:r w:rsidRPr="00A60BA8">
        <w:t>мл</w:t>
      </w:r>
      <w:r>
        <w:t>н</w:t>
      </w:r>
      <w:r w:rsidRPr="00A60BA8">
        <w:t xml:space="preserve">. </w:t>
      </w:r>
      <w:r>
        <w:t xml:space="preserve">евро и постъпления в размер на 400 млн. евро </w:t>
      </w:r>
      <w:r>
        <w:rPr>
          <w:bCs/>
        </w:rPr>
        <w:t xml:space="preserve">усвоени средства по двата държавни заема от </w:t>
      </w:r>
      <w:r w:rsidRPr="00197DAA">
        <w:rPr>
          <w:bCs/>
        </w:rPr>
        <w:t>Банка за развитие на Съвета на Европа</w:t>
      </w:r>
      <w:r>
        <w:rPr>
          <w:bCs/>
        </w:rPr>
        <w:t xml:space="preserve"> </w:t>
      </w:r>
      <w:r>
        <w:rPr>
          <w:bCs/>
          <w:lang w:val="en-US"/>
        </w:rPr>
        <w:t>(</w:t>
      </w:r>
      <w:r>
        <w:rPr>
          <w:bCs/>
        </w:rPr>
        <w:t>БРСЕ</w:t>
      </w:r>
      <w:r>
        <w:rPr>
          <w:bCs/>
          <w:lang w:val="en-US"/>
        </w:rPr>
        <w:t>)</w:t>
      </w:r>
      <w:r w:rsidRPr="00197DAA">
        <w:rPr>
          <w:bCs/>
        </w:rPr>
        <w:t xml:space="preserve"> </w:t>
      </w:r>
      <w:r>
        <w:rPr>
          <w:bCs/>
        </w:rPr>
        <w:t xml:space="preserve">и </w:t>
      </w:r>
      <w:r w:rsidRPr="00197DAA">
        <w:rPr>
          <w:bCs/>
        </w:rPr>
        <w:t>Европейска инвестиционна банка</w:t>
      </w:r>
      <w:r>
        <w:rPr>
          <w:bCs/>
          <w:lang w:val="en-US"/>
        </w:rPr>
        <w:t xml:space="preserve"> (</w:t>
      </w:r>
      <w:r>
        <w:rPr>
          <w:bCs/>
        </w:rPr>
        <w:t>ЕИБ</w:t>
      </w:r>
      <w:r>
        <w:rPr>
          <w:bCs/>
          <w:lang w:val="en-US"/>
        </w:rPr>
        <w:t>)</w:t>
      </w:r>
      <w:r>
        <w:rPr>
          <w:bCs/>
        </w:rPr>
        <w:t>,</w:t>
      </w:r>
      <w:r>
        <w:t xml:space="preserve"> </w:t>
      </w:r>
      <w:r w:rsidRPr="00A60BA8">
        <w:t>а извършените погашения по държавния дълг са в размер на</w:t>
      </w:r>
      <w:r>
        <w:t xml:space="preserve"> 932,4 </w:t>
      </w:r>
      <w:r w:rsidRPr="00A60BA8">
        <w:t xml:space="preserve">млн. </w:t>
      </w:r>
      <w:r>
        <w:t>евро</w:t>
      </w:r>
      <w:r w:rsidRPr="005F1916">
        <w:rPr>
          <w:color w:val="0070C0"/>
        </w:rPr>
        <w:t>.</w:t>
      </w:r>
    </w:p>
    <w:p w14:paraId="4117F36F" w14:textId="77777777" w:rsidR="00044565" w:rsidRPr="00544A97" w:rsidRDefault="00044565" w:rsidP="00044565">
      <w:pPr>
        <w:tabs>
          <w:tab w:val="left" w:pos="0"/>
          <w:tab w:val="left" w:pos="1134"/>
        </w:tabs>
        <w:jc w:val="both"/>
      </w:pPr>
      <w:r w:rsidRPr="00544A97">
        <w:t xml:space="preserve">Към 30.06.2026 г. е отчетено положително нетно вътрешно финансиране на държавния бюджет с ДЦК в размер на 510,6 млн. евро. Общият размер </w:t>
      </w:r>
      <w:r w:rsidRPr="00544A97">
        <w:rPr>
          <w:b/>
        </w:rPr>
        <w:t>на постъпленията</w:t>
      </w:r>
      <w:r w:rsidRPr="00544A97">
        <w:t xml:space="preserve"> от трите нови емисии на ДЦК на вътрешния пазар възлиза на </w:t>
      </w:r>
      <w:r w:rsidRPr="00544A97">
        <w:rPr>
          <w:lang w:val="en-US"/>
        </w:rPr>
        <w:t>1</w:t>
      </w:r>
      <w:r w:rsidRPr="00544A97">
        <w:t xml:space="preserve"> 376,8  млн. евро или са емитирани ДЦК на обща номинална стойност </w:t>
      </w:r>
      <w:r w:rsidRPr="00544A97">
        <w:rPr>
          <w:lang w:val="en-US"/>
        </w:rPr>
        <w:t>1</w:t>
      </w:r>
      <w:r w:rsidRPr="00544A97">
        <w:t xml:space="preserve"> 410 млн. евро. В изпълнение на одобреното прогнозно финансиране от министъра на финансите, от началото на годината до края на май 2026 г. са пуснати в обращение три нови емисии ДЦК, пласирани на принципа на „отворени“ емисии, със срочност от 2, 5 и 10 години, чийто съвкупен номинален обем към 3</w:t>
      </w:r>
      <w:r w:rsidRPr="00544A97">
        <w:rPr>
          <w:lang w:val="en-US"/>
        </w:rPr>
        <w:t>0</w:t>
      </w:r>
      <w:r w:rsidRPr="00544A97">
        <w:t>.0</w:t>
      </w:r>
      <w:r w:rsidRPr="00544A97">
        <w:rPr>
          <w:lang w:val="en-US"/>
        </w:rPr>
        <w:t>6</w:t>
      </w:r>
      <w:r w:rsidRPr="00544A97">
        <w:t>.2026 г. е формиран от пласираните индивидуални сумарни обеми, както следва:</w:t>
      </w:r>
    </w:p>
    <w:p w14:paraId="4EE2BBD2" w14:textId="77777777" w:rsidR="00044565" w:rsidRPr="00544A97" w:rsidRDefault="00044565" w:rsidP="00044565">
      <w:pPr>
        <w:numPr>
          <w:ilvl w:val="0"/>
          <w:numId w:val="23"/>
        </w:numPr>
        <w:tabs>
          <w:tab w:val="left" w:pos="0"/>
          <w:tab w:val="left" w:pos="709"/>
        </w:tabs>
        <w:ind w:left="0" w:firstLine="426"/>
        <w:jc w:val="both"/>
      </w:pPr>
      <w:r w:rsidRPr="00544A97">
        <w:rPr>
          <w:b/>
          <w:i/>
        </w:rPr>
        <w:t>2-годишни ДЦК</w:t>
      </w:r>
      <w:r w:rsidRPr="00544A97">
        <w:t xml:space="preserve"> (емисията е пусната в обращение на 19.01.2026 г., деноминирана е в евро, с падеж 21.01.2028 г. и годишен лихвен купон от 2</w:t>
      </w:r>
      <w:r>
        <w:t>,</w:t>
      </w:r>
      <w:r w:rsidRPr="00544A97">
        <w:t>25</w:t>
      </w:r>
      <w:r>
        <w:t xml:space="preserve"> </w:t>
      </w:r>
      <w:r w:rsidRPr="00544A97">
        <w:t>%) с общ пласиран обем от 450,0 млн. евро, като през януари, февруари и март са пласирани съответно по 150 млн. евро.</w:t>
      </w:r>
    </w:p>
    <w:p w14:paraId="6B4C409A" w14:textId="77777777" w:rsidR="00044565" w:rsidRPr="00544A97" w:rsidRDefault="00044565" w:rsidP="00044565">
      <w:pPr>
        <w:numPr>
          <w:ilvl w:val="0"/>
          <w:numId w:val="23"/>
        </w:numPr>
        <w:tabs>
          <w:tab w:val="left" w:pos="0"/>
          <w:tab w:val="left" w:pos="709"/>
        </w:tabs>
        <w:ind w:left="0" w:firstLine="426"/>
        <w:jc w:val="both"/>
      </w:pPr>
      <w:r w:rsidRPr="00544A97">
        <w:rPr>
          <w:b/>
          <w:i/>
        </w:rPr>
        <w:t>5-годишни ДЦК</w:t>
      </w:r>
      <w:r w:rsidRPr="00544A97">
        <w:t xml:space="preserve"> (емисията е пусната в обращение на 26.01.2026 г., деноминирана в евро, с падеж 28.01.2031 г. и годишен лихвен купон от 2</w:t>
      </w:r>
      <w:r>
        <w:t>,</w:t>
      </w:r>
      <w:r w:rsidRPr="00544A97">
        <w:t>75</w:t>
      </w:r>
      <w:r>
        <w:t xml:space="preserve"> </w:t>
      </w:r>
      <w:r w:rsidRPr="00544A97">
        <w:t>%) с общ пласиран обем от 450,0 млн. евро, като през януари, март и април са пласирани съответно по 150 млн. евро.</w:t>
      </w:r>
    </w:p>
    <w:p w14:paraId="67574190" w14:textId="77777777" w:rsidR="00044565" w:rsidRPr="00544A97" w:rsidRDefault="00044565" w:rsidP="00044565">
      <w:pPr>
        <w:numPr>
          <w:ilvl w:val="0"/>
          <w:numId w:val="23"/>
        </w:numPr>
        <w:tabs>
          <w:tab w:val="left" w:pos="0"/>
          <w:tab w:val="left" w:pos="709"/>
        </w:tabs>
        <w:ind w:left="0" w:firstLine="426"/>
        <w:jc w:val="both"/>
      </w:pPr>
      <w:r w:rsidRPr="00544A97">
        <w:t xml:space="preserve"> </w:t>
      </w:r>
      <w:r w:rsidRPr="00544A97">
        <w:rPr>
          <w:b/>
          <w:i/>
        </w:rPr>
        <w:t>10-годишни ДЦК</w:t>
      </w:r>
      <w:r w:rsidRPr="00544A97">
        <w:t xml:space="preserve"> (емисията е пусната в обращение на 09.02.2026 г., деноминирана в евро, с падеж 11.02.2036 г. и годишен лихвен купон от 3</w:t>
      </w:r>
      <w:r>
        <w:t>,</w:t>
      </w:r>
      <w:r w:rsidRPr="00544A97">
        <w:t>50</w:t>
      </w:r>
      <w:r>
        <w:t xml:space="preserve"> </w:t>
      </w:r>
      <w:r w:rsidRPr="00544A97">
        <w:t>%) с общ пласиран обем от 510,0 млн. евро, като през февруари и април са пласирани съответно по 150,0 млн. евро и през май 210 млн. евро.</w:t>
      </w:r>
    </w:p>
    <w:p w14:paraId="197B27A0" w14:textId="77777777" w:rsidR="00044565" w:rsidRPr="00544A97" w:rsidRDefault="00044565" w:rsidP="00044565">
      <w:pPr>
        <w:tabs>
          <w:tab w:val="left" w:pos="0"/>
          <w:tab w:val="left" w:pos="1134"/>
        </w:tabs>
        <w:jc w:val="both"/>
      </w:pPr>
      <w:r w:rsidRPr="00544A97">
        <w:lastRenderedPageBreak/>
        <w:t xml:space="preserve">Отчетените </w:t>
      </w:r>
      <w:r w:rsidRPr="00544A97">
        <w:rPr>
          <w:b/>
        </w:rPr>
        <w:t>погашения</w:t>
      </w:r>
      <w:r w:rsidRPr="00544A97">
        <w:t xml:space="preserve"> към 30.06.2026 г. са в размер на 866,2 млн. евро, като през месец февруари Министерството на финансите погаси емисия 5-годишни ДЦК от 2021 г. в обем от 869,2 млн. евро номинална стойност. </w:t>
      </w:r>
    </w:p>
    <w:p w14:paraId="24ABF7B3" w14:textId="77777777" w:rsidR="00044565" w:rsidRPr="001C411B" w:rsidRDefault="00044565" w:rsidP="00044565">
      <w:pPr>
        <w:shd w:val="clear" w:color="000000" w:fill="FFFFFF"/>
        <w:autoSpaceDE w:val="0"/>
        <w:autoSpaceDN w:val="0"/>
        <w:adjustRightInd w:val="0"/>
        <w:jc w:val="both"/>
        <w:rPr>
          <w:lang w:val="en-US"/>
        </w:rPr>
      </w:pPr>
      <w:r w:rsidRPr="009978EF">
        <w:t xml:space="preserve">Към 30.06.2026 г. е отчетено положително нетно </w:t>
      </w:r>
      <w:r w:rsidRPr="009978EF">
        <w:rPr>
          <w:b/>
          <w:i/>
        </w:rPr>
        <w:t>външно финансиране</w:t>
      </w:r>
      <w:r w:rsidRPr="009978EF">
        <w:t xml:space="preserve"> в размер на 333,8 млн. евро по </w:t>
      </w:r>
      <w:r w:rsidRPr="009978EF">
        <w:rPr>
          <w:b/>
          <w:i/>
        </w:rPr>
        <w:t>държавния бюджет</w:t>
      </w:r>
      <w:r w:rsidRPr="009978EF">
        <w:t xml:space="preserve">, което се дължи на извършените погашения към външни кредитори и </w:t>
      </w:r>
      <w:r w:rsidRPr="009978EF">
        <w:rPr>
          <w:bCs/>
        </w:rPr>
        <w:t>усвояване на средства по двата държавни заема от БРСЕ и ЕИБ (400,0 млн. евро),</w:t>
      </w:r>
      <w:r w:rsidRPr="009978EF">
        <w:t xml:space="preserve"> като няма постъпления от емисии на еврооблигации на международните капиталови пазари (МКП).</w:t>
      </w:r>
    </w:p>
    <w:p w14:paraId="744A47F2" w14:textId="77777777" w:rsidR="00044565" w:rsidRDefault="00044565" w:rsidP="00044565">
      <w:pPr>
        <w:spacing w:before="120" w:after="120"/>
        <w:jc w:val="both"/>
      </w:pPr>
      <w:r w:rsidRPr="008C05EB">
        <w:t xml:space="preserve">Извършените </w:t>
      </w:r>
      <w:r w:rsidRPr="008C05EB">
        <w:rPr>
          <w:b/>
          <w:i/>
        </w:rPr>
        <w:t>погашения от централен бюджет</w:t>
      </w:r>
      <w:r w:rsidRPr="008C05EB">
        <w:t xml:space="preserve"> възлизат на </w:t>
      </w:r>
      <w:r>
        <w:rPr>
          <w:b/>
          <w:i/>
        </w:rPr>
        <w:t>52</w:t>
      </w:r>
      <w:r w:rsidRPr="008C05EB">
        <w:rPr>
          <w:b/>
          <w:i/>
        </w:rPr>
        <w:t>,</w:t>
      </w:r>
      <w:r>
        <w:rPr>
          <w:b/>
          <w:i/>
        </w:rPr>
        <w:t>1</w:t>
      </w:r>
      <w:r w:rsidRPr="008C05EB">
        <w:rPr>
          <w:b/>
          <w:i/>
        </w:rPr>
        <w:t xml:space="preserve"> млн. </w:t>
      </w:r>
      <w:r>
        <w:rPr>
          <w:b/>
          <w:i/>
        </w:rPr>
        <w:t>евро</w:t>
      </w:r>
      <w:r>
        <w:t xml:space="preserve"> </w:t>
      </w:r>
      <w:r w:rsidRPr="00FF20AD">
        <w:t xml:space="preserve">по външни държавни заеми към международни финансови институции, в съответствие с договорените погасителни планове, </w:t>
      </w:r>
      <w:r>
        <w:t xml:space="preserve">в т. ч. 10,0 </w:t>
      </w:r>
      <w:r w:rsidRPr="00FF20AD">
        <w:t xml:space="preserve">млн. </w:t>
      </w:r>
      <w:r>
        <w:t>евро</w:t>
      </w:r>
      <w:r w:rsidRPr="00FF20AD">
        <w:t xml:space="preserve"> към</w:t>
      </w:r>
      <w:r>
        <w:t xml:space="preserve"> Банка за развитие на Съвета на Европа, 10</w:t>
      </w:r>
      <w:r w:rsidRPr="00FF20AD">
        <w:t>,</w:t>
      </w:r>
      <w:r>
        <w:t>4</w:t>
      </w:r>
      <w:r w:rsidRPr="00FF20AD">
        <w:t xml:space="preserve"> млн. </w:t>
      </w:r>
      <w:r>
        <w:t>евро</w:t>
      </w:r>
      <w:r w:rsidRPr="00FF20AD">
        <w:t xml:space="preserve"> към Международна банка за възстановяване и </w:t>
      </w:r>
      <w:r>
        <w:t>развитие</w:t>
      </w:r>
      <w:r w:rsidRPr="00A5444F">
        <w:t xml:space="preserve"> </w:t>
      </w:r>
      <w:r>
        <w:t>и</w:t>
      </w:r>
      <w:r w:rsidRPr="00FF20AD">
        <w:t xml:space="preserve"> </w:t>
      </w:r>
      <w:r>
        <w:t>31</w:t>
      </w:r>
      <w:r w:rsidRPr="00FF20AD">
        <w:t>,</w:t>
      </w:r>
      <w:r>
        <w:t>7</w:t>
      </w:r>
      <w:r w:rsidRPr="00FF20AD">
        <w:t xml:space="preserve"> млн. </w:t>
      </w:r>
      <w:r>
        <w:t>евро</w:t>
      </w:r>
      <w:r w:rsidRPr="00FF20AD">
        <w:t xml:space="preserve"> към Европейска инвестиционна банка. </w:t>
      </w:r>
    </w:p>
    <w:p w14:paraId="60B6F869" w14:textId="77777777" w:rsidR="00044565" w:rsidRPr="00872341" w:rsidRDefault="00044565" w:rsidP="00044565">
      <w:pPr>
        <w:spacing w:before="120" w:after="240"/>
        <w:jc w:val="both"/>
      </w:pPr>
      <w:r w:rsidRPr="00872341">
        <w:rPr>
          <w:rFonts w:eastAsia="Calibri"/>
          <w:b/>
          <w:i/>
        </w:rPr>
        <w:t>Погашенията по ДИЗ, управлявани от министерства</w:t>
      </w:r>
      <w:r w:rsidRPr="00872341">
        <w:rPr>
          <w:rFonts w:eastAsia="Calibri"/>
        </w:rPr>
        <w:t xml:space="preserve"> </w:t>
      </w:r>
      <w:r w:rsidRPr="00872341">
        <w:rPr>
          <w:rFonts w:eastAsia="Calibri"/>
          <w:b/>
          <w:i/>
        </w:rPr>
        <w:t>и ведомства,</w:t>
      </w:r>
      <w:r w:rsidRPr="00872341">
        <w:rPr>
          <w:rFonts w:eastAsia="Calibri"/>
        </w:rPr>
        <w:t xml:space="preserve"> към юни 2026 г. са в размер на </w:t>
      </w:r>
      <w:r>
        <w:rPr>
          <w:rFonts w:eastAsia="Calibri"/>
        </w:rPr>
        <w:t>12,1</w:t>
      </w:r>
      <w:r w:rsidRPr="00872341">
        <w:rPr>
          <w:rFonts w:eastAsia="Calibri"/>
        </w:rPr>
        <w:t xml:space="preserve"> млн. евро.</w:t>
      </w:r>
      <w:r>
        <w:rPr>
          <w:rFonts w:eastAsia="Calibri"/>
        </w:rPr>
        <w:t xml:space="preserve"> </w:t>
      </w:r>
      <w:r w:rsidRPr="001F395B">
        <w:rPr>
          <w:b/>
          <w:i/>
        </w:rPr>
        <w:t>По заемите с краен бенефициент търговско дружество</w:t>
      </w:r>
      <w:r w:rsidRPr="001F395B">
        <w:t xml:space="preserve"> извършените погашения са в размер на </w:t>
      </w:r>
      <w:r>
        <w:rPr>
          <w:lang w:val="ru-RU"/>
        </w:rPr>
        <w:t>2,0</w:t>
      </w:r>
      <w:r w:rsidRPr="001F395B">
        <w:t xml:space="preserve"> млн. </w:t>
      </w:r>
      <w:r w:rsidRPr="00762A42">
        <w:t>евро</w:t>
      </w:r>
      <w:r>
        <w:t>.</w:t>
      </w:r>
    </w:p>
    <w:p w14:paraId="6664CAC1" w14:textId="77777777" w:rsidR="00044565" w:rsidRPr="00995201" w:rsidRDefault="00044565" w:rsidP="00044565">
      <w:pPr>
        <w:pStyle w:val="BodyTextIndent"/>
        <w:numPr>
          <w:ilvl w:val="1"/>
          <w:numId w:val="8"/>
        </w:numPr>
        <w:tabs>
          <w:tab w:val="num" w:pos="900"/>
        </w:tabs>
        <w:spacing w:before="360" w:after="0"/>
        <w:ind w:left="714" w:hanging="357"/>
        <w:jc w:val="both"/>
        <w:rPr>
          <w:b/>
          <w:bCs/>
        </w:rPr>
      </w:pPr>
      <w:r w:rsidRPr="00995201">
        <w:rPr>
          <w:b/>
          <w:bCs/>
        </w:rPr>
        <w:t>Разходи по централн</w:t>
      </w:r>
      <w:r w:rsidRPr="00995201">
        <w:rPr>
          <w:b/>
          <w:bCs/>
          <w:szCs w:val="26"/>
        </w:rPr>
        <w:t xml:space="preserve">ия бюджет </w:t>
      </w:r>
      <w:r w:rsidRPr="00995201">
        <w:rPr>
          <w:b/>
          <w:bCs/>
        </w:rPr>
        <w:t>за субсидии, капиталови трансфери</w:t>
      </w:r>
      <w:r w:rsidRPr="00995201">
        <w:rPr>
          <w:bCs/>
        </w:rPr>
        <w:t xml:space="preserve"> </w:t>
      </w:r>
      <w:r w:rsidRPr="00995201">
        <w:rPr>
          <w:b/>
          <w:bCs/>
        </w:rPr>
        <w:t xml:space="preserve">и други разходи, свързани с дейността на реалния сектор </w:t>
      </w:r>
    </w:p>
    <w:p w14:paraId="43C33C8F" w14:textId="77777777" w:rsidR="00044565" w:rsidRPr="00995201" w:rsidRDefault="00044565" w:rsidP="00044565">
      <w:pPr>
        <w:pStyle w:val="Header"/>
        <w:jc w:val="both"/>
        <w:rPr>
          <w:sz w:val="8"/>
          <w:szCs w:val="8"/>
        </w:rPr>
      </w:pPr>
    </w:p>
    <w:p w14:paraId="33F709C0" w14:textId="77777777" w:rsidR="00044565" w:rsidRPr="00995201" w:rsidRDefault="00044565" w:rsidP="00044565">
      <w:pPr>
        <w:pStyle w:val="Header"/>
        <w:jc w:val="both"/>
        <w:rPr>
          <w:sz w:val="4"/>
          <w:szCs w:val="4"/>
        </w:rPr>
      </w:pPr>
    </w:p>
    <w:p w14:paraId="273DCF63" w14:textId="77777777" w:rsidR="00044565" w:rsidRPr="00995201" w:rsidRDefault="00044565" w:rsidP="00044565">
      <w:pPr>
        <w:pStyle w:val="BodyText2"/>
        <w:spacing w:after="0" w:line="240" w:lineRule="auto"/>
        <w:jc w:val="both"/>
      </w:pPr>
      <w:r w:rsidRPr="00995201">
        <w:t xml:space="preserve">Средствата за </w:t>
      </w:r>
      <w:r w:rsidRPr="00995201">
        <w:rPr>
          <w:bCs/>
        </w:rPr>
        <w:t>субсидии</w:t>
      </w:r>
      <w:r w:rsidRPr="00995201">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0949CB21" w14:textId="77777777" w:rsidR="00044565" w:rsidRPr="003F1C16" w:rsidRDefault="003F1C16" w:rsidP="00247461">
      <w:pPr>
        <w:spacing w:before="120"/>
        <w:jc w:val="both"/>
      </w:pPr>
      <w:r w:rsidRPr="003F1C16">
        <w:t>Към 30.06.2026 г. предоставените за тази цел средства са в размер на 72,1 млн. евро, в т.</w:t>
      </w:r>
      <w:r w:rsidR="006A378C">
        <w:t xml:space="preserve"> </w:t>
      </w:r>
      <w:r w:rsidRPr="003F1C16">
        <w:t>ч. за Столична община – в размер на 43,2 млн. евро. Средствата се разпределят по общини по предложение на Министерството на транспорта и съобщенията, с изключение на тези за Столична община</w:t>
      </w:r>
      <w:r w:rsidR="00044565" w:rsidRPr="003F1C16">
        <w:rPr>
          <w:color w:val="0070C0"/>
        </w:rPr>
        <w:t xml:space="preserve">. </w:t>
      </w:r>
    </w:p>
    <w:p w14:paraId="6F02735F" w14:textId="77777777" w:rsidR="00044565" w:rsidRPr="00BC72AC" w:rsidRDefault="00C70C56" w:rsidP="00044565">
      <w:pPr>
        <w:spacing w:before="120"/>
        <w:jc w:val="both"/>
        <w:rPr>
          <w:color w:val="0070C0"/>
        </w:rPr>
      </w:pPr>
      <w:r w:rsidRPr="004007D7">
        <w:t>За отчетния период м. януари – м. юни 2026 г. не са извършвани капиталови разходи за изпълнение на програми за отстраняване на нанесените щети върху околната среда, настъпили от минали действия или бездействия, при приватизация</w:t>
      </w:r>
      <w:r w:rsidR="00044565" w:rsidRPr="00BC72AC">
        <w:rPr>
          <w:color w:val="0070C0"/>
        </w:rPr>
        <w:t>.</w:t>
      </w:r>
    </w:p>
    <w:p w14:paraId="4C11012B" w14:textId="77777777" w:rsidR="00044565" w:rsidRPr="009D2547" w:rsidRDefault="00044565" w:rsidP="00044565">
      <w:pPr>
        <w:spacing w:before="120"/>
        <w:jc w:val="both"/>
      </w:pPr>
      <w:r w:rsidRPr="009D2547">
        <w:rPr>
          <w:bCs/>
        </w:rPr>
        <w:t xml:space="preserve">По централния бюджет са предвидени и </w:t>
      </w:r>
      <w:r w:rsidRPr="009D2547">
        <w:rPr>
          <w:b/>
          <w:bCs/>
        </w:rPr>
        <w:t>други разходи</w:t>
      </w:r>
      <w:r w:rsidRPr="009D2547">
        <w:rPr>
          <w:bCs/>
        </w:rPr>
        <w:t>, свързани с к</w:t>
      </w:r>
      <w:r w:rsidRPr="009D2547">
        <w:t xml:space="preserve">омпенсиране със средства от държавния бюджет на </w:t>
      </w:r>
      <w:r w:rsidRPr="009D2547">
        <w:rPr>
          <w:bCs/>
        </w:rPr>
        <w:t>намалените приходи от прилагането на цени за пътуване, предвидени в нормативни актове за определени категории пътници</w:t>
      </w:r>
      <w:r w:rsidRPr="009D2547">
        <w:t xml:space="preserve"> по железопътния и автомобилния транспорт. Средствата </w:t>
      </w:r>
      <w:r w:rsidRPr="009D2547">
        <w:rPr>
          <w:bCs/>
        </w:rPr>
        <w:t xml:space="preserve">се предоставят на „БДЖ-Пътнически превози“ ЕООД за компенсации за пътувания с железопътния транспорт и под формата на целеви трансфер на общините - </w:t>
      </w:r>
      <w:r w:rsidRPr="009D2547">
        <w:t xml:space="preserve">за автомобилния транспорт. </w:t>
      </w:r>
    </w:p>
    <w:p w14:paraId="436699A0" w14:textId="77777777" w:rsidR="00044565" w:rsidRPr="00BC72AC" w:rsidRDefault="00044565" w:rsidP="00044565">
      <w:pPr>
        <w:tabs>
          <w:tab w:val="left" w:pos="851"/>
        </w:tabs>
        <w:jc w:val="both"/>
        <w:rPr>
          <w:color w:val="0070C0"/>
          <w:sz w:val="8"/>
          <w:szCs w:val="8"/>
        </w:rPr>
      </w:pPr>
      <w:r w:rsidRPr="00BC72AC">
        <w:rPr>
          <w:color w:val="0070C0"/>
        </w:rPr>
        <w:t xml:space="preserve"> </w:t>
      </w:r>
    </w:p>
    <w:p w14:paraId="52206225" w14:textId="77777777" w:rsidR="00881F72" w:rsidRPr="00EE4DB3" w:rsidRDefault="00881F72" w:rsidP="00881F72">
      <w:pPr>
        <w:jc w:val="both"/>
      </w:pPr>
      <w:r w:rsidRPr="00881F72">
        <w:t>Предоставените средства в размер на 74,8 млн. евро за компенсиране на намалените приходи от прилагането на цени за пътуване, предвидени в нормативни актове за определени категории пътници, по вътрешноградския транспорт и междуселищния автомобилен транспорт към 30.06.2026 г., диференцирани по групи правоимащи лица и по размер на намалението спрямо редовната цена, са както следва:</w:t>
      </w:r>
    </w:p>
    <w:p w14:paraId="3F62092C" w14:textId="77777777" w:rsidR="00881F72" w:rsidRPr="000D0C59" w:rsidRDefault="00881F72" w:rsidP="00881F72">
      <w:pPr>
        <w:ind w:firstLine="851"/>
        <w:jc w:val="both"/>
      </w:pPr>
      <w:r w:rsidRPr="00EE4DB3">
        <w:t>- 26,5 млн. евро за транспорт на деца и ученици;</w:t>
      </w:r>
      <w:r w:rsidRPr="000D0C59">
        <w:t xml:space="preserve"> </w:t>
      </w:r>
    </w:p>
    <w:p w14:paraId="2F06ADC2" w14:textId="325BE92A" w:rsidR="00881F72" w:rsidRPr="000D0C59" w:rsidRDefault="00881F72" w:rsidP="00CF3381">
      <w:pPr>
        <w:ind w:firstLine="851"/>
        <w:jc w:val="both"/>
      </w:pPr>
      <w:r w:rsidRPr="000D0C59">
        <w:t>- 43,9 млн. евро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w:t>
      </w:r>
      <w:r w:rsidR="006176AE">
        <w:t> </w:t>
      </w:r>
      <w:r w:rsidRPr="000D0C59">
        <w:t xml:space="preserve">до 14 навършени години, учащи се и лица, получаващи пенсия, лица с намалена работоспособност над 70,99 на </w:t>
      </w:r>
      <w:r w:rsidR="00814C89">
        <w:t>сто</w:t>
      </w:r>
      <w:r w:rsidRPr="000D0C59">
        <w:t xml:space="preserve"> с вътрешноградския транспорт и междуселищния автомобилен </w:t>
      </w:r>
      <w:r w:rsidR="00CF3381" w:rsidRPr="000D0C59">
        <w:t>транспорт</w:t>
      </w:r>
      <w:r w:rsidR="00CF3381" w:rsidRPr="00EE4DB3">
        <w:t>;</w:t>
      </w:r>
    </w:p>
    <w:p w14:paraId="2E44BDF9" w14:textId="77777777" w:rsidR="00881F72" w:rsidRPr="000D0C59" w:rsidRDefault="007119F8" w:rsidP="00754DE8">
      <w:pPr>
        <w:tabs>
          <w:tab w:val="left" w:pos="1134"/>
        </w:tabs>
        <w:ind w:firstLine="851"/>
        <w:jc w:val="both"/>
        <w:rPr>
          <w:noProof/>
        </w:rPr>
      </w:pPr>
      <w:r>
        <w:rPr>
          <w:noProof/>
        </w:rPr>
        <w:t xml:space="preserve">- 4,4 млн. евро </w:t>
      </w:r>
      <w:r w:rsidR="00881F72" w:rsidRPr="000D0C59">
        <w:rPr>
          <w:noProof/>
        </w:rPr>
        <w:t>за превоз на служители, ползващи право на безплатно пътуване при изпълнение на служебните си задължения.</w:t>
      </w:r>
    </w:p>
    <w:p w14:paraId="1E38D2C6" w14:textId="77777777" w:rsidR="00044565" w:rsidRPr="00BC72AC" w:rsidRDefault="00881F72" w:rsidP="00881F72">
      <w:pPr>
        <w:jc w:val="both"/>
        <w:rPr>
          <w:color w:val="0070C0"/>
        </w:rPr>
      </w:pPr>
      <w:r w:rsidRPr="000D0C59">
        <w:lastRenderedPageBreak/>
        <w:t>Средствата се разпределят по общини по предложение на Министерството на транспорта и съобщенията и Министерството на образованието и науката</w:t>
      </w:r>
      <w:r w:rsidR="00044565" w:rsidRPr="00BC72AC">
        <w:rPr>
          <w:color w:val="0070C0"/>
        </w:rPr>
        <w:t>.</w:t>
      </w:r>
    </w:p>
    <w:p w14:paraId="04FABD31" w14:textId="77777777" w:rsidR="00044565" w:rsidRPr="00BC72AC" w:rsidRDefault="00044565" w:rsidP="00044565">
      <w:pPr>
        <w:jc w:val="both"/>
        <w:rPr>
          <w:color w:val="0070C0"/>
        </w:rPr>
      </w:pPr>
    </w:p>
    <w:p w14:paraId="2238AA50" w14:textId="77777777" w:rsidR="00044565" w:rsidRPr="009D2547" w:rsidRDefault="00044565" w:rsidP="00044565">
      <w:pPr>
        <w:pStyle w:val="BodyTextIndent"/>
        <w:numPr>
          <w:ilvl w:val="1"/>
          <w:numId w:val="8"/>
        </w:numPr>
        <w:tabs>
          <w:tab w:val="num" w:pos="900"/>
        </w:tabs>
        <w:spacing w:before="120" w:after="0"/>
        <w:ind w:left="714" w:hanging="357"/>
        <w:jc w:val="both"/>
        <w:rPr>
          <w:b/>
          <w:bCs/>
        </w:rPr>
      </w:pPr>
      <w:r w:rsidRPr="009D2547">
        <w:rPr>
          <w:b/>
          <w:bCs/>
        </w:rPr>
        <w:t>Бюджет на съдебната власт</w:t>
      </w:r>
    </w:p>
    <w:p w14:paraId="72EA8AAA" w14:textId="77777777" w:rsidR="00044565" w:rsidRPr="009D2547" w:rsidRDefault="00044565" w:rsidP="00044565">
      <w:pPr>
        <w:spacing w:before="120"/>
        <w:jc w:val="both"/>
      </w:pPr>
      <w:r w:rsidRPr="009D2547">
        <w:t xml:space="preserve">За първото полугодие на 2026 г. по бюджета на съдебната власт са отчетени </w:t>
      </w:r>
      <w:r w:rsidRPr="009D2547">
        <w:rPr>
          <w:b/>
        </w:rPr>
        <w:t>приходи</w:t>
      </w:r>
      <w:r w:rsidRPr="009D2547">
        <w:t xml:space="preserve"> в размер на 36,0 млн. евро</w:t>
      </w:r>
      <w:r w:rsidR="006D038C">
        <w:t xml:space="preserve"> (54,1% от планираните за годината)</w:t>
      </w:r>
      <w:r w:rsidRPr="009D2547">
        <w:t>, от които 29,5 млн. евро - приходи от съдебни такси. За сравнение, към юни 2025 г. са отчетени общо приходи в размер на 30,9 млн. евро, от които 24,4 млн. евро - приходи от съдебни такси.</w:t>
      </w:r>
    </w:p>
    <w:p w14:paraId="2AD6802A" w14:textId="77777777" w:rsidR="00044565" w:rsidRPr="00BC72AC" w:rsidRDefault="00044565" w:rsidP="00044565">
      <w:pPr>
        <w:tabs>
          <w:tab w:val="left" w:pos="90"/>
        </w:tabs>
        <w:jc w:val="both"/>
        <w:rPr>
          <w:color w:val="0070C0"/>
        </w:rPr>
      </w:pPr>
      <w:r w:rsidRPr="009D2547">
        <w:rPr>
          <w:b/>
        </w:rPr>
        <w:t xml:space="preserve">Разходите </w:t>
      </w:r>
      <w:r w:rsidRPr="009D2547">
        <w:t>по бюджета на съдебната власт</w:t>
      </w:r>
      <w:r w:rsidRPr="009D2547">
        <w:rPr>
          <w:b/>
        </w:rPr>
        <w:t xml:space="preserve"> </w:t>
      </w:r>
      <w:r w:rsidRPr="009D2547">
        <w:t>към</w:t>
      </w:r>
      <w:r w:rsidRPr="009D2547">
        <w:rPr>
          <w:b/>
        </w:rPr>
        <w:t xml:space="preserve"> </w:t>
      </w:r>
      <w:r w:rsidRPr="009D2547">
        <w:t>30.06.2026 г. са в размер на 361,3 млн. евро</w:t>
      </w:r>
      <w:r w:rsidR="006D038C">
        <w:t xml:space="preserve"> или 47,4% от планираните за годината 762,0 млн. евро.</w:t>
      </w:r>
      <w:r w:rsidRPr="009D2547">
        <w:t xml:space="preserve"> </w:t>
      </w:r>
      <w:r w:rsidR="006D038C" w:rsidRPr="00C13DF0">
        <w:t>За сравнение, за първото полугодие на 2025 г. са отчетени общо разходи в размер 334,4 млн. евро</w:t>
      </w:r>
      <w:r w:rsidR="006D038C">
        <w:t>.</w:t>
      </w:r>
      <w:r w:rsidR="006D038C" w:rsidRPr="009D2547">
        <w:t xml:space="preserve"> </w:t>
      </w:r>
      <w:r w:rsidR="00F02F5D">
        <w:t xml:space="preserve">За първите шест месеца на 2026 г. </w:t>
      </w:r>
      <w:r w:rsidRPr="009D2547">
        <w:t>с най-голям относителен дял от отчетените разходи са тези за персонал – 93,2 % (336,7 млн. евро).</w:t>
      </w:r>
    </w:p>
    <w:p w14:paraId="01FF8E06" w14:textId="77777777" w:rsidR="00044565" w:rsidRPr="0033519D" w:rsidRDefault="00044565" w:rsidP="00044565">
      <w:pPr>
        <w:keepNext/>
        <w:numPr>
          <w:ilvl w:val="0"/>
          <w:numId w:val="8"/>
        </w:numPr>
        <w:spacing w:before="360"/>
        <w:ind w:left="533" w:right="-108" w:hanging="391"/>
        <w:jc w:val="both"/>
        <w:outlineLvl w:val="0"/>
        <w:rPr>
          <w:b/>
          <w:bCs/>
        </w:rPr>
      </w:pPr>
      <w:r w:rsidRPr="0033519D">
        <w:rPr>
          <w:b/>
          <w:bCs/>
        </w:rPr>
        <w:t>Просрочени задължения</w:t>
      </w:r>
    </w:p>
    <w:p w14:paraId="43F82996" w14:textId="77777777" w:rsidR="00044565" w:rsidRPr="00BC72AC" w:rsidRDefault="00044565" w:rsidP="00044565">
      <w:pPr>
        <w:spacing w:before="120"/>
        <w:jc w:val="both"/>
        <w:rPr>
          <w:noProof/>
          <w:color w:val="0070C0"/>
        </w:rPr>
      </w:pPr>
      <w:r w:rsidRPr="00E25024">
        <w:t xml:space="preserve">Към 30.06.2026 г. размерът на просрочените задължения на </w:t>
      </w:r>
      <w:r w:rsidRPr="00E25024">
        <w:rPr>
          <w:b/>
        </w:rPr>
        <w:t>централното правителство</w:t>
      </w:r>
      <w:r w:rsidRPr="00E25024">
        <w:t xml:space="preserve"> (министерства, ведомства и разпоредителите с бюджет по чл. 13, ал. 3 и ал. 4 на ЗПФ) е</w:t>
      </w:r>
      <w:r w:rsidRPr="00E25024">
        <w:rPr>
          <w:b/>
        </w:rPr>
        <w:t xml:space="preserve"> 104,2 млн. </w:t>
      </w:r>
      <w:r w:rsidRPr="003D2C32">
        <w:rPr>
          <w:b/>
        </w:rPr>
        <w:t xml:space="preserve">евро. </w:t>
      </w:r>
      <w:r w:rsidRPr="003D2C32">
        <w:t>Спрямо отчетените в края на 2025 г. те се увеличават с 11,6 млн. евро. В обхвата на държавния бюджет просрочените задължения са основно  към доставчици.</w:t>
      </w:r>
    </w:p>
    <w:p w14:paraId="22603C2F" w14:textId="77777777" w:rsidR="00044565" w:rsidRPr="00BC72AC" w:rsidRDefault="00044565" w:rsidP="00044565">
      <w:pPr>
        <w:spacing w:before="120" w:after="120"/>
        <w:jc w:val="both"/>
        <w:rPr>
          <w:noProof/>
          <w:color w:val="0070C0"/>
        </w:rPr>
      </w:pPr>
      <w:r w:rsidRPr="00D83AF8">
        <w:rPr>
          <w:noProof/>
        </w:rPr>
        <w:t xml:space="preserve">Просрочените задължения по </w:t>
      </w:r>
      <w:r w:rsidRPr="00D83AF8">
        <w:rPr>
          <w:b/>
          <w:noProof/>
        </w:rPr>
        <w:t>бюджетите на общините</w:t>
      </w:r>
      <w:r w:rsidRPr="00D83AF8">
        <w:rPr>
          <w:noProof/>
        </w:rPr>
        <w:t xml:space="preserve"> към </w:t>
      </w:r>
      <w:r w:rsidRPr="00D83AF8">
        <w:t xml:space="preserve">30.06.2026 г. </w:t>
      </w:r>
      <w:r w:rsidRPr="00D83AF8">
        <w:rPr>
          <w:noProof/>
        </w:rPr>
        <w:t xml:space="preserve">са в размер на </w:t>
      </w:r>
      <w:r w:rsidRPr="00D83AF8">
        <w:rPr>
          <w:b/>
          <w:noProof/>
          <w:lang w:val="en-US"/>
        </w:rPr>
        <w:t xml:space="preserve">75,4 </w:t>
      </w:r>
      <w:r w:rsidRPr="00D83AF8">
        <w:rPr>
          <w:b/>
          <w:noProof/>
        </w:rPr>
        <w:t>млн. евро,</w:t>
      </w:r>
      <w:r w:rsidRPr="00D83AF8">
        <w:rPr>
          <w:noProof/>
        </w:rPr>
        <w:t xml:space="preserve"> като спрямо </w:t>
      </w:r>
      <w:r w:rsidRPr="00D83AF8">
        <w:t xml:space="preserve">края на 2025 г. </w:t>
      </w:r>
      <w:r w:rsidRPr="00D83AF8">
        <w:rPr>
          <w:noProof/>
        </w:rPr>
        <w:t xml:space="preserve">се отчита намаление с 20,2 млн. евро. </w:t>
      </w:r>
      <w:r w:rsidRPr="000D0C59">
        <w:rPr>
          <w:noProof/>
        </w:rPr>
        <w:t>С най-голям относителен дял в просрочените задължения по бюджетите на общините към края на месец юни 2026 г. са просрочените задължения към доставчици, които са в размер на 70,</w:t>
      </w:r>
      <w:r w:rsidR="000851D2">
        <w:rPr>
          <w:noProof/>
        </w:rPr>
        <w:t>2</w:t>
      </w:r>
      <w:r w:rsidRPr="000D0C59">
        <w:rPr>
          <w:noProof/>
        </w:rPr>
        <w:t> млн. евро</w:t>
      </w:r>
      <w:r w:rsidRPr="000D0C59">
        <w:rPr>
          <w:noProof/>
          <w:lang w:val="en-US"/>
        </w:rPr>
        <w:t xml:space="preserve"> </w:t>
      </w:r>
      <w:r w:rsidRPr="000D0C59">
        <w:rPr>
          <w:noProof/>
        </w:rPr>
        <w:t>или 93,0 на сто. В делегираните от държавата дейности просрочените задължения са в размер на 2,8 млн. евро</w:t>
      </w:r>
      <w:r w:rsidRPr="00BC72AC">
        <w:rPr>
          <w:noProof/>
          <w:color w:val="0070C0"/>
        </w:rPr>
        <w:t>.</w:t>
      </w:r>
    </w:p>
    <w:p w14:paraId="60F195A3" w14:textId="77777777" w:rsidR="00044565" w:rsidRPr="00FB4A8D" w:rsidRDefault="00044565" w:rsidP="00044565">
      <w:pPr>
        <w:spacing w:before="120"/>
        <w:jc w:val="both"/>
      </w:pPr>
      <w:r w:rsidRPr="00FB4A8D">
        <w:t xml:space="preserve">В системата на </w:t>
      </w:r>
      <w:r w:rsidRPr="00FB4A8D">
        <w:rPr>
          <w:b/>
        </w:rPr>
        <w:t>НЗОК</w:t>
      </w:r>
      <w:r w:rsidRPr="00FB4A8D">
        <w:t xml:space="preserve"> към 30.06.2026 г. просрочените задължения са в размер 13,7 млн. евро.</w:t>
      </w:r>
    </w:p>
    <w:p w14:paraId="2F0681C1" w14:textId="6BF3E6FA" w:rsidR="00044565" w:rsidRPr="00BC72AC" w:rsidRDefault="00044565" w:rsidP="00044565">
      <w:pPr>
        <w:spacing w:before="120" w:after="120"/>
        <w:jc w:val="both"/>
        <w:rPr>
          <w:noProof/>
          <w:color w:val="0070C0"/>
          <w:sz w:val="2"/>
          <w:szCs w:val="12"/>
          <w:lang w:val="en-US"/>
        </w:rPr>
      </w:pPr>
      <w:r w:rsidRPr="00195444">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търговски </w:t>
      </w:r>
      <w:r w:rsidRPr="005D0232">
        <w:rPr>
          <w:noProof/>
        </w:rPr>
        <w:t xml:space="preserve">дружества). Към 30.06.2026 г. размерът на просрочените задължения е </w:t>
      </w:r>
      <w:r w:rsidRPr="005D0232">
        <w:rPr>
          <w:noProof/>
          <w:lang w:val="en-US"/>
        </w:rPr>
        <w:t xml:space="preserve"> </w:t>
      </w:r>
      <w:r w:rsidR="005D0232" w:rsidRPr="005D0232">
        <w:rPr>
          <w:noProof/>
          <w:lang w:val="en-US"/>
        </w:rPr>
        <w:t>34,8 млн. евро, от които 26,5 млн. евро са на държавните болници и 8,3 млн. евро са на общинските болници. Спрямо отчетените просрочени задължения към 31.12</w:t>
      </w:r>
      <w:r w:rsidR="005D0232">
        <w:rPr>
          <w:noProof/>
          <w:lang w:val="en-US"/>
        </w:rPr>
        <w:t>.2025 г. се отчита увеличение с</w:t>
      </w:r>
      <w:r w:rsidR="005D0232" w:rsidRPr="005D0232">
        <w:rPr>
          <w:noProof/>
          <w:lang w:val="en-US"/>
        </w:rPr>
        <w:t xml:space="preserve"> 12,7 млн. евро (с  57,6 на сто).</w:t>
      </w:r>
    </w:p>
    <w:p w14:paraId="27ACA667" w14:textId="77777777" w:rsidR="00F521AA" w:rsidRPr="00B66ED2" w:rsidRDefault="00F521AA" w:rsidP="003E54F0">
      <w:pPr>
        <w:keepNext/>
        <w:numPr>
          <w:ilvl w:val="0"/>
          <w:numId w:val="8"/>
        </w:numPr>
        <w:spacing w:before="360"/>
        <w:ind w:left="533" w:right="-108" w:hanging="391"/>
        <w:jc w:val="both"/>
        <w:outlineLvl w:val="0"/>
        <w:rPr>
          <w:b/>
          <w:bCs/>
        </w:rPr>
      </w:pPr>
      <w:r w:rsidRPr="00B66ED2">
        <w:rPr>
          <w:b/>
          <w:bCs/>
        </w:rPr>
        <w:t xml:space="preserve">Сметки за средства от ЕС на Разплащателната агенция към ДФ „Земеделие“ и на Националния фонд към Министерството на финансите </w:t>
      </w:r>
    </w:p>
    <w:p w14:paraId="2578765E" w14:textId="77777777" w:rsidR="00816B00" w:rsidRPr="00AD4F85" w:rsidRDefault="00816B00" w:rsidP="00816B00">
      <w:pPr>
        <w:pStyle w:val="Heading1"/>
        <w:numPr>
          <w:ilvl w:val="1"/>
          <w:numId w:val="8"/>
        </w:numPr>
        <w:tabs>
          <w:tab w:val="left" w:pos="90"/>
          <w:tab w:val="left" w:pos="993"/>
        </w:tabs>
        <w:spacing w:before="240" w:after="120"/>
        <w:ind w:left="0" w:right="-108" w:firstLine="567"/>
        <w:jc w:val="both"/>
        <w:rPr>
          <w:color w:val="000000" w:themeColor="text1"/>
          <w:sz w:val="24"/>
        </w:rPr>
      </w:pPr>
      <w:r w:rsidRPr="00AD4F85">
        <w:rPr>
          <w:color w:val="000000" w:themeColor="text1"/>
          <w:sz w:val="24"/>
        </w:rPr>
        <w:t xml:space="preserve">Сметка за Европейски средства на Разплащателна агенция ДФ „Земеделие“  </w:t>
      </w:r>
    </w:p>
    <w:p w14:paraId="1961A96D" w14:textId="77777777" w:rsidR="00BE34A4" w:rsidRPr="00AD4F85" w:rsidRDefault="00BE34A4" w:rsidP="00BE34A4">
      <w:pPr>
        <w:numPr>
          <w:ilvl w:val="0"/>
          <w:numId w:val="16"/>
        </w:numPr>
        <w:spacing w:before="120" w:line="276" w:lineRule="auto"/>
        <w:ind w:left="777" w:hanging="357"/>
        <w:jc w:val="both"/>
        <w:rPr>
          <w:b/>
          <w:color w:val="000000" w:themeColor="text1"/>
          <w:lang w:eastAsia="bg-BG"/>
        </w:rPr>
      </w:pPr>
      <w:r w:rsidRPr="00AD4F85">
        <w:rPr>
          <w:b/>
          <w:color w:val="000000" w:themeColor="text1"/>
          <w:lang w:eastAsia="bg-BG"/>
        </w:rPr>
        <w:t>Приходи</w:t>
      </w:r>
    </w:p>
    <w:p w14:paraId="52AD73B1" w14:textId="5A87EB63" w:rsidR="00BE34A4" w:rsidRPr="00AD4F85" w:rsidRDefault="00BE34A4" w:rsidP="00BE34A4">
      <w:pPr>
        <w:ind w:firstLine="708"/>
        <w:jc w:val="both"/>
        <w:rPr>
          <w:color w:val="000000" w:themeColor="text1"/>
        </w:rPr>
      </w:pPr>
      <w:r w:rsidRPr="00240FAD">
        <w:rPr>
          <w:color w:val="000000" w:themeColor="text1"/>
        </w:rPr>
        <w:t>За 202</w:t>
      </w:r>
      <w:r>
        <w:rPr>
          <w:color w:val="000000" w:themeColor="text1"/>
        </w:rPr>
        <w:t xml:space="preserve">6 </w:t>
      </w:r>
      <w:r w:rsidRPr="00240FAD">
        <w:rPr>
          <w:color w:val="000000" w:themeColor="text1"/>
        </w:rPr>
        <w:t>г. планираните приходи по годишни</w:t>
      </w:r>
      <w:r w:rsidR="00284D0A">
        <w:rPr>
          <w:color w:val="000000" w:themeColor="text1"/>
        </w:rPr>
        <w:t>те</w:t>
      </w:r>
      <w:r w:rsidRPr="00240FAD">
        <w:rPr>
          <w:color w:val="000000" w:themeColor="text1"/>
        </w:rPr>
        <w:t xml:space="preserve"> разчети на сметката за средства от Европейския съюз на Разплащателната агенция към ДФ „Земеделие” са в размер на </w:t>
      </w:r>
      <w:r>
        <w:rPr>
          <w:color w:val="000000" w:themeColor="text1"/>
        </w:rPr>
        <w:t>397,0</w:t>
      </w:r>
      <w:r w:rsidRPr="00240FAD">
        <w:rPr>
          <w:color w:val="000000" w:themeColor="text1"/>
        </w:rPr>
        <w:t xml:space="preserve"> млн.</w:t>
      </w:r>
      <w:r>
        <w:rPr>
          <w:color w:val="000000" w:themeColor="text1"/>
        </w:rPr>
        <w:t xml:space="preserve"> евро</w:t>
      </w:r>
      <w:r w:rsidRPr="00240FAD">
        <w:rPr>
          <w:color w:val="000000" w:themeColor="text1"/>
        </w:rPr>
        <w:t>.</w:t>
      </w:r>
      <w:r>
        <w:rPr>
          <w:color w:val="000000" w:themeColor="text1"/>
        </w:rPr>
        <w:t xml:space="preserve"> </w:t>
      </w:r>
      <w:r w:rsidRPr="00AD4F85">
        <w:rPr>
          <w:color w:val="000000" w:themeColor="text1"/>
        </w:rPr>
        <w:t>Към 3</w:t>
      </w:r>
      <w:r w:rsidRPr="00AD4F85">
        <w:rPr>
          <w:color w:val="000000" w:themeColor="text1"/>
          <w:lang w:val="en-US"/>
        </w:rPr>
        <w:t>0</w:t>
      </w:r>
      <w:r w:rsidRPr="00AD4F85">
        <w:rPr>
          <w:color w:val="000000" w:themeColor="text1"/>
        </w:rPr>
        <w:t>.0</w:t>
      </w:r>
      <w:r w:rsidRPr="00AD4F85">
        <w:rPr>
          <w:color w:val="000000" w:themeColor="text1"/>
          <w:lang w:val="en-US"/>
        </w:rPr>
        <w:t>6</w:t>
      </w:r>
      <w:r w:rsidRPr="00AD4F85">
        <w:rPr>
          <w:color w:val="000000" w:themeColor="text1"/>
        </w:rPr>
        <w:t>.2026 г. отчетената сума в частта „Приходи“ е в размер на 3</w:t>
      </w:r>
      <w:r w:rsidRPr="00AD4F85">
        <w:rPr>
          <w:color w:val="000000" w:themeColor="text1"/>
          <w:lang w:val="en-US"/>
        </w:rPr>
        <w:t>1</w:t>
      </w:r>
      <w:r w:rsidRPr="00AD4F85">
        <w:rPr>
          <w:color w:val="000000" w:themeColor="text1"/>
        </w:rPr>
        <w:t>1,1 млн. евро</w:t>
      </w:r>
      <w:r w:rsidRPr="00240FAD">
        <w:rPr>
          <w:color w:val="000000" w:themeColor="text1"/>
        </w:rPr>
        <w:t xml:space="preserve">., което представлява </w:t>
      </w:r>
      <w:r>
        <w:rPr>
          <w:color w:val="000000" w:themeColor="text1"/>
        </w:rPr>
        <w:t xml:space="preserve">78,4 </w:t>
      </w:r>
      <w:r w:rsidRPr="00240FAD">
        <w:rPr>
          <w:color w:val="000000" w:themeColor="text1"/>
        </w:rPr>
        <w:t>% от годишния план</w:t>
      </w:r>
      <w:r w:rsidRPr="00AD4F85">
        <w:rPr>
          <w:color w:val="000000" w:themeColor="text1"/>
        </w:rPr>
        <w:t>. За същия период на миналата година постъпленията са били 158,3 млн. евро.</w:t>
      </w:r>
    </w:p>
    <w:p w14:paraId="633C36DF" w14:textId="53A2CEC0" w:rsidR="00BE34A4" w:rsidRPr="00AD4F85" w:rsidRDefault="00BE34A4" w:rsidP="00BE34A4">
      <w:pPr>
        <w:tabs>
          <w:tab w:val="left" w:pos="709"/>
        </w:tabs>
        <w:jc w:val="both"/>
        <w:rPr>
          <w:color w:val="000000" w:themeColor="text1"/>
        </w:rPr>
      </w:pPr>
      <w:r w:rsidRPr="00AD4F85">
        <w:rPr>
          <w:color w:val="000000" w:themeColor="text1"/>
        </w:rPr>
        <w:tab/>
        <w:t xml:space="preserve">Приходната част е формирана от приходи от наказателни лихви, помощи и дарения от </w:t>
      </w:r>
      <w:r w:rsidR="00FB0A9B" w:rsidRPr="00FB0A9B">
        <w:rPr>
          <w:color w:val="000000" w:themeColor="text1"/>
        </w:rPr>
        <w:t xml:space="preserve">Европейския съюз </w:t>
      </w:r>
      <w:r w:rsidRPr="00AD4F85">
        <w:rPr>
          <w:color w:val="000000" w:themeColor="text1"/>
        </w:rPr>
        <w:t>и коректив на касови постъпления, както следва:</w:t>
      </w:r>
    </w:p>
    <w:p w14:paraId="18120698" w14:textId="77777777" w:rsidR="00BE34A4" w:rsidRPr="00AD4F85" w:rsidRDefault="00BE34A4" w:rsidP="00BE34A4">
      <w:pPr>
        <w:numPr>
          <w:ilvl w:val="0"/>
          <w:numId w:val="15"/>
        </w:numPr>
        <w:tabs>
          <w:tab w:val="left" w:pos="993"/>
        </w:tabs>
        <w:spacing w:before="120" w:after="120"/>
        <w:ind w:left="1321" w:hanging="612"/>
        <w:jc w:val="both"/>
        <w:rPr>
          <w:b/>
          <w:i/>
          <w:color w:val="000000" w:themeColor="text1"/>
        </w:rPr>
      </w:pPr>
      <w:r w:rsidRPr="00AD4F85">
        <w:rPr>
          <w:b/>
          <w:i/>
          <w:color w:val="000000" w:themeColor="text1"/>
        </w:rPr>
        <w:t>Приходи от наказателни лихви</w:t>
      </w:r>
    </w:p>
    <w:p w14:paraId="0693B92F" w14:textId="77777777" w:rsidR="00BE34A4" w:rsidRPr="00AD4F85" w:rsidRDefault="00BE34A4" w:rsidP="00BE34A4">
      <w:pPr>
        <w:jc w:val="both"/>
        <w:rPr>
          <w:color w:val="000000" w:themeColor="text1"/>
        </w:rPr>
      </w:pPr>
      <w:r w:rsidRPr="00AD4F85">
        <w:rPr>
          <w:color w:val="000000" w:themeColor="text1"/>
        </w:rPr>
        <w:tab/>
        <w:t>Към края на първото полугодие на 2026 г. са отчетени приходи от получени наказателни лихви, свързани с вземания за възстановяване на средства от ЕК в размер на 0,7  млн. евро.</w:t>
      </w:r>
    </w:p>
    <w:p w14:paraId="6C33E9E2" w14:textId="77777777" w:rsidR="00BE34A4" w:rsidRPr="00AD4F85" w:rsidRDefault="00BE34A4" w:rsidP="00BE34A4">
      <w:pPr>
        <w:numPr>
          <w:ilvl w:val="0"/>
          <w:numId w:val="15"/>
        </w:numPr>
        <w:tabs>
          <w:tab w:val="left" w:pos="993"/>
        </w:tabs>
        <w:spacing w:before="120" w:after="120"/>
        <w:ind w:left="1321" w:hanging="612"/>
        <w:jc w:val="both"/>
        <w:rPr>
          <w:b/>
          <w:i/>
          <w:color w:val="000000" w:themeColor="text1"/>
        </w:rPr>
      </w:pPr>
      <w:r w:rsidRPr="00AD4F85">
        <w:rPr>
          <w:b/>
          <w:i/>
          <w:color w:val="000000" w:themeColor="text1"/>
        </w:rPr>
        <w:t>Текущи помощи и дарения от Европейския съюз</w:t>
      </w:r>
    </w:p>
    <w:p w14:paraId="1EA06A94" w14:textId="77777777" w:rsidR="00BE34A4" w:rsidRPr="00AD4F85" w:rsidRDefault="00BE34A4" w:rsidP="00BE34A4">
      <w:pPr>
        <w:ind w:firstLine="708"/>
        <w:jc w:val="both"/>
        <w:rPr>
          <w:color w:val="000000" w:themeColor="text1"/>
        </w:rPr>
      </w:pPr>
      <w:r w:rsidRPr="00AD4F85">
        <w:rPr>
          <w:color w:val="000000" w:themeColor="text1"/>
        </w:rPr>
        <w:lastRenderedPageBreak/>
        <w:t>Общият размер на получените приходи, отчетени в „Текущи помощи и дарения от Европейския съюз“ към 30.06.2026 г. е 42,0 млн. евро</w:t>
      </w:r>
      <w:r w:rsidRPr="00D611B8">
        <w:rPr>
          <w:color w:val="000000" w:themeColor="text1"/>
        </w:rPr>
        <w:t xml:space="preserve"> при планирани за годината средства в размер на </w:t>
      </w:r>
      <w:r>
        <w:rPr>
          <w:color w:val="000000" w:themeColor="text1"/>
        </w:rPr>
        <w:t xml:space="preserve">65,0 </w:t>
      </w:r>
      <w:r w:rsidRPr="00D611B8">
        <w:rPr>
          <w:color w:val="000000" w:themeColor="text1"/>
        </w:rPr>
        <w:t>млн.</w:t>
      </w:r>
      <w:r>
        <w:rPr>
          <w:color w:val="000000" w:themeColor="text1"/>
        </w:rPr>
        <w:t xml:space="preserve"> евро</w:t>
      </w:r>
      <w:r w:rsidRPr="00AD4F85">
        <w:rPr>
          <w:color w:val="000000" w:themeColor="text1"/>
        </w:rPr>
        <w:t>.</w:t>
      </w:r>
    </w:p>
    <w:p w14:paraId="0B2583C4" w14:textId="77777777" w:rsidR="00BE34A4" w:rsidRPr="00AD4F85" w:rsidRDefault="00BE34A4" w:rsidP="00BE34A4">
      <w:pPr>
        <w:jc w:val="both"/>
        <w:rPr>
          <w:color w:val="000000" w:themeColor="text1"/>
        </w:rPr>
      </w:pPr>
      <w:r w:rsidRPr="00AD4F85">
        <w:rPr>
          <w:color w:val="000000" w:themeColor="text1"/>
        </w:rPr>
        <w:tab/>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30.06.2026 г. възлизат на 35,4 млн. евро. За същия период на миналата година отчетените текущи приходи са били в размер на 11,0 млн. евро.</w:t>
      </w:r>
    </w:p>
    <w:p w14:paraId="393C9B12" w14:textId="77777777" w:rsidR="00BE34A4" w:rsidRPr="00AD4F85" w:rsidRDefault="00BE34A4" w:rsidP="00BE34A4">
      <w:pPr>
        <w:jc w:val="both"/>
        <w:rPr>
          <w:color w:val="000000" w:themeColor="text1"/>
        </w:rPr>
      </w:pPr>
      <w:r w:rsidRPr="00AD4F85">
        <w:rPr>
          <w:color w:val="000000" w:themeColor="text1"/>
        </w:rPr>
        <w:tab/>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30.06.2026 г. са 2,1 млн. евро. За първото полугодие на предходната 2025 г. по това направление са отчетени 2,8 млн. евро.</w:t>
      </w:r>
    </w:p>
    <w:p w14:paraId="6515C319" w14:textId="77777777" w:rsidR="00BE34A4" w:rsidRPr="00AD4F85" w:rsidRDefault="00BE34A4" w:rsidP="00BE34A4">
      <w:pPr>
        <w:jc w:val="both"/>
        <w:rPr>
          <w:color w:val="000000" w:themeColor="text1"/>
        </w:rPr>
      </w:pPr>
      <w:r w:rsidRPr="00AD4F85">
        <w:rPr>
          <w:color w:val="000000" w:themeColor="text1"/>
        </w:rPr>
        <w:tab/>
        <w:t>За периода 01.01-30.06.2026 г. от Европейския фонд за морско дело, рибарство и аквакултури (ЕФМДРА) са възстановени 4,5 млн. евро. През същия период на миналата година не е имало отчетени текущи приходи от този фонд.</w:t>
      </w:r>
    </w:p>
    <w:p w14:paraId="0EEA93D1" w14:textId="77777777" w:rsidR="00BE34A4" w:rsidRPr="00AD4F85" w:rsidRDefault="00BE34A4" w:rsidP="00BE34A4">
      <w:pPr>
        <w:numPr>
          <w:ilvl w:val="0"/>
          <w:numId w:val="15"/>
        </w:numPr>
        <w:tabs>
          <w:tab w:val="left" w:pos="993"/>
        </w:tabs>
        <w:spacing w:before="120" w:after="120"/>
        <w:ind w:left="1321" w:hanging="612"/>
        <w:jc w:val="both"/>
        <w:rPr>
          <w:b/>
          <w:i/>
          <w:color w:val="000000" w:themeColor="text1"/>
          <w:lang w:eastAsia="bg-BG"/>
        </w:rPr>
      </w:pPr>
      <w:r w:rsidRPr="00AD4F85">
        <w:rPr>
          <w:b/>
          <w:i/>
          <w:color w:val="000000" w:themeColor="text1"/>
          <w:lang w:eastAsia="bg-BG"/>
        </w:rPr>
        <w:t>Капиталови помощи и дарения от Европейския съюз</w:t>
      </w:r>
    </w:p>
    <w:p w14:paraId="58356475" w14:textId="77777777" w:rsidR="00BE34A4" w:rsidRPr="00AD4F85" w:rsidRDefault="00BE34A4" w:rsidP="00BE34A4">
      <w:pPr>
        <w:jc w:val="both"/>
        <w:rPr>
          <w:color w:val="000000" w:themeColor="text1"/>
        </w:rPr>
      </w:pPr>
      <w:r w:rsidRPr="00AD4F85">
        <w:rPr>
          <w:color w:val="000000" w:themeColor="text1"/>
          <w:lang w:eastAsia="bg-BG"/>
        </w:rPr>
        <w:tab/>
      </w:r>
      <w:r w:rsidRPr="00AD4F85">
        <w:rPr>
          <w:color w:val="000000" w:themeColor="text1"/>
        </w:rPr>
        <w:t>Общият размер на получените приходи, отчетени в „Капиталови помощи и дарения от Европейския съюз“ към 30.06.2026 г. е 269,7 млн. евро</w:t>
      </w:r>
      <w:r w:rsidRPr="00D611B8">
        <w:t xml:space="preserve"> </w:t>
      </w:r>
      <w:r w:rsidRPr="00D611B8">
        <w:rPr>
          <w:color w:val="000000" w:themeColor="text1"/>
        </w:rPr>
        <w:t xml:space="preserve">при планирани за годината </w:t>
      </w:r>
      <w:r>
        <w:rPr>
          <w:color w:val="000000" w:themeColor="text1"/>
        </w:rPr>
        <w:t>332,0</w:t>
      </w:r>
      <w:r w:rsidRPr="00D611B8">
        <w:rPr>
          <w:color w:val="000000" w:themeColor="text1"/>
        </w:rPr>
        <w:t xml:space="preserve"> млн.</w:t>
      </w:r>
      <w:r>
        <w:rPr>
          <w:color w:val="000000" w:themeColor="text1"/>
        </w:rPr>
        <w:t xml:space="preserve"> евро</w:t>
      </w:r>
      <w:r w:rsidRPr="00AD4F85">
        <w:rPr>
          <w:color w:val="000000" w:themeColor="text1"/>
        </w:rPr>
        <w:t>.</w:t>
      </w:r>
    </w:p>
    <w:p w14:paraId="135BCACD" w14:textId="77777777" w:rsidR="00BE34A4" w:rsidRPr="00AD4F85" w:rsidRDefault="00BE34A4" w:rsidP="00BE34A4">
      <w:pPr>
        <w:jc w:val="both"/>
        <w:rPr>
          <w:color w:val="000000" w:themeColor="text1"/>
        </w:rPr>
      </w:pPr>
      <w:r w:rsidRPr="00AD4F85">
        <w:rPr>
          <w:color w:val="000000" w:themeColor="text1"/>
        </w:rPr>
        <w:tab/>
        <w:t>Получените капиталови приходи от ЕЗФРСР по линия на ПРСР без директни плащания към края на м.06.2026 г. са 264,6 млн. евро. За сравнение, за първото полугодие на предходната година, капиталовите приходи по ПРСР са били 146,0 млн. евро.</w:t>
      </w:r>
    </w:p>
    <w:p w14:paraId="437FDC56" w14:textId="77777777" w:rsidR="00BE34A4" w:rsidRPr="00AD4F85" w:rsidRDefault="00BE34A4" w:rsidP="00BE34A4">
      <w:pPr>
        <w:ind w:firstLine="709"/>
        <w:jc w:val="both"/>
        <w:rPr>
          <w:color w:val="000000" w:themeColor="text1"/>
        </w:rPr>
      </w:pPr>
      <w:r w:rsidRPr="00AD4F85">
        <w:rPr>
          <w:color w:val="000000" w:themeColor="text1"/>
        </w:rPr>
        <w:t>В периода 01.01-30.06.2026 г. са получени капиталови приходи от ЕФМДРА в размер на 5,1 млн. евро. За същия период на предходната година по това направление са отчетени 0,4 млн. евро.</w:t>
      </w:r>
    </w:p>
    <w:p w14:paraId="1B349C1F" w14:textId="77777777" w:rsidR="00BE34A4" w:rsidRPr="00AD4F85" w:rsidRDefault="00BE34A4" w:rsidP="00BE34A4">
      <w:pPr>
        <w:numPr>
          <w:ilvl w:val="0"/>
          <w:numId w:val="15"/>
        </w:numPr>
        <w:tabs>
          <w:tab w:val="left" w:pos="993"/>
        </w:tabs>
        <w:spacing w:before="120" w:after="120"/>
        <w:ind w:left="1321" w:hanging="612"/>
        <w:jc w:val="both"/>
        <w:rPr>
          <w:b/>
          <w:i/>
          <w:color w:val="000000" w:themeColor="text1"/>
        </w:rPr>
      </w:pPr>
      <w:r w:rsidRPr="00AD4F85">
        <w:rPr>
          <w:b/>
          <w:i/>
          <w:color w:val="000000" w:themeColor="text1"/>
        </w:rPr>
        <w:t xml:space="preserve">Коректив на касови постъпления </w:t>
      </w:r>
    </w:p>
    <w:p w14:paraId="4C5612AC" w14:textId="77777777" w:rsidR="00BE34A4" w:rsidRPr="00454F56" w:rsidRDefault="00BE34A4" w:rsidP="00BE34A4">
      <w:pPr>
        <w:spacing w:before="120" w:after="120"/>
        <w:jc w:val="both"/>
        <w:rPr>
          <w:bCs/>
          <w:iCs/>
          <w:color w:val="000000" w:themeColor="text1"/>
        </w:rPr>
      </w:pPr>
      <w:r w:rsidRPr="00454F56">
        <w:rPr>
          <w:bCs/>
          <w:iCs/>
          <w:color w:val="000000" w:themeColor="text1"/>
        </w:rPr>
        <w:tab/>
        <w:t>Към 30.06.2026 г. отчетеният коректив на касови постъпления е минус 1,3 млн. евро. Той е формиран от размера на принудително събрани суми от НАП, за които не е извършен превод на средства по сметката на ДФЗ-РА.</w:t>
      </w:r>
    </w:p>
    <w:p w14:paraId="1D174048" w14:textId="77777777" w:rsidR="00BE34A4" w:rsidRPr="00454F56" w:rsidRDefault="00BE34A4" w:rsidP="00BE34A4">
      <w:pPr>
        <w:numPr>
          <w:ilvl w:val="0"/>
          <w:numId w:val="16"/>
        </w:numPr>
        <w:spacing w:before="120" w:after="120" w:line="276" w:lineRule="auto"/>
        <w:ind w:left="780"/>
        <w:contextualSpacing/>
        <w:jc w:val="both"/>
        <w:rPr>
          <w:b/>
          <w:color w:val="000000" w:themeColor="text1"/>
          <w:lang w:eastAsia="bg-BG"/>
        </w:rPr>
      </w:pPr>
      <w:r w:rsidRPr="00454F56">
        <w:rPr>
          <w:b/>
          <w:color w:val="000000" w:themeColor="text1"/>
          <w:lang w:eastAsia="bg-BG"/>
        </w:rPr>
        <w:t xml:space="preserve">Разходи </w:t>
      </w:r>
    </w:p>
    <w:p w14:paraId="2009BDEF" w14:textId="5F5463DA" w:rsidR="00BE34A4" w:rsidRPr="00454F56" w:rsidRDefault="00BE34A4" w:rsidP="00BE34A4">
      <w:pPr>
        <w:jc w:val="both"/>
        <w:rPr>
          <w:bCs/>
          <w:iCs/>
          <w:color w:val="000000" w:themeColor="text1"/>
        </w:rPr>
      </w:pPr>
      <w:r w:rsidRPr="00454F56">
        <w:rPr>
          <w:color w:val="000000" w:themeColor="text1"/>
        </w:rPr>
        <w:tab/>
      </w:r>
      <w:r w:rsidRPr="00EF32B6">
        <w:rPr>
          <w:color w:val="000000" w:themeColor="text1"/>
        </w:rPr>
        <w:t>Общият размер на планираните за 202</w:t>
      </w:r>
      <w:r>
        <w:rPr>
          <w:color w:val="000000" w:themeColor="text1"/>
        </w:rPr>
        <w:t xml:space="preserve">6 </w:t>
      </w:r>
      <w:r w:rsidRPr="00EF32B6">
        <w:rPr>
          <w:color w:val="000000" w:themeColor="text1"/>
        </w:rPr>
        <w:t>г. разходи по годишни</w:t>
      </w:r>
      <w:r w:rsidR="004304D9">
        <w:rPr>
          <w:color w:val="000000" w:themeColor="text1"/>
        </w:rPr>
        <w:t>те</w:t>
      </w:r>
      <w:r w:rsidRPr="00EF32B6">
        <w:rPr>
          <w:color w:val="000000" w:themeColor="text1"/>
        </w:rPr>
        <w:t xml:space="preserve"> разчети на сметката за средства от Европейския съюз на Разплащателната агенция към ДФ „Земеделие” са </w:t>
      </w:r>
      <w:r>
        <w:rPr>
          <w:color w:val="000000" w:themeColor="text1"/>
        </w:rPr>
        <w:t>693,0</w:t>
      </w:r>
      <w:r w:rsidRPr="00EF32B6">
        <w:rPr>
          <w:color w:val="000000" w:themeColor="text1"/>
        </w:rPr>
        <w:t xml:space="preserve"> млн.</w:t>
      </w:r>
      <w:r>
        <w:rPr>
          <w:color w:val="000000" w:themeColor="text1"/>
        </w:rPr>
        <w:t xml:space="preserve"> евро, в т.ч. 324,0 млн. евро субсидии и други текущи трансфери и 170,9 млн. евро капиталови трансфери. </w:t>
      </w:r>
      <w:r w:rsidRPr="00454F56">
        <w:rPr>
          <w:bCs/>
          <w:iCs/>
          <w:color w:val="000000" w:themeColor="text1"/>
        </w:rPr>
        <w:t>Към 30.06.2026 г. отчетените разходи възлизат на 60,2 млн. евро, формирани от текущи и  капиталови трансфери, както следва:</w:t>
      </w:r>
    </w:p>
    <w:p w14:paraId="30C84102" w14:textId="77777777" w:rsidR="00BE34A4" w:rsidRPr="00454F56" w:rsidRDefault="00BE34A4" w:rsidP="00BE34A4">
      <w:pPr>
        <w:numPr>
          <w:ilvl w:val="0"/>
          <w:numId w:val="15"/>
        </w:numPr>
        <w:tabs>
          <w:tab w:val="left" w:pos="993"/>
        </w:tabs>
        <w:spacing w:before="120" w:after="120"/>
        <w:ind w:left="1321" w:hanging="612"/>
        <w:jc w:val="both"/>
        <w:rPr>
          <w:b/>
          <w:i/>
          <w:color w:val="000000" w:themeColor="text1"/>
        </w:rPr>
      </w:pPr>
      <w:r w:rsidRPr="00454F56">
        <w:rPr>
          <w:b/>
          <w:i/>
          <w:color w:val="000000" w:themeColor="text1"/>
        </w:rPr>
        <w:t>Субсидии и други текущи трансфери за нефинансови предприятия</w:t>
      </w:r>
    </w:p>
    <w:p w14:paraId="0D72B2A3" w14:textId="77777777" w:rsidR="00BE34A4" w:rsidRPr="00454F56" w:rsidRDefault="00BE34A4" w:rsidP="00BE34A4">
      <w:pPr>
        <w:contextualSpacing/>
        <w:jc w:val="both"/>
        <w:rPr>
          <w:color w:val="000000" w:themeColor="text1"/>
        </w:rPr>
      </w:pPr>
      <w:r w:rsidRPr="00454F56">
        <w:rPr>
          <w:color w:val="000000" w:themeColor="text1"/>
        </w:rPr>
        <w:tab/>
      </w:r>
      <w:r w:rsidRPr="00146D86">
        <w:rPr>
          <w:color w:val="000000" w:themeColor="text1"/>
        </w:rPr>
        <w:t>За 202</w:t>
      </w:r>
      <w:r>
        <w:rPr>
          <w:color w:val="000000" w:themeColor="text1"/>
        </w:rPr>
        <w:t xml:space="preserve">6 </w:t>
      </w:r>
      <w:r w:rsidRPr="00146D86">
        <w:rPr>
          <w:color w:val="000000" w:themeColor="text1"/>
        </w:rPr>
        <w:t xml:space="preserve">г. са планирани средства в размер на </w:t>
      </w:r>
      <w:r>
        <w:rPr>
          <w:color w:val="000000" w:themeColor="text1"/>
        </w:rPr>
        <w:t>274,7</w:t>
      </w:r>
      <w:r w:rsidRPr="00146D86">
        <w:rPr>
          <w:color w:val="000000" w:themeColor="text1"/>
        </w:rPr>
        <w:t xml:space="preserve"> млн.</w:t>
      </w:r>
      <w:r>
        <w:rPr>
          <w:color w:val="000000" w:themeColor="text1"/>
        </w:rPr>
        <w:t xml:space="preserve"> евро</w:t>
      </w:r>
      <w:r w:rsidRPr="00146D86">
        <w:rPr>
          <w:color w:val="000000" w:themeColor="text1"/>
        </w:rPr>
        <w:t xml:space="preserve"> за субсидии и други текущи трансфери за нефинансови предприятия.</w:t>
      </w:r>
      <w:r>
        <w:rPr>
          <w:color w:val="000000" w:themeColor="text1"/>
        </w:rPr>
        <w:t xml:space="preserve"> </w:t>
      </w:r>
      <w:r w:rsidRPr="00454F56">
        <w:rPr>
          <w:color w:val="000000" w:themeColor="text1"/>
        </w:rPr>
        <w:t xml:space="preserve">Отчетените </w:t>
      </w:r>
      <w:r>
        <w:rPr>
          <w:color w:val="000000" w:themeColor="text1"/>
        </w:rPr>
        <w:t xml:space="preserve">средства </w:t>
      </w:r>
      <w:r w:rsidRPr="00454F56">
        <w:rPr>
          <w:color w:val="000000" w:themeColor="text1"/>
        </w:rPr>
        <w:t>към 30.06.2026 г. са в размер на 39,0 млн. евро, като изпълнението по дейности е следното:</w:t>
      </w:r>
    </w:p>
    <w:p w14:paraId="043BC094" w14:textId="77777777" w:rsidR="00BE34A4" w:rsidRPr="00454F56" w:rsidRDefault="00BE34A4" w:rsidP="00BE34A4">
      <w:pPr>
        <w:ind w:firstLine="720"/>
        <w:contextualSpacing/>
        <w:jc w:val="both"/>
        <w:rPr>
          <w:color w:val="000000" w:themeColor="text1"/>
        </w:rPr>
      </w:pPr>
      <w:r w:rsidRPr="00454F56">
        <w:rPr>
          <w:color w:val="000000" w:themeColor="text1"/>
        </w:rPr>
        <w:t xml:space="preserve">- национално съфинансиране към ЕЗФРСР за директни плащания – 12,3 млн. евро; </w:t>
      </w:r>
    </w:p>
    <w:p w14:paraId="0357AB70" w14:textId="77777777" w:rsidR="00BE34A4" w:rsidRPr="00454F56" w:rsidRDefault="00BE34A4" w:rsidP="00BE34A4">
      <w:pPr>
        <w:ind w:firstLine="720"/>
        <w:contextualSpacing/>
        <w:jc w:val="both"/>
        <w:rPr>
          <w:color w:val="000000" w:themeColor="text1"/>
        </w:rPr>
      </w:pPr>
      <w:r w:rsidRPr="00454F56">
        <w:rPr>
          <w:color w:val="000000" w:themeColor="text1"/>
        </w:rPr>
        <w:t>- текущи субсидии по Програмата за морско дел</w:t>
      </w:r>
      <w:r w:rsidRPr="00454F56">
        <w:rPr>
          <w:color w:val="000000" w:themeColor="text1"/>
          <w:lang w:val="en-US"/>
        </w:rPr>
        <w:t>o</w:t>
      </w:r>
      <w:r w:rsidRPr="00454F56">
        <w:rPr>
          <w:color w:val="000000" w:themeColor="text1"/>
        </w:rPr>
        <w:t>, рибарство и аквакултури (ПМДРА) – 0,6 млн. евро;</w:t>
      </w:r>
    </w:p>
    <w:p w14:paraId="5558879B" w14:textId="77777777" w:rsidR="00BE34A4" w:rsidRPr="00454F56" w:rsidRDefault="00BE34A4" w:rsidP="00BE34A4">
      <w:pPr>
        <w:ind w:firstLine="720"/>
        <w:contextualSpacing/>
        <w:jc w:val="both"/>
        <w:rPr>
          <w:color w:val="000000" w:themeColor="text1"/>
        </w:rPr>
      </w:pPr>
      <w:r w:rsidRPr="00454F56">
        <w:rPr>
          <w:color w:val="000000" w:themeColor="text1"/>
        </w:rPr>
        <w:t>- текущи субсидии по Програмата за развитие на селските райони – 1,0 млн. евро;</w:t>
      </w:r>
    </w:p>
    <w:p w14:paraId="40572DAF" w14:textId="77777777" w:rsidR="00BE34A4" w:rsidRPr="00454F56" w:rsidRDefault="00BE34A4" w:rsidP="00BE34A4">
      <w:pPr>
        <w:ind w:firstLine="709"/>
        <w:contextualSpacing/>
        <w:jc w:val="both"/>
        <w:rPr>
          <w:color w:val="000000" w:themeColor="text1"/>
        </w:rPr>
      </w:pPr>
      <w:r w:rsidRPr="00454F56">
        <w:rPr>
          <w:color w:val="000000" w:themeColor="text1"/>
        </w:rPr>
        <w:t xml:space="preserve">- </w:t>
      </w:r>
      <w:bookmarkStart w:id="105" w:name="_Hlk210825181"/>
      <w:r w:rsidRPr="00454F56">
        <w:rPr>
          <w:color w:val="000000" w:themeColor="text1"/>
        </w:rPr>
        <w:t xml:space="preserve">текущи субсидии за пазарни мерки </w:t>
      </w:r>
      <w:bookmarkEnd w:id="105"/>
      <w:r w:rsidRPr="00454F56">
        <w:rPr>
          <w:color w:val="000000" w:themeColor="text1"/>
        </w:rPr>
        <w:t xml:space="preserve">– 25,1 млн. евро. </w:t>
      </w:r>
    </w:p>
    <w:p w14:paraId="6B806D63" w14:textId="77777777" w:rsidR="00BE34A4" w:rsidRDefault="00BE34A4" w:rsidP="00BE34A4">
      <w:pPr>
        <w:contextualSpacing/>
        <w:jc w:val="both"/>
        <w:rPr>
          <w:color w:val="000000" w:themeColor="text1"/>
        </w:rPr>
      </w:pPr>
      <w:r w:rsidRPr="00454F56">
        <w:rPr>
          <w:color w:val="000000" w:themeColor="text1"/>
        </w:rPr>
        <w:t xml:space="preserve">. </w:t>
      </w:r>
      <w:r w:rsidRPr="00454F56">
        <w:rPr>
          <w:color w:val="000000" w:themeColor="text1"/>
        </w:rPr>
        <w:tab/>
        <w:t xml:space="preserve">Към 30.06.2025 г. отчетените субсидии </w:t>
      </w:r>
      <w:r w:rsidRPr="00146D86">
        <w:rPr>
          <w:color w:val="000000" w:themeColor="text1"/>
        </w:rPr>
        <w:t xml:space="preserve">и други текущи трансфери за нефинансови предприятия </w:t>
      </w:r>
      <w:r w:rsidRPr="00454F56">
        <w:rPr>
          <w:color w:val="000000" w:themeColor="text1"/>
        </w:rPr>
        <w:t xml:space="preserve">са били общо 93,7 млн. евро. </w:t>
      </w:r>
    </w:p>
    <w:p w14:paraId="38F14E80" w14:textId="77777777" w:rsidR="00BE34A4" w:rsidRPr="003D6582" w:rsidRDefault="00BE34A4" w:rsidP="00BE34A4">
      <w:pPr>
        <w:numPr>
          <w:ilvl w:val="0"/>
          <w:numId w:val="15"/>
        </w:numPr>
        <w:tabs>
          <w:tab w:val="left" w:pos="993"/>
        </w:tabs>
        <w:spacing w:before="120" w:after="120"/>
        <w:ind w:left="1321" w:hanging="612"/>
        <w:jc w:val="both"/>
        <w:rPr>
          <w:b/>
          <w:i/>
          <w:lang w:eastAsia="bg-BG"/>
        </w:rPr>
      </w:pPr>
      <w:r w:rsidRPr="003D6582">
        <w:rPr>
          <w:b/>
          <w:i/>
          <w:lang w:eastAsia="bg-BG"/>
        </w:rPr>
        <w:t>Субсидии и други текущи трансфери за юридически лица с нестопанска цел</w:t>
      </w:r>
    </w:p>
    <w:p w14:paraId="1C5D4EC2" w14:textId="77777777" w:rsidR="00BE34A4" w:rsidRPr="003D6582" w:rsidRDefault="00BE34A4" w:rsidP="00BE34A4">
      <w:pPr>
        <w:tabs>
          <w:tab w:val="left" w:pos="993"/>
        </w:tabs>
        <w:ind w:firstLine="709"/>
        <w:jc w:val="both"/>
      </w:pPr>
      <w:r w:rsidRPr="00146D86">
        <w:t>За 202</w:t>
      </w:r>
      <w:r>
        <w:t xml:space="preserve">6 </w:t>
      </w:r>
      <w:r w:rsidRPr="00146D86">
        <w:t>г. за субсидии и други текущи трансфери за юридически лица с нестопанска цел са планирани 4</w:t>
      </w:r>
      <w:r>
        <w:t>9,3</w:t>
      </w:r>
      <w:r w:rsidRPr="00146D86">
        <w:t xml:space="preserve"> млн.</w:t>
      </w:r>
      <w:r>
        <w:t xml:space="preserve"> евро</w:t>
      </w:r>
      <w:r w:rsidRPr="00146D86">
        <w:t>.</w:t>
      </w:r>
      <w:r>
        <w:t xml:space="preserve"> </w:t>
      </w:r>
      <w:r w:rsidRPr="003D6582">
        <w:t xml:space="preserve">Към края на </w:t>
      </w:r>
      <w:r>
        <w:t>първото</w:t>
      </w:r>
      <w:r w:rsidRPr="003D6582">
        <w:t xml:space="preserve"> </w:t>
      </w:r>
      <w:r>
        <w:t>полугод</w:t>
      </w:r>
      <w:r w:rsidRPr="003D6582">
        <w:t>ие на 2026</w:t>
      </w:r>
      <w:r>
        <w:t xml:space="preserve"> </w:t>
      </w:r>
      <w:r w:rsidRPr="003D6582">
        <w:t>г. са отчетени разходи в размер на 9,1 млн. евро. За същия период на предходната 2025</w:t>
      </w:r>
      <w:r>
        <w:t xml:space="preserve"> </w:t>
      </w:r>
      <w:r w:rsidRPr="003D6582">
        <w:t>г. този вид разходи са възлизали на 3,1</w:t>
      </w:r>
      <w:r>
        <w:t> </w:t>
      </w:r>
      <w:r w:rsidRPr="003D6582">
        <w:t>млн. евро. Изпълнението по дейности е следното:</w:t>
      </w:r>
    </w:p>
    <w:p w14:paraId="42A31C2D" w14:textId="77777777" w:rsidR="00BE34A4" w:rsidRPr="003D6582" w:rsidRDefault="00BE34A4" w:rsidP="00BE34A4">
      <w:pPr>
        <w:ind w:firstLine="720"/>
        <w:contextualSpacing/>
        <w:jc w:val="both"/>
      </w:pPr>
      <w:r w:rsidRPr="003D6582">
        <w:lastRenderedPageBreak/>
        <w:t>- текущи субсидии по Програмата за морско дел</w:t>
      </w:r>
      <w:r w:rsidRPr="003D6582">
        <w:rPr>
          <w:lang w:val="en-US"/>
        </w:rPr>
        <w:t>o</w:t>
      </w:r>
      <w:r w:rsidRPr="003D6582">
        <w:t>, рибарство и аквакултури (ПМДРА) – 1</w:t>
      </w:r>
      <w:r>
        <w:t>,0</w:t>
      </w:r>
      <w:r w:rsidRPr="003D6582">
        <w:t xml:space="preserve"> млн. евро;</w:t>
      </w:r>
    </w:p>
    <w:p w14:paraId="067CD0EE" w14:textId="77777777" w:rsidR="00BE34A4" w:rsidRPr="003D6582" w:rsidRDefault="00BE34A4" w:rsidP="00BE34A4">
      <w:pPr>
        <w:ind w:firstLine="720"/>
        <w:contextualSpacing/>
        <w:jc w:val="both"/>
      </w:pPr>
      <w:r w:rsidRPr="003D6582">
        <w:t>- текущи субсидии по Програмата за развитие на селските райони – 8,1 млн. евро</w:t>
      </w:r>
      <w:r>
        <w:t>.</w:t>
      </w:r>
    </w:p>
    <w:p w14:paraId="7D67E11F" w14:textId="77777777" w:rsidR="00BE34A4" w:rsidRPr="003D6582" w:rsidRDefault="00BE34A4" w:rsidP="00BE34A4">
      <w:pPr>
        <w:numPr>
          <w:ilvl w:val="0"/>
          <w:numId w:val="15"/>
        </w:numPr>
        <w:tabs>
          <w:tab w:val="left" w:pos="993"/>
        </w:tabs>
        <w:spacing w:before="120" w:after="120"/>
        <w:ind w:left="1321" w:hanging="612"/>
        <w:jc w:val="both"/>
        <w:rPr>
          <w:b/>
          <w:i/>
          <w:lang w:eastAsia="bg-BG"/>
        </w:rPr>
      </w:pPr>
      <w:r w:rsidRPr="003D6582">
        <w:rPr>
          <w:b/>
          <w:i/>
          <w:lang w:eastAsia="bg-BG"/>
        </w:rPr>
        <w:t>Капиталови трансфери за нефинансови предприятия</w:t>
      </w:r>
    </w:p>
    <w:p w14:paraId="153457FA" w14:textId="77777777" w:rsidR="00BE34A4" w:rsidRPr="003D6582" w:rsidRDefault="00BE34A4" w:rsidP="00BE34A4">
      <w:pPr>
        <w:tabs>
          <w:tab w:val="left" w:pos="993"/>
        </w:tabs>
        <w:ind w:firstLine="709"/>
        <w:jc w:val="both"/>
      </w:pPr>
      <w:r w:rsidRPr="003D6582">
        <w:t>Към 30.06.2026</w:t>
      </w:r>
      <w:r>
        <w:t xml:space="preserve"> </w:t>
      </w:r>
      <w:r w:rsidRPr="003D6582">
        <w:t>г. са отчетени 12</w:t>
      </w:r>
      <w:r>
        <w:t>,0</w:t>
      </w:r>
      <w:r w:rsidRPr="003D6582">
        <w:t xml:space="preserve"> млн. евро </w:t>
      </w:r>
      <w:r>
        <w:t>к</w:t>
      </w:r>
      <w:r w:rsidRPr="004E28C5">
        <w:t>апиталови трансфери за нефинансови предприятия</w:t>
      </w:r>
      <w:r w:rsidRPr="003D6582">
        <w:t xml:space="preserve">, разпределени както следва: </w:t>
      </w:r>
    </w:p>
    <w:p w14:paraId="141FD316" w14:textId="77777777" w:rsidR="00BE34A4" w:rsidRPr="003D6582" w:rsidRDefault="00BE34A4" w:rsidP="00BE34A4">
      <w:pPr>
        <w:ind w:firstLine="720"/>
        <w:contextualSpacing/>
        <w:jc w:val="both"/>
      </w:pPr>
      <w:r w:rsidRPr="003D6582">
        <w:t>- капиталови трансфери по ПМДРА – 1,3 млн. евро;</w:t>
      </w:r>
    </w:p>
    <w:p w14:paraId="23F1AE7D" w14:textId="77777777" w:rsidR="00BE34A4" w:rsidRPr="003D6582" w:rsidRDefault="00BE34A4" w:rsidP="00BE34A4">
      <w:pPr>
        <w:ind w:firstLine="720"/>
        <w:contextualSpacing/>
        <w:jc w:val="both"/>
      </w:pPr>
      <w:r w:rsidRPr="003D6582">
        <w:t>- капиталови трансфери по ПРСР – 10,5 млн. евро;</w:t>
      </w:r>
    </w:p>
    <w:p w14:paraId="09BFAD6E" w14:textId="77777777" w:rsidR="00BE34A4" w:rsidRPr="003D6582" w:rsidRDefault="00BE34A4" w:rsidP="00BE34A4">
      <w:pPr>
        <w:ind w:firstLine="720"/>
        <w:contextualSpacing/>
        <w:jc w:val="both"/>
      </w:pPr>
      <w:r w:rsidRPr="003D6582">
        <w:t>- капиталови трансфери за пазарни мерки – 0,2 млн. евро</w:t>
      </w:r>
      <w:r>
        <w:t>.</w:t>
      </w:r>
    </w:p>
    <w:p w14:paraId="196D1B65" w14:textId="77777777" w:rsidR="00BE34A4" w:rsidRPr="003D6582" w:rsidRDefault="00BE34A4" w:rsidP="00BE34A4">
      <w:pPr>
        <w:tabs>
          <w:tab w:val="left" w:pos="993"/>
        </w:tabs>
        <w:ind w:firstLine="709"/>
        <w:jc w:val="both"/>
      </w:pPr>
      <w:r w:rsidRPr="003D6582">
        <w:t>Отчетените за периода 01.01-30.06.2025</w:t>
      </w:r>
      <w:r>
        <w:t xml:space="preserve"> </w:t>
      </w:r>
      <w:r w:rsidRPr="003D6582">
        <w:t>г. разходи за капиталови субсидии за физически лица и предприятия са били общо 67,7 млн. евро.</w:t>
      </w:r>
    </w:p>
    <w:p w14:paraId="09C0C1A5" w14:textId="77777777" w:rsidR="00BE34A4" w:rsidRPr="003D6582" w:rsidRDefault="00BE34A4" w:rsidP="00BE34A4">
      <w:pPr>
        <w:numPr>
          <w:ilvl w:val="0"/>
          <w:numId w:val="15"/>
        </w:numPr>
        <w:tabs>
          <w:tab w:val="left" w:pos="993"/>
        </w:tabs>
        <w:spacing w:before="120" w:after="120"/>
        <w:ind w:left="1321" w:hanging="612"/>
        <w:jc w:val="both"/>
        <w:rPr>
          <w:b/>
          <w:i/>
          <w:lang w:eastAsia="bg-BG"/>
        </w:rPr>
      </w:pPr>
      <w:r w:rsidRPr="003D6582">
        <w:rPr>
          <w:b/>
          <w:i/>
          <w:lang w:eastAsia="bg-BG"/>
        </w:rPr>
        <w:t>Капиталови трансфери за организации с нестопанска цел</w:t>
      </w:r>
    </w:p>
    <w:p w14:paraId="42D18326" w14:textId="77777777" w:rsidR="00BE34A4" w:rsidRPr="003D6582" w:rsidRDefault="00BE34A4" w:rsidP="00BE34A4">
      <w:pPr>
        <w:ind w:firstLine="708"/>
        <w:jc w:val="both"/>
      </w:pPr>
      <w:r w:rsidRPr="003D6582">
        <w:t>Към 30.06.2026</w:t>
      </w:r>
      <w:r>
        <w:t xml:space="preserve"> </w:t>
      </w:r>
      <w:r w:rsidRPr="003D6582">
        <w:t>г. са отчетени 0,05</w:t>
      </w:r>
      <w:r>
        <w:t xml:space="preserve"> </w:t>
      </w:r>
      <w:r w:rsidRPr="003D6582">
        <w:t xml:space="preserve">млн. евро капиталови </w:t>
      </w:r>
      <w:r w:rsidRPr="004E28C5">
        <w:t>трансфери за организации с нестопанска цел</w:t>
      </w:r>
      <w:r w:rsidRPr="003D6582">
        <w:t>, разпределени по дейности както следва:</w:t>
      </w:r>
    </w:p>
    <w:p w14:paraId="7AA12916" w14:textId="77777777" w:rsidR="00BE34A4" w:rsidRPr="003D6582" w:rsidRDefault="00BE34A4" w:rsidP="00BE34A4">
      <w:pPr>
        <w:ind w:firstLine="720"/>
        <w:contextualSpacing/>
        <w:jc w:val="both"/>
      </w:pPr>
      <w:r w:rsidRPr="003D6582">
        <w:t>- капиталови трансфери по ПМДРА – 0,06 млн. евро;</w:t>
      </w:r>
    </w:p>
    <w:p w14:paraId="13B21A7F" w14:textId="77777777" w:rsidR="00BE34A4" w:rsidRPr="003D6582" w:rsidRDefault="00BE34A4" w:rsidP="00BE34A4">
      <w:pPr>
        <w:spacing w:after="120"/>
        <w:ind w:firstLine="720"/>
        <w:contextualSpacing/>
        <w:jc w:val="both"/>
      </w:pPr>
      <w:r w:rsidRPr="003D6582">
        <w:t>- капиталови трансфери по ПРСР – минус 0,01 млн. евро</w:t>
      </w:r>
      <w:r>
        <w:t>.</w:t>
      </w:r>
    </w:p>
    <w:p w14:paraId="32AF2406" w14:textId="77777777" w:rsidR="00BE34A4" w:rsidRPr="003D6582" w:rsidRDefault="00BE34A4" w:rsidP="00BE34A4">
      <w:pPr>
        <w:spacing w:after="120"/>
        <w:ind w:firstLine="708"/>
        <w:jc w:val="both"/>
      </w:pPr>
      <w:r w:rsidRPr="003D6582">
        <w:t>През същия период на предходната година са отчетени 2,4 млн. евро.</w:t>
      </w:r>
    </w:p>
    <w:p w14:paraId="0405C244" w14:textId="77777777" w:rsidR="00BE34A4" w:rsidRPr="003D6582" w:rsidRDefault="00BE34A4" w:rsidP="00BE34A4">
      <w:pPr>
        <w:numPr>
          <w:ilvl w:val="0"/>
          <w:numId w:val="16"/>
        </w:numPr>
        <w:spacing w:before="120" w:after="120" w:line="276" w:lineRule="auto"/>
        <w:ind w:left="780"/>
        <w:contextualSpacing/>
        <w:jc w:val="both"/>
        <w:rPr>
          <w:b/>
          <w:lang w:eastAsia="bg-BG"/>
        </w:rPr>
      </w:pPr>
      <w:r w:rsidRPr="003D6582">
        <w:rPr>
          <w:b/>
          <w:lang w:eastAsia="bg-BG"/>
        </w:rPr>
        <w:t xml:space="preserve">Трансфери </w:t>
      </w:r>
    </w:p>
    <w:p w14:paraId="6BFA5423" w14:textId="77777777" w:rsidR="00BE34A4" w:rsidRPr="003D6582" w:rsidRDefault="00BE34A4" w:rsidP="00BE34A4">
      <w:pPr>
        <w:tabs>
          <w:tab w:val="left" w:pos="540"/>
        </w:tabs>
        <w:ind w:firstLine="709"/>
        <w:contextualSpacing/>
        <w:jc w:val="both"/>
      </w:pPr>
      <w:r w:rsidRPr="003D6582">
        <w:t>В частта на трансферите, в касовия отчет на ДФЗ-РА към 30.06.2026</w:t>
      </w:r>
      <w:r>
        <w:t xml:space="preserve"> </w:t>
      </w:r>
      <w:r w:rsidRPr="003D6582">
        <w:t>г. са отразени следните касови потоци:</w:t>
      </w:r>
    </w:p>
    <w:p w14:paraId="7D7AADB6" w14:textId="77777777" w:rsidR="00BE34A4" w:rsidRPr="003D6582" w:rsidRDefault="00BE34A4" w:rsidP="00BE34A4">
      <w:pPr>
        <w:numPr>
          <w:ilvl w:val="0"/>
          <w:numId w:val="15"/>
        </w:numPr>
        <w:tabs>
          <w:tab w:val="left" w:pos="993"/>
        </w:tabs>
        <w:spacing w:before="120" w:after="120"/>
        <w:ind w:left="1321" w:hanging="612"/>
        <w:jc w:val="both"/>
        <w:rPr>
          <w:b/>
          <w:i/>
          <w:lang w:eastAsia="bg-BG"/>
        </w:rPr>
      </w:pPr>
      <w:r w:rsidRPr="003D6582">
        <w:rPr>
          <w:b/>
          <w:i/>
          <w:lang w:eastAsia="bg-BG"/>
        </w:rPr>
        <w:t xml:space="preserve">Трансфери между бюджети и сметки за средства от Европейския съюз </w:t>
      </w:r>
    </w:p>
    <w:p w14:paraId="666707A4" w14:textId="77777777" w:rsidR="00BE34A4" w:rsidRPr="003D6582" w:rsidRDefault="00BE34A4" w:rsidP="00BE34A4">
      <w:pPr>
        <w:ind w:firstLine="720"/>
        <w:jc w:val="both"/>
      </w:pPr>
      <w:r w:rsidRPr="003D6582">
        <w:t>Получените трансфери от бюджетни сметки на бюджетни организации и общини са формирани при възстановяване на суми по вземания по ПРСР и директни плащания и техният размер е 0,4 млн. евро.</w:t>
      </w:r>
    </w:p>
    <w:p w14:paraId="199D0768" w14:textId="77777777" w:rsidR="00BE34A4" w:rsidRPr="003D6582" w:rsidRDefault="00BE34A4" w:rsidP="00BE34A4">
      <w:pPr>
        <w:numPr>
          <w:ilvl w:val="0"/>
          <w:numId w:val="15"/>
        </w:numPr>
        <w:tabs>
          <w:tab w:val="left" w:pos="993"/>
        </w:tabs>
        <w:spacing w:before="120" w:after="120"/>
        <w:ind w:left="1321" w:hanging="612"/>
        <w:jc w:val="both"/>
        <w:rPr>
          <w:b/>
          <w:i/>
          <w:lang w:eastAsia="bg-BG"/>
        </w:rPr>
      </w:pPr>
      <w:r w:rsidRPr="003D6582">
        <w:rPr>
          <w:b/>
          <w:i/>
          <w:lang w:eastAsia="bg-BG"/>
        </w:rPr>
        <w:t>Трансфери между сметки за средства от Европейския съюз:</w:t>
      </w:r>
    </w:p>
    <w:p w14:paraId="3831D8AE" w14:textId="77777777" w:rsidR="00BE34A4" w:rsidRPr="003D6582" w:rsidRDefault="00BE34A4" w:rsidP="00BE34A4">
      <w:pPr>
        <w:tabs>
          <w:tab w:val="left" w:pos="540"/>
        </w:tabs>
        <w:jc w:val="both"/>
      </w:pPr>
      <w:r w:rsidRPr="003D6582">
        <w:tab/>
      </w:r>
      <w:r w:rsidRPr="003D6582">
        <w:tab/>
        <w:t>Предоставените трансфери са формирани от изплатените субсидии на публични бенефициенти. Към 30.06.2026</w:t>
      </w:r>
      <w:r>
        <w:t xml:space="preserve"> </w:t>
      </w:r>
      <w:r w:rsidRPr="003D6582">
        <w:t xml:space="preserve">г. са отчетени 56,3 млн. евро, в т.ч.: </w:t>
      </w:r>
    </w:p>
    <w:p w14:paraId="6B525204" w14:textId="77777777" w:rsidR="00BE34A4" w:rsidRPr="003D6582" w:rsidRDefault="00BE34A4" w:rsidP="00BE34A4">
      <w:pPr>
        <w:numPr>
          <w:ilvl w:val="0"/>
          <w:numId w:val="20"/>
        </w:numPr>
        <w:tabs>
          <w:tab w:val="left" w:pos="540"/>
          <w:tab w:val="left" w:pos="851"/>
        </w:tabs>
        <w:ind w:left="0" w:firstLine="709"/>
        <w:contextualSpacing/>
        <w:jc w:val="both"/>
      </w:pPr>
      <w:r w:rsidRPr="003D6582">
        <w:t>по Програмата за развитие на селските райони: 52,7 млн. евро;</w:t>
      </w:r>
    </w:p>
    <w:p w14:paraId="5021563E" w14:textId="77777777" w:rsidR="00BE34A4" w:rsidRPr="003D6582" w:rsidRDefault="00BE34A4" w:rsidP="00BE34A4">
      <w:pPr>
        <w:numPr>
          <w:ilvl w:val="0"/>
          <w:numId w:val="20"/>
        </w:numPr>
        <w:tabs>
          <w:tab w:val="left" w:pos="540"/>
          <w:tab w:val="left" w:pos="851"/>
        </w:tabs>
        <w:ind w:left="0" w:firstLine="709"/>
        <w:contextualSpacing/>
        <w:jc w:val="both"/>
      </w:pPr>
      <w:r w:rsidRPr="003D6582">
        <w:t>по Програмата за морско дело, рибарство и аквакултури: 3,5 млн. евро;</w:t>
      </w:r>
    </w:p>
    <w:p w14:paraId="29F66CDB" w14:textId="77777777" w:rsidR="00BE34A4" w:rsidRPr="003D6582" w:rsidRDefault="00BE34A4" w:rsidP="00BE34A4">
      <w:pPr>
        <w:numPr>
          <w:ilvl w:val="0"/>
          <w:numId w:val="20"/>
        </w:numPr>
        <w:tabs>
          <w:tab w:val="left" w:pos="540"/>
          <w:tab w:val="left" w:pos="851"/>
        </w:tabs>
        <w:ind w:left="0" w:firstLine="709"/>
        <w:contextualSpacing/>
        <w:jc w:val="both"/>
      </w:pPr>
      <w:r>
        <w:t>н</w:t>
      </w:r>
      <w:r w:rsidRPr="003D6582">
        <w:t>ационално съфинансиране към директни плащания: 0,1 млн. евро;</w:t>
      </w:r>
    </w:p>
    <w:p w14:paraId="6DBAC959" w14:textId="77777777" w:rsidR="00BE34A4" w:rsidRPr="003D6582" w:rsidRDefault="00BE34A4" w:rsidP="00BE34A4">
      <w:pPr>
        <w:numPr>
          <w:ilvl w:val="0"/>
          <w:numId w:val="20"/>
        </w:numPr>
        <w:tabs>
          <w:tab w:val="left" w:pos="540"/>
          <w:tab w:val="left" w:pos="851"/>
        </w:tabs>
        <w:ind w:left="0" w:firstLine="709"/>
        <w:contextualSpacing/>
        <w:jc w:val="both"/>
      </w:pPr>
      <w:r w:rsidRPr="003D6582">
        <w:t>пазарни мерки: 0,</w:t>
      </w:r>
      <w:r w:rsidRPr="003D6582">
        <w:rPr>
          <w:lang w:val="en-US"/>
        </w:rPr>
        <w:t>0</w:t>
      </w:r>
      <w:r w:rsidRPr="003D6582">
        <w:t>2 млн. евро.</w:t>
      </w:r>
    </w:p>
    <w:p w14:paraId="31CB5996" w14:textId="77777777" w:rsidR="00BE34A4" w:rsidRPr="003D6582" w:rsidRDefault="00BE34A4" w:rsidP="00BE34A4">
      <w:pPr>
        <w:tabs>
          <w:tab w:val="left" w:pos="540"/>
        </w:tabs>
        <w:spacing w:before="120" w:after="120"/>
        <w:jc w:val="both"/>
        <w:rPr>
          <w:color w:val="FF0000"/>
        </w:rPr>
      </w:pPr>
      <w:r w:rsidRPr="003D6582">
        <w:tab/>
      </w:r>
      <w:r w:rsidRPr="003D6582">
        <w:tab/>
        <w:t xml:space="preserve">  Към края на </w:t>
      </w:r>
      <w:r>
        <w:t>първото полугодие</w:t>
      </w:r>
      <w:r w:rsidRPr="003D6582">
        <w:t xml:space="preserve"> на 2025</w:t>
      </w:r>
      <w:r>
        <w:t xml:space="preserve"> </w:t>
      </w:r>
      <w:r w:rsidRPr="003D6582">
        <w:t>г. предоставените трансфери са възлизали на 32,6</w:t>
      </w:r>
      <w:r w:rsidR="00F55691">
        <w:t> </w:t>
      </w:r>
      <w:r w:rsidRPr="003D6582">
        <w:t>млн. евро.</w:t>
      </w:r>
    </w:p>
    <w:p w14:paraId="6138ABE1" w14:textId="77777777" w:rsidR="00BE34A4" w:rsidRPr="003D6582" w:rsidRDefault="00BE34A4" w:rsidP="00BE34A4">
      <w:pPr>
        <w:numPr>
          <w:ilvl w:val="0"/>
          <w:numId w:val="16"/>
        </w:numPr>
        <w:spacing w:before="120" w:after="120" w:line="276" w:lineRule="auto"/>
        <w:ind w:left="778"/>
        <w:jc w:val="both"/>
        <w:rPr>
          <w:b/>
          <w:lang w:eastAsia="bg-BG"/>
        </w:rPr>
      </w:pPr>
      <w:r w:rsidRPr="003D6582">
        <w:rPr>
          <w:b/>
          <w:lang w:eastAsia="bg-BG"/>
        </w:rPr>
        <w:t>Финансиране</w:t>
      </w:r>
    </w:p>
    <w:p w14:paraId="5626AF27" w14:textId="77777777" w:rsidR="00BE34A4" w:rsidRPr="003D6582" w:rsidRDefault="00BE34A4" w:rsidP="00BE34A4">
      <w:pPr>
        <w:numPr>
          <w:ilvl w:val="0"/>
          <w:numId w:val="15"/>
        </w:numPr>
        <w:tabs>
          <w:tab w:val="left" w:pos="993"/>
        </w:tabs>
        <w:spacing w:before="120" w:after="120"/>
        <w:ind w:left="851" w:hanging="425"/>
        <w:jc w:val="both"/>
        <w:rPr>
          <w:b/>
          <w:lang w:eastAsia="bg-BG"/>
        </w:rPr>
      </w:pPr>
      <w:r w:rsidRPr="003D6582">
        <w:rPr>
          <w:b/>
          <w:lang w:eastAsia="bg-BG"/>
        </w:rPr>
        <w:t>Суми по разчети за поети осигурителни вноски и данъци</w:t>
      </w:r>
    </w:p>
    <w:p w14:paraId="251A51E6" w14:textId="77777777" w:rsidR="00BE34A4" w:rsidRPr="003D6582" w:rsidRDefault="00BE34A4" w:rsidP="00BE34A4">
      <w:pPr>
        <w:ind w:firstLine="851"/>
        <w:jc w:val="both"/>
        <w:rPr>
          <w:lang w:eastAsia="bg-BG"/>
        </w:rPr>
      </w:pPr>
      <w:r w:rsidRPr="003D6582">
        <w:rPr>
          <w:lang w:eastAsia="bg-BG"/>
        </w:rPr>
        <w:t xml:space="preserve">Към края на </w:t>
      </w:r>
      <w:r>
        <w:rPr>
          <w:lang w:eastAsia="bg-BG"/>
        </w:rPr>
        <w:t>второто полугодие</w:t>
      </w:r>
      <w:r w:rsidRPr="003D6582">
        <w:rPr>
          <w:lang w:eastAsia="bg-BG"/>
        </w:rPr>
        <w:t xml:space="preserve"> на 2026</w:t>
      </w:r>
      <w:r>
        <w:rPr>
          <w:lang w:eastAsia="bg-BG"/>
        </w:rPr>
        <w:t xml:space="preserve"> </w:t>
      </w:r>
      <w:r w:rsidRPr="003D6582">
        <w:rPr>
          <w:lang w:eastAsia="bg-BG"/>
        </w:rPr>
        <w:t>г. сумата по разчети за поети данъци, формирани от удържан и внесен окончателен данък на физически лица, съгл. чл. 65, ал. 14 от ЗДДФЛ възлиза нето на 0,1 млн.</w:t>
      </w:r>
      <w:r>
        <w:rPr>
          <w:lang w:eastAsia="bg-BG"/>
        </w:rPr>
        <w:t xml:space="preserve"> </w:t>
      </w:r>
      <w:r w:rsidRPr="003D6582">
        <w:rPr>
          <w:lang w:eastAsia="bg-BG"/>
        </w:rPr>
        <w:t>евро.</w:t>
      </w:r>
      <w:r w:rsidRPr="003D6582">
        <w:rPr>
          <w:b/>
          <w:lang w:eastAsia="bg-BG"/>
        </w:rPr>
        <w:tab/>
      </w:r>
    </w:p>
    <w:p w14:paraId="7DC49927" w14:textId="77777777" w:rsidR="00BE34A4" w:rsidRPr="003D6582" w:rsidRDefault="00BE34A4" w:rsidP="00BE34A4">
      <w:pPr>
        <w:numPr>
          <w:ilvl w:val="0"/>
          <w:numId w:val="15"/>
        </w:numPr>
        <w:tabs>
          <w:tab w:val="left" w:pos="993"/>
        </w:tabs>
        <w:spacing w:before="120" w:after="120"/>
        <w:ind w:left="864" w:hanging="432"/>
        <w:jc w:val="both"/>
        <w:rPr>
          <w:b/>
          <w:lang w:eastAsia="bg-BG"/>
        </w:rPr>
      </w:pPr>
      <w:r w:rsidRPr="003D6582">
        <w:rPr>
          <w:b/>
          <w:lang w:eastAsia="bg-BG"/>
        </w:rPr>
        <w:t>Друго финансиране</w:t>
      </w:r>
    </w:p>
    <w:p w14:paraId="7A345AA3" w14:textId="77777777" w:rsidR="00BE34A4" w:rsidRPr="003D6582" w:rsidRDefault="00BE34A4" w:rsidP="00BE34A4">
      <w:pPr>
        <w:jc w:val="both"/>
        <w:rPr>
          <w:lang w:eastAsia="bg-BG"/>
        </w:rPr>
      </w:pPr>
      <w:r w:rsidRPr="003D6582">
        <w:rPr>
          <w:lang w:eastAsia="bg-BG"/>
        </w:rPr>
        <w:tab/>
        <w:t>За периода 01.01-30.06.2026</w:t>
      </w:r>
      <w:r>
        <w:rPr>
          <w:lang w:eastAsia="bg-BG"/>
        </w:rPr>
        <w:t xml:space="preserve"> </w:t>
      </w:r>
      <w:r w:rsidRPr="003D6582">
        <w:rPr>
          <w:lang w:eastAsia="bg-BG"/>
        </w:rPr>
        <w:t>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194,3 млн. евро.</w:t>
      </w:r>
    </w:p>
    <w:p w14:paraId="45860797" w14:textId="3B58BDFE" w:rsidR="00BE34A4" w:rsidRPr="003D6582" w:rsidRDefault="00BE34A4" w:rsidP="00BE34A4">
      <w:pPr>
        <w:jc w:val="both"/>
        <w:rPr>
          <w:lang w:eastAsia="bg-BG"/>
        </w:rPr>
      </w:pPr>
      <w:r w:rsidRPr="003D6582">
        <w:rPr>
          <w:lang w:eastAsia="bg-BG"/>
        </w:rPr>
        <w:tab/>
        <w:t>Към 30.06.2026</w:t>
      </w:r>
      <w:r>
        <w:rPr>
          <w:lang w:eastAsia="bg-BG"/>
        </w:rPr>
        <w:t xml:space="preserve"> </w:t>
      </w:r>
      <w:r w:rsidRPr="003D6582">
        <w:rPr>
          <w:lang w:eastAsia="bg-BG"/>
        </w:rPr>
        <w:t>г. са отчетени плащания в общ размер 457,5 млн. евро</w:t>
      </w:r>
      <w:r w:rsidRPr="00F82FF6">
        <w:t xml:space="preserve"> </w:t>
      </w:r>
      <w:r w:rsidRPr="00F82FF6">
        <w:rPr>
          <w:lang w:eastAsia="bg-BG"/>
        </w:rPr>
        <w:t>представляващи 4</w:t>
      </w:r>
      <w:r>
        <w:rPr>
          <w:lang w:eastAsia="bg-BG"/>
        </w:rPr>
        <w:t>6</w:t>
      </w:r>
      <w:r w:rsidRPr="00F82FF6">
        <w:rPr>
          <w:lang w:eastAsia="bg-BG"/>
        </w:rPr>
        <w:t>,</w:t>
      </w:r>
      <w:r>
        <w:rPr>
          <w:lang w:eastAsia="bg-BG"/>
        </w:rPr>
        <w:t>3 </w:t>
      </w:r>
      <w:r w:rsidRPr="00F82FF6">
        <w:rPr>
          <w:lang w:eastAsia="bg-BG"/>
        </w:rPr>
        <w:t xml:space="preserve">% от годишните разчети, които са </w:t>
      </w:r>
      <w:r>
        <w:rPr>
          <w:lang w:eastAsia="bg-BG"/>
        </w:rPr>
        <w:t>988,4</w:t>
      </w:r>
      <w:r w:rsidRPr="00F82FF6">
        <w:rPr>
          <w:lang w:eastAsia="bg-BG"/>
        </w:rPr>
        <w:t xml:space="preserve"> млн.</w:t>
      </w:r>
      <w:r>
        <w:rPr>
          <w:lang w:eastAsia="bg-BG"/>
        </w:rPr>
        <w:t xml:space="preserve"> евро</w:t>
      </w:r>
      <w:r w:rsidRPr="003D6582">
        <w:rPr>
          <w:lang w:eastAsia="bg-BG"/>
        </w:rPr>
        <w:t>. За същия период на 2025</w:t>
      </w:r>
      <w:r>
        <w:rPr>
          <w:lang w:eastAsia="bg-BG"/>
        </w:rPr>
        <w:t xml:space="preserve"> </w:t>
      </w:r>
      <w:r w:rsidRPr="003D6582">
        <w:rPr>
          <w:lang w:eastAsia="bg-BG"/>
        </w:rPr>
        <w:t>г. плащанията, отчитани като финансиране са били 511,1 млн. евро.</w:t>
      </w:r>
    </w:p>
    <w:p w14:paraId="41DE06BE" w14:textId="77777777" w:rsidR="00BE34A4" w:rsidRPr="003D6582" w:rsidRDefault="00BE34A4" w:rsidP="00BE34A4">
      <w:pPr>
        <w:ind w:firstLine="720"/>
        <w:jc w:val="both"/>
        <w:rPr>
          <w:szCs w:val="20"/>
        </w:rPr>
      </w:pPr>
      <w:r w:rsidRPr="003D6582">
        <w:rPr>
          <w:szCs w:val="20"/>
        </w:rPr>
        <w:t>Отчетените плащания са по следните направления:</w:t>
      </w:r>
    </w:p>
    <w:p w14:paraId="7DB58D86" w14:textId="77777777" w:rsidR="00BE34A4" w:rsidRPr="003D6582" w:rsidRDefault="00BE34A4" w:rsidP="00BE34A4">
      <w:pPr>
        <w:numPr>
          <w:ilvl w:val="0"/>
          <w:numId w:val="17"/>
        </w:numPr>
        <w:tabs>
          <w:tab w:val="left" w:pos="993"/>
        </w:tabs>
        <w:ind w:left="0" w:firstLine="709"/>
        <w:jc w:val="both"/>
        <w:rPr>
          <w:szCs w:val="20"/>
        </w:rPr>
      </w:pPr>
      <w:r w:rsidRPr="003D6582">
        <w:rPr>
          <w:szCs w:val="20"/>
        </w:rPr>
        <w:lastRenderedPageBreak/>
        <w:t>433,8 млн. евро за директни плащания за сметка на ЕФГЗ</w:t>
      </w:r>
      <w:r w:rsidRPr="00F82FF6">
        <w:rPr>
          <w:szCs w:val="20"/>
        </w:rPr>
        <w:t xml:space="preserve">, представляващи </w:t>
      </w:r>
      <w:r>
        <w:rPr>
          <w:szCs w:val="20"/>
          <w:lang w:val="en-US"/>
        </w:rPr>
        <w:t>51</w:t>
      </w:r>
      <w:r>
        <w:rPr>
          <w:szCs w:val="20"/>
        </w:rPr>
        <w:t>,</w:t>
      </w:r>
      <w:r>
        <w:rPr>
          <w:szCs w:val="20"/>
          <w:lang w:val="en-US"/>
        </w:rPr>
        <w:t xml:space="preserve">6 </w:t>
      </w:r>
      <w:r w:rsidRPr="00F82FF6">
        <w:rPr>
          <w:szCs w:val="20"/>
        </w:rPr>
        <w:t xml:space="preserve">% от планираните </w:t>
      </w:r>
      <w:r>
        <w:rPr>
          <w:szCs w:val="20"/>
        </w:rPr>
        <w:t>8</w:t>
      </w:r>
      <w:r>
        <w:rPr>
          <w:szCs w:val="20"/>
          <w:lang w:val="en-US"/>
        </w:rPr>
        <w:t>41</w:t>
      </w:r>
      <w:r>
        <w:rPr>
          <w:szCs w:val="20"/>
        </w:rPr>
        <w:t>,</w:t>
      </w:r>
      <w:r>
        <w:rPr>
          <w:szCs w:val="20"/>
          <w:lang w:val="en-US"/>
        </w:rPr>
        <w:t>5</w:t>
      </w:r>
      <w:r w:rsidRPr="00F82FF6">
        <w:rPr>
          <w:szCs w:val="20"/>
        </w:rPr>
        <w:t xml:space="preserve"> млн.</w:t>
      </w:r>
      <w:r>
        <w:rPr>
          <w:szCs w:val="20"/>
        </w:rPr>
        <w:t xml:space="preserve"> евро</w:t>
      </w:r>
      <w:r w:rsidRPr="003D6582">
        <w:rPr>
          <w:szCs w:val="20"/>
        </w:rPr>
        <w:t>;</w:t>
      </w:r>
    </w:p>
    <w:p w14:paraId="39033A1A" w14:textId="77777777" w:rsidR="00BE34A4" w:rsidRPr="003D6582" w:rsidRDefault="00BE34A4" w:rsidP="00BE34A4">
      <w:pPr>
        <w:numPr>
          <w:ilvl w:val="0"/>
          <w:numId w:val="17"/>
        </w:numPr>
        <w:tabs>
          <w:tab w:val="left" w:pos="993"/>
        </w:tabs>
        <w:ind w:left="0" w:firstLine="709"/>
        <w:jc w:val="both"/>
        <w:rPr>
          <w:szCs w:val="20"/>
        </w:rPr>
      </w:pPr>
      <w:r w:rsidRPr="003D6582">
        <w:rPr>
          <w:szCs w:val="20"/>
        </w:rPr>
        <w:t>8,3 млн. евро средства от ЕЗФРСР, прехвърлени към директни плащания</w:t>
      </w:r>
      <w:r w:rsidRPr="004662A6">
        <w:rPr>
          <w:szCs w:val="20"/>
        </w:rPr>
        <w:t xml:space="preserve">, което е </w:t>
      </w:r>
      <w:r>
        <w:rPr>
          <w:szCs w:val="20"/>
        </w:rPr>
        <w:t xml:space="preserve">8,5 </w:t>
      </w:r>
      <w:r w:rsidRPr="004662A6">
        <w:rPr>
          <w:szCs w:val="20"/>
        </w:rPr>
        <w:t xml:space="preserve">% от планираните </w:t>
      </w:r>
      <w:r>
        <w:rPr>
          <w:szCs w:val="20"/>
        </w:rPr>
        <w:t xml:space="preserve">97,2 </w:t>
      </w:r>
      <w:r w:rsidRPr="004662A6">
        <w:rPr>
          <w:szCs w:val="20"/>
        </w:rPr>
        <w:t>млн.</w:t>
      </w:r>
      <w:r>
        <w:rPr>
          <w:szCs w:val="20"/>
        </w:rPr>
        <w:t xml:space="preserve"> евро</w:t>
      </w:r>
      <w:r w:rsidRPr="003D6582">
        <w:rPr>
          <w:szCs w:val="20"/>
        </w:rPr>
        <w:t>;</w:t>
      </w:r>
    </w:p>
    <w:p w14:paraId="4BD8CAFD" w14:textId="77777777" w:rsidR="00BE34A4" w:rsidRPr="003D6582" w:rsidRDefault="00BE34A4" w:rsidP="00BE34A4">
      <w:pPr>
        <w:numPr>
          <w:ilvl w:val="0"/>
          <w:numId w:val="17"/>
        </w:numPr>
        <w:tabs>
          <w:tab w:val="left" w:pos="993"/>
        </w:tabs>
        <w:ind w:left="0" w:firstLine="709"/>
        <w:jc w:val="both"/>
        <w:rPr>
          <w:szCs w:val="20"/>
        </w:rPr>
      </w:pPr>
      <w:r w:rsidRPr="003D6582">
        <w:rPr>
          <w:szCs w:val="20"/>
        </w:rPr>
        <w:t>10,9 млн. евро за пазарни мерки</w:t>
      </w:r>
      <w:r w:rsidRPr="00606B2C">
        <w:rPr>
          <w:szCs w:val="20"/>
        </w:rPr>
        <w:t xml:space="preserve"> </w:t>
      </w:r>
      <w:r w:rsidRPr="004662A6">
        <w:rPr>
          <w:szCs w:val="20"/>
        </w:rPr>
        <w:t xml:space="preserve">при разчет за плащания в размер </w:t>
      </w:r>
      <w:r>
        <w:rPr>
          <w:szCs w:val="20"/>
        </w:rPr>
        <w:t>33,3</w:t>
      </w:r>
      <w:r w:rsidRPr="004662A6">
        <w:rPr>
          <w:szCs w:val="20"/>
        </w:rPr>
        <w:t xml:space="preserve"> млн.</w:t>
      </w:r>
      <w:r>
        <w:rPr>
          <w:szCs w:val="20"/>
        </w:rPr>
        <w:t xml:space="preserve"> евро</w:t>
      </w:r>
      <w:r w:rsidRPr="004662A6">
        <w:rPr>
          <w:szCs w:val="20"/>
        </w:rPr>
        <w:t xml:space="preserve"> изпълнение </w:t>
      </w:r>
      <w:r>
        <w:rPr>
          <w:szCs w:val="20"/>
        </w:rPr>
        <w:t>32,7 процента</w:t>
      </w:r>
      <w:r w:rsidRPr="003D6582">
        <w:rPr>
          <w:szCs w:val="20"/>
        </w:rPr>
        <w:t>;</w:t>
      </w:r>
    </w:p>
    <w:p w14:paraId="56F03A0E" w14:textId="77777777" w:rsidR="00BE34A4" w:rsidRPr="003D6582" w:rsidRDefault="00BE34A4" w:rsidP="00BE34A4">
      <w:pPr>
        <w:numPr>
          <w:ilvl w:val="0"/>
          <w:numId w:val="17"/>
        </w:numPr>
        <w:tabs>
          <w:tab w:val="left" w:pos="993"/>
        </w:tabs>
        <w:ind w:left="0" w:firstLine="709"/>
        <w:jc w:val="both"/>
        <w:rPr>
          <w:lang w:eastAsia="bg-BG"/>
        </w:rPr>
      </w:pPr>
      <w:r w:rsidRPr="003D6582">
        <w:rPr>
          <w:szCs w:val="20"/>
        </w:rPr>
        <w:t>4,</w:t>
      </w:r>
      <w:r>
        <w:rPr>
          <w:szCs w:val="20"/>
        </w:rPr>
        <w:t>5</w:t>
      </w:r>
      <w:r w:rsidRPr="003D6582">
        <w:rPr>
          <w:szCs w:val="20"/>
        </w:rPr>
        <w:t xml:space="preserve"> млн. евро за преструктуриране</w:t>
      </w:r>
      <w:r w:rsidRPr="00606B2C">
        <w:rPr>
          <w:szCs w:val="20"/>
        </w:rPr>
        <w:t xml:space="preserve">, изпълнение </w:t>
      </w:r>
      <w:r>
        <w:rPr>
          <w:szCs w:val="20"/>
        </w:rPr>
        <w:t xml:space="preserve">27,3 </w:t>
      </w:r>
      <w:r w:rsidRPr="00606B2C">
        <w:rPr>
          <w:szCs w:val="20"/>
        </w:rPr>
        <w:t xml:space="preserve">% от планираните плащания в размер </w:t>
      </w:r>
      <w:r>
        <w:rPr>
          <w:szCs w:val="20"/>
        </w:rPr>
        <w:t>16,4</w:t>
      </w:r>
      <w:r w:rsidRPr="00606B2C">
        <w:rPr>
          <w:szCs w:val="20"/>
        </w:rPr>
        <w:t xml:space="preserve"> млн.</w:t>
      </w:r>
      <w:r>
        <w:rPr>
          <w:szCs w:val="20"/>
        </w:rPr>
        <w:t xml:space="preserve"> евро</w:t>
      </w:r>
      <w:r w:rsidRPr="003D6582">
        <w:rPr>
          <w:szCs w:val="20"/>
        </w:rPr>
        <w:t>.</w:t>
      </w:r>
    </w:p>
    <w:p w14:paraId="58F00560" w14:textId="77777777" w:rsidR="00BE34A4" w:rsidRPr="003D6582" w:rsidRDefault="00BE34A4" w:rsidP="00BE34A4">
      <w:pPr>
        <w:tabs>
          <w:tab w:val="left" w:pos="709"/>
        </w:tabs>
        <w:jc w:val="both"/>
        <w:rPr>
          <w:lang w:eastAsia="bg-BG"/>
        </w:rPr>
      </w:pPr>
      <w:r w:rsidRPr="003D6582">
        <w:rPr>
          <w:lang w:eastAsia="bg-BG"/>
        </w:rPr>
        <w:tab/>
        <w:t>Възстановените суми от Европейския съюз към 30.06.2026</w:t>
      </w:r>
      <w:r>
        <w:rPr>
          <w:lang w:eastAsia="bg-BG"/>
        </w:rPr>
        <w:t xml:space="preserve"> </w:t>
      </w:r>
      <w:r w:rsidRPr="003D6582">
        <w:rPr>
          <w:lang w:eastAsia="bg-BG"/>
        </w:rPr>
        <w:t>г. възлизат общо на 634,9 млн. евро</w:t>
      </w:r>
      <w:r w:rsidRPr="00F27E48">
        <w:rPr>
          <w:lang w:eastAsia="bg-BG"/>
        </w:rPr>
        <w:t xml:space="preserve">, представляващи </w:t>
      </w:r>
      <w:r>
        <w:rPr>
          <w:lang w:eastAsia="bg-BG"/>
        </w:rPr>
        <w:t xml:space="preserve">66,1 </w:t>
      </w:r>
      <w:r w:rsidRPr="00F27E48">
        <w:rPr>
          <w:lang w:eastAsia="bg-BG"/>
        </w:rPr>
        <w:t xml:space="preserve">% от планираните </w:t>
      </w:r>
      <w:r>
        <w:rPr>
          <w:lang w:eastAsia="bg-BG"/>
        </w:rPr>
        <w:t>960,1</w:t>
      </w:r>
      <w:r w:rsidRPr="00F27E48">
        <w:rPr>
          <w:lang w:eastAsia="bg-BG"/>
        </w:rPr>
        <w:t xml:space="preserve"> млн.</w:t>
      </w:r>
      <w:r>
        <w:rPr>
          <w:lang w:eastAsia="bg-BG"/>
        </w:rPr>
        <w:t xml:space="preserve"> евро</w:t>
      </w:r>
      <w:r w:rsidRPr="003D6582">
        <w:rPr>
          <w:lang w:eastAsia="bg-BG"/>
        </w:rPr>
        <w:t xml:space="preserve">. Отчетеното изпълнение за периода </w:t>
      </w:r>
      <w:r>
        <w:rPr>
          <w:lang w:eastAsia="bg-BG"/>
        </w:rPr>
        <w:t xml:space="preserve">през </w:t>
      </w:r>
      <w:r w:rsidRPr="003D6582">
        <w:rPr>
          <w:lang w:eastAsia="bg-BG"/>
        </w:rPr>
        <w:t>предходната година е било 599</w:t>
      </w:r>
      <w:r>
        <w:rPr>
          <w:lang w:eastAsia="bg-BG"/>
        </w:rPr>
        <w:t>,0</w:t>
      </w:r>
      <w:r w:rsidRPr="003D6582">
        <w:rPr>
          <w:lang w:eastAsia="bg-BG"/>
        </w:rPr>
        <w:t xml:space="preserve"> млн. евро.</w:t>
      </w:r>
    </w:p>
    <w:p w14:paraId="0B0B08FF" w14:textId="77777777" w:rsidR="00BE34A4" w:rsidRPr="003D6582" w:rsidRDefault="00BE34A4" w:rsidP="00BE34A4">
      <w:pPr>
        <w:tabs>
          <w:tab w:val="left" w:pos="709"/>
        </w:tabs>
        <w:jc w:val="both"/>
        <w:rPr>
          <w:lang w:eastAsia="bg-BG"/>
        </w:rPr>
      </w:pPr>
      <w:r w:rsidRPr="003D6582">
        <w:rPr>
          <w:lang w:eastAsia="bg-BG"/>
        </w:rPr>
        <w:tab/>
        <w:t>Възстановени са суми по следните направления:</w:t>
      </w:r>
    </w:p>
    <w:p w14:paraId="4164DF4D" w14:textId="77777777" w:rsidR="00BE34A4" w:rsidRPr="003D6582" w:rsidRDefault="00BE34A4" w:rsidP="00BE34A4">
      <w:pPr>
        <w:numPr>
          <w:ilvl w:val="0"/>
          <w:numId w:val="17"/>
        </w:numPr>
        <w:tabs>
          <w:tab w:val="left" w:pos="993"/>
        </w:tabs>
        <w:ind w:left="0" w:firstLine="709"/>
        <w:jc w:val="both"/>
        <w:rPr>
          <w:lang w:eastAsia="bg-BG"/>
        </w:rPr>
      </w:pPr>
      <w:r w:rsidRPr="003D6582">
        <w:rPr>
          <w:lang w:eastAsia="bg-BG"/>
        </w:rPr>
        <w:t>569,9 млн. евро за директни плащания от ЕФГЗ</w:t>
      </w:r>
      <w:r w:rsidRPr="00CE29D6">
        <w:rPr>
          <w:lang w:eastAsia="bg-BG"/>
        </w:rPr>
        <w:t xml:space="preserve"> </w:t>
      </w:r>
      <w:r w:rsidRPr="004662A6">
        <w:rPr>
          <w:lang w:eastAsia="bg-BG"/>
        </w:rPr>
        <w:t xml:space="preserve">– </w:t>
      </w:r>
      <w:r>
        <w:rPr>
          <w:lang w:eastAsia="bg-BG"/>
        </w:rPr>
        <w:t xml:space="preserve">68,0 </w:t>
      </w:r>
      <w:r w:rsidRPr="004662A6">
        <w:rPr>
          <w:lang w:eastAsia="bg-BG"/>
        </w:rPr>
        <w:t xml:space="preserve">% от планираните </w:t>
      </w:r>
      <w:r>
        <w:rPr>
          <w:lang w:eastAsia="bg-BG"/>
        </w:rPr>
        <w:t>837,7</w:t>
      </w:r>
      <w:r w:rsidRPr="004662A6">
        <w:rPr>
          <w:lang w:eastAsia="bg-BG"/>
        </w:rPr>
        <w:t xml:space="preserve"> млн.</w:t>
      </w:r>
      <w:r>
        <w:rPr>
          <w:lang w:eastAsia="bg-BG"/>
        </w:rPr>
        <w:t xml:space="preserve"> евро</w:t>
      </w:r>
      <w:r w:rsidRPr="003D6582">
        <w:rPr>
          <w:lang w:eastAsia="bg-BG"/>
        </w:rPr>
        <w:t>;</w:t>
      </w:r>
    </w:p>
    <w:p w14:paraId="55D75D72" w14:textId="77777777" w:rsidR="00BE34A4" w:rsidRPr="003D6582" w:rsidRDefault="00BE34A4" w:rsidP="00BE34A4">
      <w:pPr>
        <w:numPr>
          <w:ilvl w:val="0"/>
          <w:numId w:val="17"/>
        </w:numPr>
        <w:tabs>
          <w:tab w:val="left" w:pos="709"/>
          <w:tab w:val="left" w:pos="993"/>
        </w:tabs>
        <w:ind w:left="0" w:firstLine="709"/>
        <w:jc w:val="both"/>
        <w:rPr>
          <w:lang w:eastAsia="bg-BG"/>
        </w:rPr>
      </w:pPr>
      <w:r w:rsidRPr="003D6582">
        <w:rPr>
          <w:lang w:eastAsia="bg-BG"/>
        </w:rPr>
        <w:t>53,8 млн. евро от ЕЗФРСР, прехвърлени към директни плащания</w:t>
      </w:r>
      <w:r>
        <w:rPr>
          <w:lang w:eastAsia="bg-BG"/>
        </w:rPr>
        <w:t xml:space="preserve"> </w:t>
      </w:r>
      <w:r w:rsidRPr="00CE29D6">
        <w:rPr>
          <w:lang w:eastAsia="bg-BG"/>
        </w:rPr>
        <w:t xml:space="preserve">– </w:t>
      </w:r>
      <w:r>
        <w:rPr>
          <w:lang w:eastAsia="bg-BG"/>
        </w:rPr>
        <w:t xml:space="preserve">68,9 </w:t>
      </w:r>
      <w:r w:rsidRPr="00CE29D6">
        <w:rPr>
          <w:lang w:eastAsia="bg-BG"/>
        </w:rPr>
        <w:t xml:space="preserve">% от заложените </w:t>
      </w:r>
      <w:r>
        <w:rPr>
          <w:lang w:eastAsia="bg-BG"/>
        </w:rPr>
        <w:t>78,0</w:t>
      </w:r>
      <w:r w:rsidRPr="00CE29D6">
        <w:rPr>
          <w:lang w:eastAsia="bg-BG"/>
        </w:rPr>
        <w:t xml:space="preserve"> млн.</w:t>
      </w:r>
      <w:r>
        <w:rPr>
          <w:lang w:eastAsia="bg-BG"/>
        </w:rPr>
        <w:t xml:space="preserve"> евро</w:t>
      </w:r>
      <w:r w:rsidRPr="003D6582">
        <w:rPr>
          <w:lang w:eastAsia="bg-BG"/>
        </w:rPr>
        <w:t>;</w:t>
      </w:r>
    </w:p>
    <w:p w14:paraId="4228BB66" w14:textId="77777777" w:rsidR="00BE34A4" w:rsidRPr="003D6582" w:rsidRDefault="00BE34A4" w:rsidP="00BE34A4">
      <w:pPr>
        <w:numPr>
          <w:ilvl w:val="0"/>
          <w:numId w:val="17"/>
        </w:numPr>
        <w:tabs>
          <w:tab w:val="left" w:pos="709"/>
          <w:tab w:val="left" w:pos="993"/>
        </w:tabs>
        <w:ind w:left="0" w:firstLine="709"/>
        <w:jc w:val="both"/>
        <w:rPr>
          <w:lang w:eastAsia="bg-BG"/>
        </w:rPr>
      </w:pPr>
      <w:r w:rsidRPr="003D6582">
        <w:rPr>
          <w:lang w:eastAsia="bg-BG"/>
        </w:rPr>
        <w:t>8,4 млн. евро за пазарни мерки от ЕФГЗ</w:t>
      </w:r>
      <w:r>
        <w:rPr>
          <w:lang w:eastAsia="bg-BG"/>
        </w:rPr>
        <w:t xml:space="preserve"> </w:t>
      </w:r>
      <w:r w:rsidRPr="00CE29D6">
        <w:rPr>
          <w:lang w:eastAsia="bg-BG"/>
        </w:rPr>
        <w:t xml:space="preserve">при планирани </w:t>
      </w:r>
      <w:r>
        <w:rPr>
          <w:lang w:eastAsia="bg-BG"/>
        </w:rPr>
        <w:t>29,4</w:t>
      </w:r>
      <w:r w:rsidRPr="00CE29D6">
        <w:rPr>
          <w:lang w:eastAsia="bg-BG"/>
        </w:rPr>
        <w:t xml:space="preserve"> млн.</w:t>
      </w:r>
      <w:r>
        <w:rPr>
          <w:lang w:eastAsia="bg-BG"/>
        </w:rPr>
        <w:t xml:space="preserve"> евро</w:t>
      </w:r>
      <w:r w:rsidRPr="00CE29D6">
        <w:rPr>
          <w:lang w:eastAsia="bg-BG"/>
        </w:rPr>
        <w:t xml:space="preserve">, степен на изпълнение: </w:t>
      </w:r>
      <w:r>
        <w:rPr>
          <w:lang w:eastAsia="bg-BG"/>
        </w:rPr>
        <w:t>28</w:t>
      </w:r>
      <w:r w:rsidRPr="00CE29D6">
        <w:rPr>
          <w:lang w:eastAsia="bg-BG"/>
        </w:rPr>
        <w:t>,7</w:t>
      </w:r>
      <w:r>
        <w:rPr>
          <w:lang w:eastAsia="bg-BG"/>
        </w:rPr>
        <w:t xml:space="preserve"> процента</w:t>
      </w:r>
      <w:r w:rsidRPr="003D6582">
        <w:rPr>
          <w:lang w:eastAsia="bg-BG"/>
        </w:rPr>
        <w:t>;</w:t>
      </w:r>
    </w:p>
    <w:p w14:paraId="2FAA21DB" w14:textId="77777777" w:rsidR="00BE34A4" w:rsidRPr="003D6582" w:rsidRDefault="00BE34A4" w:rsidP="00BE34A4">
      <w:pPr>
        <w:numPr>
          <w:ilvl w:val="0"/>
          <w:numId w:val="17"/>
        </w:numPr>
        <w:tabs>
          <w:tab w:val="left" w:pos="709"/>
          <w:tab w:val="left" w:pos="993"/>
        </w:tabs>
        <w:ind w:left="0" w:firstLine="709"/>
        <w:jc w:val="both"/>
        <w:rPr>
          <w:lang w:eastAsia="bg-BG"/>
        </w:rPr>
      </w:pPr>
      <w:r w:rsidRPr="003D6582">
        <w:rPr>
          <w:lang w:eastAsia="bg-BG"/>
        </w:rPr>
        <w:t>2,9 млн. евро за преструктуриране от ЕФГЗ</w:t>
      </w:r>
      <w:r>
        <w:rPr>
          <w:lang w:eastAsia="bg-BG"/>
        </w:rPr>
        <w:t xml:space="preserve"> </w:t>
      </w:r>
      <w:r w:rsidRPr="00CE29D6">
        <w:rPr>
          <w:lang w:eastAsia="bg-BG"/>
        </w:rPr>
        <w:t xml:space="preserve">при планирани </w:t>
      </w:r>
      <w:r>
        <w:rPr>
          <w:lang w:eastAsia="bg-BG"/>
        </w:rPr>
        <w:t>15,0</w:t>
      </w:r>
      <w:r w:rsidRPr="00CE29D6">
        <w:rPr>
          <w:lang w:eastAsia="bg-BG"/>
        </w:rPr>
        <w:t xml:space="preserve"> млн.</w:t>
      </w:r>
      <w:r>
        <w:rPr>
          <w:lang w:eastAsia="bg-BG"/>
        </w:rPr>
        <w:t xml:space="preserve"> евро</w:t>
      </w:r>
      <w:r w:rsidRPr="00CE29D6">
        <w:rPr>
          <w:lang w:eastAsia="bg-BG"/>
        </w:rPr>
        <w:t xml:space="preserve">, изпълнение на плана </w:t>
      </w:r>
      <w:r>
        <w:rPr>
          <w:lang w:eastAsia="bg-BG"/>
        </w:rPr>
        <w:t>19,2 процента</w:t>
      </w:r>
      <w:r w:rsidRPr="003D6582">
        <w:rPr>
          <w:lang w:eastAsia="bg-BG"/>
        </w:rPr>
        <w:t>.</w:t>
      </w:r>
    </w:p>
    <w:p w14:paraId="2CE19451" w14:textId="77777777" w:rsidR="00BE34A4" w:rsidRPr="003D6582" w:rsidRDefault="00BE34A4" w:rsidP="00BE34A4">
      <w:pPr>
        <w:tabs>
          <w:tab w:val="left" w:pos="709"/>
        </w:tabs>
        <w:spacing w:after="120"/>
        <w:contextualSpacing/>
        <w:jc w:val="both"/>
      </w:pPr>
      <w:r w:rsidRPr="003D6582">
        <w:rPr>
          <w:lang w:eastAsia="bg-BG"/>
        </w:rPr>
        <w:tab/>
      </w:r>
      <w:r w:rsidRPr="003D6582">
        <w:t>Операциите с чужди средства към 30.06.2026</w:t>
      </w:r>
      <w:r>
        <w:t xml:space="preserve"> </w:t>
      </w:r>
      <w:r w:rsidRPr="003D6582">
        <w:t>г. възлизат (нето) на 0,3 млн. евро.</w:t>
      </w:r>
    </w:p>
    <w:p w14:paraId="6503C562" w14:textId="77777777" w:rsidR="00BE34A4" w:rsidRPr="003D6582" w:rsidRDefault="00BE34A4" w:rsidP="00BE34A4">
      <w:pPr>
        <w:tabs>
          <w:tab w:val="left" w:pos="709"/>
        </w:tabs>
        <w:spacing w:after="120"/>
        <w:contextualSpacing/>
        <w:jc w:val="both"/>
      </w:pPr>
      <w:r w:rsidRPr="003D6582">
        <w:rPr>
          <w:lang w:eastAsia="bg-BG"/>
        </w:rPr>
        <w:tab/>
        <w:t xml:space="preserve">Отчетените суми (нето) </w:t>
      </w:r>
      <w:r w:rsidRPr="003D6582">
        <w:t>по разчети с ЦБ за финансиране на плащания при недостиг на средства по сметки</w:t>
      </w:r>
      <w:r w:rsidRPr="003D6582">
        <w:rPr>
          <w:lang w:eastAsia="bg-BG"/>
        </w:rPr>
        <w:t xml:space="preserve"> към 30.06.2026</w:t>
      </w:r>
      <w:r>
        <w:rPr>
          <w:lang w:eastAsia="bg-BG"/>
        </w:rPr>
        <w:t xml:space="preserve"> </w:t>
      </w:r>
      <w:r w:rsidRPr="003D6582">
        <w:rPr>
          <w:lang w:eastAsia="bg-BG"/>
        </w:rPr>
        <w:t>г. възлизат на минус 372</w:t>
      </w:r>
      <w:r>
        <w:rPr>
          <w:lang w:eastAsia="bg-BG"/>
        </w:rPr>
        <w:t>,0</w:t>
      </w:r>
      <w:r w:rsidRPr="003D6582">
        <w:rPr>
          <w:lang w:eastAsia="bg-BG"/>
        </w:rPr>
        <w:t xml:space="preserve"> млн. евро.</w:t>
      </w:r>
    </w:p>
    <w:p w14:paraId="5CB83843" w14:textId="77777777" w:rsidR="00BE34A4" w:rsidRPr="00BC72AC" w:rsidRDefault="00BE34A4" w:rsidP="00BE34A4">
      <w:pPr>
        <w:tabs>
          <w:tab w:val="left" w:pos="540"/>
        </w:tabs>
        <w:spacing w:before="120"/>
        <w:ind w:firstLine="567"/>
        <w:jc w:val="both"/>
        <w:rPr>
          <w:color w:val="0070C0"/>
        </w:rPr>
      </w:pPr>
      <w:r w:rsidRPr="00BC72AC">
        <w:rPr>
          <w:color w:val="0070C0"/>
          <w:lang w:eastAsia="bg-BG"/>
        </w:rPr>
        <w:tab/>
      </w:r>
    </w:p>
    <w:p w14:paraId="22533F41" w14:textId="77777777" w:rsidR="00BE34A4" w:rsidRPr="00A25A24" w:rsidRDefault="00BE34A4" w:rsidP="00BE34A4">
      <w:pPr>
        <w:pStyle w:val="Heading1"/>
        <w:numPr>
          <w:ilvl w:val="1"/>
          <w:numId w:val="8"/>
        </w:numPr>
        <w:spacing w:after="120"/>
        <w:ind w:left="792" w:right="-115" w:hanging="432"/>
        <w:jc w:val="both"/>
        <w:rPr>
          <w:sz w:val="24"/>
        </w:rPr>
      </w:pPr>
      <w:bookmarkStart w:id="106" w:name="_Toc83045529"/>
      <w:r w:rsidRPr="00A25A24">
        <w:rPr>
          <w:sz w:val="24"/>
        </w:rPr>
        <w:t>Сметка за средствата от Европейския съюз на Национален фонд към Министерство на финансите</w:t>
      </w:r>
      <w:bookmarkEnd w:id="106"/>
    </w:p>
    <w:p w14:paraId="6EAE5D14" w14:textId="77777777" w:rsidR="00BE34A4" w:rsidRPr="00D4132E" w:rsidRDefault="00BE34A4" w:rsidP="00BE34A4">
      <w:pPr>
        <w:ind w:firstLine="686"/>
        <w:jc w:val="both"/>
        <w:rPr>
          <w:bCs/>
        </w:rPr>
      </w:pPr>
      <w:r w:rsidRPr="00791C7A">
        <w:rPr>
          <w:bCs/>
        </w:rPr>
        <w:t>По сметките на НФ към 3</w:t>
      </w:r>
      <w:r>
        <w:rPr>
          <w:bCs/>
          <w:lang w:val="en-US"/>
        </w:rPr>
        <w:t>0</w:t>
      </w:r>
      <w:r w:rsidRPr="00791C7A">
        <w:rPr>
          <w:bCs/>
        </w:rPr>
        <w:t>.</w:t>
      </w:r>
      <w:r w:rsidRPr="00791C7A">
        <w:rPr>
          <w:bCs/>
          <w:lang w:val="ru-RU"/>
        </w:rPr>
        <w:t>0</w:t>
      </w:r>
      <w:r>
        <w:rPr>
          <w:bCs/>
          <w:lang w:val="en-US"/>
        </w:rPr>
        <w:t>6</w:t>
      </w:r>
      <w:r w:rsidRPr="00791C7A">
        <w:rPr>
          <w:bCs/>
        </w:rPr>
        <w:t xml:space="preserve">.2026 г. са постъпили приходи (нето) в </w:t>
      </w:r>
      <w:r w:rsidRPr="00D4132E">
        <w:rPr>
          <w:bCs/>
        </w:rPr>
        <w:t xml:space="preserve">размер на </w:t>
      </w:r>
      <w:r w:rsidRPr="00D4132E">
        <w:rPr>
          <w:bCs/>
          <w:lang w:val="en-US"/>
        </w:rPr>
        <w:t>613</w:t>
      </w:r>
      <w:r>
        <w:rPr>
          <w:bCs/>
        </w:rPr>
        <w:t>,</w:t>
      </w:r>
      <w:r w:rsidRPr="00D4132E">
        <w:rPr>
          <w:bCs/>
          <w:lang w:val="en-US"/>
        </w:rPr>
        <w:t xml:space="preserve">6 </w:t>
      </w:r>
      <w:r w:rsidRPr="00D4132E">
        <w:rPr>
          <w:bCs/>
        </w:rPr>
        <w:t>млн. евро по програмите, съфинансирани от Европейския фонд за регионално развитие, Кохезионния фонд, Европейския социален фонд+,  двустранните програми за трансгранично сътрудничество по външните граници на EС (ПТСВГ) и Швейцарско-българската програма за сътрудничество (ШБПС), като в тази сума са включени и отразените (нето) в отчетността на НФ операции по постъпването по банковите бюджетни сметки на Министерство</w:t>
      </w:r>
      <w:r>
        <w:rPr>
          <w:bCs/>
        </w:rPr>
        <w:t>то</w:t>
      </w:r>
      <w:r w:rsidRPr="00D4132E">
        <w:rPr>
          <w:bCs/>
        </w:rPr>
        <w:t xml:space="preserve"> на регионалното развитие и благоустройството (МРРБ) на чуждото финансиране ПТСВГ и изплатените средства от получения ресурс към бенефициенти извън страната.</w:t>
      </w:r>
    </w:p>
    <w:p w14:paraId="3235B882" w14:textId="77777777" w:rsidR="00BE34A4" w:rsidRPr="00095788" w:rsidRDefault="00BE34A4" w:rsidP="00BE34A4">
      <w:pPr>
        <w:ind w:firstLine="686"/>
        <w:jc w:val="both"/>
        <w:rPr>
          <w:bCs/>
        </w:rPr>
      </w:pPr>
      <w:r w:rsidRPr="00095788">
        <w:rPr>
          <w:bCs/>
        </w:rPr>
        <w:t>Извършените разходи (нето) за периода с натрупване чрез сметките на НФ възлизат на 487</w:t>
      </w:r>
      <w:r>
        <w:rPr>
          <w:bCs/>
        </w:rPr>
        <w:t>,</w:t>
      </w:r>
      <w:r w:rsidRPr="00095788">
        <w:rPr>
          <w:bCs/>
        </w:rPr>
        <w:t>7 млн. евро. По видове разходи изпълнението е както следва: 80,</w:t>
      </w:r>
      <w:r>
        <w:rPr>
          <w:bCs/>
        </w:rPr>
        <w:t xml:space="preserve">9 </w:t>
      </w:r>
      <w:r w:rsidRPr="00095788">
        <w:rPr>
          <w:bCs/>
        </w:rPr>
        <w:t xml:space="preserve">% от общата стойност са капиталови трансфери, </w:t>
      </w:r>
      <w:r w:rsidRPr="00095788">
        <w:rPr>
          <w:bCs/>
          <w:lang w:val="en-US"/>
        </w:rPr>
        <w:t>1</w:t>
      </w:r>
      <w:r w:rsidRPr="00095788">
        <w:rPr>
          <w:bCs/>
        </w:rPr>
        <w:t>7,0</w:t>
      </w:r>
      <w:r>
        <w:rPr>
          <w:bCs/>
        </w:rPr>
        <w:t xml:space="preserve"> </w:t>
      </w:r>
      <w:r w:rsidRPr="00095788">
        <w:rPr>
          <w:bCs/>
        </w:rPr>
        <w:t>% са субсидии и 2,</w:t>
      </w:r>
      <w:r>
        <w:rPr>
          <w:bCs/>
        </w:rPr>
        <w:t xml:space="preserve">1 </w:t>
      </w:r>
      <w:r w:rsidRPr="00095788">
        <w:rPr>
          <w:bCs/>
        </w:rPr>
        <w:t>% предоставени текущи, капиталови трансфери за чужбина и 0</w:t>
      </w:r>
      <w:r>
        <w:rPr>
          <w:bCs/>
        </w:rPr>
        <w:t>,</w:t>
      </w:r>
      <w:r w:rsidRPr="00095788">
        <w:rPr>
          <w:bCs/>
        </w:rPr>
        <w:t>0002</w:t>
      </w:r>
      <w:r>
        <w:rPr>
          <w:bCs/>
        </w:rPr>
        <w:t xml:space="preserve"> </w:t>
      </w:r>
      <w:r w:rsidRPr="00095788">
        <w:rPr>
          <w:bCs/>
        </w:rPr>
        <w:t>% - издръжка.</w:t>
      </w:r>
    </w:p>
    <w:p w14:paraId="51F430F6" w14:textId="77777777" w:rsidR="00BE34A4" w:rsidRPr="00777239" w:rsidRDefault="00BE34A4" w:rsidP="00BE34A4">
      <w:pPr>
        <w:ind w:firstLine="686"/>
        <w:jc w:val="both"/>
        <w:rPr>
          <w:bCs/>
        </w:rPr>
      </w:pPr>
      <w:r w:rsidRPr="00777239">
        <w:rPr>
          <w:bCs/>
        </w:rPr>
        <w:t>Трансферите (нето), временните безлихвени заеми (нето) и временна</w:t>
      </w:r>
      <w:r>
        <w:rPr>
          <w:bCs/>
        </w:rPr>
        <w:t>та</w:t>
      </w:r>
      <w:r w:rsidRPr="00777239">
        <w:rPr>
          <w:bCs/>
        </w:rPr>
        <w:t xml:space="preserve"> възмездна финансова помощ за разглеждания период са на стойност 1</w:t>
      </w:r>
      <w:r>
        <w:rPr>
          <w:bCs/>
        </w:rPr>
        <w:t> </w:t>
      </w:r>
      <w:r w:rsidRPr="00777239">
        <w:rPr>
          <w:bCs/>
        </w:rPr>
        <w:t>373</w:t>
      </w:r>
      <w:r>
        <w:rPr>
          <w:bCs/>
        </w:rPr>
        <w:t>,</w:t>
      </w:r>
      <w:r w:rsidRPr="00777239">
        <w:rPr>
          <w:bCs/>
        </w:rPr>
        <w:t>6 млн. евро (включват предоставените трансфери към бенефициенти по програми (ОП) на ЕС програмен период 2021 – 2027 г., ПТСВГ за програмен период 2021 – 2027 г., Националния план за възстановяване и устойчивост (НПВУ) и ШБПС,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w:t>
      </w:r>
      <w:r>
        <w:rPr>
          <w:bCs/>
        </w:rPr>
        <w:t>те</w:t>
      </w:r>
      <w:r w:rsidRPr="00777239">
        <w:rPr>
          <w:bCs/>
        </w:rPr>
        <w:t xml:space="preserve"> (нето) към бенефициенти – бюджетни организации, които са за сметка на средства, предоставени от държавите-партньори по ПТСВГ.</w:t>
      </w:r>
    </w:p>
    <w:p w14:paraId="20073020" w14:textId="77777777" w:rsidR="00BE34A4" w:rsidRPr="00F665C8" w:rsidRDefault="00BE34A4" w:rsidP="00BE34A4">
      <w:pPr>
        <w:ind w:firstLine="686"/>
        <w:jc w:val="both"/>
        <w:rPr>
          <w:bCs/>
          <w:lang w:val="en-US"/>
        </w:rPr>
      </w:pPr>
      <w:r w:rsidRPr="00F665C8">
        <w:rPr>
          <w:bCs/>
        </w:rPr>
        <w:t>Във връзка с изпълнение на програмите и проектите по програмен период 2021 – 2027 г., ФМ на ЕИП и НФМ, НПВУ и ШБПС по сметките на НФ са получени трансфери от централния бюджет на стойност 289</w:t>
      </w:r>
      <w:r>
        <w:rPr>
          <w:bCs/>
        </w:rPr>
        <w:t>,</w:t>
      </w:r>
      <w:r w:rsidRPr="00F665C8">
        <w:rPr>
          <w:bCs/>
        </w:rPr>
        <w:t>9 млн. евро.</w:t>
      </w:r>
    </w:p>
    <w:p w14:paraId="4ECDFE89" w14:textId="77777777" w:rsidR="00BE34A4" w:rsidRPr="00F665C8" w:rsidRDefault="00BE34A4" w:rsidP="00BE34A4">
      <w:pPr>
        <w:ind w:firstLine="686"/>
        <w:jc w:val="both"/>
        <w:rPr>
          <w:bCs/>
        </w:rPr>
      </w:pPr>
      <w:r w:rsidRPr="00F665C8">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1</w:t>
      </w:r>
      <w:r>
        <w:rPr>
          <w:bCs/>
        </w:rPr>
        <w:t>,</w:t>
      </w:r>
      <w:r w:rsidRPr="00F665C8">
        <w:rPr>
          <w:bCs/>
        </w:rPr>
        <w:t>5 млн. евро.</w:t>
      </w:r>
    </w:p>
    <w:p w14:paraId="4FAAAF7A" w14:textId="77777777" w:rsidR="00BE34A4" w:rsidRPr="00F34585" w:rsidRDefault="00BE34A4" w:rsidP="00BE34A4">
      <w:pPr>
        <w:spacing w:before="120"/>
        <w:ind w:firstLine="686"/>
        <w:jc w:val="both"/>
        <w:rPr>
          <w:bCs/>
        </w:rPr>
      </w:pPr>
      <w:r w:rsidRPr="00F34585">
        <w:rPr>
          <w:b/>
          <w:bCs/>
        </w:rPr>
        <w:lastRenderedPageBreak/>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r w:rsidRPr="00F34585">
        <w:rPr>
          <w:bCs/>
        </w:rPr>
        <w:t xml:space="preserve">  </w:t>
      </w:r>
    </w:p>
    <w:p w14:paraId="621AAFC3" w14:textId="77777777" w:rsidR="00BE34A4" w:rsidRPr="00F34585" w:rsidRDefault="00BE34A4" w:rsidP="00BE34A4">
      <w:pPr>
        <w:jc w:val="both"/>
        <w:rPr>
          <w:bCs/>
        </w:rPr>
      </w:pPr>
      <w:r w:rsidRPr="00F34585">
        <w:rPr>
          <w:bCs/>
        </w:rPr>
        <w:t xml:space="preserve">  </w:t>
      </w:r>
      <w:r>
        <w:rPr>
          <w:bCs/>
        </w:rPr>
        <w:tab/>
      </w:r>
      <w:r w:rsidRPr="00F34585">
        <w:rPr>
          <w:bCs/>
        </w:rPr>
        <w:t xml:space="preserve">Направените разходи по Оперативни програми и трансферите към бюджетни </w:t>
      </w:r>
      <w:r>
        <w:rPr>
          <w:bCs/>
        </w:rPr>
        <w:t xml:space="preserve"> о</w:t>
      </w:r>
      <w:r w:rsidRPr="00F34585">
        <w:rPr>
          <w:bCs/>
        </w:rPr>
        <w:t>рганизации за периода са на стойност 0</w:t>
      </w:r>
      <w:r>
        <w:rPr>
          <w:bCs/>
        </w:rPr>
        <w:t>,</w:t>
      </w:r>
      <w:r w:rsidRPr="00F34585">
        <w:rPr>
          <w:bCs/>
        </w:rPr>
        <w:t>2 млн. евро</w:t>
      </w:r>
      <w:r w:rsidRPr="00F34585">
        <w:rPr>
          <w:bCs/>
          <w:lang w:val="en-US"/>
        </w:rPr>
        <w:t xml:space="preserve">, </w:t>
      </w:r>
      <w:r w:rsidRPr="00530A43">
        <w:rPr>
          <w:bCs/>
        </w:rPr>
        <w:t>а възстановените суми</w:t>
      </w:r>
      <w:r w:rsidRPr="00F34585">
        <w:rPr>
          <w:bCs/>
        </w:rPr>
        <w:t xml:space="preserve"> са в размер на 10</w:t>
      </w:r>
      <w:r>
        <w:rPr>
          <w:bCs/>
        </w:rPr>
        <w:t>,</w:t>
      </w:r>
      <w:r w:rsidRPr="00F34585">
        <w:rPr>
          <w:bCs/>
        </w:rPr>
        <w:t>5 млн. евро.</w:t>
      </w:r>
    </w:p>
    <w:p w14:paraId="34D5C0E1" w14:textId="77777777" w:rsidR="00BE34A4" w:rsidRPr="00564B0D" w:rsidRDefault="00BE34A4" w:rsidP="00BE34A4">
      <w:pPr>
        <w:jc w:val="both"/>
      </w:pPr>
      <w:r w:rsidRPr="00564B0D">
        <w:t>Възстановеното авансово финансиране по реда на ДДС6/2011 г. е в размер на 0</w:t>
      </w:r>
      <w:r>
        <w:t>,</w:t>
      </w:r>
      <w:r w:rsidRPr="00564B0D">
        <w:t>5 млн. евро.</w:t>
      </w:r>
    </w:p>
    <w:p w14:paraId="075546F1" w14:textId="77777777" w:rsidR="00BE34A4" w:rsidRPr="00AA3B48" w:rsidRDefault="00BE34A4" w:rsidP="00BE34A4">
      <w:pPr>
        <w:spacing w:before="120"/>
        <w:ind w:firstLine="686"/>
        <w:jc w:val="both"/>
        <w:rPr>
          <w:b/>
          <w:bCs/>
        </w:rPr>
      </w:pPr>
      <w:r w:rsidRPr="00AA3B48">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6D8F3ECD" w14:textId="77777777" w:rsidR="00BE34A4" w:rsidRPr="007F2550" w:rsidRDefault="00BE34A4" w:rsidP="00BE34A4">
      <w:pPr>
        <w:spacing w:before="120"/>
        <w:ind w:firstLine="426"/>
        <w:jc w:val="both"/>
        <w:rPr>
          <w:bCs/>
        </w:rPr>
      </w:pPr>
      <w:r w:rsidRPr="00AA3B48">
        <w:rPr>
          <w:bCs/>
        </w:rPr>
        <w:t>Получените средства (нето) от ЕК за периода са в размер на 612</w:t>
      </w:r>
      <w:r>
        <w:rPr>
          <w:bCs/>
        </w:rPr>
        <w:t>,</w:t>
      </w:r>
      <w:r w:rsidRPr="00AA3B48">
        <w:rPr>
          <w:bCs/>
        </w:rPr>
        <w:t>4 млн. евро</w:t>
      </w:r>
      <w:r w:rsidRPr="00AA3B48">
        <w:rPr>
          <w:bCs/>
          <w:lang w:val="en-US"/>
        </w:rPr>
        <w:t xml:space="preserve"> </w:t>
      </w:r>
      <w:r w:rsidRPr="00AA3B48">
        <w:rPr>
          <w:bCs/>
        </w:rPr>
        <w:t xml:space="preserve">и са разпределени както </w:t>
      </w:r>
      <w:r w:rsidRPr="007F2550">
        <w:rPr>
          <w:bCs/>
        </w:rPr>
        <w:t>следва:</w:t>
      </w:r>
    </w:p>
    <w:p w14:paraId="2B69219B" w14:textId="77777777" w:rsidR="00BE34A4" w:rsidRPr="007F2550" w:rsidRDefault="00BE34A4" w:rsidP="00BE34A4">
      <w:pPr>
        <w:numPr>
          <w:ilvl w:val="0"/>
          <w:numId w:val="10"/>
        </w:numPr>
        <w:tabs>
          <w:tab w:val="clear" w:pos="1101"/>
          <w:tab w:val="num" w:pos="786"/>
        </w:tabs>
        <w:ind w:left="786"/>
        <w:jc w:val="both"/>
        <w:rPr>
          <w:bCs/>
        </w:rPr>
      </w:pPr>
      <w:r w:rsidRPr="007F2550">
        <w:rPr>
          <w:bCs/>
        </w:rPr>
        <w:t>Програма „Развитие на човешките ресурси” 2021-2027 г. – 132</w:t>
      </w:r>
      <w:r>
        <w:rPr>
          <w:bCs/>
        </w:rPr>
        <w:t>,</w:t>
      </w:r>
      <w:r w:rsidRPr="007F2550">
        <w:rPr>
          <w:bCs/>
        </w:rPr>
        <w:t xml:space="preserve">4 млн. евро;  </w:t>
      </w:r>
    </w:p>
    <w:p w14:paraId="7B3AF6C5" w14:textId="77777777" w:rsidR="00BE34A4" w:rsidRPr="007F2550" w:rsidRDefault="00BE34A4" w:rsidP="00BE34A4">
      <w:pPr>
        <w:numPr>
          <w:ilvl w:val="0"/>
          <w:numId w:val="10"/>
        </w:numPr>
        <w:tabs>
          <w:tab w:val="clear" w:pos="1101"/>
          <w:tab w:val="num" w:pos="786"/>
        </w:tabs>
        <w:ind w:left="786"/>
        <w:jc w:val="both"/>
        <w:rPr>
          <w:bCs/>
        </w:rPr>
      </w:pPr>
      <w:r w:rsidRPr="007F2550">
        <w:rPr>
          <w:bCs/>
        </w:rPr>
        <w:t>Програма „Храни и основно материално подпомагане” 2021-2027 г. – 25</w:t>
      </w:r>
      <w:r>
        <w:rPr>
          <w:bCs/>
        </w:rPr>
        <w:t>,</w:t>
      </w:r>
      <w:r w:rsidRPr="007F2550">
        <w:rPr>
          <w:bCs/>
        </w:rPr>
        <w:t>4 млн. евро;</w:t>
      </w:r>
    </w:p>
    <w:p w14:paraId="2019DE00" w14:textId="77777777" w:rsidR="00BE34A4" w:rsidRPr="007F2550" w:rsidRDefault="00BE34A4" w:rsidP="00BE34A4">
      <w:pPr>
        <w:numPr>
          <w:ilvl w:val="0"/>
          <w:numId w:val="10"/>
        </w:numPr>
        <w:tabs>
          <w:tab w:val="clear" w:pos="1101"/>
          <w:tab w:val="num" w:pos="786"/>
        </w:tabs>
        <w:ind w:left="786"/>
        <w:jc w:val="both"/>
        <w:rPr>
          <w:bCs/>
        </w:rPr>
      </w:pPr>
      <w:r w:rsidRPr="007F2550">
        <w:rPr>
          <w:bCs/>
        </w:rPr>
        <w:t>Програма „Образование” 2021-2027 г. – 70</w:t>
      </w:r>
      <w:r>
        <w:rPr>
          <w:bCs/>
        </w:rPr>
        <w:t>,</w:t>
      </w:r>
      <w:r w:rsidRPr="007F2550">
        <w:rPr>
          <w:bCs/>
        </w:rPr>
        <w:t>6 млн. евро;</w:t>
      </w:r>
    </w:p>
    <w:p w14:paraId="1B667859" w14:textId="77777777" w:rsidR="00BE34A4" w:rsidRPr="00421136" w:rsidRDefault="00BE34A4" w:rsidP="00BE34A4">
      <w:pPr>
        <w:numPr>
          <w:ilvl w:val="0"/>
          <w:numId w:val="10"/>
        </w:numPr>
        <w:tabs>
          <w:tab w:val="clear" w:pos="1101"/>
          <w:tab w:val="num" w:pos="786"/>
        </w:tabs>
        <w:ind w:left="786"/>
        <w:jc w:val="both"/>
        <w:rPr>
          <w:bCs/>
        </w:rPr>
      </w:pPr>
      <w:r w:rsidRPr="00421136">
        <w:rPr>
          <w:bCs/>
        </w:rPr>
        <w:t>Програма „Околна среда“ 2021-2027 г. – 106</w:t>
      </w:r>
      <w:r>
        <w:rPr>
          <w:bCs/>
        </w:rPr>
        <w:t>,</w:t>
      </w:r>
      <w:r w:rsidRPr="00421136">
        <w:rPr>
          <w:bCs/>
        </w:rPr>
        <w:t>6 млн. евро;</w:t>
      </w:r>
    </w:p>
    <w:p w14:paraId="4523B9B6" w14:textId="77777777" w:rsidR="00BE34A4" w:rsidRPr="00421136" w:rsidRDefault="00BE34A4" w:rsidP="00BE34A4">
      <w:pPr>
        <w:numPr>
          <w:ilvl w:val="0"/>
          <w:numId w:val="10"/>
        </w:numPr>
        <w:tabs>
          <w:tab w:val="clear" w:pos="1101"/>
          <w:tab w:val="num" w:pos="786"/>
        </w:tabs>
        <w:ind w:left="786"/>
        <w:jc w:val="both"/>
        <w:rPr>
          <w:bCs/>
        </w:rPr>
      </w:pPr>
      <w:r w:rsidRPr="00421136">
        <w:rPr>
          <w:bCs/>
        </w:rPr>
        <w:t>Програма „Техническа помощ“ – 5</w:t>
      </w:r>
      <w:r>
        <w:rPr>
          <w:bCs/>
        </w:rPr>
        <w:t>,</w:t>
      </w:r>
      <w:r w:rsidRPr="00421136">
        <w:rPr>
          <w:bCs/>
        </w:rPr>
        <w:t>5 млн. евро;</w:t>
      </w:r>
    </w:p>
    <w:p w14:paraId="06984A9F" w14:textId="77777777" w:rsidR="00BE34A4" w:rsidRPr="00421136" w:rsidRDefault="00BE34A4" w:rsidP="00BE34A4">
      <w:pPr>
        <w:numPr>
          <w:ilvl w:val="0"/>
          <w:numId w:val="10"/>
        </w:numPr>
        <w:tabs>
          <w:tab w:val="clear" w:pos="1101"/>
          <w:tab w:val="num" w:pos="786"/>
        </w:tabs>
        <w:ind w:left="786"/>
        <w:jc w:val="both"/>
        <w:rPr>
          <w:bCs/>
        </w:rPr>
      </w:pPr>
      <w:r w:rsidRPr="00421136">
        <w:rPr>
          <w:bCs/>
        </w:rPr>
        <w:t>Програма „Конкурентоспособност и иновации в предприятията“ 2021</w:t>
      </w:r>
      <w:r>
        <w:rPr>
          <w:bCs/>
        </w:rPr>
        <w:t>-</w:t>
      </w:r>
      <w:r w:rsidRPr="00421136">
        <w:rPr>
          <w:bCs/>
        </w:rPr>
        <w:t>2027 г. – 73</w:t>
      </w:r>
      <w:r>
        <w:rPr>
          <w:bCs/>
        </w:rPr>
        <w:t>,</w:t>
      </w:r>
      <w:r w:rsidRPr="00421136">
        <w:rPr>
          <w:bCs/>
        </w:rPr>
        <w:t>8 млн. евро;</w:t>
      </w:r>
    </w:p>
    <w:p w14:paraId="1B735E86" w14:textId="77777777" w:rsidR="00BE34A4" w:rsidRPr="00450204" w:rsidRDefault="00BE34A4" w:rsidP="00BE34A4">
      <w:pPr>
        <w:numPr>
          <w:ilvl w:val="0"/>
          <w:numId w:val="10"/>
        </w:numPr>
        <w:tabs>
          <w:tab w:val="clear" w:pos="1101"/>
          <w:tab w:val="num" w:pos="786"/>
        </w:tabs>
        <w:ind w:left="786"/>
        <w:jc w:val="both"/>
        <w:rPr>
          <w:bCs/>
        </w:rPr>
      </w:pPr>
      <w:r w:rsidRPr="00450204">
        <w:rPr>
          <w:bCs/>
        </w:rPr>
        <w:t>Програма „Развитие на регионите“ 2021</w:t>
      </w:r>
      <w:r>
        <w:rPr>
          <w:bCs/>
        </w:rPr>
        <w:t>-</w:t>
      </w:r>
      <w:r w:rsidRPr="00450204">
        <w:rPr>
          <w:bCs/>
        </w:rPr>
        <w:t>2027 г. – 41</w:t>
      </w:r>
      <w:r>
        <w:rPr>
          <w:bCs/>
        </w:rPr>
        <w:t>,</w:t>
      </w:r>
      <w:r w:rsidRPr="00450204">
        <w:rPr>
          <w:bCs/>
        </w:rPr>
        <w:t>5 млн. евро;</w:t>
      </w:r>
    </w:p>
    <w:p w14:paraId="33FE0D54" w14:textId="77777777" w:rsidR="00BE34A4" w:rsidRPr="00450204" w:rsidRDefault="00BE34A4" w:rsidP="00BE34A4">
      <w:pPr>
        <w:numPr>
          <w:ilvl w:val="0"/>
          <w:numId w:val="10"/>
        </w:numPr>
        <w:tabs>
          <w:tab w:val="clear" w:pos="1101"/>
          <w:tab w:val="num" w:pos="786"/>
        </w:tabs>
        <w:ind w:left="786"/>
        <w:jc w:val="both"/>
        <w:rPr>
          <w:bCs/>
        </w:rPr>
      </w:pPr>
      <w:r w:rsidRPr="00450204">
        <w:rPr>
          <w:bCs/>
        </w:rPr>
        <w:t>Програма „Научни изследвания, иновации и дигитализация за интелигентна трансформация“ 2021</w:t>
      </w:r>
      <w:r>
        <w:rPr>
          <w:bCs/>
        </w:rPr>
        <w:t>-</w:t>
      </w:r>
      <w:r w:rsidRPr="00450204">
        <w:rPr>
          <w:bCs/>
        </w:rPr>
        <w:t>2027 г. – 23</w:t>
      </w:r>
      <w:r>
        <w:rPr>
          <w:bCs/>
        </w:rPr>
        <w:t>,</w:t>
      </w:r>
      <w:r w:rsidRPr="00450204">
        <w:rPr>
          <w:bCs/>
        </w:rPr>
        <w:t xml:space="preserve">5 млн. евро; </w:t>
      </w:r>
    </w:p>
    <w:p w14:paraId="34521068" w14:textId="77777777" w:rsidR="00BE34A4" w:rsidRPr="00450204" w:rsidRDefault="00BE34A4" w:rsidP="00BE34A4">
      <w:pPr>
        <w:numPr>
          <w:ilvl w:val="0"/>
          <w:numId w:val="10"/>
        </w:numPr>
        <w:tabs>
          <w:tab w:val="clear" w:pos="1101"/>
          <w:tab w:val="num" w:pos="786"/>
        </w:tabs>
        <w:ind w:left="786"/>
        <w:jc w:val="both"/>
        <w:rPr>
          <w:bCs/>
        </w:rPr>
      </w:pPr>
      <w:r w:rsidRPr="00450204">
        <w:rPr>
          <w:bCs/>
        </w:rPr>
        <w:t>Програма „Транспортна свързаност“ – 124</w:t>
      </w:r>
      <w:r>
        <w:rPr>
          <w:bCs/>
        </w:rPr>
        <w:t>,</w:t>
      </w:r>
      <w:r w:rsidRPr="00450204">
        <w:rPr>
          <w:bCs/>
        </w:rPr>
        <w:t>1 млн. евро и</w:t>
      </w:r>
    </w:p>
    <w:p w14:paraId="4B4C24CC" w14:textId="77777777" w:rsidR="00BE34A4" w:rsidRPr="00450204" w:rsidRDefault="00BE34A4" w:rsidP="00BE34A4">
      <w:pPr>
        <w:numPr>
          <w:ilvl w:val="0"/>
          <w:numId w:val="10"/>
        </w:numPr>
        <w:tabs>
          <w:tab w:val="clear" w:pos="1101"/>
          <w:tab w:val="num" w:pos="786"/>
        </w:tabs>
        <w:ind w:left="786"/>
        <w:jc w:val="both"/>
        <w:rPr>
          <w:bCs/>
        </w:rPr>
      </w:pPr>
      <w:r w:rsidRPr="00450204">
        <w:rPr>
          <w:bCs/>
        </w:rPr>
        <w:t>Фонд за справедлив преход – 8</w:t>
      </w:r>
      <w:r>
        <w:rPr>
          <w:bCs/>
        </w:rPr>
        <w:t>,</w:t>
      </w:r>
      <w:r w:rsidRPr="00450204">
        <w:rPr>
          <w:bCs/>
        </w:rPr>
        <w:t>9 млн. евро.</w:t>
      </w:r>
    </w:p>
    <w:p w14:paraId="432C76BB" w14:textId="77777777" w:rsidR="00BE34A4" w:rsidRPr="00D40BFD" w:rsidRDefault="00BE34A4" w:rsidP="00BE34A4">
      <w:pPr>
        <w:spacing w:before="120"/>
        <w:ind w:firstLine="426"/>
        <w:jc w:val="both"/>
        <w:rPr>
          <w:bCs/>
        </w:rPr>
      </w:pPr>
      <w:r w:rsidRPr="00D40BFD">
        <w:rPr>
          <w:bCs/>
        </w:rPr>
        <w:t xml:space="preserve">Направените разходи (нето) за периода са в размер на </w:t>
      </w:r>
      <w:r w:rsidRPr="00D40BFD">
        <w:rPr>
          <w:bCs/>
          <w:lang w:val="en-US"/>
        </w:rPr>
        <w:t>790</w:t>
      </w:r>
      <w:r>
        <w:rPr>
          <w:bCs/>
        </w:rPr>
        <w:t>,</w:t>
      </w:r>
      <w:r w:rsidRPr="00D40BFD">
        <w:rPr>
          <w:bCs/>
          <w:lang w:val="en-US"/>
        </w:rPr>
        <w:t>7</w:t>
      </w:r>
      <w:r w:rsidRPr="00D40BFD">
        <w:rPr>
          <w:bCs/>
        </w:rPr>
        <w:t xml:space="preserve"> млн. </w:t>
      </w:r>
      <w:r w:rsidRPr="008A05F2">
        <w:rPr>
          <w:bCs/>
        </w:rPr>
        <w:t>евро</w:t>
      </w:r>
      <w:r w:rsidRPr="00D40BFD">
        <w:rPr>
          <w:bCs/>
        </w:rPr>
        <w:t xml:space="preserve"> и са разпределени както следва:</w:t>
      </w:r>
    </w:p>
    <w:p w14:paraId="1BD3CEDC" w14:textId="77777777" w:rsidR="00BE34A4" w:rsidRPr="00FE55C0" w:rsidRDefault="00BE34A4" w:rsidP="00BE34A4">
      <w:pPr>
        <w:numPr>
          <w:ilvl w:val="0"/>
          <w:numId w:val="10"/>
        </w:numPr>
        <w:tabs>
          <w:tab w:val="clear" w:pos="1101"/>
          <w:tab w:val="num" w:pos="786"/>
        </w:tabs>
        <w:ind w:left="786"/>
        <w:jc w:val="both"/>
        <w:rPr>
          <w:bCs/>
        </w:rPr>
      </w:pPr>
      <w:r w:rsidRPr="00FE55C0">
        <w:rPr>
          <w:bCs/>
        </w:rPr>
        <w:t xml:space="preserve">Програма „Развитие на човешките ресурси” 2021-2027 г. – </w:t>
      </w:r>
      <w:r>
        <w:rPr>
          <w:bCs/>
          <w:lang w:val="en-US"/>
        </w:rPr>
        <w:t>183</w:t>
      </w:r>
      <w:r>
        <w:rPr>
          <w:bCs/>
        </w:rPr>
        <w:t>,</w:t>
      </w:r>
      <w:r>
        <w:rPr>
          <w:bCs/>
          <w:lang w:val="en-US"/>
        </w:rPr>
        <w:t>1</w:t>
      </w:r>
      <w:r w:rsidRPr="00FE55C0">
        <w:rPr>
          <w:bCs/>
        </w:rPr>
        <w:t xml:space="preserve"> млн. евро;  </w:t>
      </w:r>
    </w:p>
    <w:p w14:paraId="27B3891E" w14:textId="77777777" w:rsidR="00BE34A4" w:rsidRPr="00FE55C0" w:rsidRDefault="00BE34A4" w:rsidP="00BE34A4">
      <w:pPr>
        <w:numPr>
          <w:ilvl w:val="0"/>
          <w:numId w:val="10"/>
        </w:numPr>
        <w:tabs>
          <w:tab w:val="clear" w:pos="1101"/>
          <w:tab w:val="num" w:pos="786"/>
        </w:tabs>
        <w:ind w:left="786"/>
        <w:jc w:val="both"/>
        <w:rPr>
          <w:bCs/>
        </w:rPr>
      </w:pPr>
      <w:r w:rsidRPr="00FE55C0">
        <w:rPr>
          <w:bCs/>
        </w:rPr>
        <w:t xml:space="preserve">Програма „Храни и основно материално подпомагане” 2021-2027 г. – </w:t>
      </w:r>
      <w:r w:rsidRPr="00FE55C0">
        <w:rPr>
          <w:bCs/>
          <w:lang w:val="en-US"/>
        </w:rPr>
        <w:t>2</w:t>
      </w:r>
      <w:r>
        <w:rPr>
          <w:bCs/>
          <w:lang w:val="en-US"/>
        </w:rPr>
        <w:t>1</w:t>
      </w:r>
      <w:r>
        <w:rPr>
          <w:bCs/>
        </w:rPr>
        <w:t>,</w:t>
      </w:r>
      <w:r>
        <w:rPr>
          <w:bCs/>
          <w:lang w:val="en-US"/>
        </w:rPr>
        <w:t>8</w:t>
      </w:r>
      <w:r w:rsidRPr="00FE55C0">
        <w:rPr>
          <w:bCs/>
        </w:rPr>
        <w:t xml:space="preserve"> млн. евро;</w:t>
      </w:r>
    </w:p>
    <w:p w14:paraId="2DA00A68" w14:textId="77777777" w:rsidR="00BE34A4" w:rsidRPr="00EE3097" w:rsidRDefault="00BE34A4" w:rsidP="00BE34A4">
      <w:pPr>
        <w:numPr>
          <w:ilvl w:val="0"/>
          <w:numId w:val="10"/>
        </w:numPr>
        <w:tabs>
          <w:tab w:val="clear" w:pos="1101"/>
          <w:tab w:val="num" w:pos="786"/>
        </w:tabs>
        <w:ind w:left="786"/>
        <w:jc w:val="both"/>
        <w:rPr>
          <w:bCs/>
        </w:rPr>
      </w:pPr>
      <w:r w:rsidRPr="00EE3097">
        <w:rPr>
          <w:bCs/>
        </w:rPr>
        <w:t xml:space="preserve">Програма „Образование” 2021-2027 г. – </w:t>
      </w:r>
      <w:r>
        <w:rPr>
          <w:bCs/>
          <w:lang w:val="en-US"/>
        </w:rPr>
        <w:t>55</w:t>
      </w:r>
      <w:r>
        <w:rPr>
          <w:bCs/>
        </w:rPr>
        <w:t>,</w:t>
      </w:r>
      <w:r>
        <w:rPr>
          <w:bCs/>
          <w:lang w:val="en-US"/>
        </w:rPr>
        <w:t>4</w:t>
      </w:r>
      <w:r w:rsidRPr="00EE3097">
        <w:rPr>
          <w:bCs/>
        </w:rPr>
        <w:t xml:space="preserve"> млн. евро;</w:t>
      </w:r>
    </w:p>
    <w:p w14:paraId="6FBC0EB2" w14:textId="77777777" w:rsidR="00BE34A4" w:rsidRPr="00EE3097" w:rsidRDefault="00BE34A4" w:rsidP="00BE34A4">
      <w:pPr>
        <w:numPr>
          <w:ilvl w:val="0"/>
          <w:numId w:val="10"/>
        </w:numPr>
        <w:tabs>
          <w:tab w:val="clear" w:pos="1101"/>
          <w:tab w:val="num" w:pos="786"/>
        </w:tabs>
        <w:ind w:left="786"/>
        <w:jc w:val="both"/>
        <w:rPr>
          <w:bCs/>
        </w:rPr>
      </w:pPr>
      <w:r w:rsidRPr="00EE3097">
        <w:rPr>
          <w:bCs/>
        </w:rPr>
        <w:t xml:space="preserve">Програма „Околна среда“ 2021-2027 г. – </w:t>
      </w:r>
      <w:r>
        <w:rPr>
          <w:bCs/>
          <w:lang w:val="en-US"/>
        </w:rPr>
        <w:t>79</w:t>
      </w:r>
      <w:r>
        <w:rPr>
          <w:bCs/>
        </w:rPr>
        <w:t>,</w:t>
      </w:r>
      <w:r>
        <w:rPr>
          <w:bCs/>
          <w:lang w:val="en-US"/>
        </w:rPr>
        <w:t>1</w:t>
      </w:r>
      <w:r w:rsidRPr="00EE3097">
        <w:rPr>
          <w:bCs/>
        </w:rPr>
        <w:t xml:space="preserve"> млн. евро;</w:t>
      </w:r>
    </w:p>
    <w:p w14:paraId="1C8CB77B" w14:textId="77777777" w:rsidR="00BE34A4" w:rsidRPr="00EE3097" w:rsidRDefault="00BE34A4" w:rsidP="00BE34A4">
      <w:pPr>
        <w:numPr>
          <w:ilvl w:val="0"/>
          <w:numId w:val="10"/>
        </w:numPr>
        <w:tabs>
          <w:tab w:val="clear" w:pos="1101"/>
          <w:tab w:val="num" w:pos="786"/>
        </w:tabs>
        <w:ind w:left="786"/>
        <w:jc w:val="both"/>
        <w:rPr>
          <w:bCs/>
        </w:rPr>
      </w:pPr>
      <w:r w:rsidRPr="00EE3097">
        <w:rPr>
          <w:bCs/>
        </w:rPr>
        <w:t xml:space="preserve">Програма „Техническа помощ“ – </w:t>
      </w:r>
      <w:r>
        <w:rPr>
          <w:bCs/>
          <w:lang w:val="en-US"/>
        </w:rPr>
        <w:t>3</w:t>
      </w:r>
      <w:r>
        <w:rPr>
          <w:bCs/>
        </w:rPr>
        <w:t>,</w:t>
      </w:r>
      <w:r w:rsidRPr="00EE3097">
        <w:rPr>
          <w:bCs/>
          <w:lang w:val="en-US"/>
        </w:rPr>
        <w:t>5</w:t>
      </w:r>
      <w:r w:rsidRPr="00EE3097">
        <w:rPr>
          <w:bCs/>
        </w:rPr>
        <w:t xml:space="preserve"> млн. евро;</w:t>
      </w:r>
    </w:p>
    <w:p w14:paraId="5D67A40D" w14:textId="77777777" w:rsidR="00BE34A4" w:rsidRPr="008D24D7" w:rsidRDefault="00BE34A4" w:rsidP="00BE34A4">
      <w:pPr>
        <w:numPr>
          <w:ilvl w:val="0"/>
          <w:numId w:val="10"/>
        </w:numPr>
        <w:tabs>
          <w:tab w:val="clear" w:pos="1101"/>
          <w:tab w:val="num" w:pos="786"/>
        </w:tabs>
        <w:ind w:left="786"/>
        <w:jc w:val="both"/>
        <w:rPr>
          <w:bCs/>
        </w:rPr>
      </w:pPr>
      <w:r w:rsidRPr="008D24D7">
        <w:rPr>
          <w:bCs/>
        </w:rPr>
        <w:t>Програма „Конкурентоспособност и иновации в предприятията“ 2021</w:t>
      </w:r>
      <w:r>
        <w:rPr>
          <w:bCs/>
        </w:rPr>
        <w:t>-</w:t>
      </w:r>
      <w:r w:rsidRPr="008D24D7">
        <w:rPr>
          <w:bCs/>
        </w:rPr>
        <w:t xml:space="preserve">2027 г. – </w:t>
      </w:r>
      <w:r>
        <w:rPr>
          <w:bCs/>
          <w:lang w:val="en-US"/>
        </w:rPr>
        <w:t>82</w:t>
      </w:r>
      <w:r>
        <w:rPr>
          <w:bCs/>
        </w:rPr>
        <w:t>,</w:t>
      </w:r>
      <w:r w:rsidRPr="008D24D7">
        <w:rPr>
          <w:bCs/>
        </w:rPr>
        <w:t>8 млн. евро;</w:t>
      </w:r>
    </w:p>
    <w:p w14:paraId="6C0D73AB" w14:textId="77777777" w:rsidR="00BE34A4" w:rsidRPr="00533F3C" w:rsidRDefault="00BE34A4" w:rsidP="00BE34A4">
      <w:pPr>
        <w:numPr>
          <w:ilvl w:val="0"/>
          <w:numId w:val="10"/>
        </w:numPr>
        <w:tabs>
          <w:tab w:val="clear" w:pos="1101"/>
          <w:tab w:val="num" w:pos="786"/>
        </w:tabs>
        <w:ind w:left="786"/>
        <w:jc w:val="both"/>
        <w:rPr>
          <w:bCs/>
        </w:rPr>
      </w:pPr>
      <w:r w:rsidRPr="00533F3C">
        <w:rPr>
          <w:bCs/>
        </w:rPr>
        <w:t>Програма „Развитие на регионите“ 2021</w:t>
      </w:r>
      <w:r>
        <w:rPr>
          <w:bCs/>
        </w:rPr>
        <w:t>-</w:t>
      </w:r>
      <w:r w:rsidRPr="00533F3C">
        <w:rPr>
          <w:bCs/>
        </w:rPr>
        <w:t xml:space="preserve">2027 г. – </w:t>
      </w:r>
      <w:r w:rsidRPr="00533F3C">
        <w:rPr>
          <w:bCs/>
          <w:lang w:val="en-US"/>
        </w:rPr>
        <w:t>165</w:t>
      </w:r>
      <w:r>
        <w:rPr>
          <w:bCs/>
        </w:rPr>
        <w:t>,</w:t>
      </w:r>
      <w:r w:rsidRPr="00533F3C">
        <w:rPr>
          <w:bCs/>
          <w:lang w:val="en-US"/>
        </w:rPr>
        <w:t>8</w:t>
      </w:r>
      <w:r w:rsidRPr="00533F3C">
        <w:rPr>
          <w:bCs/>
        </w:rPr>
        <w:t xml:space="preserve"> млн. евро;</w:t>
      </w:r>
    </w:p>
    <w:p w14:paraId="5B1B4501" w14:textId="77777777" w:rsidR="00BE34A4" w:rsidRPr="000F0BBA" w:rsidRDefault="00BE34A4" w:rsidP="00BE34A4">
      <w:pPr>
        <w:numPr>
          <w:ilvl w:val="0"/>
          <w:numId w:val="10"/>
        </w:numPr>
        <w:tabs>
          <w:tab w:val="clear" w:pos="1101"/>
          <w:tab w:val="num" w:pos="786"/>
        </w:tabs>
        <w:ind w:left="786"/>
        <w:jc w:val="both"/>
        <w:rPr>
          <w:bCs/>
        </w:rPr>
      </w:pPr>
      <w:r w:rsidRPr="000F0BBA">
        <w:rPr>
          <w:bCs/>
        </w:rPr>
        <w:t>Програма „Научни изследвания, иновации и дигитализация за интелигентна трансформация“ 2021</w:t>
      </w:r>
      <w:r>
        <w:rPr>
          <w:bCs/>
        </w:rPr>
        <w:t>-</w:t>
      </w:r>
      <w:r w:rsidRPr="000F0BBA">
        <w:rPr>
          <w:bCs/>
        </w:rPr>
        <w:t xml:space="preserve">2027 г. – </w:t>
      </w:r>
      <w:r w:rsidRPr="000F0BBA">
        <w:rPr>
          <w:bCs/>
          <w:lang w:val="en-US"/>
        </w:rPr>
        <w:t>67</w:t>
      </w:r>
      <w:r>
        <w:rPr>
          <w:bCs/>
        </w:rPr>
        <w:t>,</w:t>
      </w:r>
      <w:r w:rsidRPr="000F0BBA">
        <w:rPr>
          <w:bCs/>
          <w:lang w:val="en-US"/>
        </w:rPr>
        <w:t>0</w:t>
      </w:r>
      <w:r w:rsidRPr="000F0BBA">
        <w:rPr>
          <w:bCs/>
        </w:rPr>
        <w:t xml:space="preserve"> млн. евро;</w:t>
      </w:r>
    </w:p>
    <w:p w14:paraId="40332821" w14:textId="77777777" w:rsidR="00BE34A4" w:rsidRPr="000F0BBA" w:rsidRDefault="00BE34A4" w:rsidP="00BE34A4">
      <w:pPr>
        <w:numPr>
          <w:ilvl w:val="0"/>
          <w:numId w:val="10"/>
        </w:numPr>
        <w:tabs>
          <w:tab w:val="clear" w:pos="1101"/>
          <w:tab w:val="num" w:pos="786"/>
        </w:tabs>
        <w:ind w:left="786"/>
        <w:jc w:val="both"/>
        <w:rPr>
          <w:bCs/>
        </w:rPr>
      </w:pPr>
      <w:r w:rsidRPr="000F0BBA">
        <w:rPr>
          <w:bCs/>
        </w:rPr>
        <w:t xml:space="preserve">Програма „Транспортна свързаност“ – </w:t>
      </w:r>
      <w:r w:rsidRPr="000F0BBA">
        <w:rPr>
          <w:bCs/>
          <w:lang w:val="en-US"/>
        </w:rPr>
        <w:t>72</w:t>
      </w:r>
      <w:r>
        <w:rPr>
          <w:bCs/>
        </w:rPr>
        <w:t>,</w:t>
      </w:r>
      <w:r w:rsidRPr="000F0BBA">
        <w:rPr>
          <w:bCs/>
          <w:lang w:val="en-US"/>
        </w:rPr>
        <w:t>6</w:t>
      </w:r>
      <w:r w:rsidRPr="000F0BBA">
        <w:rPr>
          <w:bCs/>
        </w:rPr>
        <w:t xml:space="preserve"> млн. евро и</w:t>
      </w:r>
    </w:p>
    <w:p w14:paraId="059761FE" w14:textId="77777777" w:rsidR="00BE34A4" w:rsidRDefault="00BE34A4" w:rsidP="00BE34A4">
      <w:pPr>
        <w:numPr>
          <w:ilvl w:val="0"/>
          <w:numId w:val="10"/>
        </w:numPr>
        <w:tabs>
          <w:tab w:val="clear" w:pos="1101"/>
          <w:tab w:val="num" w:pos="786"/>
        </w:tabs>
        <w:ind w:left="786"/>
        <w:jc w:val="both"/>
        <w:rPr>
          <w:bCs/>
        </w:rPr>
      </w:pPr>
      <w:r w:rsidRPr="000F0BBA">
        <w:rPr>
          <w:bCs/>
        </w:rPr>
        <w:t xml:space="preserve">Фонд за справедлив преход – </w:t>
      </w:r>
      <w:r w:rsidRPr="000F0BBA">
        <w:rPr>
          <w:bCs/>
          <w:lang w:val="en-US"/>
        </w:rPr>
        <w:t>5</w:t>
      </w:r>
      <w:r w:rsidRPr="000F0BBA">
        <w:rPr>
          <w:bCs/>
        </w:rPr>
        <w:t>9</w:t>
      </w:r>
      <w:r>
        <w:rPr>
          <w:bCs/>
        </w:rPr>
        <w:t>,</w:t>
      </w:r>
      <w:r w:rsidRPr="000F0BBA">
        <w:rPr>
          <w:bCs/>
          <w:lang w:val="en-US"/>
        </w:rPr>
        <w:t>6</w:t>
      </w:r>
      <w:r w:rsidRPr="000F0BBA">
        <w:rPr>
          <w:bCs/>
        </w:rPr>
        <w:t xml:space="preserve"> млн. евро.</w:t>
      </w:r>
    </w:p>
    <w:p w14:paraId="1B97053F" w14:textId="77777777" w:rsidR="00BE34A4" w:rsidRDefault="00BE34A4" w:rsidP="00BE34A4">
      <w:pPr>
        <w:jc w:val="both"/>
        <w:rPr>
          <w:bCs/>
        </w:rPr>
      </w:pPr>
    </w:p>
    <w:p w14:paraId="0BB10FAA" w14:textId="77777777" w:rsidR="00BE34A4" w:rsidRPr="000F0BBA" w:rsidRDefault="00BE34A4" w:rsidP="00BE34A4">
      <w:pPr>
        <w:ind w:firstLine="426"/>
        <w:jc w:val="both"/>
        <w:rPr>
          <w:bCs/>
        </w:rPr>
      </w:pPr>
      <w:r>
        <w:t>Извършените разходи за</w:t>
      </w:r>
      <w:r w:rsidRPr="00564B0D">
        <w:t xml:space="preserve"> авансово финансиране по реда на ДДС6/2011 г. </w:t>
      </w:r>
      <w:r>
        <w:t>са</w:t>
      </w:r>
      <w:r w:rsidRPr="00564B0D">
        <w:t xml:space="preserve"> в размер на </w:t>
      </w:r>
      <w:r>
        <w:t>21,9</w:t>
      </w:r>
      <w:r w:rsidR="00770063">
        <w:t> </w:t>
      </w:r>
      <w:r w:rsidRPr="00564B0D">
        <w:t>млн. евро.</w:t>
      </w:r>
    </w:p>
    <w:p w14:paraId="22B2B511" w14:textId="77777777" w:rsidR="00BE34A4" w:rsidRPr="00470C81" w:rsidRDefault="00BE34A4" w:rsidP="00BE34A4">
      <w:pPr>
        <w:spacing w:before="120"/>
        <w:ind w:firstLine="686"/>
        <w:jc w:val="both"/>
        <w:rPr>
          <w:b/>
          <w:bCs/>
        </w:rPr>
      </w:pPr>
      <w:r w:rsidRPr="00470C81">
        <w:rPr>
          <w:b/>
          <w:bCs/>
        </w:rPr>
        <w:t>Национален план за възстановяване и устойчивост (НПВУ)</w:t>
      </w:r>
    </w:p>
    <w:p w14:paraId="3CD90B84" w14:textId="77777777" w:rsidR="00BE34A4" w:rsidRDefault="00BE34A4" w:rsidP="00BE34A4">
      <w:pPr>
        <w:spacing w:before="120"/>
        <w:ind w:firstLine="686"/>
        <w:jc w:val="both"/>
        <w:rPr>
          <w:bCs/>
        </w:rPr>
      </w:pPr>
      <w:r w:rsidRPr="00470C81">
        <w:rPr>
          <w:bCs/>
        </w:rPr>
        <w:t>През отчетния период чрез НПВУ бяха извършени разходи и трансфери (нето)</w:t>
      </w:r>
      <w:r w:rsidRPr="00470C81">
        <w:rPr>
          <w:bCs/>
          <w:lang w:val="en-US"/>
        </w:rPr>
        <w:t xml:space="preserve"> </w:t>
      </w:r>
      <w:r w:rsidRPr="00470C81">
        <w:rPr>
          <w:bCs/>
        </w:rPr>
        <w:t xml:space="preserve">в размер на </w:t>
      </w:r>
      <w:r w:rsidRPr="00470C81">
        <w:rPr>
          <w:bCs/>
          <w:lang w:val="en-US"/>
        </w:rPr>
        <w:t>1</w:t>
      </w:r>
      <w:r>
        <w:rPr>
          <w:bCs/>
          <w:lang w:val="en-US"/>
        </w:rPr>
        <w:t> </w:t>
      </w:r>
      <w:r w:rsidRPr="00470C81">
        <w:rPr>
          <w:bCs/>
          <w:lang w:val="en-US"/>
        </w:rPr>
        <w:t>112</w:t>
      </w:r>
      <w:r>
        <w:rPr>
          <w:bCs/>
        </w:rPr>
        <w:t>,</w:t>
      </w:r>
      <w:r w:rsidRPr="00470C81">
        <w:rPr>
          <w:bCs/>
          <w:lang w:val="en-US"/>
        </w:rPr>
        <w:t>0</w:t>
      </w:r>
      <w:r w:rsidRPr="00470C81">
        <w:rPr>
          <w:bCs/>
        </w:rPr>
        <w:t xml:space="preserve"> млн. евро.</w:t>
      </w:r>
    </w:p>
    <w:p w14:paraId="6D9BA596" w14:textId="77777777" w:rsidR="00BE34A4" w:rsidRPr="00C6719F" w:rsidRDefault="00BE34A4" w:rsidP="00BE34A4">
      <w:pPr>
        <w:spacing w:before="120"/>
        <w:ind w:firstLine="686"/>
        <w:jc w:val="both"/>
        <w:rPr>
          <w:b/>
          <w:bCs/>
        </w:rPr>
      </w:pPr>
      <w:r w:rsidRPr="00C6719F">
        <w:rPr>
          <w:bCs/>
        </w:rPr>
        <w:tab/>
      </w:r>
      <w:r w:rsidRPr="00C6719F">
        <w:rPr>
          <w:b/>
          <w:bCs/>
        </w:rPr>
        <w:t>Двустранни програми за трансгранично сътрудничество по външните граници на Европейския съюз 2021 – 2027 г.</w:t>
      </w:r>
    </w:p>
    <w:p w14:paraId="072C5525" w14:textId="77777777" w:rsidR="00BE34A4" w:rsidRPr="00C6719F" w:rsidRDefault="00BE34A4" w:rsidP="00BE34A4">
      <w:pPr>
        <w:spacing w:before="120"/>
        <w:ind w:firstLine="686"/>
        <w:jc w:val="both"/>
        <w:rPr>
          <w:bCs/>
        </w:rPr>
      </w:pPr>
      <w:r w:rsidRPr="00C6719F">
        <w:rPr>
          <w:bCs/>
        </w:rPr>
        <w:t>Получените средства към 30.06.2026 г. са на стойност 1</w:t>
      </w:r>
      <w:r>
        <w:rPr>
          <w:bCs/>
        </w:rPr>
        <w:t>,</w:t>
      </w:r>
      <w:r w:rsidRPr="00C6719F">
        <w:rPr>
          <w:bCs/>
        </w:rPr>
        <w:t>6 млн. евро, представляващи постъпили средства от ЕК и средства за съфинансиране от страните-партньори, както</w:t>
      </w:r>
      <w:r>
        <w:rPr>
          <w:bCs/>
        </w:rPr>
        <w:t xml:space="preserve"> и</w:t>
      </w:r>
      <w:r w:rsidRPr="00C6719F">
        <w:rPr>
          <w:bCs/>
        </w:rPr>
        <w:t xml:space="preserve"> разпределени към администратори в чужбина за сметка на средствата, получени от страната-партньор.</w:t>
      </w:r>
    </w:p>
    <w:p w14:paraId="4ACB246A" w14:textId="77777777" w:rsidR="00BE34A4" w:rsidRPr="00037842" w:rsidRDefault="00BE34A4" w:rsidP="00BE34A4">
      <w:pPr>
        <w:ind w:firstLine="686"/>
        <w:jc w:val="both"/>
        <w:rPr>
          <w:b/>
          <w:bCs/>
        </w:rPr>
      </w:pPr>
      <w:r w:rsidRPr="00C6719F">
        <w:rPr>
          <w:bCs/>
        </w:rPr>
        <w:lastRenderedPageBreak/>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6</w:t>
      </w:r>
      <w:r>
        <w:rPr>
          <w:bCs/>
        </w:rPr>
        <w:t>,</w:t>
      </w:r>
      <w:r w:rsidRPr="00C6719F">
        <w:rPr>
          <w:bCs/>
        </w:rPr>
        <w:t xml:space="preserve">3 млн. евро, </w:t>
      </w:r>
      <w:r w:rsidRPr="00037842">
        <w:rPr>
          <w:bCs/>
        </w:rPr>
        <w:t xml:space="preserve">включително за плащания към бенефициенти в страната, извършени за сметка на полученото финансиране от страната-партньор по тези програми. </w:t>
      </w:r>
    </w:p>
    <w:p w14:paraId="6E40C448" w14:textId="77777777" w:rsidR="00BE34A4" w:rsidRPr="00037842" w:rsidRDefault="00BE34A4" w:rsidP="00BE34A4">
      <w:pPr>
        <w:spacing w:before="120"/>
        <w:ind w:firstLine="686"/>
        <w:jc w:val="both"/>
        <w:rPr>
          <w:b/>
          <w:bCs/>
        </w:rPr>
      </w:pPr>
      <w:r w:rsidRPr="00037842">
        <w:rPr>
          <w:b/>
          <w:bCs/>
        </w:rPr>
        <w:t>Финансов механизъм на Европейското икономическо пространство и Норвежки финансов механизъм за периода 2014-2021 и 2021-2028 г.</w:t>
      </w:r>
    </w:p>
    <w:p w14:paraId="45B6ECD3" w14:textId="77777777" w:rsidR="00BE34A4" w:rsidRPr="00037842" w:rsidRDefault="00BE34A4" w:rsidP="00BE34A4">
      <w:pPr>
        <w:ind w:firstLine="691"/>
        <w:jc w:val="both"/>
        <w:rPr>
          <w:bCs/>
        </w:rPr>
      </w:pPr>
      <w:r w:rsidRPr="00037842">
        <w:rPr>
          <w:bCs/>
        </w:rPr>
        <w:t>Получените средства към 30.06.2026 г. са в размер на 0</w:t>
      </w:r>
      <w:r>
        <w:rPr>
          <w:bCs/>
        </w:rPr>
        <w:t>,</w:t>
      </w:r>
      <w:r w:rsidRPr="00037842">
        <w:rPr>
          <w:bCs/>
        </w:rPr>
        <w:t>3 млн. евро.</w:t>
      </w:r>
      <w:r>
        <w:rPr>
          <w:bCs/>
        </w:rPr>
        <w:tab/>
      </w:r>
      <w:r>
        <w:rPr>
          <w:bCs/>
        </w:rPr>
        <w:tab/>
      </w:r>
    </w:p>
    <w:p w14:paraId="15A83F6F" w14:textId="77777777" w:rsidR="00BE34A4" w:rsidRPr="00037842" w:rsidRDefault="00BE34A4" w:rsidP="00BE34A4">
      <w:pPr>
        <w:ind w:firstLine="691"/>
        <w:jc w:val="both"/>
        <w:rPr>
          <w:bCs/>
        </w:rPr>
      </w:pPr>
      <w:r>
        <w:rPr>
          <w:bCs/>
        </w:rPr>
        <w:t>В</w:t>
      </w:r>
      <w:r w:rsidRPr="00037842">
        <w:rPr>
          <w:bCs/>
        </w:rPr>
        <w:t>ъзстановените средства към ЕК за периода 2014-2021 са в размер на 1</w:t>
      </w:r>
      <w:r>
        <w:rPr>
          <w:bCs/>
        </w:rPr>
        <w:t>,</w:t>
      </w:r>
      <w:r w:rsidRPr="00037842">
        <w:rPr>
          <w:bCs/>
        </w:rPr>
        <w:t>1 млн. евро.</w:t>
      </w:r>
    </w:p>
    <w:p w14:paraId="72964490" w14:textId="77777777" w:rsidR="00BE34A4" w:rsidRPr="00037842" w:rsidRDefault="00BE34A4" w:rsidP="00BE34A4">
      <w:pPr>
        <w:ind w:firstLine="691"/>
        <w:jc w:val="both"/>
        <w:rPr>
          <w:b/>
          <w:bCs/>
        </w:rPr>
      </w:pPr>
      <w:r w:rsidRPr="00037842">
        <w:rPr>
          <w:bCs/>
        </w:rPr>
        <w:t>През периода са извършени възстановявания от бенефициенти на стойност 0</w:t>
      </w:r>
      <w:r>
        <w:rPr>
          <w:bCs/>
        </w:rPr>
        <w:t>,</w:t>
      </w:r>
      <w:r w:rsidRPr="00037842">
        <w:rPr>
          <w:bCs/>
          <w:lang w:val="en-US"/>
        </w:rPr>
        <w:t>0</w:t>
      </w:r>
      <w:r w:rsidRPr="00037842">
        <w:rPr>
          <w:bCs/>
        </w:rPr>
        <w:t>04 млн. евро.</w:t>
      </w:r>
    </w:p>
    <w:p w14:paraId="09D12DD8" w14:textId="77777777" w:rsidR="00BE34A4" w:rsidRPr="008761D3" w:rsidRDefault="00BE34A4" w:rsidP="00BE34A4">
      <w:pPr>
        <w:spacing w:before="120"/>
        <w:ind w:firstLine="686"/>
        <w:jc w:val="both"/>
        <w:rPr>
          <w:b/>
          <w:bCs/>
        </w:rPr>
      </w:pPr>
      <w:r w:rsidRPr="008761D3">
        <w:rPr>
          <w:b/>
          <w:bCs/>
        </w:rPr>
        <w:t>Швейцарско-българската програма за сътрудничество (ШБПС)</w:t>
      </w:r>
    </w:p>
    <w:p w14:paraId="38D86FBE" w14:textId="77777777" w:rsidR="00BE34A4" w:rsidRPr="008761D3" w:rsidRDefault="00BE34A4" w:rsidP="00BE34A4">
      <w:pPr>
        <w:ind w:firstLine="691"/>
        <w:jc w:val="both"/>
        <w:rPr>
          <w:bCs/>
        </w:rPr>
      </w:pPr>
      <w:r w:rsidRPr="008761D3">
        <w:rPr>
          <w:bCs/>
        </w:rPr>
        <w:t>Получените средства към 30.06.2026 г. са в размер на 0</w:t>
      </w:r>
      <w:r>
        <w:rPr>
          <w:bCs/>
        </w:rPr>
        <w:t>,</w:t>
      </w:r>
      <w:r w:rsidRPr="008761D3">
        <w:rPr>
          <w:bCs/>
        </w:rPr>
        <w:t>2 млн. евро.</w:t>
      </w:r>
    </w:p>
    <w:p w14:paraId="62438F4F" w14:textId="77777777" w:rsidR="00BE34A4" w:rsidRPr="00D742B3" w:rsidRDefault="00BE34A4" w:rsidP="00BE34A4">
      <w:pPr>
        <w:ind w:firstLine="691"/>
        <w:jc w:val="both"/>
        <w:rPr>
          <w:bCs/>
          <w:color w:val="0070C0"/>
        </w:rPr>
      </w:pPr>
      <w:r w:rsidRPr="008761D3">
        <w:rPr>
          <w:bCs/>
        </w:rPr>
        <w:t>Сумата на разходите и трансферите (нето) за периода са на обща стойност 1</w:t>
      </w:r>
      <w:r>
        <w:rPr>
          <w:bCs/>
        </w:rPr>
        <w:t>,</w:t>
      </w:r>
      <w:r w:rsidRPr="008761D3">
        <w:rPr>
          <w:bCs/>
        </w:rPr>
        <w:t>2 млн. евро</w:t>
      </w:r>
      <w:r w:rsidRPr="00D742B3">
        <w:rPr>
          <w:bCs/>
          <w:color w:val="0070C0"/>
        </w:rPr>
        <w:t>.</w:t>
      </w:r>
    </w:p>
    <w:p w14:paraId="54DDA7E2" w14:textId="77777777" w:rsidR="00BE34A4" w:rsidRPr="00954779" w:rsidRDefault="00BE34A4" w:rsidP="00BE34A4">
      <w:pPr>
        <w:spacing w:before="120"/>
        <w:ind w:firstLine="686"/>
        <w:jc w:val="both"/>
        <w:rPr>
          <w:b/>
          <w:bCs/>
        </w:rPr>
      </w:pPr>
      <w:r w:rsidRPr="00954779">
        <w:rPr>
          <w:b/>
          <w:bCs/>
        </w:rPr>
        <w:t xml:space="preserve">Програма САПАРД </w:t>
      </w:r>
    </w:p>
    <w:p w14:paraId="567E6F4D" w14:textId="77777777" w:rsidR="00BE34A4" w:rsidRPr="00954779" w:rsidRDefault="00BE34A4" w:rsidP="00BE34A4">
      <w:pPr>
        <w:pStyle w:val="Header"/>
        <w:tabs>
          <w:tab w:val="clear" w:pos="4153"/>
          <w:tab w:val="clear" w:pos="8306"/>
        </w:tabs>
        <w:ind w:right="277" w:firstLine="567"/>
        <w:jc w:val="both"/>
        <w:rPr>
          <w:bCs/>
        </w:rPr>
      </w:pPr>
      <w:r w:rsidRPr="00954779">
        <w:rPr>
          <w:bCs/>
          <w:lang w:val="en-US"/>
        </w:rPr>
        <w:t xml:space="preserve">  </w:t>
      </w:r>
      <w:r w:rsidRPr="00954779">
        <w:rPr>
          <w:bCs/>
        </w:rPr>
        <w:t>През периода са извършени възстановявания от бенефициенти по дългове на стойност 0</w:t>
      </w:r>
      <w:r>
        <w:rPr>
          <w:bCs/>
        </w:rPr>
        <w:t>,</w:t>
      </w:r>
      <w:r w:rsidRPr="00954779">
        <w:rPr>
          <w:bCs/>
          <w:lang w:val="en-US"/>
        </w:rPr>
        <w:t>0</w:t>
      </w:r>
      <w:r w:rsidRPr="00954779">
        <w:rPr>
          <w:bCs/>
        </w:rPr>
        <w:t>007 млн. евро.</w:t>
      </w:r>
    </w:p>
    <w:p w14:paraId="4B80D3E2" w14:textId="77777777" w:rsidR="00F86B8F" w:rsidRPr="00091C2D" w:rsidRDefault="00F86B8F" w:rsidP="00BC364F">
      <w:pPr>
        <w:pStyle w:val="Heading1"/>
        <w:numPr>
          <w:ilvl w:val="0"/>
          <w:numId w:val="8"/>
        </w:numPr>
        <w:spacing w:before="360"/>
        <w:ind w:right="-108"/>
        <w:jc w:val="both"/>
        <w:rPr>
          <w:sz w:val="24"/>
        </w:rPr>
      </w:pPr>
      <w:r w:rsidRPr="00091C2D">
        <w:rPr>
          <w:sz w:val="24"/>
        </w:rPr>
        <w:t xml:space="preserve">Бюджети на социално и здравноосигурителните </w:t>
      </w:r>
      <w:r w:rsidR="00BC364F" w:rsidRPr="00091C2D">
        <w:rPr>
          <w:sz w:val="24"/>
        </w:rPr>
        <w:t>фондове, общинските и други автономни бюджети</w:t>
      </w:r>
    </w:p>
    <w:p w14:paraId="284D690F" w14:textId="77777777" w:rsidR="00F86B8F" w:rsidRPr="00091C2D" w:rsidRDefault="00F86B8F" w:rsidP="00F86B8F">
      <w:pPr>
        <w:pStyle w:val="Heading1"/>
        <w:numPr>
          <w:ilvl w:val="1"/>
          <w:numId w:val="8"/>
        </w:numPr>
        <w:spacing w:before="240"/>
        <w:ind w:left="788" w:right="-108" w:hanging="431"/>
        <w:jc w:val="both"/>
        <w:rPr>
          <w:sz w:val="24"/>
        </w:rPr>
      </w:pPr>
      <w:r w:rsidRPr="00091C2D">
        <w:rPr>
          <w:sz w:val="24"/>
        </w:rPr>
        <w:t>Социално и здравноосигурителни фондове</w:t>
      </w:r>
    </w:p>
    <w:p w14:paraId="3CC423C4" w14:textId="77777777" w:rsidR="00D00E92" w:rsidRPr="00635BC2" w:rsidRDefault="00D00E92" w:rsidP="00D00E92">
      <w:pPr>
        <w:numPr>
          <w:ilvl w:val="1"/>
          <w:numId w:val="5"/>
        </w:numPr>
        <w:spacing w:before="240" w:line="276" w:lineRule="auto"/>
        <w:ind w:left="992" w:hanging="357"/>
        <w:jc w:val="both"/>
        <w:rPr>
          <w:b/>
          <w:bCs/>
        </w:rPr>
      </w:pPr>
      <w:r w:rsidRPr="00635BC2">
        <w:rPr>
          <w:b/>
        </w:rPr>
        <w:t>Държавно обществено осигуряване</w:t>
      </w:r>
    </w:p>
    <w:p w14:paraId="4B9CDC56" w14:textId="77777777" w:rsidR="00D00E92" w:rsidRPr="00DE5D51" w:rsidRDefault="00D00E92" w:rsidP="00D00E92">
      <w:pPr>
        <w:ind w:firstLine="567"/>
        <w:jc w:val="both"/>
        <w:rPr>
          <w:rFonts w:eastAsiaTheme="minorHAnsi"/>
        </w:rPr>
      </w:pPr>
      <w:r w:rsidRPr="00635BC2">
        <w:t xml:space="preserve">Общата сума на </w:t>
      </w:r>
      <w:r w:rsidRPr="00635BC2">
        <w:rPr>
          <w:b/>
        </w:rPr>
        <w:t>приходите, помощите и даренията</w:t>
      </w:r>
      <w:r w:rsidRPr="00635BC2">
        <w:t xml:space="preserve"> по бюджета на Държавното обществено осигуряване (ДОО) към 3</w:t>
      </w:r>
      <w:r w:rsidRPr="00635BC2">
        <w:rPr>
          <w:lang w:val="en-US"/>
        </w:rPr>
        <w:t>0</w:t>
      </w:r>
      <w:r w:rsidRPr="00635BC2">
        <w:t>.</w:t>
      </w:r>
      <w:r w:rsidRPr="00635BC2">
        <w:rPr>
          <w:lang w:val="en-US"/>
        </w:rPr>
        <w:t>06</w:t>
      </w:r>
      <w:r w:rsidRPr="00635BC2">
        <w:t>.202</w:t>
      </w:r>
      <w:r w:rsidRPr="00635BC2">
        <w:rPr>
          <w:lang w:val="en-US"/>
        </w:rPr>
        <w:t>6</w:t>
      </w:r>
      <w:r w:rsidRPr="00635BC2">
        <w:t xml:space="preserve"> г. възлиза на </w:t>
      </w:r>
      <w:r w:rsidRPr="00635BC2">
        <w:rPr>
          <w:lang w:val="en-US"/>
        </w:rPr>
        <w:t>4</w:t>
      </w:r>
      <w:r w:rsidRPr="00635BC2">
        <w:rPr>
          <w:lang w:val="ru-RU"/>
        </w:rPr>
        <w:t xml:space="preserve"> </w:t>
      </w:r>
      <w:r w:rsidRPr="00635BC2">
        <w:rPr>
          <w:lang w:val="en-US"/>
        </w:rPr>
        <w:t>105</w:t>
      </w:r>
      <w:r w:rsidRPr="00635BC2">
        <w:t>,</w:t>
      </w:r>
      <w:r w:rsidRPr="00635BC2">
        <w:rPr>
          <w:lang w:val="en-US"/>
        </w:rPr>
        <w:t>4</w:t>
      </w:r>
      <w:r w:rsidRPr="00635BC2">
        <w:t xml:space="preserve"> млн. евро. </w:t>
      </w:r>
      <w:r w:rsidRPr="00DE5D51">
        <w:t>Съпоставени с първото полугодие на 202</w:t>
      </w:r>
      <w:r w:rsidRPr="00DE5D51">
        <w:rPr>
          <w:lang w:val="en-US"/>
        </w:rPr>
        <w:t>5</w:t>
      </w:r>
      <w:r w:rsidRPr="00DE5D51">
        <w:t xml:space="preserve"> г., приходите по бюджета на ДОО нарастват с</w:t>
      </w:r>
      <w:r w:rsidRPr="00DE5D51">
        <w:rPr>
          <w:lang w:val="ru-RU"/>
        </w:rPr>
        <w:t xml:space="preserve"> 403,0</w:t>
      </w:r>
      <w:r w:rsidRPr="00DE5D51">
        <w:t xml:space="preserve"> млн. евро (10,9 %). </w:t>
      </w:r>
      <w:r w:rsidR="007F2529" w:rsidRPr="00783B8A">
        <w:t>Постъпилите средства представляват 4</w:t>
      </w:r>
      <w:r w:rsidR="00783B8A" w:rsidRPr="00783B8A">
        <w:t>8</w:t>
      </w:r>
      <w:r w:rsidR="007F2529" w:rsidRPr="00783B8A">
        <w:t>,</w:t>
      </w:r>
      <w:r w:rsidR="00783B8A" w:rsidRPr="00783B8A">
        <w:t>2</w:t>
      </w:r>
      <w:r w:rsidR="007F2529" w:rsidRPr="00783B8A">
        <w:t xml:space="preserve"> % спрямо разчетените в Закона за бюджета на Държавното обществено осигуряване за 202</w:t>
      </w:r>
      <w:r w:rsidR="00783B8A" w:rsidRPr="00783B8A">
        <w:t>6</w:t>
      </w:r>
      <w:r w:rsidR="007F2529" w:rsidRPr="00783B8A">
        <w:t xml:space="preserve"> г. (ЗБДОО за 202</w:t>
      </w:r>
      <w:r w:rsidR="00783B8A" w:rsidRPr="00783B8A">
        <w:t>6</w:t>
      </w:r>
      <w:r w:rsidR="007F2529" w:rsidRPr="00783B8A">
        <w:t xml:space="preserve"> г.).</w:t>
      </w:r>
      <w:r w:rsidR="007F2529">
        <w:rPr>
          <w:lang w:val="en-US"/>
        </w:rPr>
        <w:t xml:space="preserve"> </w:t>
      </w:r>
      <w:r w:rsidRPr="00DE5D51">
        <w:t xml:space="preserve">Най-голям е делът на </w:t>
      </w:r>
      <w:r w:rsidRPr="00783B8A">
        <w:t>приходите от осигурителни вноски (98,2 % от общите приходи), като за отчетния период те са в размер на 4 031,9 млн. евро.</w:t>
      </w:r>
      <w:r w:rsidR="007F2529" w:rsidRPr="00783B8A">
        <w:t xml:space="preserve"> Приходите от осигурителни вноски към 30.06.202</w:t>
      </w:r>
      <w:r w:rsidR="00783B8A" w:rsidRPr="00783B8A">
        <w:t>6</w:t>
      </w:r>
      <w:r w:rsidR="007F2529" w:rsidRPr="00783B8A">
        <w:t xml:space="preserve"> г. са 4</w:t>
      </w:r>
      <w:r w:rsidR="00783B8A" w:rsidRPr="00783B8A">
        <w:t>8</w:t>
      </w:r>
      <w:r w:rsidR="007F2529" w:rsidRPr="00783B8A">
        <w:t>,</w:t>
      </w:r>
      <w:r w:rsidR="00783B8A" w:rsidRPr="00783B8A">
        <w:t>3</w:t>
      </w:r>
      <w:r w:rsidR="007F2529" w:rsidRPr="00783B8A">
        <w:t xml:space="preserve"> % от разчетите към ЗБДОО за 202</w:t>
      </w:r>
      <w:r w:rsidR="00783B8A" w:rsidRPr="00783B8A">
        <w:t>6</w:t>
      </w:r>
      <w:r w:rsidR="007F2529" w:rsidRPr="00783B8A">
        <w:t xml:space="preserve"> г.</w:t>
      </w:r>
    </w:p>
    <w:p w14:paraId="5BBDA9AE" w14:textId="77777777" w:rsidR="00D00E92" w:rsidRPr="00DE5D51" w:rsidRDefault="00D00E92" w:rsidP="00D00E92">
      <w:pPr>
        <w:ind w:firstLine="567"/>
        <w:jc w:val="both"/>
        <w:rPr>
          <w:bCs/>
        </w:rPr>
      </w:pPr>
      <w:r w:rsidRPr="00DE5D51">
        <w:rPr>
          <w:bCs/>
        </w:rPr>
        <w:t>Отчетените неданъчни приходи за първото полугодие на 2026 г. по бюджета на ДОО възлизат на 73,5 млн. евро, в т. ч. 69,3 млн. евро постъпили средства по чл. 4б, чл. 4в и чл. 69б от Кодекса за социално осигуряване (КСО)</w:t>
      </w:r>
      <w:r w:rsidRPr="00DE5D51">
        <w:t>.</w:t>
      </w:r>
      <w:r w:rsidRPr="00DE5D51">
        <w:rPr>
          <w:bCs/>
        </w:rPr>
        <w:t xml:space="preserve"> </w:t>
      </w:r>
    </w:p>
    <w:p w14:paraId="16235B45" w14:textId="77777777" w:rsidR="00D00E92" w:rsidRPr="00DE5D51" w:rsidRDefault="00D00E92" w:rsidP="00D00E92">
      <w:pPr>
        <w:ind w:firstLine="567"/>
        <w:jc w:val="both"/>
        <w:rPr>
          <w:bCs/>
        </w:rPr>
      </w:pPr>
      <w:r w:rsidRPr="00DE5D51">
        <w:rPr>
          <w:bCs/>
        </w:rPr>
        <w:t>Получените трансфери от централния бюджет (вкл. за поети осигурителни вноски) за периода са 3 178,8 млн. евро.</w:t>
      </w:r>
    </w:p>
    <w:p w14:paraId="65711E7C" w14:textId="77777777" w:rsidR="00D00E92" w:rsidRPr="00BC72AC" w:rsidRDefault="00D00E92" w:rsidP="00D00E92">
      <w:pPr>
        <w:tabs>
          <w:tab w:val="num" w:pos="1499"/>
          <w:tab w:val="num" w:pos="2148"/>
        </w:tabs>
        <w:ind w:firstLine="567"/>
        <w:jc w:val="both"/>
        <w:rPr>
          <w:bCs/>
          <w:color w:val="0070C0"/>
        </w:rPr>
      </w:pPr>
      <w:r w:rsidRPr="00DE5D51">
        <w:rPr>
          <w:bCs/>
        </w:rPr>
        <w:t xml:space="preserve">Размерът на извършените </w:t>
      </w:r>
      <w:r w:rsidRPr="00DE5D51">
        <w:rPr>
          <w:b/>
          <w:bCs/>
        </w:rPr>
        <w:t xml:space="preserve">разходи </w:t>
      </w:r>
      <w:r w:rsidRPr="00DE5D51">
        <w:rPr>
          <w:bCs/>
        </w:rPr>
        <w:t xml:space="preserve">през първото полугодие на 2026 г. по бюджета на ДОО е 7 280,4 млн. </w:t>
      </w:r>
      <w:r w:rsidRPr="00DE5D51">
        <w:t>евро</w:t>
      </w:r>
      <w:r w:rsidRPr="00DE5D51">
        <w:rPr>
          <w:bCs/>
        </w:rPr>
        <w:t xml:space="preserve">. Спрямо същия период на предходната година общо разходите по бюджета на ДОО са с </w:t>
      </w:r>
      <w:r w:rsidRPr="00CE5BCC">
        <w:rPr>
          <w:bCs/>
        </w:rPr>
        <w:t>643,3 млн. евро (9,7 %) повече.</w:t>
      </w:r>
      <w:r w:rsidR="007F2529" w:rsidRPr="00CE5BCC">
        <w:t xml:space="preserve"> </w:t>
      </w:r>
      <w:r w:rsidR="007F2529" w:rsidRPr="00CE5BCC">
        <w:rPr>
          <w:bCs/>
        </w:rPr>
        <w:t>Изразходваните средства представляват 47,</w:t>
      </w:r>
      <w:r w:rsidR="00CE5BCC" w:rsidRPr="00CE5BCC">
        <w:rPr>
          <w:bCs/>
        </w:rPr>
        <w:t>7</w:t>
      </w:r>
      <w:r w:rsidR="007F2529" w:rsidRPr="00CE5BCC">
        <w:rPr>
          <w:bCs/>
        </w:rPr>
        <w:t xml:space="preserve"> % от разчетените със ЗБДОО 202</w:t>
      </w:r>
      <w:r w:rsidR="00CE5BCC" w:rsidRPr="00CE5BCC">
        <w:rPr>
          <w:bCs/>
        </w:rPr>
        <w:t>6</w:t>
      </w:r>
      <w:r w:rsidR="007F2529" w:rsidRPr="00CE5BCC">
        <w:rPr>
          <w:bCs/>
        </w:rPr>
        <w:t xml:space="preserve"> г. разходи.</w:t>
      </w:r>
      <w:r w:rsidRPr="00DE5D51">
        <w:rPr>
          <w:bCs/>
        </w:rPr>
        <w:t xml:space="preserve"> От структурна гледна точка най-голям относителен дял в общите разходи заемат разходите за пенсии, обезщетения и помощи, изплащани на основание КСО – общо 7 231,6 млн. евро или 99,3 % от общия размер на разходите за отчетния период. </w:t>
      </w:r>
    </w:p>
    <w:p w14:paraId="3FAB72A2" w14:textId="77777777" w:rsidR="00D00E92" w:rsidRPr="00CE5BCC" w:rsidRDefault="00D00E92" w:rsidP="00D00E92">
      <w:pPr>
        <w:tabs>
          <w:tab w:val="num" w:pos="1499"/>
          <w:tab w:val="num" w:pos="2148"/>
        </w:tabs>
        <w:ind w:firstLine="567"/>
        <w:jc w:val="both"/>
        <w:rPr>
          <w:bCs/>
        </w:rPr>
      </w:pPr>
      <w:r w:rsidRPr="00DE5D51">
        <w:rPr>
          <w:bCs/>
        </w:rPr>
        <w:t xml:space="preserve">Отчетените разходи за </w:t>
      </w:r>
      <w:r w:rsidRPr="00DE5D51">
        <w:rPr>
          <w:b/>
          <w:bCs/>
          <w:i/>
        </w:rPr>
        <w:t>пенсии</w:t>
      </w:r>
      <w:r w:rsidRPr="00DE5D51">
        <w:rPr>
          <w:bCs/>
        </w:rPr>
        <w:t xml:space="preserve"> по бюджета на ДОО към 30.06.2026 г. възлизат на </w:t>
      </w:r>
      <w:r w:rsidRPr="00487ECB">
        <w:rPr>
          <w:bCs/>
        </w:rPr>
        <w:t xml:space="preserve">6 495,9 млн. </w:t>
      </w:r>
      <w:r w:rsidRPr="00487ECB">
        <w:t>евро</w:t>
      </w:r>
      <w:r w:rsidRPr="00487ECB">
        <w:rPr>
          <w:bCs/>
        </w:rPr>
        <w:t xml:space="preserve">, което е с </w:t>
      </w:r>
      <w:r w:rsidRPr="00CE5BCC">
        <w:rPr>
          <w:bCs/>
        </w:rPr>
        <w:t xml:space="preserve">603,8 млн. </w:t>
      </w:r>
      <w:r w:rsidRPr="00CE5BCC">
        <w:t>евро</w:t>
      </w:r>
      <w:r w:rsidRPr="00CE5BCC">
        <w:rPr>
          <w:bCs/>
        </w:rPr>
        <w:t xml:space="preserve"> повече спрямо същия период на 2025 г.</w:t>
      </w:r>
      <w:r w:rsidR="007F2529" w:rsidRPr="00CE5BCC">
        <w:t xml:space="preserve"> </w:t>
      </w:r>
      <w:r w:rsidR="007F2529" w:rsidRPr="00CE5BCC">
        <w:rPr>
          <w:bCs/>
        </w:rPr>
        <w:t>и представляват 4</w:t>
      </w:r>
      <w:r w:rsidR="00CE5BCC" w:rsidRPr="00CE5BCC">
        <w:rPr>
          <w:bCs/>
        </w:rPr>
        <w:t>8</w:t>
      </w:r>
      <w:r w:rsidR="007F2529" w:rsidRPr="00CE5BCC">
        <w:rPr>
          <w:bCs/>
        </w:rPr>
        <w:t>,</w:t>
      </w:r>
      <w:r w:rsidR="00CE5BCC" w:rsidRPr="00CE5BCC">
        <w:rPr>
          <w:bCs/>
        </w:rPr>
        <w:t>1</w:t>
      </w:r>
      <w:r w:rsidR="007F2529" w:rsidRPr="00CE5BCC">
        <w:rPr>
          <w:bCs/>
        </w:rPr>
        <w:t xml:space="preserve"> % от разчета за годината.</w:t>
      </w:r>
      <w:r w:rsidRPr="00487ECB">
        <w:rPr>
          <w:bCs/>
        </w:rPr>
        <w:t xml:space="preserve"> Основните причини за това са изплащането през първото полугодие на 2026  г. на осъвременените пенсии с 8,6 % от 1 юли 2025 г. и по-големия брой </w:t>
      </w:r>
      <w:r w:rsidRPr="00CE5BCC">
        <w:rPr>
          <w:bCs/>
        </w:rPr>
        <w:t>пенсионери, които получиха „великденски“ добавки към пенсиите през м. април 2026 г.</w:t>
      </w:r>
    </w:p>
    <w:p w14:paraId="2F5986CC" w14:textId="77777777" w:rsidR="00D00E92" w:rsidRPr="004B1592" w:rsidRDefault="00D00E92" w:rsidP="00D00E92">
      <w:pPr>
        <w:tabs>
          <w:tab w:val="num" w:pos="1499"/>
          <w:tab w:val="num" w:pos="2148"/>
        </w:tabs>
        <w:ind w:firstLine="567"/>
        <w:jc w:val="both"/>
      </w:pPr>
      <w:r w:rsidRPr="00CE5BCC">
        <w:t xml:space="preserve">Отчетените разходи за </w:t>
      </w:r>
      <w:r w:rsidRPr="00CE5BCC">
        <w:rPr>
          <w:b/>
          <w:i/>
        </w:rPr>
        <w:t>краткосрочни обезщетения и помощи по КСО</w:t>
      </w:r>
      <w:r w:rsidRPr="00CE5BCC">
        <w:t xml:space="preserve"> са в размер на 735,7 млн. евро. Спрямо същия период на миналата година изплатените обезщетения по КСО са с 38,3 млн. евро (5,5 %) повече. </w:t>
      </w:r>
      <w:r w:rsidR="007F2529" w:rsidRPr="00CE5BCC">
        <w:t>Спрямо разчета в ЗБДОО за 202</w:t>
      </w:r>
      <w:r w:rsidR="00CE5BCC" w:rsidRPr="00CE5BCC">
        <w:t>6</w:t>
      </w:r>
      <w:r w:rsidR="007F2529" w:rsidRPr="00CE5BCC">
        <w:t xml:space="preserve"> г. изпълнението е 44,</w:t>
      </w:r>
      <w:r w:rsidR="00CE5BCC" w:rsidRPr="00CE5BCC">
        <w:t>5</w:t>
      </w:r>
      <w:r w:rsidR="007F2529" w:rsidRPr="00CE5BCC">
        <w:t xml:space="preserve"> %.</w:t>
      </w:r>
    </w:p>
    <w:p w14:paraId="189500B3" w14:textId="77777777" w:rsidR="00D00E92" w:rsidRPr="004B1592" w:rsidRDefault="00D00E92" w:rsidP="00D00E92">
      <w:pPr>
        <w:numPr>
          <w:ilvl w:val="1"/>
          <w:numId w:val="5"/>
        </w:numPr>
        <w:tabs>
          <w:tab w:val="num" w:pos="709"/>
          <w:tab w:val="left" w:pos="851"/>
          <w:tab w:val="left" w:pos="1134"/>
        </w:tabs>
        <w:spacing w:before="240" w:line="276" w:lineRule="auto"/>
        <w:ind w:left="709" w:hanging="357"/>
        <w:jc w:val="both"/>
        <w:rPr>
          <w:b/>
          <w:bCs/>
        </w:rPr>
      </w:pPr>
      <w:r w:rsidRPr="004B1592">
        <w:rPr>
          <w:b/>
          <w:bCs/>
        </w:rPr>
        <w:t>Национална здравноосигурителна каса</w:t>
      </w:r>
    </w:p>
    <w:p w14:paraId="27489C89" w14:textId="77777777" w:rsidR="00D00E92" w:rsidRPr="005736DB" w:rsidRDefault="00D00E92" w:rsidP="00D00E92">
      <w:pPr>
        <w:ind w:firstLine="567"/>
        <w:jc w:val="both"/>
      </w:pPr>
      <w:r w:rsidRPr="004B1592">
        <w:t xml:space="preserve">Общият размер на събраните </w:t>
      </w:r>
      <w:r w:rsidRPr="004B1592">
        <w:rPr>
          <w:b/>
        </w:rPr>
        <w:t>приходи, помощи и дарения</w:t>
      </w:r>
      <w:r w:rsidRPr="004B1592">
        <w:t xml:space="preserve"> по бюджета на НЗОК </w:t>
      </w:r>
      <w:r w:rsidRPr="005736DB">
        <w:t xml:space="preserve">за първото полугодие на 2026 г. възлиза на </w:t>
      </w:r>
      <w:r w:rsidRPr="005736DB">
        <w:rPr>
          <w:lang w:val="en-US"/>
        </w:rPr>
        <w:t>1 555</w:t>
      </w:r>
      <w:r w:rsidRPr="005736DB">
        <w:t>,</w:t>
      </w:r>
      <w:r w:rsidRPr="005736DB">
        <w:rPr>
          <w:lang w:val="en-US"/>
        </w:rPr>
        <w:t>3</w:t>
      </w:r>
      <w:r w:rsidRPr="005736DB">
        <w:t xml:space="preserve"> млн. евро, което е със 1</w:t>
      </w:r>
      <w:r w:rsidRPr="005736DB">
        <w:rPr>
          <w:lang w:val="en-US"/>
        </w:rPr>
        <w:t>54</w:t>
      </w:r>
      <w:r w:rsidRPr="005736DB">
        <w:t>,1 млн. евро (1</w:t>
      </w:r>
      <w:r w:rsidRPr="005736DB">
        <w:rPr>
          <w:lang w:val="en-US"/>
        </w:rPr>
        <w:t>1</w:t>
      </w:r>
      <w:r w:rsidRPr="005736DB">
        <w:t>,</w:t>
      </w:r>
      <w:r w:rsidRPr="005736DB">
        <w:rPr>
          <w:lang w:val="en-US"/>
        </w:rPr>
        <w:t>0</w:t>
      </w:r>
      <w:r w:rsidRPr="005736DB">
        <w:t xml:space="preserve"> %) повече в </w:t>
      </w:r>
      <w:r w:rsidRPr="005736DB">
        <w:lastRenderedPageBreak/>
        <w:t xml:space="preserve">сравнение със същия </w:t>
      </w:r>
      <w:r w:rsidRPr="0095584C">
        <w:t xml:space="preserve">период на предходната година. </w:t>
      </w:r>
      <w:r w:rsidR="007F2529" w:rsidRPr="0095584C">
        <w:t>Постъпилите средства представляват 4</w:t>
      </w:r>
      <w:r w:rsidR="0095584C" w:rsidRPr="0095584C">
        <w:t>8</w:t>
      </w:r>
      <w:r w:rsidR="007F2529" w:rsidRPr="0095584C">
        <w:t>,5 % от предвидените в Закона за бюджета на Националната здравноосигурителна каса за 202</w:t>
      </w:r>
      <w:r w:rsidR="0095584C" w:rsidRPr="0095584C">
        <w:t>6</w:t>
      </w:r>
      <w:r w:rsidR="007F2529" w:rsidRPr="0095584C">
        <w:t xml:space="preserve"> г. (ЗБНЗОК за 202</w:t>
      </w:r>
      <w:r w:rsidR="0095584C" w:rsidRPr="0095584C">
        <w:t>6</w:t>
      </w:r>
      <w:r w:rsidR="007F2529" w:rsidRPr="0095584C">
        <w:t xml:space="preserve"> г.) приходи.</w:t>
      </w:r>
      <w:r w:rsidR="007F2529">
        <w:rPr>
          <w:lang w:val="en-US"/>
        </w:rPr>
        <w:t xml:space="preserve"> </w:t>
      </w:r>
      <w:r w:rsidRPr="005736DB">
        <w:t xml:space="preserve">Постъпленията от здравноосигурителни вноски са в размер на </w:t>
      </w:r>
      <w:r w:rsidRPr="005736DB">
        <w:rPr>
          <w:lang w:val="en-US"/>
        </w:rPr>
        <w:t>1 547</w:t>
      </w:r>
      <w:r w:rsidRPr="005736DB">
        <w:t>,</w:t>
      </w:r>
      <w:r w:rsidRPr="005736DB">
        <w:rPr>
          <w:lang w:val="en-US"/>
        </w:rPr>
        <w:t>1</w:t>
      </w:r>
      <w:r w:rsidRPr="005736DB">
        <w:t xml:space="preserve"> млн. </w:t>
      </w:r>
      <w:r w:rsidRPr="0095584C">
        <w:t xml:space="preserve">евро, което е </w:t>
      </w:r>
      <w:r w:rsidR="007F2529" w:rsidRPr="0095584C">
        <w:t>4</w:t>
      </w:r>
      <w:r w:rsidR="0095584C" w:rsidRPr="0095584C">
        <w:t>8</w:t>
      </w:r>
      <w:r w:rsidR="007F2529" w:rsidRPr="0095584C">
        <w:t>,</w:t>
      </w:r>
      <w:r w:rsidR="0095584C" w:rsidRPr="0095584C">
        <w:t>5</w:t>
      </w:r>
      <w:r w:rsidR="007F2529" w:rsidRPr="0095584C">
        <w:t xml:space="preserve"> % от предвидените в ЗБНЗОК за 202</w:t>
      </w:r>
      <w:r w:rsidR="0095584C" w:rsidRPr="0095584C">
        <w:t>6</w:t>
      </w:r>
      <w:r w:rsidR="007F2529" w:rsidRPr="0095584C">
        <w:t xml:space="preserve"> г.</w:t>
      </w:r>
      <w:r w:rsidR="007F2529" w:rsidRPr="0095584C">
        <w:rPr>
          <w:lang w:val="en-US"/>
        </w:rPr>
        <w:t xml:space="preserve"> </w:t>
      </w:r>
      <w:r w:rsidR="007F2529" w:rsidRPr="0095584C">
        <w:t xml:space="preserve">и </w:t>
      </w:r>
      <w:r w:rsidRPr="0095584C">
        <w:t>със 1</w:t>
      </w:r>
      <w:r w:rsidRPr="0095584C">
        <w:rPr>
          <w:lang w:val="en-US"/>
        </w:rPr>
        <w:t>54</w:t>
      </w:r>
      <w:r w:rsidRPr="0095584C">
        <w:t>,</w:t>
      </w:r>
      <w:r w:rsidRPr="0095584C">
        <w:rPr>
          <w:lang w:val="en-US"/>
        </w:rPr>
        <w:t>1</w:t>
      </w:r>
      <w:r w:rsidRPr="0095584C">
        <w:t xml:space="preserve"> млн. евро повече спрямо отчетените към 3</w:t>
      </w:r>
      <w:r w:rsidRPr="0095584C">
        <w:rPr>
          <w:lang w:val="en-US"/>
        </w:rPr>
        <w:t>0</w:t>
      </w:r>
      <w:r w:rsidRPr="0095584C">
        <w:t>.0</w:t>
      </w:r>
      <w:r w:rsidRPr="0095584C">
        <w:rPr>
          <w:lang w:val="en-US"/>
        </w:rPr>
        <w:t>6</w:t>
      </w:r>
      <w:r w:rsidRPr="0095584C">
        <w:t>.2025 г. Събраните неданъчни приходи</w:t>
      </w:r>
      <w:r w:rsidRPr="005736DB">
        <w:t xml:space="preserve"> към края на юни 2026 г. са 8,2 млн. евро, като основната част от тях са приходи от глоби, санкции и наказателни лихви. </w:t>
      </w:r>
    </w:p>
    <w:p w14:paraId="27A9EE84" w14:textId="77777777" w:rsidR="00D00E92" w:rsidRPr="00944CA2" w:rsidRDefault="00D00E92" w:rsidP="00D00E92">
      <w:pPr>
        <w:ind w:firstLine="567"/>
        <w:jc w:val="both"/>
      </w:pPr>
      <w:r w:rsidRPr="005736DB">
        <w:t>Полученият трансфер от Министерството на здравеопазването за</w:t>
      </w:r>
      <w:r w:rsidRPr="005736DB">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за дейности за здравно 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и за </w:t>
      </w:r>
      <w:r w:rsidRPr="00944CA2">
        <w:rPr>
          <w:szCs w:val="20"/>
        </w:rPr>
        <w:t>медицински изделия, помощни средства, приспособления и съоръжения за хората с увреждания извън обхвата на задължителното здравно осигуряване</w:t>
      </w:r>
      <w:r w:rsidRPr="00944CA2">
        <w:t xml:space="preserve"> </w:t>
      </w:r>
      <w:r w:rsidRPr="00944CA2">
        <w:rPr>
          <w:szCs w:val="20"/>
        </w:rPr>
        <w:t xml:space="preserve">за отчетния период e в размер на 47,1 </w:t>
      </w:r>
      <w:r w:rsidRPr="00944CA2">
        <w:t>млн. евро.</w:t>
      </w:r>
    </w:p>
    <w:p w14:paraId="3D300104" w14:textId="77777777" w:rsidR="00D00E92" w:rsidRPr="00944CA2" w:rsidRDefault="00D00E92" w:rsidP="00D00E92">
      <w:pPr>
        <w:ind w:firstLine="567"/>
        <w:jc w:val="both"/>
      </w:pPr>
      <w:r w:rsidRPr="00944CA2">
        <w:t xml:space="preserve">Получените трансфери от централния бюджет (вкл. за поети осигурителни вноски) за периода са 912,5 млн. евро. </w:t>
      </w:r>
    </w:p>
    <w:p w14:paraId="75A3BFBB" w14:textId="77777777" w:rsidR="00D00E92" w:rsidRPr="00944CA2" w:rsidRDefault="00D00E92" w:rsidP="00D00E92">
      <w:pPr>
        <w:ind w:firstLine="567"/>
        <w:jc w:val="both"/>
      </w:pPr>
      <w:r w:rsidRPr="00944CA2">
        <w:t xml:space="preserve">Отчетените </w:t>
      </w:r>
      <w:r w:rsidRPr="00944CA2">
        <w:rPr>
          <w:b/>
        </w:rPr>
        <w:t>разходи</w:t>
      </w:r>
      <w:r w:rsidRPr="00944CA2">
        <w:t xml:space="preserve"> към 30.06.2026 г. са в размер на 2 537,9 млн. евро и нарастват със 119,8</w:t>
      </w:r>
      <w:r w:rsidRPr="00944CA2">
        <w:rPr>
          <w:lang w:val="en-US"/>
        </w:rPr>
        <w:t> </w:t>
      </w:r>
      <w:r w:rsidRPr="00944CA2">
        <w:t xml:space="preserve">млн. </w:t>
      </w:r>
      <w:r w:rsidRPr="0095584C">
        <w:t xml:space="preserve">евро (5,0 %) спрямо същия период година. </w:t>
      </w:r>
      <w:r w:rsidR="007F2529" w:rsidRPr="0095584C">
        <w:t>Спрямо годишните разчети извършените разходи представляват 4</w:t>
      </w:r>
      <w:r w:rsidR="0095584C" w:rsidRPr="0095584C">
        <w:t>8</w:t>
      </w:r>
      <w:r w:rsidR="007F2529" w:rsidRPr="0095584C">
        <w:t>,</w:t>
      </w:r>
      <w:r w:rsidR="0095584C" w:rsidRPr="0095584C">
        <w:t>3</w:t>
      </w:r>
      <w:r w:rsidR="007F2529" w:rsidRPr="0095584C">
        <w:t xml:space="preserve"> %.</w:t>
      </w:r>
    </w:p>
    <w:p w14:paraId="25FF5B80" w14:textId="77777777" w:rsidR="00D00E92" w:rsidRPr="00433E60" w:rsidRDefault="00D00E92" w:rsidP="00D00E92">
      <w:pPr>
        <w:ind w:firstLine="567"/>
        <w:jc w:val="both"/>
      </w:pPr>
      <w:r w:rsidRPr="00433E60">
        <w:t>Най-голям относителен дял в общите разходи (97,2 %) заемат здравноосигурителните плащания, които възлизат на 2 467,0 млн. евро. В отделните направления на здравноосигурителни плащания изпълнението на бюджета за първото полугодие на 2026 г. е следното:</w:t>
      </w:r>
    </w:p>
    <w:p w14:paraId="50660D00" w14:textId="77777777" w:rsidR="00D00E92" w:rsidRPr="00D769F9" w:rsidRDefault="00D00E92" w:rsidP="00D00E92">
      <w:pPr>
        <w:numPr>
          <w:ilvl w:val="0"/>
          <w:numId w:val="11"/>
        </w:numPr>
        <w:tabs>
          <w:tab w:val="num" w:pos="0"/>
          <w:tab w:val="left" w:pos="720"/>
          <w:tab w:val="left" w:pos="1134"/>
        </w:tabs>
        <w:spacing w:before="120" w:line="276" w:lineRule="auto"/>
        <w:ind w:hanging="6169"/>
        <w:jc w:val="both"/>
        <w:rPr>
          <w:bCs/>
        </w:rPr>
      </w:pPr>
      <w:r w:rsidRPr="00D769F9">
        <w:rPr>
          <w:b/>
          <w:i/>
        </w:rPr>
        <w:t>първична извънболнична медицинска помощ</w:t>
      </w:r>
      <w:r w:rsidRPr="00D769F9">
        <w:rPr>
          <w:i/>
        </w:rPr>
        <w:t xml:space="preserve"> –</w:t>
      </w:r>
      <w:r w:rsidRPr="00D769F9">
        <w:t xml:space="preserve"> </w:t>
      </w:r>
      <w:r w:rsidRPr="00D769F9">
        <w:rPr>
          <w:lang w:val="en-US"/>
        </w:rPr>
        <w:t>162</w:t>
      </w:r>
      <w:r w:rsidRPr="00D769F9">
        <w:t>,</w:t>
      </w:r>
      <w:r w:rsidRPr="00D769F9">
        <w:rPr>
          <w:lang w:val="en-US"/>
        </w:rPr>
        <w:t>2</w:t>
      </w:r>
      <w:r w:rsidRPr="00D769F9">
        <w:t xml:space="preserve"> млн. евро;</w:t>
      </w:r>
      <w:r w:rsidRPr="00D769F9">
        <w:rPr>
          <w:bCs/>
        </w:rPr>
        <w:t xml:space="preserve"> </w:t>
      </w:r>
    </w:p>
    <w:p w14:paraId="760D881F" w14:textId="77777777" w:rsidR="00D00E92" w:rsidRPr="00D769F9" w:rsidRDefault="00D00E92" w:rsidP="00D00E92">
      <w:pPr>
        <w:numPr>
          <w:ilvl w:val="0"/>
          <w:numId w:val="11"/>
        </w:numPr>
        <w:tabs>
          <w:tab w:val="num" w:pos="0"/>
          <w:tab w:val="left" w:pos="720"/>
          <w:tab w:val="left" w:pos="1134"/>
        </w:tabs>
        <w:spacing w:line="276" w:lineRule="auto"/>
        <w:ind w:hanging="6169"/>
        <w:jc w:val="both"/>
        <w:rPr>
          <w:i/>
        </w:rPr>
      </w:pPr>
      <w:r w:rsidRPr="00D769F9">
        <w:rPr>
          <w:b/>
          <w:i/>
        </w:rPr>
        <w:t xml:space="preserve">специализирана извънболнична медицинска помощ </w:t>
      </w:r>
      <w:r w:rsidRPr="00D769F9">
        <w:t xml:space="preserve"> – </w:t>
      </w:r>
      <w:r w:rsidRPr="00D769F9">
        <w:rPr>
          <w:lang w:val="en-US"/>
        </w:rPr>
        <w:t>165</w:t>
      </w:r>
      <w:r w:rsidRPr="00D769F9">
        <w:t>,</w:t>
      </w:r>
      <w:r w:rsidRPr="00D769F9">
        <w:rPr>
          <w:lang w:val="en-US"/>
        </w:rPr>
        <w:t>4</w:t>
      </w:r>
      <w:r w:rsidRPr="00D769F9">
        <w:t> млн. евро;</w:t>
      </w:r>
    </w:p>
    <w:p w14:paraId="002C0646" w14:textId="77777777" w:rsidR="00D00E92" w:rsidRPr="00D769F9" w:rsidRDefault="00D00E92" w:rsidP="00D00E92">
      <w:pPr>
        <w:numPr>
          <w:ilvl w:val="0"/>
          <w:numId w:val="11"/>
        </w:numPr>
        <w:tabs>
          <w:tab w:val="num" w:pos="0"/>
          <w:tab w:val="left" w:pos="720"/>
          <w:tab w:val="left" w:pos="1134"/>
        </w:tabs>
        <w:spacing w:line="276" w:lineRule="auto"/>
        <w:ind w:hanging="6169"/>
        <w:jc w:val="both"/>
        <w:rPr>
          <w:b/>
        </w:rPr>
      </w:pPr>
      <w:r w:rsidRPr="00D769F9">
        <w:rPr>
          <w:b/>
          <w:i/>
        </w:rPr>
        <w:t xml:space="preserve">дентална помощ </w:t>
      </w:r>
      <w:r w:rsidRPr="00D769F9">
        <w:rPr>
          <w:b/>
        </w:rPr>
        <w:t xml:space="preserve">– </w:t>
      </w:r>
      <w:r w:rsidRPr="00D769F9">
        <w:rPr>
          <w:lang w:val="en-US"/>
        </w:rPr>
        <w:t>120</w:t>
      </w:r>
      <w:r w:rsidRPr="00D769F9">
        <w:t>,9 млн. евро;</w:t>
      </w:r>
    </w:p>
    <w:p w14:paraId="33F96C65" w14:textId="77777777" w:rsidR="00D00E92" w:rsidRPr="00D769F9" w:rsidRDefault="00D00E92" w:rsidP="00D00E92">
      <w:pPr>
        <w:numPr>
          <w:ilvl w:val="0"/>
          <w:numId w:val="11"/>
        </w:numPr>
        <w:tabs>
          <w:tab w:val="num" w:pos="0"/>
          <w:tab w:val="left" w:pos="720"/>
          <w:tab w:val="left" w:pos="1134"/>
        </w:tabs>
        <w:spacing w:line="276" w:lineRule="auto"/>
        <w:ind w:hanging="6169"/>
        <w:jc w:val="both"/>
        <w:rPr>
          <w:b/>
          <w:i/>
        </w:rPr>
      </w:pPr>
      <w:r w:rsidRPr="00D769F9">
        <w:rPr>
          <w:b/>
          <w:i/>
        </w:rPr>
        <w:t xml:space="preserve">медико-диагностична дейност </w:t>
      </w:r>
      <w:r w:rsidRPr="00D769F9">
        <w:rPr>
          <w:b/>
        </w:rPr>
        <w:t xml:space="preserve">– </w:t>
      </w:r>
      <w:r w:rsidRPr="00D769F9">
        <w:rPr>
          <w:lang w:val="en-US"/>
        </w:rPr>
        <w:t>70</w:t>
      </w:r>
      <w:r w:rsidRPr="00D769F9">
        <w:t>,</w:t>
      </w:r>
      <w:r w:rsidRPr="00D769F9">
        <w:rPr>
          <w:lang w:val="en-US"/>
        </w:rPr>
        <w:t>0</w:t>
      </w:r>
      <w:r w:rsidRPr="00D769F9">
        <w:t xml:space="preserve"> млн. евро;</w:t>
      </w:r>
      <w:r w:rsidRPr="00D769F9">
        <w:rPr>
          <w:b/>
          <w:i/>
        </w:rPr>
        <w:t xml:space="preserve"> </w:t>
      </w:r>
    </w:p>
    <w:p w14:paraId="02C024AE" w14:textId="77777777" w:rsidR="00D00E92" w:rsidRPr="00D769F9" w:rsidRDefault="00D00E92" w:rsidP="00D00E92">
      <w:pPr>
        <w:numPr>
          <w:ilvl w:val="0"/>
          <w:numId w:val="11"/>
        </w:numPr>
        <w:tabs>
          <w:tab w:val="num" w:pos="0"/>
          <w:tab w:val="left" w:pos="1134"/>
        </w:tabs>
        <w:spacing w:line="276" w:lineRule="auto"/>
        <w:ind w:left="1134" w:hanging="425"/>
        <w:jc w:val="both"/>
      </w:pPr>
      <w:r w:rsidRPr="00D769F9">
        <w:rPr>
          <w:b/>
          <w:i/>
        </w:rPr>
        <w:t xml:space="preserve">лекарствени продукти, медицински изделия и диетични храни за домашно лечение на територията на страната  </w:t>
      </w:r>
      <w:r w:rsidRPr="00D769F9">
        <w:rPr>
          <w:i/>
        </w:rPr>
        <w:t>-</w:t>
      </w:r>
      <w:r w:rsidRPr="00D769F9">
        <w:rPr>
          <w:b/>
          <w:i/>
        </w:rPr>
        <w:t xml:space="preserve"> </w:t>
      </w:r>
      <w:r w:rsidRPr="00D769F9">
        <w:rPr>
          <w:lang w:val="en-US"/>
        </w:rPr>
        <w:t>423</w:t>
      </w:r>
      <w:r w:rsidRPr="00D769F9">
        <w:t>,</w:t>
      </w:r>
      <w:r w:rsidRPr="00D769F9">
        <w:rPr>
          <w:lang w:val="en-US"/>
        </w:rPr>
        <w:t>7</w:t>
      </w:r>
      <w:r w:rsidRPr="00D769F9">
        <w:t xml:space="preserve"> млн. евро;</w:t>
      </w:r>
    </w:p>
    <w:p w14:paraId="204BDBBD" w14:textId="77777777" w:rsidR="00D00E92" w:rsidRPr="00D769F9" w:rsidRDefault="00D00E92" w:rsidP="00D00E92">
      <w:pPr>
        <w:numPr>
          <w:ilvl w:val="0"/>
          <w:numId w:val="11"/>
        </w:numPr>
        <w:tabs>
          <w:tab w:val="num" w:pos="0"/>
          <w:tab w:val="left" w:pos="1134"/>
          <w:tab w:val="num" w:pos="6096"/>
        </w:tabs>
        <w:spacing w:line="276" w:lineRule="auto"/>
        <w:ind w:left="1134" w:hanging="425"/>
        <w:jc w:val="both"/>
      </w:pPr>
      <w:r w:rsidRPr="00D769F9">
        <w:rPr>
          <w:b/>
          <w:i/>
        </w:rPr>
        <w:t xml:space="preserve"> лекарствени продукти за лечение на злокачествени заболявания в условията на болнична медицинска помощ </w:t>
      </w:r>
      <w:r w:rsidRPr="00D769F9">
        <w:t xml:space="preserve"> – </w:t>
      </w:r>
      <w:r w:rsidRPr="00D769F9">
        <w:rPr>
          <w:lang w:val="en-US"/>
        </w:rPr>
        <w:t>326</w:t>
      </w:r>
      <w:r w:rsidRPr="00D769F9">
        <w:t>,</w:t>
      </w:r>
      <w:r w:rsidRPr="00D769F9">
        <w:rPr>
          <w:lang w:val="en-US"/>
        </w:rPr>
        <w:t>0</w:t>
      </w:r>
      <w:r w:rsidRPr="00D769F9">
        <w:t xml:space="preserve"> млн. евро;</w:t>
      </w:r>
    </w:p>
    <w:p w14:paraId="1939A1CE" w14:textId="77777777" w:rsidR="00D00E92" w:rsidRPr="00D769F9" w:rsidRDefault="00D00E92" w:rsidP="00D00E92">
      <w:pPr>
        <w:numPr>
          <w:ilvl w:val="0"/>
          <w:numId w:val="11"/>
        </w:numPr>
        <w:tabs>
          <w:tab w:val="num" w:pos="0"/>
          <w:tab w:val="left" w:pos="720"/>
          <w:tab w:val="num" w:pos="1134"/>
        </w:tabs>
        <w:spacing w:line="276" w:lineRule="auto"/>
        <w:ind w:left="1134" w:hanging="425"/>
        <w:jc w:val="both"/>
      </w:pPr>
      <w:r w:rsidRPr="00D769F9">
        <w:rPr>
          <w:b/>
          <w:i/>
        </w:rPr>
        <w:t>медицински изделия, прилагани в болничната  помощ –</w:t>
      </w:r>
      <w:r w:rsidRPr="00D769F9">
        <w:t xml:space="preserve"> </w:t>
      </w:r>
      <w:r w:rsidRPr="00D769F9">
        <w:rPr>
          <w:lang w:val="en-US"/>
        </w:rPr>
        <w:t>67</w:t>
      </w:r>
      <w:r w:rsidRPr="00D769F9">
        <w:t>,</w:t>
      </w:r>
      <w:r w:rsidRPr="00D769F9">
        <w:rPr>
          <w:lang w:val="en-US"/>
        </w:rPr>
        <w:t>4</w:t>
      </w:r>
      <w:r w:rsidRPr="00D769F9">
        <w:t xml:space="preserve"> млн. евро;</w:t>
      </w:r>
    </w:p>
    <w:p w14:paraId="53011288" w14:textId="77777777" w:rsidR="00D00E92" w:rsidRPr="00D769F9" w:rsidRDefault="00D00E92" w:rsidP="00D00E92">
      <w:pPr>
        <w:numPr>
          <w:ilvl w:val="0"/>
          <w:numId w:val="11"/>
        </w:numPr>
        <w:tabs>
          <w:tab w:val="num" w:pos="0"/>
          <w:tab w:val="left" w:pos="720"/>
          <w:tab w:val="left" w:pos="1134"/>
        </w:tabs>
        <w:spacing w:line="276" w:lineRule="auto"/>
        <w:ind w:hanging="6169"/>
        <w:jc w:val="both"/>
      </w:pPr>
      <w:r w:rsidRPr="00D769F9">
        <w:rPr>
          <w:b/>
          <w:i/>
        </w:rPr>
        <w:t>болнична медицинска помощ –</w:t>
      </w:r>
      <w:r w:rsidRPr="00D769F9">
        <w:t xml:space="preserve"> </w:t>
      </w:r>
      <w:r w:rsidRPr="00D769F9">
        <w:rPr>
          <w:lang w:val="en-US"/>
        </w:rPr>
        <w:t>1 090</w:t>
      </w:r>
      <w:r w:rsidRPr="00D769F9">
        <w:t>,</w:t>
      </w:r>
      <w:r w:rsidRPr="00D769F9">
        <w:rPr>
          <w:lang w:val="en-US"/>
        </w:rPr>
        <w:t>2</w:t>
      </w:r>
      <w:r w:rsidRPr="00D769F9">
        <w:t xml:space="preserve"> млн. евро;</w:t>
      </w:r>
      <w:r w:rsidRPr="00D769F9">
        <w:tab/>
        <w:t xml:space="preserve"> </w:t>
      </w:r>
    </w:p>
    <w:p w14:paraId="6B30DC2C" w14:textId="77777777" w:rsidR="00D00E92" w:rsidRPr="00D769F9" w:rsidRDefault="00D00E92" w:rsidP="00D00E92">
      <w:pPr>
        <w:numPr>
          <w:ilvl w:val="0"/>
          <w:numId w:val="11"/>
        </w:numPr>
        <w:tabs>
          <w:tab w:val="num" w:pos="0"/>
          <w:tab w:val="left" w:pos="720"/>
          <w:tab w:val="left" w:pos="1134"/>
        </w:tabs>
        <w:spacing w:line="276" w:lineRule="auto"/>
        <w:ind w:hanging="6169"/>
        <w:jc w:val="both"/>
      </w:pPr>
      <w:r w:rsidRPr="00D769F9">
        <w:rPr>
          <w:b/>
          <w:i/>
        </w:rPr>
        <w:t xml:space="preserve">други здравноосигурителни плащания </w:t>
      </w:r>
      <w:r w:rsidRPr="00D769F9">
        <w:t xml:space="preserve">– </w:t>
      </w:r>
      <w:r w:rsidRPr="00D769F9">
        <w:rPr>
          <w:lang w:val="en-US"/>
        </w:rPr>
        <w:t>41</w:t>
      </w:r>
      <w:r w:rsidRPr="00D769F9">
        <w:t>,2 млн. евро.</w:t>
      </w:r>
    </w:p>
    <w:p w14:paraId="4C7B6BFC" w14:textId="77777777" w:rsidR="00D00E92" w:rsidRPr="00D64A6E" w:rsidRDefault="00D00E92" w:rsidP="00D00E92">
      <w:pPr>
        <w:spacing w:before="120"/>
        <w:ind w:firstLine="567"/>
        <w:jc w:val="both"/>
      </w:pPr>
      <w:r w:rsidRPr="00D64A6E">
        <w:t xml:space="preserve">Като здравноосигурителни плащания следва да се третират и предоставените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в размер на </w:t>
      </w:r>
      <w:r w:rsidRPr="00D64A6E">
        <w:rPr>
          <w:lang w:val="en-US"/>
        </w:rPr>
        <w:t>54</w:t>
      </w:r>
      <w:r w:rsidRPr="00D64A6E">
        <w:t>,</w:t>
      </w:r>
      <w:r w:rsidRPr="00D64A6E">
        <w:rPr>
          <w:lang w:val="en-US"/>
        </w:rPr>
        <w:t>6</w:t>
      </w:r>
      <w:r w:rsidRPr="00D64A6E">
        <w:t xml:space="preserve"> млн. евро. Заедно с предоставените трансфери, усвоените средства за здравноосигурителни плащания възлизат на 2 521,7 млн. евро.</w:t>
      </w:r>
    </w:p>
    <w:p w14:paraId="35EA80E2" w14:textId="77777777" w:rsidR="00D00E92" w:rsidRPr="00D64A6E" w:rsidRDefault="00D00E92" w:rsidP="00D00E92">
      <w:pPr>
        <w:ind w:firstLine="567"/>
        <w:jc w:val="both"/>
      </w:pPr>
      <w:r w:rsidRPr="00D64A6E">
        <w:t>За периода са отчетени плащания в размер на 41,6 млн. евро за дейности за здравно неосигурени лица, лекарствени продукти, потребителска такса, медицински изделия за хората с увреждания и за лечение на лица до 18</w:t>
      </w:r>
      <w:r w:rsidRPr="00D64A6E">
        <w:rPr>
          <w:lang w:val="ru-RU"/>
        </w:rPr>
        <w:t>-</w:t>
      </w:r>
      <w:r w:rsidRPr="00D64A6E">
        <w:t>годишна възраст по чл.</w:t>
      </w:r>
      <w:r w:rsidRPr="00D64A6E">
        <w:rPr>
          <w:lang w:val="ru-RU"/>
        </w:rPr>
        <w:t xml:space="preserve"> </w:t>
      </w:r>
      <w:r w:rsidRPr="00D64A6E">
        <w:t>82, ал.</w:t>
      </w:r>
      <w:r w:rsidRPr="00D64A6E">
        <w:rPr>
          <w:lang w:val="ru-RU"/>
        </w:rPr>
        <w:t xml:space="preserve"> </w:t>
      </w:r>
      <w:r w:rsidRPr="00D64A6E">
        <w:t>1а, 3 и 6 от Закона за здравето и на лица над 18</w:t>
      </w:r>
      <w:r w:rsidRPr="00D64A6E">
        <w:rPr>
          <w:lang w:val="ru-RU"/>
        </w:rPr>
        <w:t>-</w:t>
      </w:r>
      <w:r w:rsidRPr="00D64A6E">
        <w:t>годишна възраст по чл.82, ал.1а и 6.</w:t>
      </w:r>
    </w:p>
    <w:p w14:paraId="005F2BE2" w14:textId="77777777" w:rsidR="00D00E92" w:rsidRDefault="00D00E92" w:rsidP="00D00E92">
      <w:pPr>
        <w:ind w:firstLine="567"/>
        <w:jc w:val="both"/>
      </w:pPr>
      <w:r w:rsidRPr="00D64A6E">
        <w:t xml:space="preserve">През първото полугодие на годината са отчетени 28,9 млн. евро за административни разходи на институцията, които включват разходите за персонал, за текуща издръжка и лихвени плащания. Усвоените средства за административни разходи заемат 1,1 на сто в структурата на общите разходи за отчетния период. </w:t>
      </w:r>
      <w:r>
        <w:t>Капиталовите разходи към 30.06.2026 г. са 0,3 млн. лв.</w:t>
      </w:r>
    </w:p>
    <w:p w14:paraId="5E231F0B" w14:textId="624DAAEB" w:rsidR="00603601" w:rsidRDefault="00603601" w:rsidP="00D00E92">
      <w:pPr>
        <w:ind w:firstLine="567"/>
        <w:jc w:val="both"/>
        <w:rPr>
          <w:color w:val="0070C0"/>
        </w:rPr>
      </w:pPr>
    </w:p>
    <w:p w14:paraId="58A2F7A0" w14:textId="0BAC7B79" w:rsidR="006A5C9A" w:rsidRDefault="006A5C9A" w:rsidP="00D00E92">
      <w:pPr>
        <w:ind w:firstLine="567"/>
        <w:jc w:val="both"/>
        <w:rPr>
          <w:color w:val="0070C0"/>
        </w:rPr>
      </w:pPr>
    </w:p>
    <w:p w14:paraId="7309778B" w14:textId="77777777" w:rsidR="006A5C9A" w:rsidRPr="00BC72AC" w:rsidRDefault="006A5C9A" w:rsidP="00D00E92">
      <w:pPr>
        <w:ind w:firstLine="567"/>
        <w:jc w:val="both"/>
        <w:rPr>
          <w:color w:val="0070C0"/>
        </w:rPr>
      </w:pPr>
    </w:p>
    <w:p w14:paraId="046ACDB5" w14:textId="77777777" w:rsidR="00603601" w:rsidRPr="00603601" w:rsidRDefault="00603601" w:rsidP="00E16155">
      <w:pPr>
        <w:keepNext/>
        <w:numPr>
          <w:ilvl w:val="1"/>
          <w:numId w:val="50"/>
        </w:numPr>
        <w:spacing w:before="240" w:after="120" w:line="259" w:lineRule="auto"/>
        <w:ind w:left="499" w:right="-108" w:hanging="357"/>
        <w:jc w:val="both"/>
        <w:outlineLvl w:val="0"/>
        <w:rPr>
          <w:b/>
          <w:bCs/>
        </w:rPr>
      </w:pPr>
      <w:r w:rsidRPr="00603601">
        <w:rPr>
          <w:b/>
          <w:bCs/>
        </w:rPr>
        <w:lastRenderedPageBreak/>
        <w:t>Общински бюджети</w:t>
      </w:r>
    </w:p>
    <w:p w14:paraId="1062390D" w14:textId="77777777" w:rsidR="00603601" w:rsidRPr="00603601" w:rsidRDefault="00603601" w:rsidP="00E16155">
      <w:pPr>
        <w:numPr>
          <w:ilvl w:val="0"/>
          <w:numId w:val="19"/>
        </w:numPr>
        <w:tabs>
          <w:tab w:val="left" w:pos="851"/>
        </w:tabs>
        <w:spacing w:before="120" w:line="276" w:lineRule="auto"/>
        <w:ind w:left="533" w:firstLine="34"/>
        <w:jc w:val="both"/>
        <w:rPr>
          <w:b/>
        </w:rPr>
      </w:pPr>
      <w:r w:rsidRPr="00603601">
        <w:rPr>
          <w:b/>
        </w:rPr>
        <w:t>Приходи</w:t>
      </w:r>
    </w:p>
    <w:p w14:paraId="23336637" w14:textId="77777777" w:rsidR="00603601" w:rsidRPr="00603601" w:rsidRDefault="00603601" w:rsidP="00603601">
      <w:pPr>
        <w:tabs>
          <w:tab w:val="center" w:pos="4153"/>
          <w:tab w:val="right" w:pos="8306"/>
        </w:tabs>
        <w:ind w:firstLine="567"/>
        <w:jc w:val="both"/>
      </w:pPr>
      <w:r w:rsidRPr="00603601">
        <w:rPr>
          <w:b/>
        </w:rPr>
        <w:t>Приходите</w:t>
      </w:r>
      <w:r w:rsidRPr="00603601">
        <w:t xml:space="preserve"> по бюджетите на общините към 30.06.2026 г. са в размер на </w:t>
      </w:r>
      <w:r w:rsidRPr="00603601">
        <w:rPr>
          <w:lang w:val="en-US"/>
        </w:rPr>
        <w:t xml:space="preserve"> 1 213</w:t>
      </w:r>
      <w:r w:rsidRPr="00603601">
        <w:t>,5 млн. евро, което</w:t>
      </w:r>
      <w:r w:rsidRPr="00603601">
        <w:rPr>
          <w:lang w:val="en-US"/>
        </w:rPr>
        <w:t xml:space="preserve"> </w:t>
      </w:r>
      <w:r w:rsidRPr="00603601">
        <w:t>представлява 50,6</w:t>
      </w:r>
      <w:r w:rsidRPr="00603601">
        <w:rPr>
          <w:lang w:val="en-US"/>
        </w:rPr>
        <w:t xml:space="preserve"> % </w:t>
      </w:r>
      <w:r w:rsidRPr="00603601">
        <w:t>от разчетените към ЗДБРБ за 2026 г. постъпления в размер на 2 396,3 и</w:t>
      </w:r>
      <w:r w:rsidRPr="00603601">
        <w:rPr>
          <w:lang w:val="en-US"/>
        </w:rPr>
        <w:t xml:space="preserve"> </w:t>
      </w:r>
      <w:r w:rsidRPr="00603601">
        <w:t xml:space="preserve">с </w:t>
      </w:r>
      <w:r w:rsidRPr="00603601">
        <w:rPr>
          <w:lang w:val="en-US"/>
        </w:rPr>
        <w:t>63,6</w:t>
      </w:r>
      <w:r w:rsidRPr="00603601">
        <w:t xml:space="preserve"> млн. евро</w:t>
      </w:r>
      <w:r w:rsidRPr="00603601">
        <w:rPr>
          <w:lang w:val="ru-RU"/>
        </w:rPr>
        <w:t xml:space="preserve"> </w:t>
      </w:r>
      <w:r w:rsidRPr="00603601">
        <w:t xml:space="preserve">или с </w:t>
      </w:r>
      <w:r w:rsidRPr="00603601">
        <w:rPr>
          <w:lang w:val="en-US"/>
        </w:rPr>
        <w:t>5</w:t>
      </w:r>
      <w:r w:rsidRPr="00603601">
        <w:t xml:space="preserve">,5 %  повече спрямо събраните за същия период на 2025 г. </w:t>
      </w:r>
      <w:r w:rsidRPr="00603601">
        <w:rPr>
          <w:i/>
        </w:rPr>
        <w:t>Данъчните приходи</w:t>
      </w:r>
      <w:r w:rsidRPr="00603601">
        <w:t xml:space="preserve"> по общинските бюджети са в размер на 558,4 млн. евро или </w:t>
      </w:r>
      <w:r w:rsidRPr="00603601">
        <w:rPr>
          <w:lang w:val="en-US"/>
        </w:rPr>
        <w:t xml:space="preserve">54,7 % </w:t>
      </w:r>
      <w:r w:rsidRPr="00603601">
        <w:t xml:space="preserve">от годишните разчети към ЗДБРБ за 2026 г. и с 4,2 % повече спрямо тези за същия период на 2025 г. </w:t>
      </w:r>
      <w:r w:rsidRPr="00603601">
        <w:rPr>
          <w:i/>
        </w:rPr>
        <w:t>Неданъчните приходи</w:t>
      </w:r>
      <w:r w:rsidRPr="00603601">
        <w:t xml:space="preserve"> и </w:t>
      </w:r>
      <w:r w:rsidRPr="00603601">
        <w:rPr>
          <w:i/>
        </w:rPr>
        <w:t>помощите</w:t>
      </w:r>
      <w:r w:rsidRPr="00603601">
        <w:t xml:space="preserve"> към 30.06.2026 г. възлизат на 655,1 млн. евро или с 41,3 млн. евро или 6,7 % повече спрямо същия период на предходната година. От имуществени данъци в общинските бюджети към 30.06.2026 г. са постъпили </w:t>
      </w:r>
      <w:r w:rsidRPr="00603601">
        <w:rPr>
          <w:lang w:val="en-US"/>
        </w:rPr>
        <w:t>55</w:t>
      </w:r>
      <w:r w:rsidRPr="00603601">
        <w:t>3,9 млн. евро, което представлява ръст от 4,2 % спрямо същия период на миналата година. С най-значителен дял в приходите от имуществени данъци е данъкът върху недвижимите имот – 33,7</w:t>
      </w:r>
      <w:r w:rsidRPr="00603601">
        <w:rPr>
          <w:lang w:val="en-US"/>
        </w:rPr>
        <w:t> </w:t>
      </w:r>
      <w:r w:rsidRPr="00603601">
        <w:t xml:space="preserve">%, следван от данъка върху придобиването на имущество по дарения и възмезден начин – 33,0 %, данъка върху превозните средства – 32,2 % и туристическия данък – 1,2 %. Към 30.06.2026 г. по бюджетите на общините са постъпили </w:t>
      </w:r>
      <w:r w:rsidRPr="00603601">
        <w:rPr>
          <w:lang w:val="en-US"/>
        </w:rPr>
        <w:t>4</w:t>
      </w:r>
      <w:r w:rsidRPr="00603601">
        <w:t>,3 млн. евро от патентен данък и данък върху таксиметров превоз на пътници.</w:t>
      </w:r>
    </w:p>
    <w:p w14:paraId="05E51231" w14:textId="2D9E0B37" w:rsidR="00603601" w:rsidRPr="00603601" w:rsidRDefault="00603601" w:rsidP="00603601">
      <w:pPr>
        <w:tabs>
          <w:tab w:val="center" w:pos="4153"/>
          <w:tab w:val="right" w:pos="8306"/>
        </w:tabs>
        <w:ind w:firstLine="567"/>
        <w:jc w:val="both"/>
      </w:pPr>
      <w:r w:rsidRPr="00603601">
        <w:t>Общият размер на неданъчните приходи, постъпили по местните бюджети към 30.06.2026</w:t>
      </w:r>
      <w:r w:rsidR="00ED7E9D">
        <w:t> </w:t>
      </w:r>
      <w:r w:rsidRPr="00603601">
        <w:t xml:space="preserve">г., е </w:t>
      </w:r>
      <w:r w:rsidRPr="00603601">
        <w:rPr>
          <w:lang w:val="en-US"/>
        </w:rPr>
        <w:t>648</w:t>
      </w:r>
      <w:r w:rsidRPr="00603601">
        <w:t>,4 млн. евро. Най-голям относителен дял в неданъчните приходи в общинските бюджети заемат приходите от общински такси (</w:t>
      </w:r>
      <w:r w:rsidRPr="00603601">
        <w:rPr>
          <w:lang w:val="en-US"/>
        </w:rPr>
        <w:t>450</w:t>
      </w:r>
      <w:r w:rsidRPr="00603601">
        <w:t>,6 млн. евро) или 69,5 %, следват приходите и доходите от собственост (</w:t>
      </w:r>
      <w:r w:rsidRPr="00603601">
        <w:rPr>
          <w:lang w:val="en-US"/>
        </w:rPr>
        <w:t>11</w:t>
      </w:r>
      <w:r w:rsidRPr="00603601">
        <w:t xml:space="preserve">1,4 млн. евро) – 17,2 %, постъпленията от продажба на нефинансови активи (48,6 млн. евро) – 7,5 %, </w:t>
      </w:r>
      <w:r w:rsidR="00ED366E" w:rsidRPr="00603601">
        <w:t>постъпленията от глоби, санкции и наказателни лихви (</w:t>
      </w:r>
      <w:r w:rsidR="00ED366E">
        <w:rPr>
          <w:lang w:val="en-US"/>
        </w:rPr>
        <w:t>26</w:t>
      </w:r>
      <w:r w:rsidR="00ED366E" w:rsidRPr="00603601">
        <w:t>,</w:t>
      </w:r>
      <w:r w:rsidR="00ED366E">
        <w:rPr>
          <w:lang w:val="en-US"/>
        </w:rPr>
        <w:t>3</w:t>
      </w:r>
      <w:r w:rsidR="00ED366E" w:rsidRPr="00603601">
        <w:t xml:space="preserve"> млн. евро) – 4,</w:t>
      </w:r>
      <w:r w:rsidR="00ED366E">
        <w:rPr>
          <w:lang w:val="en-US"/>
        </w:rPr>
        <w:t>1</w:t>
      </w:r>
      <w:r w:rsidR="00ED366E" w:rsidRPr="00603601">
        <w:t xml:space="preserve"> %</w:t>
      </w:r>
      <w:r w:rsidR="00ED366E">
        <w:rPr>
          <w:lang w:val="en-US"/>
        </w:rPr>
        <w:t>,</w:t>
      </w:r>
      <w:r w:rsidR="00ED366E" w:rsidRPr="00603601">
        <w:t xml:space="preserve"> </w:t>
      </w:r>
      <w:r w:rsidRPr="00603601">
        <w:t>приходите от ко</w:t>
      </w:r>
      <w:r w:rsidR="00ED366E">
        <w:t>нцесии (22,3 млн. евро) – 3,4 %</w:t>
      </w:r>
      <w:r w:rsidRPr="00603601">
        <w:t xml:space="preserve"> и други неданъчни приходи (7,4 млн. евро) – 1,1 %. Съпоставени със същия период на предходната 2025 г.</w:t>
      </w:r>
      <w:r w:rsidR="00ED366E">
        <w:t>,</w:t>
      </w:r>
      <w:r w:rsidRPr="00603601">
        <w:t xml:space="preserve"> постъпленията от неданъчни приходи са с </w:t>
      </w:r>
      <w:r w:rsidR="00ED366E">
        <w:t>30</w:t>
      </w:r>
      <w:r w:rsidRPr="00603601">
        <w:t>,</w:t>
      </w:r>
      <w:r w:rsidR="00ED366E">
        <w:t>2</w:t>
      </w:r>
      <w:r w:rsidRPr="00603601">
        <w:t xml:space="preserve"> млн. евро повече, като се наблюдава ръст във всички неданъчни приходи. </w:t>
      </w:r>
    </w:p>
    <w:p w14:paraId="3FF79CD8" w14:textId="77777777" w:rsidR="00603601" w:rsidRDefault="00603601" w:rsidP="00603601">
      <w:pPr>
        <w:tabs>
          <w:tab w:val="center" w:pos="4153"/>
          <w:tab w:val="right" w:pos="8306"/>
        </w:tabs>
        <w:ind w:firstLine="567"/>
        <w:jc w:val="both"/>
        <w:rPr>
          <w:lang w:val="en-US"/>
        </w:rPr>
      </w:pPr>
      <w:r w:rsidRPr="00603601">
        <w:t>Към 30.06.2026 г. по общинските бюджети са постъпили 6,7 млн. евро приходи от помощи и дарения</w:t>
      </w:r>
      <w:r w:rsidRPr="00603601">
        <w:rPr>
          <w:lang w:val="en-US"/>
        </w:rPr>
        <w:t>.</w:t>
      </w:r>
    </w:p>
    <w:p w14:paraId="1D2EF394" w14:textId="77777777" w:rsidR="00603601" w:rsidRPr="00603601" w:rsidRDefault="00603601" w:rsidP="00347A50">
      <w:pPr>
        <w:numPr>
          <w:ilvl w:val="0"/>
          <w:numId w:val="19"/>
        </w:numPr>
        <w:tabs>
          <w:tab w:val="left" w:pos="851"/>
        </w:tabs>
        <w:spacing w:before="240" w:line="276" w:lineRule="auto"/>
        <w:ind w:left="533" w:firstLine="34"/>
        <w:jc w:val="both"/>
        <w:rPr>
          <w:b/>
        </w:rPr>
      </w:pPr>
      <w:r w:rsidRPr="00603601">
        <w:rPr>
          <w:b/>
        </w:rPr>
        <w:t>Разходи</w:t>
      </w:r>
    </w:p>
    <w:p w14:paraId="2D434278" w14:textId="77777777" w:rsidR="00603601" w:rsidRPr="00603601" w:rsidRDefault="00603601" w:rsidP="00603601">
      <w:pPr>
        <w:ind w:firstLine="533"/>
        <w:jc w:val="both"/>
        <w:rPr>
          <w:color w:val="0070C0"/>
        </w:rPr>
      </w:pPr>
      <w:r w:rsidRPr="00603601">
        <w:t xml:space="preserve">Към 30.06.2026 г. общините са отчели общо </w:t>
      </w:r>
      <w:r w:rsidRPr="00603601">
        <w:rPr>
          <w:b/>
        </w:rPr>
        <w:t>разходи</w:t>
      </w:r>
      <w:r w:rsidRPr="00603601">
        <w:t xml:space="preserve"> в размер на </w:t>
      </w:r>
      <w:r w:rsidRPr="00603601">
        <w:rPr>
          <w:lang w:val="en-US"/>
        </w:rPr>
        <w:t>4</w:t>
      </w:r>
      <w:r w:rsidRPr="00603601">
        <w:t> </w:t>
      </w:r>
      <w:r w:rsidRPr="00603601">
        <w:rPr>
          <w:lang w:val="en-US"/>
        </w:rPr>
        <w:t>229</w:t>
      </w:r>
      <w:r w:rsidRPr="00603601">
        <w:t>,</w:t>
      </w:r>
      <w:r w:rsidRPr="00603601">
        <w:rPr>
          <w:lang w:val="ru-RU"/>
        </w:rPr>
        <w:t xml:space="preserve">2 </w:t>
      </w:r>
      <w:r w:rsidRPr="00603601">
        <w:t>млн. евро, включително за сметка на предоставени допълнителни трансфери главно от държавния бюджет</w:t>
      </w:r>
      <w:r w:rsidRPr="00603601">
        <w:rPr>
          <w:lang w:val="en-US"/>
        </w:rPr>
        <w:t xml:space="preserve"> </w:t>
      </w:r>
      <w:r w:rsidRPr="00603601">
        <w:t>и представляват 61,5 % от разчетите по ЗДБРБ за 2026 г. и със 22,5</w:t>
      </w:r>
      <w:r w:rsidR="00435C51">
        <w:t xml:space="preserve"> </w:t>
      </w:r>
      <w:r w:rsidRPr="00603601">
        <w:t xml:space="preserve">% </w:t>
      </w:r>
      <w:r w:rsidRPr="00603601">
        <w:rPr>
          <w:lang w:val="en-US"/>
        </w:rPr>
        <w:t xml:space="preserve">(776,1 </w:t>
      </w:r>
      <w:r w:rsidRPr="00603601">
        <w:t>млн. евро повече спрямо същия период на миналата година</w:t>
      </w:r>
      <w:r w:rsidRPr="00603601">
        <w:rPr>
          <w:lang w:val="ru-RU"/>
        </w:rPr>
        <w:t xml:space="preserve">. </w:t>
      </w:r>
      <w:r w:rsidRPr="00603601">
        <w:rPr>
          <w:i/>
        </w:rPr>
        <w:t>Нелихвените разходи</w:t>
      </w:r>
      <w:r w:rsidRPr="00603601">
        <w:t xml:space="preserve"> възлизат на </w:t>
      </w:r>
      <w:r w:rsidRPr="00603601">
        <w:rPr>
          <w:lang w:val="en-US" w:eastAsia="bg-BG"/>
        </w:rPr>
        <w:t>4</w:t>
      </w:r>
      <w:r w:rsidRPr="00603601">
        <w:rPr>
          <w:lang w:val="ru-RU" w:eastAsia="bg-BG"/>
        </w:rPr>
        <w:t xml:space="preserve"> </w:t>
      </w:r>
      <w:r w:rsidRPr="00603601">
        <w:rPr>
          <w:lang w:val="en-US" w:eastAsia="bg-BG"/>
        </w:rPr>
        <w:t>215</w:t>
      </w:r>
      <w:r w:rsidRPr="00603601">
        <w:rPr>
          <w:lang w:eastAsia="bg-BG"/>
        </w:rPr>
        <w:t>,0</w:t>
      </w:r>
      <w:r w:rsidRPr="00603601">
        <w:rPr>
          <w:lang w:val="ru-RU" w:eastAsia="bg-BG"/>
        </w:rPr>
        <w:t xml:space="preserve"> </w:t>
      </w:r>
      <w:r w:rsidRPr="00603601">
        <w:t>млн. евро.</w:t>
      </w:r>
      <w:r w:rsidRPr="00603601">
        <w:rPr>
          <w:lang w:val="ru-RU"/>
        </w:rPr>
        <w:t xml:space="preserve"> С най-голям относителен дял са</w:t>
      </w:r>
      <w:r w:rsidRPr="00603601">
        <w:t xml:space="preserve"> разходите за персонал (</w:t>
      </w:r>
      <w:r w:rsidRPr="00603601">
        <w:rPr>
          <w:bCs/>
        </w:rPr>
        <w:t>заплати и възнаграждения, други възнаграждения и плащания за персонала и осигурителни вноски), които</w:t>
      </w:r>
      <w:r w:rsidRPr="00603601">
        <w:t xml:space="preserve"> са в размер на </w:t>
      </w:r>
      <w:r w:rsidRPr="00603601">
        <w:rPr>
          <w:lang w:val="en-US"/>
        </w:rPr>
        <w:t>2</w:t>
      </w:r>
      <w:r w:rsidRPr="00603601">
        <w:t> </w:t>
      </w:r>
      <w:r w:rsidRPr="00603601">
        <w:rPr>
          <w:lang w:val="en-US"/>
        </w:rPr>
        <w:t>459</w:t>
      </w:r>
      <w:r w:rsidRPr="00603601">
        <w:t>,</w:t>
      </w:r>
      <w:r w:rsidRPr="00603601">
        <w:rPr>
          <w:lang w:val="ru-RU"/>
        </w:rPr>
        <w:t>7</w:t>
      </w:r>
      <w:r w:rsidRPr="00603601">
        <w:rPr>
          <w:lang w:val="en-US"/>
        </w:rPr>
        <w:t> </w:t>
      </w:r>
      <w:r w:rsidRPr="00603601">
        <w:t xml:space="preserve">млн. евро – </w:t>
      </w:r>
      <w:r w:rsidRPr="00603601">
        <w:rPr>
          <w:lang w:val="ru-RU"/>
        </w:rPr>
        <w:t>5</w:t>
      </w:r>
      <w:r w:rsidRPr="00603601">
        <w:rPr>
          <w:lang w:val="en-US"/>
        </w:rPr>
        <w:t>8</w:t>
      </w:r>
      <w:r w:rsidRPr="00603601">
        <w:t>,</w:t>
      </w:r>
      <w:r w:rsidR="00435C51">
        <w:t>2</w:t>
      </w:r>
      <w:r w:rsidRPr="00603601">
        <w:t xml:space="preserve"> %, следвани от  разходите за издръжка </w:t>
      </w:r>
      <w:r w:rsidRPr="00603601">
        <w:rPr>
          <w:bCs/>
        </w:rPr>
        <w:t>(вкл. разходи за членски внос и участие в нетърговски организации и дейности, платени данъци, такси и административни санкции), които</w:t>
      </w:r>
      <w:r w:rsidRPr="00603601">
        <w:t xml:space="preserve"> са в размер на</w:t>
      </w:r>
      <w:r w:rsidRPr="00603601">
        <w:rPr>
          <w:lang w:val="ru-RU"/>
        </w:rPr>
        <w:t xml:space="preserve">  </w:t>
      </w:r>
      <w:r w:rsidRPr="00603601">
        <w:rPr>
          <w:lang w:val="en-US"/>
        </w:rPr>
        <w:t>808</w:t>
      </w:r>
      <w:r w:rsidRPr="00603601">
        <w:t xml:space="preserve">,1 млн. евро – </w:t>
      </w:r>
      <w:r w:rsidRPr="00603601">
        <w:rPr>
          <w:lang w:val="en-US"/>
        </w:rPr>
        <w:t>19</w:t>
      </w:r>
      <w:r w:rsidRPr="00603601">
        <w:t>,</w:t>
      </w:r>
      <w:r w:rsidR="00435C51">
        <w:t>1</w:t>
      </w:r>
      <w:r w:rsidRPr="00603601">
        <w:rPr>
          <w:lang w:val="en-US"/>
        </w:rPr>
        <w:t> </w:t>
      </w:r>
      <w:r w:rsidRPr="00603601">
        <w:t xml:space="preserve">%. Разходите за субсидии възлизат на </w:t>
      </w:r>
      <w:r w:rsidRPr="00603601">
        <w:rPr>
          <w:lang w:val="en-US"/>
        </w:rPr>
        <w:t>228</w:t>
      </w:r>
      <w:r w:rsidRPr="00603601">
        <w:rPr>
          <w:lang w:val="ru-RU"/>
        </w:rPr>
        <w:t>,</w:t>
      </w:r>
      <w:r w:rsidRPr="00603601">
        <w:t>8</w:t>
      </w:r>
      <w:r w:rsidRPr="00603601">
        <w:rPr>
          <w:lang w:val="en-US"/>
        </w:rPr>
        <w:t> </w:t>
      </w:r>
      <w:r w:rsidRPr="00603601">
        <w:t>млн. евро</w:t>
      </w:r>
      <w:r w:rsidRPr="00603601">
        <w:rPr>
          <w:lang w:val="en-US"/>
        </w:rPr>
        <w:t>.</w:t>
      </w:r>
      <w:r w:rsidRPr="00603601">
        <w:t xml:space="preserve"> </w:t>
      </w:r>
      <w:r w:rsidRPr="00603601">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603601">
        <w:rPr>
          <w:lang w:val="ru-RU" w:eastAsia="bg-BG"/>
        </w:rPr>
        <w:t xml:space="preserve"> (</w:t>
      </w:r>
      <w:r w:rsidRPr="00603601">
        <w:rPr>
          <w:lang w:eastAsia="bg-BG"/>
        </w:rPr>
        <w:t>отчитат се в местните дейности</w:t>
      </w:r>
      <w:r w:rsidRPr="00603601">
        <w:rPr>
          <w:lang w:val="ru-RU" w:eastAsia="bg-BG"/>
        </w:rPr>
        <w:t>)</w:t>
      </w:r>
      <w:r w:rsidRPr="00603601">
        <w:rPr>
          <w:lang w:eastAsia="bg-BG"/>
        </w:rPr>
        <w:t>.</w:t>
      </w:r>
      <w:r w:rsidRPr="00603601">
        <w:t xml:space="preserve"> </w:t>
      </w:r>
      <w:r w:rsidRPr="00603601">
        <w:rPr>
          <w:bCs/>
        </w:rPr>
        <w:t>Социалните разходи (</w:t>
      </w:r>
      <w:r w:rsidRPr="00603601">
        <w:t xml:space="preserve">текущи трансфери, обезщетения и помощи за домакинствата, </w:t>
      </w:r>
      <w:r w:rsidRPr="00603601">
        <w:rPr>
          <w:bCs/>
        </w:rPr>
        <w:t>вкл. разходите за стипендии)</w:t>
      </w:r>
      <w:r w:rsidRPr="00603601">
        <w:t xml:space="preserve"> са в размер на </w:t>
      </w:r>
      <w:r w:rsidRPr="00603601">
        <w:rPr>
          <w:lang w:val="en-US"/>
        </w:rPr>
        <w:t>92</w:t>
      </w:r>
      <w:r w:rsidRPr="00603601">
        <w:t>,0 млн. евро.</w:t>
      </w:r>
    </w:p>
    <w:p w14:paraId="0859B6EF" w14:textId="77777777" w:rsidR="00603601" w:rsidRPr="00603601" w:rsidRDefault="00603601" w:rsidP="00603601">
      <w:pPr>
        <w:tabs>
          <w:tab w:val="center" w:pos="4153"/>
          <w:tab w:val="right" w:pos="8306"/>
        </w:tabs>
        <w:ind w:firstLine="567"/>
        <w:jc w:val="both"/>
        <w:rPr>
          <w:color w:val="0070C0"/>
        </w:rPr>
      </w:pPr>
      <w:r w:rsidRPr="00603601">
        <w:t xml:space="preserve">Отчетените капиталови разходи са в размер на </w:t>
      </w:r>
      <w:r w:rsidRPr="00603601">
        <w:rPr>
          <w:lang w:val="en-US"/>
        </w:rPr>
        <w:t>626</w:t>
      </w:r>
      <w:r w:rsidRPr="00603601">
        <w:t>,4 млн. евро и в сравнение със същия период на 2025 г. са с 326,9 млн. евро повече. В общия размер на капиталовите разходи най-съществен дял – 55,3 %, заемат разходите за основен ремонт  – 364,3 млн. евро и за придобиване на ДМА – 40,2 % дял или 251,5 млн. евро.</w:t>
      </w:r>
    </w:p>
    <w:p w14:paraId="74CBB148" w14:textId="202C291F" w:rsidR="00603601" w:rsidRPr="00603601" w:rsidRDefault="00603601" w:rsidP="00603601">
      <w:pPr>
        <w:tabs>
          <w:tab w:val="center" w:pos="4153"/>
          <w:tab w:val="right" w:pos="8306"/>
        </w:tabs>
        <w:ind w:firstLine="567"/>
        <w:jc w:val="both"/>
        <w:rPr>
          <w:rFonts w:eastAsia="Calibri"/>
          <w:color w:val="0070C0"/>
          <w:sz w:val="8"/>
        </w:rPr>
      </w:pPr>
      <w:r w:rsidRPr="00603601">
        <w:rPr>
          <w:i/>
        </w:rPr>
        <w:t xml:space="preserve">Разходите за лихви </w:t>
      </w:r>
      <w:r w:rsidRPr="00603601">
        <w:t>към</w:t>
      </w:r>
      <w:r w:rsidRPr="00603601">
        <w:rPr>
          <w:i/>
        </w:rPr>
        <w:t xml:space="preserve"> </w:t>
      </w:r>
      <w:r w:rsidRPr="00603601">
        <w:t xml:space="preserve">30.06.2026 г. възлизат на </w:t>
      </w:r>
      <w:r w:rsidRPr="00603601">
        <w:rPr>
          <w:lang w:val="ru-RU"/>
        </w:rPr>
        <w:t>14</w:t>
      </w:r>
      <w:r w:rsidR="0001718F">
        <w:t>,2 млн. евро, като към</w:t>
      </w:r>
      <w:r w:rsidRPr="00603601">
        <w:t xml:space="preserve"> същия период на 2025</w:t>
      </w:r>
      <w:r w:rsidR="00B31ECA">
        <w:t> </w:t>
      </w:r>
      <w:r w:rsidRPr="00603601">
        <w:t>г. те са били 13,2 млн. евро</w:t>
      </w:r>
      <w:r w:rsidR="002C2B6D">
        <w:t>. Увеличението към първото</w:t>
      </w:r>
      <w:r w:rsidRPr="00603601">
        <w:t xml:space="preserve"> </w:t>
      </w:r>
      <w:r w:rsidR="002C2B6D">
        <w:t>полугодие</w:t>
      </w:r>
      <w:r w:rsidRPr="00603601">
        <w:t xml:space="preserve"> на 2026 г. спрямо същия период на 2025 г. се дължи на нарастването на размера на лихвените плащания по заеми от </w:t>
      </w:r>
      <w:r w:rsidRPr="00603601">
        <w:rPr>
          <w:i/>
        </w:rPr>
        <w:t xml:space="preserve">чужбина, </w:t>
      </w:r>
      <w:r w:rsidRPr="00603601">
        <w:t>които за 2026 г. са отчетени в размер на 6,6 млн. евро (с 1,2 млн. евро повече в сравнение със същия период на миналата година). По облигационните заеми платените лихви от общините са 0,2 млн. евро</w:t>
      </w:r>
      <w:r w:rsidR="00435C51">
        <w:t>, което е</w:t>
      </w:r>
      <w:r w:rsidRPr="00603601">
        <w:t xml:space="preserve"> с 0,2  млн. евро по-малко спрямо същия период на предходната година. </w:t>
      </w:r>
      <w:r w:rsidRPr="00603601">
        <w:lastRenderedPageBreak/>
        <w:t>По заеми към местни лица от страната (заеми от банки, заеми от „ФЛАГ“ ЕАД и др. местни лица) отчетените от общините разходи за лихви са 6,2 млн. евро, като техният размер е почти непроменен спрямо същия период на 2025 г. Отчетените лихвени разходи по задължения, представляващи форми на общински дълг (лихви по финансов лизинг и търговски кредити), са в размер на 0,07 млн. евро, а отчетените платени лихви по заеми, предоставени от централния бюджет и бюджетни организации са 0,2 млн. евро</w:t>
      </w:r>
      <w:r w:rsidR="002C2B6D">
        <w:t>.</w:t>
      </w:r>
      <w:r w:rsidRPr="00603601">
        <w:t xml:space="preserve"> Общините отчитат и други разходи за лихви към местни лица в размер на 0,8 млн. евро.</w:t>
      </w:r>
    </w:p>
    <w:p w14:paraId="455D1BC8" w14:textId="77777777" w:rsidR="00603601" w:rsidRPr="00603601" w:rsidRDefault="00603601" w:rsidP="00F13C51">
      <w:pPr>
        <w:numPr>
          <w:ilvl w:val="0"/>
          <w:numId w:val="19"/>
        </w:numPr>
        <w:tabs>
          <w:tab w:val="left" w:pos="851"/>
        </w:tabs>
        <w:spacing w:before="240" w:line="276" w:lineRule="auto"/>
        <w:ind w:left="533" w:firstLine="34"/>
        <w:jc w:val="both"/>
        <w:rPr>
          <w:b/>
        </w:rPr>
      </w:pPr>
      <w:r w:rsidRPr="00603601">
        <w:rPr>
          <w:b/>
        </w:rPr>
        <w:t>Финансиране</w:t>
      </w:r>
    </w:p>
    <w:p w14:paraId="1FFF8E9E" w14:textId="77777777" w:rsidR="00603601" w:rsidRPr="00603601" w:rsidRDefault="00603601" w:rsidP="00603601">
      <w:pPr>
        <w:ind w:firstLine="567"/>
        <w:jc w:val="both"/>
        <w:rPr>
          <w:noProof/>
        </w:rPr>
      </w:pPr>
      <w:r w:rsidRPr="00603601">
        <w:rPr>
          <w:noProof/>
        </w:rPr>
        <w:t>Към 30.06.2026 г. по общинските бюджети от договори с чуждестранни кредитори са получени заемни средства в размер на 51,8 млн.евро. Средствата са по бюджетите на Столична община (50 млн.евро) и община Бургас (1,8 млн.евро) за финансиране на проекти за разширяване на столичното метрото и за изграждане на детска многопрофилна болница в гр.</w:t>
      </w:r>
      <w:r w:rsidR="00CD2325">
        <w:rPr>
          <w:noProof/>
        </w:rPr>
        <w:t xml:space="preserve"> </w:t>
      </w:r>
      <w:r w:rsidRPr="00603601">
        <w:rPr>
          <w:noProof/>
        </w:rPr>
        <w:t xml:space="preserve">Бургас. Изплатените главници от общинските бюджети по външните заеми от началото на годината до 30.06.2026 г. са в размер на 11,5 млн. евро  – основно от Столична община. </w:t>
      </w:r>
    </w:p>
    <w:p w14:paraId="2A0EF766" w14:textId="77777777" w:rsidR="00603601" w:rsidRPr="00603601" w:rsidRDefault="00603601" w:rsidP="00603601">
      <w:pPr>
        <w:ind w:firstLine="567"/>
        <w:jc w:val="both"/>
        <w:rPr>
          <w:noProof/>
        </w:rPr>
      </w:pPr>
      <w:r w:rsidRPr="00603601">
        <w:rPr>
          <w:noProof/>
        </w:rPr>
        <w:t xml:space="preserve">Към края на юни 2026 г. получените заемни средства от банки в страната, отчетени по общинските бюджети, са в размер на 401,1 млн. евро (основно заеми от ББР), а от други местни лица са 59,6 млн. евро (основно от „ФЛАГ“ ЕАД) или общо получените заемни средства от лица в страната са 460,7 млн. евро. Изплатените от общините главници по банкови заеми от страната са отчетени в размер на 26,4 млн. евро. Погасените главници по заеми от др. лица от страната са 38,9 млн. евро, в т.ч. 34,9 млн. евро към „ФЛАГ“ ЕАД, а останалите са по заеми към Фонд „Енергийна ефективност и възобновяеми източници“ и към други кредитори по договори за заеми по финансов инструмент, управляван от Фонд </w:t>
      </w:r>
      <w:r w:rsidR="00E160F7">
        <w:rPr>
          <w:noProof/>
        </w:rPr>
        <w:t>„</w:t>
      </w:r>
      <w:r w:rsidRPr="00603601">
        <w:rPr>
          <w:noProof/>
        </w:rPr>
        <w:t xml:space="preserve">Мениджър на финансови инструменти в България“ ЕАД. Общият размер на погашенията за периода по заемите от страната (65,3 млн. евро) е по-малък от получените заемни средства за същия период, поради което нетният размер на операциите по тези заеми за полугодието за 2026 г. е положителен (395,4 млн. евро). </w:t>
      </w:r>
    </w:p>
    <w:p w14:paraId="1B35E025" w14:textId="77777777" w:rsidR="00603601" w:rsidRPr="00603601" w:rsidRDefault="00603601" w:rsidP="00603601">
      <w:pPr>
        <w:ind w:firstLine="567"/>
        <w:jc w:val="both"/>
        <w:rPr>
          <w:noProof/>
        </w:rPr>
      </w:pPr>
      <w:r w:rsidRPr="00603601">
        <w:rPr>
          <w:noProof/>
        </w:rPr>
        <w:t xml:space="preserve">Погашенията за периода по емитирани през предходни периоди общински ценни книжа са отчетени в размер на 1,5 млн. евро от 5 общини. </w:t>
      </w:r>
    </w:p>
    <w:p w14:paraId="7CE4A7FB" w14:textId="77777777" w:rsidR="00603601" w:rsidRPr="00603601" w:rsidRDefault="00603601" w:rsidP="00603601">
      <w:pPr>
        <w:ind w:firstLine="567"/>
        <w:jc w:val="both"/>
        <w:rPr>
          <w:noProof/>
        </w:rPr>
      </w:pPr>
      <w:r w:rsidRPr="00603601">
        <w:rPr>
          <w:noProof/>
        </w:rPr>
        <w:t xml:space="preserve">За отчетния период няма емитиран нов общински дълг. </w:t>
      </w:r>
    </w:p>
    <w:p w14:paraId="6B0D3F64" w14:textId="48C2CCBA" w:rsidR="00603601" w:rsidRPr="00603601" w:rsidRDefault="00603601" w:rsidP="00603601">
      <w:pPr>
        <w:ind w:firstLine="567"/>
        <w:jc w:val="both"/>
        <w:rPr>
          <w:noProof/>
        </w:rPr>
      </w:pPr>
      <w:r w:rsidRPr="00603601">
        <w:rPr>
          <w:noProof/>
        </w:rPr>
        <w:t>Другото финансиране /нето/ по общинските бюджети към 30.06.2026 г. е (-3,8) млн. евро,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0,2 млн. евро (1,0 млн. евро задължения и 0,8</w:t>
      </w:r>
      <w:r w:rsidR="004A05E1">
        <w:rPr>
          <w:noProof/>
        </w:rPr>
        <w:t> </w:t>
      </w:r>
      <w:r w:rsidRPr="00603601">
        <w:rPr>
          <w:noProof/>
        </w:rPr>
        <w:t>млн. евро погашения).</w:t>
      </w:r>
    </w:p>
    <w:p w14:paraId="7645DF3A" w14:textId="77777777" w:rsidR="00603601" w:rsidRPr="00603601" w:rsidRDefault="00603601" w:rsidP="00603601">
      <w:pPr>
        <w:ind w:firstLine="567"/>
        <w:jc w:val="both"/>
        <w:rPr>
          <w:noProof/>
        </w:rPr>
      </w:pPr>
      <w:r w:rsidRPr="00603601">
        <w:rPr>
          <w:noProof/>
        </w:rPr>
        <w:t>Нетният размер на събраните средства и извършени плащания от общините за сметка на други бюджети, сметки и фондове е положителен и е в размер на 10,3 млн. евро.</w:t>
      </w:r>
    </w:p>
    <w:p w14:paraId="7191B6AB" w14:textId="77777777" w:rsidR="00603601" w:rsidRPr="00603601" w:rsidRDefault="00603601" w:rsidP="00603601">
      <w:pPr>
        <w:ind w:firstLine="567"/>
        <w:jc w:val="both"/>
        <w:rPr>
          <w:noProof/>
        </w:rPr>
      </w:pPr>
      <w:r w:rsidRPr="00603601">
        <w:rPr>
          <w:noProof/>
        </w:rPr>
        <w:t>Към 30.06.2026 г. отчетеният от общините нетен размер на операциите по придобиване на дялове, акции и съучастия е в размер на (-0,3) млн. евро, а нетният размер на пред</w:t>
      </w:r>
      <w:r w:rsidR="009F2A92">
        <w:rPr>
          <w:noProof/>
        </w:rPr>
        <w:t>с</w:t>
      </w:r>
      <w:r w:rsidRPr="00603601">
        <w:rPr>
          <w:noProof/>
        </w:rPr>
        <w:t xml:space="preserve">тавените кредити е (-21,2 млн. евро). </w:t>
      </w:r>
    </w:p>
    <w:p w14:paraId="7E19AF09" w14:textId="77777777" w:rsidR="00603601" w:rsidRPr="00603601" w:rsidRDefault="00603601" w:rsidP="00603601">
      <w:pPr>
        <w:ind w:firstLine="567"/>
        <w:jc w:val="both"/>
        <w:rPr>
          <w:noProof/>
        </w:rPr>
      </w:pPr>
      <w:r w:rsidRPr="00603601">
        <w:rPr>
          <w:noProof/>
        </w:rPr>
        <w:t>Средства по общинските бюджети от приватизация на дялове, акции и участия за периода са отчетени в размер на 0,05 млн. евро.</w:t>
      </w:r>
    </w:p>
    <w:p w14:paraId="3A5CE248" w14:textId="77777777" w:rsidR="00603601" w:rsidRPr="00603601" w:rsidRDefault="00603601" w:rsidP="00603601">
      <w:pPr>
        <w:ind w:firstLine="567"/>
        <w:jc w:val="both"/>
        <w:rPr>
          <w:noProof/>
        </w:rPr>
      </w:pPr>
      <w:r w:rsidRPr="00603601">
        <w:rPr>
          <w:noProof/>
        </w:rPr>
        <w:t xml:space="preserve">Предоставените средства по възмездна финансова помощ за полугодието на 2026 г. са (-2,9) млн. евро, а възстановените са 0,7 млн. евро. </w:t>
      </w:r>
    </w:p>
    <w:p w14:paraId="1861C14B" w14:textId="77777777" w:rsidR="00603601" w:rsidRPr="00603601" w:rsidRDefault="00603601" w:rsidP="00603601">
      <w:pPr>
        <w:ind w:firstLine="567"/>
        <w:jc w:val="both"/>
        <w:rPr>
          <w:noProof/>
        </w:rPr>
      </w:pPr>
      <w:r w:rsidRPr="00603601">
        <w:rPr>
          <w:noProof/>
        </w:rPr>
        <w:t>Общините отчитат 1 119,6 млн. евро бюджетен преходен остатък, а наличността към края на месец юни 2026 г. (по банкови сметки и каса) нараства и е в размер на 1 670,3 млн. евро. Част от наличността по общинските бюджети към 30.06.2026 г. е под формата на срочни депозити, които са в размер на 39,8 млн. евро, а 50,8 млн. евро е размерът на остатъците по валутни сметки. Отчетената касова наличност (левова и валутна) по общинските бюджети е 1,2 млн. евро.</w:t>
      </w:r>
      <w:r w:rsidRPr="00603601">
        <w:rPr>
          <w:noProof/>
        </w:rPr>
        <w:tab/>
        <w:t xml:space="preserve">Част от наличността представлява остатък по текущи сметки в БНБ (280,3 млн. евро), а останалата е в </w:t>
      </w:r>
      <w:r w:rsidR="009F2A92">
        <w:rPr>
          <w:noProof/>
        </w:rPr>
        <w:t>други</w:t>
      </w:r>
      <w:r w:rsidRPr="00603601">
        <w:rPr>
          <w:noProof/>
        </w:rPr>
        <w:t xml:space="preserve"> банки. Отчетената наличност в делегираните от държавата дейности е 886,4 млн. евро (53,1% от общата наличност), а в местните дейности е 783,9 млн. евро (46,9 %). </w:t>
      </w:r>
    </w:p>
    <w:p w14:paraId="79412B9D" w14:textId="7FDF4C8F" w:rsidR="00603601" w:rsidRPr="00603601" w:rsidRDefault="00603601" w:rsidP="00603601">
      <w:pPr>
        <w:ind w:firstLine="567"/>
        <w:jc w:val="both"/>
        <w:rPr>
          <w:noProof/>
        </w:rPr>
      </w:pPr>
      <w:r w:rsidRPr="00603601">
        <w:rPr>
          <w:noProof/>
        </w:rPr>
        <w:t>В държавните дейности наличността е формирана най-вече от получени от общините през текущата година средства от субсидии (512,4 млн. евро). Следващата по размер наличност (182,5</w:t>
      </w:r>
      <w:r w:rsidR="004A05E1">
        <w:rPr>
          <w:noProof/>
        </w:rPr>
        <w:t> </w:t>
      </w:r>
      <w:r w:rsidRPr="00603601">
        <w:rPr>
          <w:noProof/>
        </w:rPr>
        <w:t xml:space="preserve">млн. евро) в тези дейности е с източник средства, получени от общините също под формата </w:t>
      </w:r>
      <w:r w:rsidRPr="00603601">
        <w:rPr>
          <w:noProof/>
        </w:rPr>
        <w:lastRenderedPageBreak/>
        <w:t xml:space="preserve">на субсидии, но през преходни години. На трето място е остатъка от получени приходи в текущата и в предходни години общо за 142,0 млн. евро. Остатъци има и от получени средства от други бюджети и сметки за средства от ЕС (23,4 млн. евро), както и от средства с друг характер. </w:t>
      </w:r>
    </w:p>
    <w:p w14:paraId="54333047" w14:textId="77777777" w:rsidR="00603601" w:rsidRPr="00603601" w:rsidRDefault="00603601" w:rsidP="00603601">
      <w:pPr>
        <w:ind w:firstLine="567"/>
        <w:jc w:val="both"/>
        <w:rPr>
          <w:noProof/>
        </w:rPr>
      </w:pPr>
      <w:r w:rsidRPr="00603601">
        <w:rPr>
          <w:noProof/>
        </w:rPr>
        <w:t>Най-голяма част (356,2 млн. евро) от наличността в местните дейности е формирана от получени от общините през текущата година под формата на приходи и дарения. Съществена част е формирана и от средства от преходни остатъци (305,9 млн. евро). Остатъкът на получените през второто тримесечие на 2026 г. средства от субсидии е 61,6 млн. евро, а остатъкът от получени средства под формата на заемни средства е 44,9 млн. евро. Остатъци са формирани и от средства от други бюджети и сметки за средства от ЕС (6,1 млн. евро), от възстановени отчисления от РИОСВ (6,4 млн. евро) и др.</w:t>
      </w:r>
    </w:p>
    <w:p w14:paraId="4ACFF294" w14:textId="77777777" w:rsidR="00603601" w:rsidRPr="00603601" w:rsidRDefault="00603601" w:rsidP="00603601">
      <w:pPr>
        <w:ind w:firstLine="567"/>
        <w:jc w:val="both"/>
        <w:rPr>
          <w:sz w:val="18"/>
          <w:szCs w:val="12"/>
        </w:rPr>
      </w:pPr>
    </w:p>
    <w:p w14:paraId="2699E8FD" w14:textId="77777777" w:rsidR="00603601" w:rsidRPr="00603601" w:rsidRDefault="00603601" w:rsidP="0006701C">
      <w:pPr>
        <w:keepNext/>
        <w:numPr>
          <w:ilvl w:val="1"/>
          <w:numId w:val="50"/>
        </w:numPr>
        <w:spacing w:before="240" w:after="160" w:line="259" w:lineRule="auto"/>
        <w:ind w:left="499" w:right="-108" w:hanging="357"/>
        <w:jc w:val="both"/>
        <w:outlineLvl w:val="0"/>
        <w:rPr>
          <w:b/>
          <w:bCs/>
        </w:rPr>
      </w:pPr>
      <w:bookmarkStart w:id="107" w:name="_Toc109906108"/>
      <w:r w:rsidRPr="00603601">
        <w:rPr>
          <w:b/>
          <w:bCs/>
        </w:rPr>
        <w:t>Бюджети на Българската национална телевизия, Българското национално радио и Българската телеграфна агенция</w:t>
      </w:r>
      <w:bookmarkEnd w:id="107"/>
      <w:r w:rsidRPr="00603601">
        <w:rPr>
          <w:b/>
          <w:bCs/>
        </w:rPr>
        <w:t xml:space="preserve"> </w:t>
      </w:r>
    </w:p>
    <w:p w14:paraId="0C161D26" w14:textId="77777777" w:rsidR="00603601" w:rsidRPr="00603601" w:rsidRDefault="00603601" w:rsidP="00603601">
      <w:pPr>
        <w:spacing w:line="259" w:lineRule="auto"/>
        <w:ind w:firstLine="567"/>
        <w:jc w:val="both"/>
        <w:rPr>
          <w:color w:val="0070C0"/>
        </w:rPr>
      </w:pPr>
      <w:r w:rsidRPr="00603601">
        <w:rPr>
          <w:b/>
        </w:rPr>
        <w:t xml:space="preserve">Приходите на Българската национална телевизия (БНТ) </w:t>
      </w:r>
      <w:r w:rsidRPr="00603601">
        <w:t>към 30.06.2026 г. са в размер на 4,0 млн. евро</w:t>
      </w:r>
      <w:r w:rsidRPr="00603601">
        <w:rPr>
          <w:lang w:val="en-US"/>
        </w:rPr>
        <w:t>,</w:t>
      </w:r>
      <w:r w:rsidRPr="00603601">
        <w:t xml:space="preserve"> което представлява 75,0</w:t>
      </w:r>
      <w:r w:rsidRPr="00603601">
        <w:rPr>
          <w:lang w:val="ru-RU"/>
        </w:rPr>
        <w:t xml:space="preserve"> </w:t>
      </w:r>
      <w:r w:rsidRPr="00603601">
        <w:t xml:space="preserve">% изпълнение на заложените приходи в разчетите към ЗДБРБ за 2026 г. и са с 2,7 млн. евро повече спрямо отчетените приходи за същия период на предходната година, в резултат на отчетени по-високи стойности постъпления от рекламна дейност. </w:t>
      </w:r>
    </w:p>
    <w:p w14:paraId="47690476" w14:textId="77777777" w:rsidR="00603601" w:rsidRPr="00603601" w:rsidRDefault="00603601" w:rsidP="00603601">
      <w:pPr>
        <w:ind w:firstLine="567"/>
        <w:jc w:val="both"/>
      </w:pPr>
      <w:r w:rsidRPr="00603601">
        <w:t xml:space="preserve">Отчетените приходи са постъпления от продажба на услуги, стоки и продукция </w:t>
      </w:r>
      <w:r w:rsidRPr="00603601">
        <w:rPr>
          <w:lang w:val="en-US"/>
        </w:rPr>
        <w:t>(</w:t>
      </w:r>
      <w:r w:rsidRPr="00603601">
        <w:t>реклама, технически услуги, продажба на програми, приходи от почивно дело</w:t>
      </w:r>
      <w:r w:rsidRPr="00603601">
        <w:rPr>
          <w:lang w:val="en-US"/>
        </w:rPr>
        <w:t>)</w:t>
      </w:r>
      <w:r w:rsidRPr="00603601">
        <w:t>, наеми на имущество и други неданъчни приходи, помощи и дарения от чужбина.</w:t>
      </w:r>
    </w:p>
    <w:p w14:paraId="22DCEB8D" w14:textId="77777777" w:rsidR="00603601" w:rsidRPr="00603601" w:rsidRDefault="00603601" w:rsidP="00603601">
      <w:pPr>
        <w:ind w:firstLine="567"/>
        <w:jc w:val="both"/>
        <w:rPr>
          <w:lang w:eastAsia="bg-BG"/>
        </w:rPr>
      </w:pPr>
      <w:r w:rsidRPr="00603601">
        <w:rPr>
          <w:lang w:eastAsia="bg-BG"/>
        </w:rPr>
        <w:t>Отчетените</w:t>
      </w:r>
      <w:r w:rsidRPr="00603601">
        <w:rPr>
          <w:b/>
          <w:lang w:eastAsia="bg-BG"/>
        </w:rPr>
        <w:t xml:space="preserve"> разходи по бюджета на БНТ</w:t>
      </w:r>
      <w:r w:rsidRPr="00603601">
        <w:rPr>
          <w:lang w:eastAsia="bg-BG"/>
        </w:rPr>
        <w:t xml:space="preserve"> са в размер на</w:t>
      </w:r>
      <w:r w:rsidRPr="00603601">
        <w:rPr>
          <w:szCs w:val="20"/>
        </w:rPr>
        <w:t xml:space="preserve"> </w:t>
      </w:r>
      <w:r w:rsidRPr="00603601">
        <w:rPr>
          <w:lang w:eastAsia="bg-BG"/>
        </w:rPr>
        <w:t xml:space="preserve">25,5 млн. евро, което представлява 45,7 % от предвидените разходи в разчетите към ЗДБРБ за 2026 г. – </w:t>
      </w:r>
      <w:r w:rsidRPr="00603601">
        <w:rPr>
          <w:lang w:val="en-US" w:eastAsia="bg-BG"/>
        </w:rPr>
        <w:t>55</w:t>
      </w:r>
      <w:r w:rsidRPr="00603601">
        <w:rPr>
          <w:lang w:eastAsia="bg-BG"/>
        </w:rPr>
        <w:t>,8 млн. евро. За периода са отчетени 23,9 млн. евро текущи разходи и 1,6 млн. евро капиталови разходи. Общият размер на отчетените текущи разходи включва: 13,9 млн. евро разходи за персонал и 10,0 млн.  евро разходи за издръжка (вкл. разходи за членски внос, платени данъци, такси и административни санкции). Отчетените разходи за персонал заемат дял от 54,4 % в общия размер на разходите за периода и</w:t>
      </w:r>
      <w:r w:rsidRPr="00603601">
        <w:rPr>
          <w:rFonts w:ascii="Calibri" w:eastAsia="Calibri" w:hAnsi="Calibri"/>
          <w:sz w:val="22"/>
          <w:szCs w:val="22"/>
        </w:rPr>
        <w:t xml:space="preserve"> </w:t>
      </w:r>
      <w:r w:rsidRPr="00603601">
        <w:rPr>
          <w:lang w:eastAsia="bg-BG"/>
        </w:rPr>
        <w:t xml:space="preserve">надвишават отчетените разходи за персонал за същия период на 2025 г. с 1,4 млн. евро в резултат на увеличение на възнагражденията на служителите на БНТ със ЗДБРБ за 2025 г., индексация с 5 на сто на достигнатите към 31.12.2025 г. възнаграждения и промяна на минималната работна заплата съгласно ПМС № 243 от 2025 г. За периода са отчетени разходи и за сметка на одобрено финансиране в размер на 1,5 млн. евро съгласно Постановление № 38 на Министерския съвет от 2026 г. за приемане на План-сметка за разходите/трансферите по подготовката и произвеждането на изборите за народни представители на 19 април 2026 г.    </w:t>
      </w:r>
    </w:p>
    <w:p w14:paraId="10453B0B" w14:textId="77777777" w:rsidR="00603601" w:rsidRPr="00603601" w:rsidRDefault="00603601" w:rsidP="00603601">
      <w:pPr>
        <w:ind w:firstLine="567"/>
        <w:jc w:val="both"/>
        <w:rPr>
          <w:lang w:eastAsia="bg-BG"/>
        </w:rPr>
      </w:pPr>
      <w:r w:rsidRPr="00603601">
        <w:rPr>
          <w:lang w:eastAsia="bg-BG"/>
        </w:rPr>
        <w:t>Средствата са усвоени за реализирането на основните цели и дейности на БНТ по подготовката, създаването и разпространението на национални и регионални програми съгласно разпоредбите на Закона за радиото и телевизията. През отчетния период са финансирани разходи</w:t>
      </w:r>
      <w:r w:rsidRPr="00603601">
        <w:rPr>
          <w:lang w:val="en-US" w:eastAsia="bg-BG"/>
        </w:rPr>
        <w:t xml:space="preserve"> </w:t>
      </w:r>
      <w:r w:rsidRPr="00603601">
        <w:rPr>
          <w:lang w:eastAsia="bg-BG"/>
        </w:rPr>
        <w:t>и за сметка на преходен остатък от 2025 г.</w:t>
      </w:r>
    </w:p>
    <w:p w14:paraId="4AF6DF06" w14:textId="77777777" w:rsidR="00603601" w:rsidRPr="00603601" w:rsidRDefault="00603601" w:rsidP="00603601">
      <w:pPr>
        <w:ind w:firstLine="567"/>
        <w:jc w:val="both"/>
        <w:rPr>
          <w:lang w:eastAsia="bg-BG"/>
        </w:rPr>
      </w:pPr>
      <w:r w:rsidRPr="00603601">
        <w:rPr>
          <w:b/>
          <w:szCs w:val="20"/>
        </w:rPr>
        <w:t xml:space="preserve">Бюджетни взаимоотношения на БНТ - </w:t>
      </w:r>
      <w:r w:rsidRPr="00603601">
        <w:rPr>
          <w:lang w:eastAsia="bg-BG"/>
        </w:rPr>
        <w:t>За периода е отчетен трансфер от централния бюджет в размер на 25,8 млн. евро., в т.</w:t>
      </w:r>
      <w:r w:rsidR="0005221E">
        <w:rPr>
          <w:lang w:eastAsia="bg-BG"/>
        </w:rPr>
        <w:t xml:space="preserve"> </w:t>
      </w:r>
      <w:r w:rsidRPr="00603601">
        <w:rPr>
          <w:lang w:eastAsia="bg-BG"/>
        </w:rPr>
        <w:t>ч. 4,4 млн. евро за поети осигурителни вноски и данъци. Отчетеният за периода трансфер от централния бюджет е с 1,9 млн. евро повече от отчетения трансфер за същия период на предходната година, поради отчетен по-голям размер разходи за персонал в резултат на  произтичащи промени от влезли в сила нормативни актове и отчетени разходи за сметка на одобрено финансиране съгласно ПМС № 38 от 2026 г.</w:t>
      </w:r>
    </w:p>
    <w:p w14:paraId="7BD6D4B3" w14:textId="77777777" w:rsidR="00603601" w:rsidRPr="00603601" w:rsidRDefault="00603601" w:rsidP="00603601">
      <w:pPr>
        <w:ind w:firstLine="567"/>
        <w:jc w:val="both"/>
        <w:rPr>
          <w:lang w:eastAsia="bg-BG"/>
        </w:rPr>
      </w:pPr>
    </w:p>
    <w:p w14:paraId="7BAAC9F7" w14:textId="77777777" w:rsidR="00603601" w:rsidRPr="00603601" w:rsidRDefault="00603601" w:rsidP="00603601">
      <w:pPr>
        <w:spacing w:line="259" w:lineRule="auto"/>
        <w:ind w:firstLine="567"/>
        <w:jc w:val="both"/>
        <w:rPr>
          <w:lang w:eastAsia="bg-BG"/>
        </w:rPr>
      </w:pPr>
      <w:r w:rsidRPr="00603601">
        <w:rPr>
          <w:b/>
          <w:szCs w:val="20"/>
        </w:rPr>
        <w:t>Приходите по бюджета на Българското национално радио (БНР)</w:t>
      </w:r>
      <w:r w:rsidRPr="00603601">
        <w:rPr>
          <w:szCs w:val="20"/>
        </w:rPr>
        <w:t xml:space="preserve"> към 30.06.2026 г. </w:t>
      </w:r>
      <w:r w:rsidRPr="00603601">
        <w:rPr>
          <w:lang w:eastAsia="bg-BG"/>
        </w:rPr>
        <w:t xml:space="preserve">са в размер на 0,6 млн. евро, което представлява </w:t>
      </w:r>
      <w:r w:rsidRPr="00603601">
        <w:rPr>
          <w:lang w:val="en-US" w:eastAsia="bg-BG"/>
        </w:rPr>
        <w:t>64</w:t>
      </w:r>
      <w:r w:rsidRPr="00603601">
        <w:rPr>
          <w:lang w:eastAsia="bg-BG"/>
        </w:rPr>
        <w:t xml:space="preserve">,1 % изпълнение на заложените приходи в разчетите към ЗДБРБ за 2026 г. (1,0 млн. евро). </w:t>
      </w:r>
    </w:p>
    <w:p w14:paraId="6212FB25" w14:textId="77777777" w:rsidR="00603601" w:rsidRPr="00603601" w:rsidRDefault="00603601" w:rsidP="00603601">
      <w:pPr>
        <w:ind w:firstLine="567"/>
        <w:jc w:val="both"/>
        <w:rPr>
          <w:lang w:eastAsia="bg-BG"/>
        </w:rPr>
      </w:pPr>
      <w:r w:rsidRPr="00603601">
        <w:rPr>
          <w:lang w:eastAsia="bg-BG"/>
        </w:rPr>
        <w:t xml:space="preserve">Отчетените приходи са постъпления от продажба на услуги, стоки и продукция </w:t>
      </w:r>
      <w:r w:rsidRPr="00603601">
        <w:rPr>
          <w:lang w:val="en-US" w:eastAsia="bg-BG"/>
        </w:rPr>
        <w:t>(</w:t>
      </w:r>
      <w:r w:rsidRPr="00603601">
        <w:rPr>
          <w:lang w:eastAsia="bg-BG"/>
        </w:rPr>
        <w:t>реклама, спонсорство, технически услуги, съвместни продукции, приходи от концертна дейност</w:t>
      </w:r>
      <w:r w:rsidRPr="00603601">
        <w:rPr>
          <w:lang w:val="en-US" w:eastAsia="bg-BG"/>
        </w:rPr>
        <w:t>)</w:t>
      </w:r>
      <w:r w:rsidRPr="00603601">
        <w:rPr>
          <w:lang w:eastAsia="bg-BG"/>
        </w:rPr>
        <w:t>, наеми на имущество,</w:t>
      </w:r>
      <w:r w:rsidRPr="00603601">
        <w:rPr>
          <w:b/>
          <w:lang w:eastAsia="bg-BG"/>
        </w:rPr>
        <w:t xml:space="preserve"> </w:t>
      </w:r>
      <w:r w:rsidRPr="00603601">
        <w:rPr>
          <w:lang w:eastAsia="bg-BG"/>
        </w:rPr>
        <w:t>глоби, санкции и наказателни лихви,  помощи и дарения от страната и от чужбина, и други неданъчни приходи.</w:t>
      </w:r>
    </w:p>
    <w:p w14:paraId="0D39A25F" w14:textId="77777777" w:rsidR="00603601" w:rsidRPr="00603601" w:rsidRDefault="00603601" w:rsidP="00603601">
      <w:pPr>
        <w:ind w:firstLine="567"/>
        <w:jc w:val="both"/>
        <w:rPr>
          <w:szCs w:val="20"/>
        </w:rPr>
      </w:pPr>
      <w:r w:rsidRPr="00603601">
        <w:rPr>
          <w:b/>
          <w:szCs w:val="20"/>
        </w:rPr>
        <w:lastRenderedPageBreak/>
        <w:t>Разходите</w:t>
      </w:r>
      <w:r w:rsidRPr="00603601">
        <w:rPr>
          <w:szCs w:val="20"/>
        </w:rPr>
        <w:t xml:space="preserve"> </w:t>
      </w:r>
      <w:r w:rsidRPr="00603601">
        <w:rPr>
          <w:b/>
          <w:szCs w:val="20"/>
        </w:rPr>
        <w:t>по бюджета на БНР</w:t>
      </w:r>
      <w:r w:rsidRPr="00603601">
        <w:rPr>
          <w:szCs w:val="20"/>
        </w:rPr>
        <w:t xml:space="preserve"> възлизат на 18,7 млн. евро,</w:t>
      </w:r>
      <w:r w:rsidRPr="00603601">
        <w:t xml:space="preserve"> </w:t>
      </w:r>
      <w:r w:rsidRPr="00603601">
        <w:rPr>
          <w:szCs w:val="20"/>
        </w:rPr>
        <w:t xml:space="preserve">което представлява </w:t>
      </w:r>
      <w:r w:rsidR="00742F2E">
        <w:rPr>
          <w:szCs w:val="20"/>
        </w:rPr>
        <w:t>50</w:t>
      </w:r>
      <w:r w:rsidRPr="00603601">
        <w:rPr>
          <w:szCs w:val="20"/>
        </w:rPr>
        <w:t>,5 % от предвидените разходи в разчетите към ЗДБРБ за 2026 г. – 37,1 млн. евро</w:t>
      </w:r>
      <w:r w:rsidRPr="00603601">
        <w:rPr>
          <w:szCs w:val="20"/>
          <w:lang w:val="ru-RU"/>
        </w:rPr>
        <w:t xml:space="preserve"> </w:t>
      </w:r>
      <w:r w:rsidRPr="00603601">
        <w:rPr>
          <w:szCs w:val="20"/>
        </w:rPr>
        <w:t xml:space="preserve"> и надвишават отчетените за същия период на предходната година разходи с 1,2 млн. евро. По-високите разходи са резултат от увеличение на възнагражденията на служителите на БНР със ЗДБРБ за 2025 г.,  индексация с 5 на сто на достигнатите към 31.12.2025 г. възнаграждения и промяна на минималната работна заплата съгласно ПМС № 243 от 2025 г. Отчетеният по-голям размер разходи се дължи и на одобрено финансиране в размер на 0,5 млн. евро съгласно Постановление № 38 на Министерския съвет от 2026 г. за приемане на План-сметка за разходите/трансферите по подготовката и произвеждането на изборите за народни представители на 19 април 2026 г.</w:t>
      </w:r>
    </w:p>
    <w:p w14:paraId="7716C783" w14:textId="214284D0" w:rsidR="00603601" w:rsidRPr="00603601" w:rsidRDefault="00603601" w:rsidP="00603601">
      <w:pPr>
        <w:ind w:firstLine="567"/>
        <w:jc w:val="both"/>
        <w:rPr>
          <w:szCs w:val="20"/>
        </w:rPr>
      </w:pPr>
      <w:r w:rsidRPr="00603601">
        <w:rPr>
          <w:szCs w:val="20"/>
        </w:rPr>
        <w:t>За периода са отчетени 17,8 млн. евро текущи разходи и 0,9 млн. евро капиталови разходи. Общият размер на отчетените текущи разходи включва: 12,1 млн. евро разходи за персонал и 5,7</w:t>
      </w:r>
      <w:r w:rsidR="00296A32">
        <w:rPr>
          <w:szCs w:val="20"/>
        </w:rPr>
        <w:t> </w:t>
      </w:r>
      <w:r w:rsidRPr="00603601">
        <w:rPr>
          <w:szCs w:val="20"/>
        </w:rPr>
        <w:t>млн. евро разходи за издръжка (вкл. разходи за членски внос, платени данъци, такси и административни санкции). Отчетените разходи за персонал представляват 64,7</w:t>
      </w:r>
      <w:r w:rsidRPr="00603601">
        <w:rPr>
          <w:szCs w:val="20"/>
          <w:lang w:val="en-US"/>
        </w:rPr>
        <w:t xml:space="preserve"> </w:t>
      </w:r>
      <w:r w:rsidRPr="00603601">
        <w:rPr>
          <w:szCs w:val="20"/>
        </w:rPr>
        <w:t>% от отчетените за периода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През отчетния период са финансирани разходи за сметка на преходен остатък от 2025 г.</w:t>
      </w:r>
    </w:p>
    <w:p w14:paraId="3FF0E4DA" w14:textId="0C7949E7" w:rsidR="00603601" w:rsidRPr="00603601" w:rsidRDefault="00603601" w:rsidP="00603601">
      <w:pPr>
        <w:spacing w:after="120" w:line="259" w:lineRule="auto"/>
        <w:ind w:firstLine="567"/>
        <w:jc w:val="both"/>
        <w:rPr>
          <w:szCs w:val="20"/>
        </w:rPr>
      </w:pPr>
      <w:r w:rsidRPr="00603601">
        <w:rPr>
          <w:color w:val="0070C0"/>
          <w:szCs w:val="20"/>
        </w:rPr>
        <w:tab/>
      </w:r>
      <w:r w:rsidRPr="00603601">
        <w:rPr>
          <w:b/>
          <w:szCs w:val="20"/>
        </w:rPr>
        <w:t>Бюджетни взаимоотношения на БНР -</w:t>
      </w:r>
      <w:r w:rsidRPr="00603601">
        <w:rPr>
          <w:szCs w:val="20"/>
        </w:rPr>
        <w:t xml:space="preserve"> За периода е отчетен трансфер от централния бюджет в размер на 17,8 млн. евро., в т.</w:t>
      </w:r>
      <w:r w:rsidR="00BD0036">
        <w:rPr>
          <w:szCs w:val="20"/>
        </w:rPr>
        <w:t xml:space="preserve"> </w:t>
      </w:r>
      <w:r w:rsidRPr="00603601">
        <w:rPr>
          <w:szCs w:val="20"/>
        </w:rPr>
        <w:t>ч. 4,0 млн. евро за поети осигурителни вноски и данъци. Отчетеният за периода трансфер от централния бюджет е с 1,2 млн. евро повече от отчетения трансфер за същия период на предходната година, поради отчетен по-голям размер разходи за персонал в резултат на произтичащи промени от влезли в сила нормативни актове и отчетени разходи за сметка на одобрено финансиране съгласно ПМС № 38 от 2026 г.</w:t>
      </w:r>
    </w:p>
    <w:p w14:paraId="17884734" w14:textId="77777777" w:rsidR="00603601" w:rsidRPr="00603601" w:rsidRDefault="00603601" w:rsidP="00603601">
      <w:pPr>
        <w:spacing w:after="120"/>
        <w:ind w:firstLine="567"/>
        <w:jc w:val="both"/>
        <w:rPr>
          <w:lang w:eastAsia="bg-BG"/>
        </w:rPr>
      </w:pPr>
      <w:r w:rsidRPr="00603601">
        <w:rPr>
          <w:b/>
          <w:szCs w:val="20"/>
        </w:rPr>
        <w:t xml:space="preserve">Приходите на Българската телеграфна агенция (БТА) </w:t>
      </w:r>
      <w:r w:rsidRPr="00603601">
        <w:rPr>
          <w:szCs w:val="20"/>
        </w:rPr>
        <w:t>към 30.06.2026 г.</w:t>
      </w:r>
      <w:r w:rsidRPr="00603601">
        <w:rPr>
          <w:b/>
          <w:szCs w:val="20"/>
        </w:rPr>
        <w:t xml:space="preserve"> </w:t>
      </w:r>
      <w:r w:rsidRPr="00603601">
        <w:rPr>
          <w:szCs w:val="20"/>
        </w:rPr>
        <w:t>са</w:t>
      </w:r>
      <w:r w:rsidRPr="00603601">
        <w:rPr>
          <w:lang w:eastAsia="bg-BG"/>
        </w:rPr>
        <w:t xml:space="preserve"> </w:t>
      </w:r>
      <w:r w:rsidRPr="00603601">
        <w:rPr>
          <w:bCs/>
          <w:lang w:eastAsia="bg-BG"/>
        </w:rPr>
        <w:t xml:space="preserve">0,3 млн. евро, което представлява </w:t>
      </w:r>
      <w:r w:rsidRPr="00603601">
        <w:rPr>
          <w:bCs/>
          <w:lang w:val="en-US" w:eastAsia="bg-BG"/>
        </w:rPr>
        <w:t>86,4</w:t>
      </w:r>
      <w:r w:rsidRPr="00603601">
        <w:rPr>
          <w:bCs/>
          <w:lang w:eastAsia="bg-BG"/>
        </w:rPr>
        <w:t xml:space="preserve"> % от заложените приходи в разчетите за 2026 г. Средствата са основно от нетни приходи от продажба на услуги, стоки и продукция</w:t>
      </w:r>
      <w:r w:rsidR="008736F6">
        <w:rPr>
          <w:bCs/>
          <w:lang w:eastAsia="bg-BG"/>
        </w:rPr>
        <w:t>.</w:t>
      </w:r>
      <w:r w:rsidRPr="00603601">
        <w:rPr>
          <w:lang w:eastAsia="bg-BG"/>
        </w:rPr>
        <w:t xml:space="preserve"> </w:t>
      </w:r>
    </w:p>
    <w:p w14:paraId="62205EB8" w14:textId="77777777" w:rsidR="00603601" w:rsidRPr="00603601" w:rsidRDefault="00603601" w:rsidP="00603601">
      <w:pPr>
        <w:ind w:firstLine="567"/>
        <w:jc w:val="both"/>
        <w:rPr>
          <w:lang w:eastAsia="bg-BG"/>
        </w:rPr>
      </w:pPr>
      <w:r w:rsidRPr="00603601">
        <w:rPr>
          <w:b/>
          <w:lang w:eastAsia="bg-BG"/>
        </w:rPr>
        <w:t>Разходите по бюджета на БТА</w:t>
      </w:r>
      <w:r w:rsidRPr="00603601">
        <w:rPr>
          <w:lang w:eastAsia="bg-BG"/>
        </w:rPr>
        <w:t xml:space="preserve"> към </w:t>
      </w:r>
      <w:r w:rsidRPr="00603601">
        <w:rPr>
          <w:bCs/>
          <w:lang w:eastAsia="bg-BG"/>
        </w:rPr>
        <w:t>30.06.2026 г.</w:t>
      </w:r>
      <w:r w:rsidRPr="00603601">
        <w:rPr>
          <w:lang w:eastAsia="bg-BG"/>
        </w:rPr>
        <w:t xml:space="preserve"> са в размер на </w:t>
      </w:r>
      <w:r w:rsidRPr="00603601">
        <w:rPr>
          <w:bCs/>
          <w:lang w:eastAsia="bg-BG"/>
        </w:rPr>
        <w:t>4,3 млн. евро, което представлява 42,3 % от предвидените разходи в разчетите за 2026 г. Към края на месец юни са отчетени 4,3 млн. евро текущи разходи и 3</w:t>
      </w:r>
      <w:r w:rsidR="003A2918">
        <w:rPr>
          <w:bCs/>
          <w:lang w:eastAsia="bg-BG"/>
        </w:rPr>
        <w:t>,3</w:t>
      </w:r>
      <w:r w:rsidRPr="00603601">
        <w:rPr>
          <w:bCs/>
          <w:lang w:eastAsia="bg-BG"/>
        </w:rPr>
        <w:t xml:space="preserve"> хил. евро капиталови разходи. Общият размер на отчетените текущи разходи включва: 3,7 млн. евро разходи за персонал и 0,6 млн. евро разходи за издръжка. Отчетените разходи за персонал представляват 86,2 % от общите разходи за периода.</w:t>
      </w:r>
    </w:p>
    <w:p w14:paraId="0EDEA7F7" w14:textId="77777777" w:rsidR="00603601" w:rsidRPr="00603601" w:rsidRDefault="00603601" w:rsidP="00603601">
      <w:pPr>
        <w:ind w:firstLine="567"/>
        <w:jc w:val="both"/>
        <w:rPr>
          <w:rFonts w:ascii="Calibri" w:eastAsia="Calibri" w:hAnsi="Calibri"/>
          <w:sz w:val="22"/>
          <w:szCs w:val="22"/>
        </w:rPr>
      </w:pPr>
      <w:r w:rsidRPr="00603601">
        <w:rPr>
          <w:b/>
          <w:lang w:eastAsia="bg-BG"/>
        </w:rPr>
        <w:t>Бюджетни взаимоотношения</w:t>
      </w:r>
      <w:r w:rsidRPr="00603601">
        <w:rPr>
          <w:lang w:eastAsia="bg-BG"/>
        </w:rPr>
        <w:t xml:space="preserve"> </w:t>
      </w:r>
      <w:r w:rsidRPr="00603601">
        <w:rPr>
          <w:b/>
          <w:lang w:eastAsia="bg-BG"/>
        </w:rPr>
        <w:t>на БТА -</w:t>
      </w:r>
      <w:r w:rsidRPr="00603601">
        <w:rPr>
          <w:lang w:eastAsia="bg-BG"/>
        </w:rPr>
        <w:t xml:space="preserve"> За периода е отчетен трансфер от централния бюджет в размер на 3,9 млн. евро., в т.</w:t>
      </w:r>
      <w:r w:rsidR="001202FB">
        <w:rPr>
          <w:lang w:eastAsia="bg-BG"/>
        </w:rPr>
        <w:t xml:space="preserve"> </w:t>
      </w:r>
      <w:r w:rsidRPr="00603601">
        <w:rPr>
          <w:lang w:eastAsia="bg-BG"/>
        </w:rPr>
        <w:t xml:space="preserve">ч. 1,3 млн. евро за поети осигурителни вноски и данъци. </w:t>
      </w:r>
    </w:p>
    <w:p w14:paraId="0EDE7085" w14:textId="77777777" w:rsidR="00001ABF" w:rsidRPr="00BC72AC" w:rsidRDefault="00001ABF" w:rsidP="007C1025">
      <w:pPr>
        <w:pStyle w:val="Title"/>
        <w:jc w:val="both"/>
        <w:rPr>
          <w:color w:val="0070C0"/>
        </w:rPr>
      </w:pPr>
    </w:p>
    <w:p w14:paraId="068F643A" w14:textId="77777777" w:rsidR="003873E3" w:rsidRPr="00BC72AC" w:rsidRDefault="003873E3" w:rsidP="007C1025">
      <w:pPr>
        <w:pStyle w:val="Title"/>
        <w:jc w:val="both"/>
        <w:rPr>
          <w:color w:val="0070C0"/>
        </w:rPr>
      </w:pPr>
    </w:p>
    <w:p w14:paraId="4604CA9B" w14:textId="77777777" w:rsidR="0050598A" w:rsidRPr="00BC72AC" w:rsidRDefault="007C1025" w:rsidP="0050598A">
      <w:pPr>
        <w:pStyle w:val="Title"/>
        <w:jc w:val="both"/>
        <w:rPr>
          <w:color w:val="0070C0"/>
        </w:rPr>
      </w:pPr>
      <w:r w:rsidRPr="00C6795E">
        <w:t xml:space="preserve">Министерство на финансите, </w:t>
      </w:r>
      <w:r w:rsidR="00406A16" w:rsidRPr="00C6795E">
        <w:t xml:space="preserve">август </w:t>
      </w:r>
      <w:r w:rsidRPr="00C6795E">
        <w:t>202</w:t>
      </w:r>
      <w:r w:rsidR="00DA4054" w:rsidRPr="00C6795E">
        <w:rPr>
          <w:lang w:val="en-US"/>
        </w:rPr>
        <w:t>6</w:t>
      </w:r>
      <w:r w:rsidR="00716094" w:rsidRPr="00C6795E">
        <w:rPr>
          <w:lang w:val="ru-RU"/>
        </w:rPr>
        <w:t xml:space="preserve"> </w:t>
      </w:r>
      <w:r w:rsidRPr="00C6795E">
        <w:t>г.</w:t>
      </w:r>
      <w:r w:rsidR="00014355" w:rsidRPr="00C6795E">
        <w:tab/>
      </w:r>
      <w:r w:rsidR="00014355" w:rsidRPr="00C6795E">
        <w:tab/>
      </w:r>
      <w:r w:rsidR="00014355" w:rsidRPr="00BC72AC">
        <w:rPr>
          <w:color w:val="0070C0"/>
        </w:rPr>
        <w:tab/>
      </w:r>
    </w:p>
    <w:sectPr w:rsidR="0050598A" w:rsidRPr="00BC72AC" w:rsidSect="00033525">
      <w:footerReference w:type="even" r:id="rId11"/>
      <w:footerReference w:type="default" r:id="rId12"/>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805EE" w14:textId="77777777" w:rsidR="00157450" w:rsidRDefault="00157450">
      <w:r>
        <w:separator/>
      </w:r>
    </w:p>
  </w:endnote>
  <w:endnote w:type="continuationSeparator" w:id="0">
    <w:p w14:paraId="7B4B1537" w14:textId="77777777" w:rsidR="00157450" w:rsidRDefault="00157450">
      <w:r>
        <w:continuationSeparator/>
      </w:r>
    </w:p>
  </w:endnote>
  <w:endnote w:type="continuationNotice" w:id="1">
    <w:p w14:paraId="7CFE87A6" w14:textId="77777777" w:rsidR="00157450" w:rsidRDefault="001574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utura Bk">
    <w:altName w:va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3B1B" w14:textId="77777777" w:rsidR="00157450" w:rsidRDefault="00157450"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CE5F5D" w14:textId="77777777" w:rsidR="00157450" w:rsidRDefault="00157450" w:rsidP="00A74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2B793" w14:textId="038CA597" w:rsidR="00157450" w:rsidRDefault="00157450"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2D15">
      <w:rPr>
        <w:rStyle w:val="PageNumber"/>
        <w:noProof/>
      </w:rPr>
      <w:t>2</w:t>
    </w:r>
    <w:r>
      <w:rPr>
        <w:rStyle w:val="PageNumber"/>
      </w:rPr>
      <w:fldChar w:fldCharType="end"/>
    </w:r>
  </w:p>
  <w:p w14:paraId="29C95FD7" w14:textId="77777777" w:rsidR="00157450" w:rsidRDefault="00157450" w:rsidP="00A741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8C42E" w14:textId="77777777" w:rsidR="00157450" w:rsidRDefault="00157450">
      <w:r>
        <w:separator/>
      </w:r>
    </w:p>
  </w:footnote>
  <w:footnote w:type="continuationSeparator" w:id="0">
    <w:p w14:paraId="522DB357" w14:textId="77777777" w:rsidR="00157450" w:rsidRDefault="00157450">
      <w:r>
        <w:continuationSeparator/>
      </w:r>
    </w:p>
  </w:footnote>
  <w:footnote w:type="continuationNotice" w:id="1">
    <w:p w14:paraId="1C793AFE" w14:textId="77777777" w:rsidR="00157450" w:rsidRDefault="00157450"/>
  </w:footnote>
  <w:footnote w:id="2">
    <w:p w14:paraId="0495828C" w14:textId="77777777" w:rsidR="00157450" w:rsidRPr="007D18FE" w:rsidRDefault="00157450" w:rsidP="008969AB">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w:t>
      </w:r>
      <w:r>
        <w:rPr>
          <w:sz w:val="18"/>
          <w:szCs w:val="18"/>
          <w:lang w:val="bg-BG"/>
        </w:rPr>
        <w:t>3</w:t>
      </w:r>
      <w:r w:rsidRPr="007D18FE">
        <w:rPr>
          <w:sz w:val="18"/>
          <w:szCs w:val="18"/>
          <w:lang w:val="bg-BG"/>
        </w:rPr>
        <w:t>,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3">
    <w:p w14:paraId="76BDF106" w14:textId="77777777" w:rsidR="00157450" w:rsidRPr="007D18FE" w:rsidRDefault="00157450" w:rsidP="00044565">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w:t>
      </w:r>
      <w:r>
        <w:rPr>
          <w:sz w:val="18"/>
          <w:szCs w:val="18"/>
          <w:lang w:val="bg-BG"/>
        </w:rPr>
        <w:t>евро</w:t>
      </w:r>
      <w:r w:rsidRPr="007D18FE">
        <w:rPr>
          <w:sz w:val="18"/>
          <w:szCs w:val="18"/>
          <w:lang w:val="bg-BG"/>
        </w:rPr>
        <w:t>, някои сумарни позиции в Таблица №1, Таблица  №2 и в текста не се изчерпват от съставните им числа.</w:t>
      </w:r>
    </w:p>
  </w:footnote>
  <w:footnote w:id="4">
    <w:p w14:paraId="6FD46DE9" w14:textId="77777777" w:rsidR="00157450" w:rsidRPr="00D13ABE" w:rsidRDefault="00157450" w:rsidP="008969AB">
      <w:pPr>
        <w:pStyle w:val="FootnoteText"/>
        <w:rPr>
          <w:lang w:val="bg-BG"/>
        </w:rPr>
      </w:pPr>
      <w:r w:rsidRPr="0062274A">
        <w:rPr>
          <w:rStyle w:val="FootnoteReference"/>
        </w:rPr>
        <w:footnoteRef/>
      </w:r>
      <w:r w:rsidRPr="0062274A">
        <w:rPr>
          <w:lang w:val="bg-BG"/>
        </w:rPr>
        <w:t xml:space="preserve"> </w:t>
      </w:r>
      <w:r w:rsidRPr="0062274A">
        <w:rPr>
          <w:sz w:val="18"/>
          <w:szCs w:val="18"/>
          <w:lang w:val="bg-BG"/>
        </w:rPr>
        <w:t>Разчети към ЗДБРБ за 202</w:t>
      </w:r>
      <w:r w:rsidRPr="0062274A">
        <w:rPr>
          <w:sz w:val="18"/>
          <w:szCs w:val="18"/>
          <w:lang w:val="ru-RU"/>
        </w:rPr>
        <w:t>6</w:t>
      </w:r>
      <w:r w:rsidRPr="0062274A">
        <w:rPr>
          <w:sz w:val="18"/>
          <w:szCs w:val="18"/>
          <w:lang w:val="bg-BG"/>
        </w:rPr>
        <w:t xml:space="preserve"> г. (oбн., ДВ., бр. </w:t>
      </w:r>
      <w:r w:rsidRPr="0062274A">
        <w:rPr>
          <w:sz w:val="18"/>
          <w:szCs w:val="18"/>
        </w:rPr>
        <w:t>69</w:t>
      </w:r>
      <w:r w:rsidRPr="0062274A">
        <w:rPr>
          <w:sz w:val="18"/>
          <w:szCs w:val="18"/>
          <w:lang w:val="bg-BG"/>
        </w:rPr>
        <w:t xml:space="preserve"> от </w:t>
      </w:r>
      <w:r w:rsidRPr="0062274A">
        <w:rPr>
          <w:sz w:val="18"/>
          <w:szCs w:val="18"/>
          <w:lang w:val="ru-RU"/>
        </w:rPr>
        <w:t>31</w:t>
      </w:r>
      <w:r w:rsidRPr="0062274A">
        <w:rPr>
          <w:sz w:val="18"/>
          <w:szCs w:val="18"/>
          <w:lang w:val="bg-BG"/>
        </w:rPr>
        <w:t>.</w:t>
      </w:r>
      <w:r w:rsidRPr="0062274A">
        <w:rPr>
          <w:sz w:val="18"/>
          <w:szCs w:val="18"/>
          <w:lang w:val="ru-RU"/>
        </w:rPr>
        <w:t>07</w:t>
      </w:r>
      <w:r w:rsidRPr="0062274A">
        <w:rPr>
          <w:sz w:val="18"/>
          <w:szCs w:val="18"/>
          <w:lang w:val="bg-BG"/>
        </w:rPr>
        <w:t>.202</w:t>
      </w:r>
      <w:r w:rsidRPr="0062274A">
        <w:rPr>
          <w:sz w:val="18"/>
          <w:szCs w:val="18"/>
          <w:lang w:val="ru-RU"/>
        </w:rPr>
        <w:t>6</w:t>
      </w:r>
      <w:r w:rsidRPr="0062274A">
        <w:rPr>
          <w:sz w:val="18"/>
          <w:szCs w:val="18"/>
          <w:lang w:val="bg-BG"/>
        </w:rPr>
        <w:t xml:space="preserve"> г.).</w:t>
      </w:r>
    </w:p>
  </w:footnote>
  <w:footnote w:id="5">
    <w:p w14:paraId="438971DD" w14:textId="77777777" w:rsidR="00157450" w:rsidRPr="006F7FAA" w:rsidRDefault="00157450" w:rsidP="00044565">
      <w:pPr>
        <w:pStyle w:val="FootnoteText"/>
        <w:jc w:val="both"/>
        <w:rPr>
          <w:sz w:val="18"/>
          <w:lang w:val="bg-BG"/>
        </w:rPr>
      </w:pPr>
      <w:r w:rsidRPr="006F7FAA">
        <w:rPr>
          <w:rStyle w:val="FootnoteReference"/>
          <w:sz w:val="18"/>
        </w:rPr>
        <w:footnoteRef/>
      </w:r>
      <w:r w:rsidRPr="006F7FAA">
        <w:rPr>
          <w:sz w:val="18"/>
        </w:rPr>
        <w:t xml:space="preserve"> </w:t>
      </w:r>
      <w:r w:rsidRPr="006F7FAA">
        <w:rPr>
          <w:sz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 w:id="6">
    <w:p w14:paraId="0AE20C9F" w14:textId="77777777" w:rsidR="00157450" w:rsidRPr="00E74802" w:rsidRDefault="00157450" w:rsidP="00044565">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7">
    <w:p w14:paraId="1D0AE15E" w14:textId="77777777" w:rsidR="00157450" w:rsidRPr="00044565" w:rsidRDefault="00157450" w:rsidP="00044565">
      <w:pPr>
        <w:pStyle w:val="FootnoteText"/>
        <w:rPr>
          <w:lang w:val="bg-BG"/>
        </w:rPr>
      </w:pPr>
      <w:r w:rsidRPr="00044565">
        <w:rPr>
          <w:rStyle w:val="FootnoteReference"/>
          <w:sz w:val="18"/>
          <w:lang w:val="bg-BG"/>
        </w:rPr>
        <w:footnoteRef/>
      </w:r>
      <w:r w:rsidRPr="00044565">
        <w:rPr>
          <w:lang w:val="bg-BG"/>
        </w:rPr>
        <w:t xml:space="preserve"> </w:t>
      </w:r>
      <w:r w:rsidRPr="00044565">
        <w:rPr>
          <w:sz w:val="18"/>
          <w:szCs w:val="16"/>
          <w:lang w:val="bg-BG"/>
        </w:rPr>
        <w:t>Държавният бюджет включва централен бюджет, бюджетите на НС, съдебната власт, министерствата и ведомствата.</w:t>
      </w:r>
    </w:p>
  </w:footnote>
  <w:footnote w:id="8">
    <w:p w14:paraId="45749011" w14:textId="77777777" w:rsidR="00157450" w:rsidRPr="00044565" w:rsidRDefault="00157450" w:rsidP="00044565">
      <w:pPr>
        <w:pStyle w:val="FootnoteText"/>
        <w:jc w:val="both"/>
        <w:rPr>
          <w:sz w:val="18"/>
          <w:szCs w:val="18"/>
          <w:lang w:val="bg-BG"/>
        </w:rPr>
      </w:pPr>
      <w:r w:rsidRPr="00044565">
        <w:rPr>
          <w:rStyle w:val="FootnoteReference"/>
          <w:lang w:val="bg-BG"/>
        </w:rPr>
        <w:footnoteRef/>
      </w:r>
      <w:r w:rsidRPr="00044565">
        <w:rPr>
          <w:sz w:val="18"/>
          <w:szCs w:val="18"/>
          <w:lang w:val="bg-BG"/>
        </w:rPr>
        <w:t xml:space="preserve"> Поради извършено закръгление в млн. евро, някои сумарни позиции в Таблица № 1 и в текста не се изчерпват от съставните им числа.</w:t>
      </w:r>
    </w:p>
  </w:footnote>
  <w:footnote w:id="9">
    <w:p w14:paraId="23C7A981" w14:textId="77777777" w:rsidR="00157450" w:rsidRPr="006C2AFF" w:rsidRDefault="00157450" w:rsidP="00044565">
      <w:pPr>
        <w:pStyle w:val="FootnoteText"/>
        <w:jc w:val="both"/>
        <w:rPr>
          <w:sz w:val="18"/>
          <w:szCs w:val="18"/>
        </w:rPr>
      </w:pPr>
      <w:r w:rsidRPr="00044565">
        <w:rPr>
          <w:rStyle w:val="FootnoteReference"/>
          <w:sz w:val="18"/>
          <w:szCs w:val="18"/>
          <w:lang w:val="bg-BG"/>
        </w:rPr>
        <w:footnoteRef/>
      </w:r>
      <w:r w:rsidRPr="00044565">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3127CD0"/>
    <w:multiLevelType w:val="hybridMultilevel"/>
    <w:tmpl w:val="5AC6FB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194083D"/>
    <w:multiLevelType w:val="hybridMultilevel"/>
    <w:tmpl w:val="08701446"/>
    <w:lvl w:ilvl="0" w:tplc="425291B8">
      <w:numFmt w:val="bullet"/>
      <w:lvlText w:val="-"/>
      <w:lvlJc w:val="left"/>
      <w:pPr>
        <w:tabs>
          <w:tab w:val="num" w:pos="1500"/>
        </w:tabs>
        <w:ind w:left="1500" w:hanging="360"/>
      </w:pPr>
      <w:rPr>
        <w:rFonts w:ascii="Times New Roman" w:eastAsia="Times New Roman" w:hAnsi="Times New Roman" w:cs="Times New Roman"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2F34A1"/>
    <w:multiLevelType w:val="hybridMultilevel"/>
    <w:tmpl w:val="769814B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71A683C"/>
    <w:multiLevelType w:val="hybridMultilevel"/>
    <w:tmpl w:val="20DC1140"/>
    <w:lvl w:ilvl="0" w:tplc="B8089F6A">
      <w:start w:val="1"/>
      <w:numFmt w:val="bullet"/>
      <w:lvlText w:val=""/>
      <w:lvlJc w:val="left"/>
      <w:pPr>
        <w:tabs>
          <w:tab w:val="num" w:pos="417"/>
        </w:tabs>
        <w:ind w:left="417" w:hanging="357"/>
      </w:pPr>
      <w:rPr>
        <w:rFonts w:ascii="Wingdings" w:hAnsi="Wingdings" w:hint="default"/>
        <w:color w:val="auto"/>
        <w:sz w:val="28"/>
        <w:u w:color="FFFFFF"/>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7"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F11F5"/>
    <w:multiLevelType w:val="hybridMultilevel"/>
    <w:tmpl w:val="1EE24DC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C6531B"/>
    <w:multiLevelType w:val="hybridMultilevel"/>
    <w:tmpl w:val="8B6EA6A0"/>
    <w:lvl w:ilvl="0" w:tplc="EF702B0E">
      <w:start w:val="1"/>
      <w:numFmt w:val="bullet"/>
      <w:lvlText w:val=""/>
      <w:lvlJc w:val="left"/>
      <w:pPr>
        <w:ind w:left="1571" w:hanging="360"/>
      </w:pPr>
      <w:rPr>
        <w:rFonts w:ascii="Wingdings" w:hAnsi="Wingdings" w:hint="default"/>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2A5547F4"/>
    <w:multiLevelType w:val="hybridMultilevel"/>
    <w:tmpl w:val="5254DCD2"/>
    <w:lvl w:ilvl="0" w:tplc="A314B01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5240B4"/>
    <w:multiLevelType w:val="hybridMultilevel"/>
    <w:tmpl w:val="08CCBC84"/>
    <w:lvl w:ilvl="0" w:tplc="0682000E">
      <w:start w:val="1"/>
      <w:numFmt w:val="bullet"/>
      <w:lvlText w:val="-"/>
      <w:lvlJc w:val="left"/>
      <w:pPr>
        <w:ind w:left="720" w:hanging="360"/>
      </w:pPr>
      <w:rPr>
        <w:rFonts w:ascii="Times New Roman" w:eastAsia="Times New Roman" w:hAnsi="Times New Roman" w:cs="Times New Roman" w:hint="default"/>
        <w:b/>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6E236CB"/>
    <w:multiLevelType w:val="hybridMultilevel"/>
    <w:tmpl w:val="9C5CF38C"/>
    <w:lvl w:ilvl="0" w:tplc="EF3EE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FB5D76"/>
    <w:multiLevelType w:val="hybridMultilevel"/>
    <w:tmpl w:val="E6748404"/>
    <w:lvl w:ilvl="0" w:tplc="0402000D">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6" w15:restartNumberingAfterBreak="0">
    <w:nsid w:val="42E21440"/>
    <w:multiLevelType w:val="hybridMultilevel"/>
    <w:tmpl w:val="07F2493E"/>
    <w:lvl w:ilvl="0" w:tplc="A314B01C">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7"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9"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EB1EBB"/>
    <w:multiLevelType w:val="hybridMultilevel"/>
    <w:tmpl w:val="00982DA8"/>
    <w:lvl w:ilvl="0" w:tplc="F5B6D06A">
      <w:start w:val="1"/>
      <w:numFmt w:val="bullet"/>
      <w:lvlText w:val=""/>
      <w:lvlJc w:val="left"/>
      <w:pPr>
        <w:tabs>
          <w:tab w:val="num" w:pos="540"/>
        </w:tabs>
        <w:ind w:left="540" w:hanging="360"/>
      </w:pPr>
      <w:rPr>
        <w:rFonts w:ascii="Wingdings" w:hAnsi="Wingdings" w:hint="default"/>
        <w:color w:val="auto"/>
        <w:sz w:val="24"/>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9D2FCE"/>
    <w:multiLevelType w:val="hybridMultilevel"/>
    <w:tmpl w:val="6DD4EA66"/>
    <w:lvl w:ilvl="0" w:tplc="0682000E">
      <w:start w:val="1"/>
      <w:numFmt w:val="bullet"/>
      <w:lvlText w:val="-"/>
      <w:lvlJc w:val="left"/>
      <w:pPr>
        <w:ind w:left="720" w:hanging="360"/>
      </w:pPr>
      <w:rPr>
        <w:rFonts w:ascii="Times New Roman" w:eastAsia="Times New Roman" w:hAnsi="Times New Roman" w:cs="Times New Roman" w:hint="default"/>
        <w:b/>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ED05421"/>
    <w:multiLevelType w:val="hybridMultilevel"/>
    <w:tmpl w:val="82BC036E"/>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6E25D3"/>
    <w:multiLevelType w:val="hybridMultilevel"/>
    <w:tmpl w:val="27BA74F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7" w15:restartNumberingAfterBreak="0">
    <w:nsid w:val="582840DF"/>
    <w:multiLevelType w:val="hybridMultilevel"/>
    <w:tmpl w:val="E5E2C32C"/>
    <w:lvl w:ilvl="0" w:tplc="B6B24238">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8"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9" w15:restartNumberingAfterBreak="0">
    <w:nsid w:val="5A4F4D20"/>
    <w:multiLevelType w:val="hybridMultilevel"/>
    <w:tmpl w:val="5E16FA84"/>
    <w:lvl w:ilvl="0" w:tplc="A314B01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31" w15:restartNumberingAfterBreak="0">
    <w:nsid w:val="643A5E75"/>
    <w:multiLevelType w:val="hybridMultilevel"/>
    <w:tmpl w:val="EDD48416"/>
    <w:lvl w:ilvl="0" w:tplc="D1B81C84">
      <w:start w:val="1"/>
      <w:numFmt w:val="bullet"/>
      <w:lvlText w:val=""/>
      <w:lvlJc w:val="left"/>
      <w:pPr>
        <w:tabs>
          <w:tab w:val="num" w:pos="1101"/>
        </w:tabs>
        <w:ind w:left="1101" w:hanging="360"/>
      </w:pPr>
      <w:rPr>
        <w:rFonts w:ascii="Symbol" w:hAnsi="Symbol" w:hint="default"/>
        <w:color w:val="auto"/>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32" w15:restartNumberingAfterBreak="0">
    <w:nsid w:val="65037E1C"/>
    <w:multiLevelType w:val="hybridMultilevel"/>
    <w:tmpl w:val="417A6ED8"/>
    <w:lvl w:ilvl="0" w:tplc="0402000D">
      <w:start w:val="1"/>
      <w:numFmt w:val="bullet"/>
      <w:lvlText w:val=""/>
      <w:lvlJc w:val="left"/>
      <w:pPr>
        <w:ind w:left="1494" w:hanging="360"/>
      </w:pPr>
      <w:rPr>
        <w:rFonts w:ascii="Wingdings" w:hAnsi="Wingdings"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33"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82E6D57"/>
    <w:multiLevelType w:val="hybridMultilevel"/>
    <w:tmpl w:val="F2B0049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C836AB"/>
    <w:multiLevelType w:val="hybridMultilevel"/>
    <w:tmpl w:val="11FA283A"/>
    <w:lvl w:ilvl="0" w:tplc="BF8C18B4">
      <w:numFmt w:val="bullet"/>
      <w:lvlText w:val="-"/>
      <w:lvlJc w:val="left"/>
      <w:pPr>
        <w:ind w:left="643"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8"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9" w15:restartNumberingAfterBreak="0">
    <w:nsid w:val="6E770AC7"/>
    <w:multiLevelType w:val="multilevel"/>
    <w:tmpl w:val="42A0738A"/>
    <w:lvl w:ilvl="0">
      <w:start w:val="5"/>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41" w15:restartNumberingAfterBreak="0">
    <w:nsid w:val="70792FFF"/>
    <w:multiLevelType w:val="hybridMultilevel"/>
    <w:tmpl w:val="14D22CA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3" w15:restartNumberingAfterBreak="0">
    <w:nsid w:val="71B2073A"/>
    <w:multiLevelType w:val="hybridMultilevel"/>
    <w:tmpl w:val="E6A85A7C"/>
    <w:lvl w:ilvl="0" w:tplc="0402000D">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44" w15:restartNumberingAfterBreak="0">
    <w:nsid w:val="73265B88"/>
    <w:multiLevelType w:val="hybridMultilevel"/>
    <w:tmpl w:val="898C426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5" w15:restartNumberingAfterBreak="0">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46" w15:restartNumberingAfterBreak="0">
    <w:nsid w:val="76F030F1"/>
    <w:multiLevelType w:val="hybridMultilevel"/>
    <w:tmpl w:val="7FFC6D20"/>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781E64B9"/>
    <w:multiLevelType w:val="hybridMultilevel"/>
    <w:tmpl w:val="C72EA580"/>
    <w:lvl w:ilvl="0" w:tplc="04020001">
      <w:numFmt w:val="bullet"/>
      <w:lvlText w:val=""/>
      <w:lvlJc w:val="left"/>
      <w:pPr>
        <w:tabs>
          <w:tab w:val="num" w:pos="720"/>
        </w:tabs>
        <w:ind w:left="720" w:hanging="360"/>
      </w:pPr>
      <w:rPr>
        <w:rFonts w:ascii="Symbol" w:eastAsia="Times New Roman" w:hAnsi="Symbol"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9AF700C"/>
    <w:multiLevelType w:val="hybridMultilevel"/>
    <w:tmpl w:val="96CA66F8"/>
    <w:lvl w:ilvl="0" w:tplc="CB981592">
      <w:start w:val="11"/>
      <w:numFmt w:val="bullet"/>
      <w:lvlText w:val="-"/>
      <w:lvlJc w:val="left"/>
      <w:pPr>
        <w:ind w:left="720" w:hanging="360"/>
      </w:pPr>
      <w:rPr>
        <w:rFonts w:ascii="Times New Roman" w:eastAsia="Times New Roman" w:hAnsi="Times New Roman" w:cs="Times New Roman" w:hint="default"/>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79F336A1"/>
    <w:multiLevelType w:val="hybridMultilevel"/>
    <w:tmpl w:val="AF282760"/>
    <w:lvl w:ilvl="0" w:tplc="17CA124E">
      <w:start w:val="1"/>
      <w:numFmt w:val="bullet"/>
      <w:lvlText w:val=""/>
      <w:lvlJc w:val="left"/>
      <w:pPr>
        <w:ind w:left="786"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5594036">
    <w:abstractNumId w:val="4"/>
  </w:num>
  <w:num w:numId="2" w16cid:durableId="1268466601">
    <w:abstractNumId w:val="18"/>
  </w:num>
  <w:num w:numId="3" w16cid:durableId="377777268">
    <w:abstractNumId w:val="36"/>
  </w:num>
  <w:num w:numId="4" w16cid:durableId="741027138">
    <w:abstractNumId w:val="12"/>
  </w:num>
  <w:num w:numId="5" w16cid:durableId="927157701">
    <w:abstractNumId w:val="24"/>
  </w:num>
  <w:num w:numId="6" w16cid:durableId="1073818075">
    <w:abstractNumId w:val="33"/>
  </w:num>
  <w:num w:numId="7" w16cid:durableId="1856067681">
    <w:abstractNumId w:val="21"/>
  </w:num>
  <w:num w:numId="8" w16cid:durableId="1971282195">
    <w:abstractNumId w:val="42"/>
  </w:num>
  <w:num w:numId="9" w16cid:durableId="2110618012">
    <w:abstractNumId w:val="34"/>
  </w:num>
  <w:num w:numId="10" w16cid:durableId="1759864890">
    <w:abstractNumId w:val="31"/>
  </w:num>
  <w:num w:numId="11" w16cid:durableId="1418673544">
    <w:abstractNumId w:val="19"/>
  </w:num>
  <w:num w:numId="12" w16cid:durableId="2138595839">
    <w:abstractNumId w:val="7"/>
  </w:num>
  <w:num w:numId="13" w16cid:durableId="1660033484">
    <w:abstractNumId w:val="9"/>
  </w:num>
  <w:num w:numId="14" w16cid:durableId="1558735849">
    <w:abstractNumId w:val="20"/>
  </w:num>
  <w:num w:numId="15" w16cid:durableId="774445298">
    <w:abstractNumId w:val="26"/>
  </w:num>
  <w:num w:numId="16" w16cid:durableId="1263143969">
    <w:abstractNumId w:val="38"/>
  </w:num>
  <w:num w:numId="17" w16cid:durableId="1440173986">
    <w:abstractNumId w:val="28"/>
  </w:num>
  <w:num w:numId="18" w16cid:durableId="1588952871">
    <w:abstractNumId w:val="1"/>
  </w:num>
  <w:num w:numId="19" w16cid:durableId="138350568">
    <w:abstractNumId w:val="6"/>
  </w:num>
  <w:num w:numId="20" w16cid:durableId="1236086888">
    <w:abstractNumId w:val="30"/>
  </w:num>
  <w:num w:numId="21" w16cid:durableId="230115354">
    <w:abstractNumId w:val="17"/>
  </w:num>
  <w:num w:numId="22" w16cid:durableId="209725815">
    <w:abstractNumId w:val="40"/>
  </w:num>
  <w:num w:numId="23" w16cid:durableId="142897422">
    <w:abstractNumId w:val="10"/>
  </w:num>
  <w:num w:numId="24" w16cid:durableId="106656282">
    <w:abstractNumId w:val="23"/>
  </w:num>
  <w:num w:numId="25" w16cid:durableId="2031950400">
    <w:abstractNumId w:val="46"/>
  </w:num>
  <w:num w:numId="26" w16cid:durableId="1878545449">
    <w:abstractNumId w:val="35"/>
  </w:num>
  <w:num w:numId="27" w16cid:durableId="354230971">
    <w:abstractNumId w:val="37"/>
  </w:num>
  <w:num w:numId="28" w16cid:durableId="1127119528">
    <w:abstractNumId w:val="49"/>
  </w:num>
  <w:num w:numId="29" w16cid:durableId="999845907">
    <w:abstractNumId w:val="25"/>
  </w:num>
  <w:num w:numId="30" w16cid:durableId="1300722833">
    <w:abstractNumId w:val="11"/>
  </w:num>
  <w:num w:numId="31" w16cid:durableId="1466462954">
    <w:abstractNumId w:val="29"/>
  </w:num>
  <w:num w:numId="32" w16cid:durableId="15155311">
    <w:abstractNumId w:val="43"/>
  </w:num>
  <w:num w:numId="33" w16cid:durableId="9797035">
    <w:abstractNumId w:val="15"/>
  </w:num>
  <w:num w:numId="34" w16cid:durableId="823010838">
    <w:abstractNumId w:val="44"/>
  </w:num>
  <w:num w:numId="35" w16cid:durableId="1057244321">
    <w:abstractNumId w:val="14"/>
  </w:num>
  <w:num w:numId="36" w16cid:durableId="61760344">
    <w:abstractNumId w:val="48"/>
  </w:num>
  <w:num w:numId="37" w16cid:durableId="380442076">
    <w:abstractNumId w:val="2"/>
  </w:num>
  <w:num w:numId="38" w16cid:durableId="1627352540">
    <w:abstractNumId w:val="47"/>
  </w:num>
  <w:num w:numId="39" w16cid:durableId="1370179608">
    <w:abstractNumId w:val="5"/>
  </w:num>
  <w:num w:numId="40" w16cid:durableId="413236577">
    <w:abstractNumId w:val="27"/>
  </w:num>
  <w:num w:numId="41" w16cid:durableId="426466535">
    <w:abstractNumId w:val="45"/>
  </w:num>
  <w:num w:numId="42" w16cid:durableId="729309275">
    <w:abstractNumId w:val="22"/>
  </w:num>
  <w:num w:numId="43" w16cid:durableId="817266431">
    <w:abstractNumId w:val="13"/>
  </w:num>
  <w:num w:numId="44" w16cid:durableId="1544713786">
    <w:abstractNumId w:val="8"/>
  </w:num>
  <w:num w:numId="45" w16cid:durableId="1253396465">
    <w:abstractNumId w:val="32"/>
  </w:num>
  <w:num w:numId="46" w16cid:durableId="1911188905">
    <w:abstractNumId w:val="0"/>
  </w:num>
  <w:num w:numId="47" w16cid:durableId="1542092725">
    <w:abstractNumId w:val="16"/>
  </w:num>
  <w:num w:numId="48" w16cid:durableId="130485914">
    <w:abstractNumId w:val="3"/>
  </w:num>
  <w:num w:numId="49" w16cid:durableId="2083407521">
    <w:abstractNumId w:val="41"/>
  </w:num>
  <w:num w:numId="50" w16cid:durableId="585111456">
    <w:abstractNumId w:val="3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E15"/>
    <w:rsid w:val="00000EF0"/>
    <w:rsid w:val="00000FE1"/>
    <w:rsid w:val="000010D2"/>
    <w:rsid w:val="00001580"/>
    <w:rsid w:val="000016BE"/>
    <w:rsid w:val="00001ABF"/>
    <w:rsid w:val="00001CF0"/>
    <w:rsid w:val="00002A93"/>
    <w:rsid w:val="00002BD7"/>
    <w:rsid w:val="00002D9C"/>
    <w:rsid w:val="00003489"/>
    <w:rsid w:val="00003B52"/>
    <w:rsid w:val="00004264"/>
    <w:rsid w:val="00004788"/>
    <w:rsid w:val="00005544"/>
    <w:rsid w:val="00005A85"/>
    <w:rsid w:val="000063FC"/>
    <w:rsid w:val="000065C6"/>
    <w:rsid w:val="0000691E"/>
    <w:rsid w:val="00006956"/>
    <w:rsid w:val="00006A56"/>
    <w:rsid w:val="00006EBC"/>
    <w:rsid w:val="00007886"/>
    <w:rsid w:val="00007F94"/>
    <w:rsid w:val="000100F0"/>
    <w:rsid w:val="000111D3"/>
    <w:rsid w:val="00011383"/>
    <w:rsid w:val="000119C6"/>
    <w:rsid w:val="000120FA"/>
    <w:rsid w:val="000122E0"/>
    <w:rsid w:val="00012431"/>
    <w:rsid w:val="00012533"/>
    <w:rsid w:val="000126AC"/>
    <w:rsid w:val="0001276F"/>
    <w:rsid w:val="00012AE6"/>
    <w:rsid w:val="00012C07"/>
    <w:rsid w:val="0001332F"/>
    <w:rsid w:val="00013357"/>
    <w:rsid w:val="0001356B"/>
    <w:rsid w:val="00013677"/>
    <w:rsid w:val="00013834"/>
    <w:rsid w:val="00013ADD"/>
    <w:rsid w:val="00013B93"/>
    <w:rsid w:val="00013C59"/>
    <w:rsid w:val="000140E4"/>
    <w:rsid w:val="00014355"/>
    <w:rsid w:val="000146EA"/>
    <w:rsid w:val="0001499C"/>
    <w:rsid w:val="000158A2"/>
    <w:rsid w:val="00015C0F"/>
    <w:rsid w:val="00015D5B"/>
    <w:rsid w:val="000164C8"/>
    <w:rsid w:val="0001664B"/>
    <w:rsid w:val="0001718F"/>
    <w:rsid w:val="00017412"/>
    <w:rsid w:val="000175C7"/>
    <w:rsid w:val="0001768F"/>
    <w:rsid w:val="000178CA"/>
    <w:rsid w:val="00017C9A"/>
    <w:rsid w:val="00017EA1"/>
    <w:rsid w:val="00020053"/>
    <w:rsid w:val="0002050E"/>
    <w:rsid w:val="000206AE"/>
    <w:rsid w:val="000215BD"/>
    <w:rsid w:val="00021A5F"/>
    <w:rsid w:val="000221B7"/>
    <w:rsid w:val="00022856"/>
    <w:rsid w:val="000229E1"/>
    <w:rsid w:val="00022CAC"/>
    <w:rsid w:val="00022D9E"/>
    <w:rsid w:val="00023244"/>
    <w:rsid w:val="0002351F"/>
    <w:rsid w:val="00023A4B"/>
    <w:rsid w:val="00023BF6"/>
    <w:rsid w:val="00023D31"/>
    <w:rsid w:val="00023F0F"/>
    <w:rsid w:val="00024065"/>
    <w:rsid w:val="0002444B"/>
    <w:rsid w:val="0002477E"/>
    <w:rsid w:val="0002478B"/>
    <w:rsid w:val="000249A1"/>
    <w:rsid w:val="000249B9"/>
    <w:rsid w:val="00024D9E"/>
    <w:rsid w:val="000252F3"/>
    <w:rsid w:val="000256B4"/>
    <w:rsid w:val="00025953"/>
    <w:rsid w:val="000259F6"/>
    <w:rsid w:val="00025C03"/>
    <w:rsid w:val="00025E07"/>
    <w:rsid w:val="00025F45"/>
    <w:rsid w:val="000262DF"/>
    <w:rsid w:val="000263E9"/>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2B7F"/>
    <w:rsid w:val="00033525"/>
    <w:rsid w:val="00033590"/>
    <w:rsid w:val="00033ACB"/>
    <w:rsid w:val="0003403B"/>
    <w:rsid w:val="000340ED"/>
    <w:rsid w:val="00034135"/>
    <w:rsid w:val="00034396"/>
    <w:rsid w:val="00034B8C"/>
    <w:rsid w:val="00034FE3"/>
    <w:rsid w:val="00035629"/>
    <w:rsid w:val="0003586B"/>
    <w:rsid w:val="000359FA"/>
    <w:rsid w:val="0003621F"/>
    <w:rsid w:val="000363A8"/>
    <w:rsid w:val="0003685F"/>
    <w:rsid w:val="000369D6"/>
    <w:rsid w:val="00036A1B"/>
    <w:rsid w:val="00037141"/>
    <w:rsid w:val="000377BC"/>
    <w:rsid w:val="000378DC"/>
    <w:rsid w:val="0003798B"/>
    <w:rsid w:val="000379BC"/>
    <w:rsid w:val="00037FDD"/>
    <w:rsid w:val="00040164"/>
    <w:rsid w:val="000406B2"/>
    <w:rsid w:val="0004080C"/>
    <w:rsid w:val="0004098D"/>
    <w:rsid w:val="00040C20"/>
    <w:rsid w:val="000411D9"/>
    <w:rsid w:val="00041338"/>
    <w:rsid w:val="00042634"/>
    <w:rsid w:val="00042825"/>
    <w:rsid w:val="00042853"/>
    <w:rsid w:val="00042C9E"/>
    <w:rsid w:val="00042E57"/>
    <w:rsid w:val="0004338F"/>
    <w:rsid w:val="000436DD"/>
    <w:rsid w:val="000439F5"/>
    <w:rsid w:val="00043A1B"/>
    <w:rsid w:val="00043AA0"/>
    <w:rsid w:val="00043AB2"/>
    <w:rsid w:val="00043E35"/>
    <w:rsid w:val="00043E3A"/>
    <w:rsid w:val="00044147"/>
    <w:rsid w:val="00044187"/>
    <w:rsid w:val="0004426E"/>
    <w:rsid w:val="00044273"/>
    <w:rsid w:val="00044543"/>
    <w:rsid w:val="00044565"/>
    <w:rsid w:val="00044584"/>
    <w:rsid w:val="0004481C"/>
    <w:rsid w:val="00044A32"/>
    <w:rsid w:val="00044C57"/>
    <w:rsid w:val="00045116"/>
    <w:rsid w:val="0004521E"/>
    <w:rsid w:val="0004559E"/>
    <w:rsid w:val="00045688"/>
    <w:rsid w:val="000458F0"/>
    <w:rsid w:val="00045B4C"/>
    <w:rsid w:val="000465FC"/>
    <w:rsid w:val="000467B1"/>
    <w:rsid w:val="00046C36"/>
    <w:rsid w:val="0004753C"/>
    <w:rsid w:val="000478FB"/>
    <w:rsid w:val="000500CE"/>
    <w:rsid w:val="0005045E"/>
    <w:rsid w:val="000504F4"/>
    <w:rsid w:val="0005066A"/>
    <w:rsid w:val="00050A1B"/>
    <w:rsid w:val="00051D05"/>
    <w:rsid w:val="00051E5E"/>
    <w:rsid w:val="0005221E"/>
    <w:rsid w:val="00052449"/>
    <w:rsid w:val="00052485"/>
    <w:rsid w:val="0005284D"/>
    <w:rsid w:val="00052B23"/>
    <w:rsid w:val="00052C5C"/>
    <w:rsid w:val="000538A6"/>
    <w:rsid w:val="00053B0F"/>
    <w:rsid w:val="00053C71"/>
    <w:rsid w:val="00053D51"/>
    <w:rsid w:val="000542B4"/>
    <w:rsid w:val="00054555"/>
    <w:rsid w:val="000546BF"/>
    <w:rsid w:val="000548B8"/>
    <w:rsid w:val="00054968"/>
    <w:rsid w:val="00054CE2"/>
    <w:rsid w:val="00054E02"/>
    <w:rsid w:val="00055007"/>
    <w:rsid w:val="000551E4"/>
    <w:rsid w:val="00055A61"/>
    <w:rsid w:val="00055DD1"/>
    <w:rsid w:val="00055DF0"/>
    <w:rsid w:val="000561EA"/>
    <w:rsid w:val="00056221"/>
    <w:rsid w:val="00056B58"/>
    <w:rsid w:val="00056D9D"/>
    <w:rsid w:val="00056EF0"/>
    <w:rsid w:val="0005737D"/>
    <w:rsid w:val="0005756A"/>
    <w:rsid w:val="00057886"/>
    <w:rsid w:val="0006057F"/>
    <w:rsid w:val="00060627"/>
    <w:rsid w:val="00060A02"/>
    <w:rsid w:val="00060B42"/>
    <w:rsid w:val="000613BA"/>
    <w:rsid w:val="0006166E"/>
    <w:rsid w:val="00061758"/>
    <w:rsid w:val="000621DE"/>
    <w:rsid w:val="00062315"/>
    <w:rsid w:val="00062A61"/>
    <w:rsid w:val="00062A78"/>
    <w:rsid w:val="00063093"/>
    <w:rsid w:val="00063235"/>
    <w:rsid w:val="00063248"/>
    <w:rsid w:val="000638DE"/>
    <w:rsid w:val="00063C56"/>
    <w:rsid w:val="00063CF1"/>
    <w:rsid w:val="00063E15"/>
    <w:rsid w:val="000642B9"/>
    <w:rsid w:val="0006432D"/>
    <w:rsid w:val="00064472"/>
    <w:rsid w:val="0006477A"/>
    <w:rsid w:val="00064785"/>
    <w:rsid w:val="00064AF3"/>
    <w:rsid w:val="00064C44"/>
    <w:rsid w:val="00064E39"/>
    <w:rsid w:val="00064F71"/>
    <w:rsid w:val="0006584F"/>
    <w:rsid w:val="00065A46"/>
    <w:rsid w:val="00065A9B"/>
    <w:rsid w:val="00065DF8"/>
    <w:rsid w:val="000660D5"/>
    <w:rsid w:val="0006611E"/>
    <w:rsid w:val="000661BD"/>
    <w:rsid w:val="000663D1"/>
    <w:rsid w:val="000666C0"/>
    <w:rsid w:val="00066909"/>
    <w:rsid w:val="000669D8"/>
    <w:rsid w:val="00066EED"/>
    <w:rsid w:val="0006701C"/>
    <w:rsid w:val="00067283"/>
    <w:rsid w:val="00067469"/>
    <w:rsid w:val="0006785C"/>
    <w:rsid w:val="0007007C"/>
    <w:rsid w:val="0007047E"/>
    <w:rsid w:val="000709C1"/>
    <w:rsid w:val="00070A97"/>
    <w:rsid w:val="00071C3B"/>
    <w:rsid w:val="00071F12"/>
    <w:rsid w:val="0007251B"/>
    <w:rsid w:val="00072C4F"/>
    <w:rsid w:val="00072D22"/>
    <w:rsid w:val="00072E22"/>
    <w:rsid w:val="00073108"/>
    <w:rsid w:val="00073DF5"/>
    <w:rsid w:val="00074744"/>
    <w:rsid w:val="0007481D"/>
    <w:rsid w:val="00074B7D"/>
    <w:rsid w:val="000751C1"/>
    <w:rsid w:val="00075256"/>
    <w:rsid w:val="0007526B"/>
    <w:rsid w:val="000756FB"/>
    <w:rsid w:val="000768B3"/>
    <w:rsid w:val="00076B59"/>
    <w:rsid w:val="0007780E"/>
    <w:rsid w:val="000801C8"/>
    <w:rsid w:val="00080AB2"/>
    <w:rsid w:val="00080EF5"/>
    <w:rsid w:val="0008129A"/>
    <w:rsid w:val="0008155D"/>
    <w:rsid w:val="0008165A"/>
    <w:rsid w:val="000819F9"/>
    <w:rsid w:val="00081AFD"/>
    <w:rsid w:val="00081DEB"/>
    <w:rsid w:val="00082392"/>
    <w:rsid w:val="00082679"/>
    <w:rsid w:val="000827A4"/>
    <w:rsid w:val="000829EB"/>
    <w:rsid w:val="00082BD9"/>
    <w:rsid w:val="00082F40"/>
    <w:rsid w:val="0008327E"/>
    <w:rsid w:val="000832E5"/>
    <w:rsid w:val="000833A2"/>
    <w:rsid w:val="0008357F"/>
    <w:rsid w:val="00083CC9"/>
    <w:rsid w:val="00084394"/>
    <w:rsid w:val="00084827"/>
    <w:rsid w:val="000851D2"/>
    <w:rsid w:val="000853B1"/>
    <w:rsid w:val="00085704"/>
    <w:rsid w:val="00085715"/>
    <w:rsid w:val="00085734"/>
    <w:rsid w:val="00085B96"/>
    <w:rsid w:val="00085D31"/>
    <w:rsid w:val="00085E01"/>
    <w:rsid w:val="00085E1A"/>
    <w:rsid w:val="00086A8E"/>
    <w:rsid w:val="00086FA7"/>
    <w:rsid w:val="0008710A"/>
    <w:rsid w:val="00087295"/>
    <w:rsid w:val="0008745A"/>
    <w:rsid w:val="000878C4"/>
    <w:rsid w:val="00087924"/>
    <w:rsid w:val="00087ED6"/>
    <w:rsid w:val="0009002F"/>
    <w:rsid w:val="000900E3"/>
    <w:rsid w:val="000901EA"/>
    <w:rsid w:val="000902B5"/>
    <w:rsid w:val="00090536"/>
    <w:rsid w:val="00090D1D"/>
    <w:rsid w:val="000910CA"/>
    <w:rsid w:val="00091196"/>
    <w:rsid w:val="00091BAB"/>
    <w:rsid w:val="00091BCE"/>
    <w:rsid w:val="00091C2D"/>
    <w:rsid w:val="000931C8"/>
    <w:rsid w:val="000937AB"/>
    <w:rsid w:val="000937E0"/>
    <w:rsid w:val="00093CFC"/>
    <w:rsid w:val="00093F6F"/>
    <w:rsid w:val="00094376"/>
    <w:rsid w:val="000943E4"/>
    <w:rsid w:val="000949D3"/>
    <w:rsid w:val="00094A6C"/>
    <w:rsid w:val="00094A78"/>
    <w:rsid w:val="00094D57"/>
    <w:rsid w:val="00095164"/>
    <w:rsid w:val="0009519B"/>
    <w:rsid w:val="000959DC"/>
    <w:rsid w:val="00095CA2"/>
    <w:rsid w:val="00095EF0"/>
    <w:rsid w:val="0009649D"/>
    <w:rsid w:val="00096CF2"/>
    <w:rsid w:val="0009743A"/>
    <w:rsid w:val="0009773F"/>
    <w:rsid w:val="000979B5"/>
    <w:rsid w:val="00097C52"/>
    <w:rsid w:val="000A052A"/>
    <w:rsid w:val="000A09BA"/>
    <w:rsid w:val="000A10E1"/>
    <w:rsid w:val="000A301B"/>
    <w:rsid w:val="000A3426"/>
    <w:rsid w:val="000A3651"/>
    <w:rsid w:val="000A394C"/>
    <w:rsid w:val="000A3F57"/>
    <w:rsid w:val="000A4432"/>
    <w:rsid w:val="000A534F"/>
    <w:rsid w:val="000A5B32"/>
    <w:rsid w:val="000A6DB7"/>
    <w:rsid w:val="000A6E4D"/>
    <w:rsid w:val="000A7446"/>
    <w:rsid w:val="000A7841"/>
    <w:rsid w:val="000A7E18"/>
    <w:rsid w:val="000B0616"/>
    <w:rsid w:val="000B0815"/>
    <w:rsid w:val="000B09E5"/>
    <w:rsid w:val="000B0BED"/>
    <w:rsid w:val="000B0CE6"/>
    <w:rsid w:val="000B11FB"/>
    <w:rsid w:val="000B12F6"/>
    <w:rsid w:val="000B175F"/>
    <w:rsid w:val="000B1A24"/>
    <w:rsid w:val="000B1E59"/>
    <w:rsid w:val="000B25CC"/>
    <w:rsid w:val="000B2CBE"/>
    <w:rsid w:val="000B330C"/>
    <w:rsid w:val="000B4481"/>
    <w:rsid w:val="000B460F"/>
    <w:rsid w:val="000B474D"/>
    <w:rsid w:val="000B49EE"/>
    <w:rsid w:val="000B511A"/>
    <w:rsid w:val="000B511E"/>
    <w:rsid w:val="000B5123"/>
    <w:rsid w:val="000B52FA"/>
    <w:rsid w:val="000B5F1E"/>
    <w:rsid w:val="000B62C7"/>
    <w:rsid w:val="000B64BA"/>
    <w:rsid w:val="000B67EA"/>
    <w:rsid w:val="000B6D3A"/>
    <w:rsid w:val="000B7234"/>
    <w:rsid w:val="000B7447"/>
    <w:rsid w:val="000B75C1"/>
    <w:rsid w:val="000B7C4F"/>
    <w:rsid w:val="000B7E66"/>
    <w:rsid w:val="000C019B"/>
    <w:rsid w:val="000C06FE"/>
    <w:rsid w:val="000C0A44"/>
    <w:rsid w:val="000C0E2B"/>
    <w:rsid w:val="000C0FA1"/>
    <w:rsid w:val="000C13A5"/>
    <w:rsid w:val="000C16FE"/>
    <w:rsid w:val="000C20BA"/>
    <w:rsid w:val="000C244E"/>
    <w:rsid w:val="000C2FAC"/>
    <w:rsid w:val="000C3011"/>
    <w:rsid w:val="000C3451"/>
    <w:rsid w:val="000C3D73"/>
    <w:rsid w:val="000C4757"/>
    <w:rsid w:val="000C4760"/>
    <w:rsid w:val="000C4CBB"/>
    <w:rsid w:val="000C56B9"/>
    <w:rsid w:val="000C5ACF"/>
    <w:rsid w:val="000C5C6D"/>
    <w:rsid w:val="000C6079"/>
    <w:rsid w:val="000C6742"/>
    <w:rsid w:val="000C69AE"/>
    <w:rsid w:val="000C6A7A"/>
    <w:rsid w:val="000C6CB5"/>
    <w:rsid w:val="000C6CF3"/>
    <w:rsid w:val="000C6EFE"/>
    <w:rsid w:val="000C72DC"/>
    <w:rsid w:val="000C7303"/>
    <w:rsid w:val="000C736E"/>
    <w:rsid w:val="000C75A5"/>
    <w:rsid w:val="000C75DD"/>
    <w:rsid w:val="000C773E"/>
    <w:rsid w:val="000C7914"/>
    <w:rsid w:val="000C7BB6"/>
    <w:rsid w:val="000D01A6"/>
    <w:rsid w:val="000D0538"/>
    <w:rsid w:val="000D06A6"/>
    <w:rsid w:val="000D0AB1"/>
    <w:rsid w:val="000D0EA5"/>
    <w:rsid w:val="000D13E1"/>
    <w:rsid w:val="000D14F3"/>
    <w:rsid w:val="000D23F8"/>
    <w:rsid w:val="000D2516"/>
    <w:rsid w:val="000D26D5"/>
    <w:rsid w:val="000D2B33"/>
    <w:rsid w:val="000D2BE7"/>
    <w:rsid w:val="000D2D39"/>
    <w:rsid w:val="000D3407"/>
    <w:rsid w:val="000D3942"/>
    <w:rsid w:val="000D39CE"/>
    <w:rsid w:val="000D3C4D"/>
    <w:rsid w:val="000D3FA7"/>
    <w:rsid w:val="000D4203"/>
    <w:rsid w:val="000D46FD"/>
    <w:rsid w:val="000D46FF"/>
    <w:rsid w:val="000D49F5"/>
    <w:rsid w:val="000D4BEB"/>
    <w:rsid w:val="000D4CF8"/>
    <w:rsid w:val="000D50EA"/>
    <w:rsid w:val="000D5449"/>
    <w:rsid w:val="000D5722"/>
    <w:rsid w:val="000D5EE2"/>
    <w:rsid w:val="000D621C"/>
    <w:rsid w:val="000D6C9C"/>
    <w:rsid w:val="000D6D92"/>
    <w:rsid w:val="000D725A"/>
    <w:rsid w:val="000D740D"/>
    <w:rsid w:val="000D7520"/>
    <w:rsid w:val="000D78E4"/>
    <w:rsid w:val="000D7B46"/>
    <w:rsid w:val="000E0187"/>
    <w:rsid w:val="000E0B42"/>
    <w:rsid w:val="000E0EBA"/>
    <w:rsid w:val="000E0EE9"/>
    <w:rsid w:val="000E1529"/>
    <w:rsid w:val="000E1EAF"/>
    <w:rsid w:val="000E1FB5"/>
    <w:rsid w:val="000E2207"/>
    <w:rsid w:val="000E234B"/>
    <w:rsid w:val="000E2869"/>
    <w:rsid w:val="000E2894"/>
    <w:rsid w:val="000E2B21"/>
    <w:rsid w:val="000E2BF2"/>
    <w:rsid w:val="000E39DF"/>
    <w:rsid w:val="000E3BA7"/>
    <w:rsid w:val="000E3CDC"/>
    <w:rsid w:val="000E3DA0"/>
    <w:rsid w:val="000E4599"/>
    <w:rsid w:val="000E4CFE"/>
    <w:rsid w:val="000E4EB4"/>
    <w:rsid w:val="000E5205"/>
    <w:rsid w:val="000E5295"/>
    <w:rsid w:val="000E5483"/>
    <w:rsid w:val="000E5EE9"/>
    <w:rsid w:val="000E632B"/>
    <w:rsid w:val="000E6968"/>
    <w:rsid w:val="000E69D1"/>
    <w:rsid w:val="000E76B3"/>
    <w:rsid w:val="000E773D"/>
    <w:rsid w:val="000F04F4"/>
    <w:rsid w:val="000F0610"/>
    <w:rsid w:val="000F0BD7"/>
    <w:rsid w:val="000F0D92"/>
    <w:rsid w:val="000F0FAC"/>
    <w:rsid w:val="000F1488"/>
    <w:rsid w:val="000F1EB1"/>
    <w:rsid w:val="000F26DE"/>
    <w:rsid w:val="000F32E9"/>
    <w:rsid w:val="000F3534"/>
    <w:rsid w:val="000F3A6E"/>
    <w:rsid w:val="000F3CB4"/>
    <w:rsid w:val="000F3EA1"/>
    <w:rsid w:val="000F4571"/>
    <w:rsid w:val="000F4728"/>
    <w:rsid w:val="000F47A8"/>
    <w:rsid w:val="000F4AE4"/>
    <w:rsid w:val="000F4DCA"/>
    <w:rsid w:val="000F4E05"/>
    <w:rsid w:val="000F4F46"/>
    <w:rsid w:val="000F5080"/>
    <w:rsid w:val="000F57CC"/>
    <w:rsid w:val="000F5EC6"/>
    <w:rsid w:val="000F5EF4"/>
    <w:rsid w:val="000F5F76"/>
    <w:rsid w:val="000F61CB"/>
    <w:rsid w:val="000F6342"/>
    <w:rsid w:val="000F68AF"/>
    <w:rsid w:val="000F6975"/>
    <w:rsid w:val="000F6B35"/>
    <w:rsid w:val="0010026D"/>
    <w:rsid w:val="0010055E"/>
    <w:rsid w:val="001006E1"/>
    <w:rsid w:val="00100931"/>
    <w:rsid w:val="00100CE5"/>
    <w:rsid w:val="00100D97"/>
    <w:rsid w:val="001011A4"/>
    <w:rsid w:val="00101301"/>
    <w:rsid w:val="001017B7"/>
    <w:rsid w:val="00101B1C"/>
    <w:rsid w:val="00101BE4"/>
    <w:rsid w:val="00101D61"/>
    <w:rsid w:val="0010212B"/>
    <w:rsid w:val="00102523"/>
    <w:rsid w:val="0010261A"/>
    <w:rsid w:val="00102869"/>
    <w:rsid w:val="001028F7"/>
    <w:rsid w:val="00102BA6"/>
    <w:rsid w:val="0010358B"/>
    <w:rsid w:val="00103BC3"/>
    <w:rsid w:val="0010424C"/>
    <w:rsid w:val="00104331"/>
    <w:rsid w:val="001046B0"/>
    <w:rsid w:val="00104921"/>
    <w:rsid w:val="00104A12"/>
    <w:rsid w:val="00104BB5"/>
    <w:rsid w:val="00104D7F"/>
    <w:rsid w:val="00104ED0"/>
    <w:rsid w:val="00104F02"/>
    <w:rsid w:val="0010539A"/>
    <w:rsid w:val="001053A6"/>
    <w:rsid w:val="00105B38"/>
    <w:rsid w:val="00106009"/>
    <w:rsid w:val="00106081"/>
    <w:rsid w:val="001060C0"/>
    <w:rsid w:val="0010649F"/>
    <w:rsid w:val="0010683E"/>
    <w:rsid w:val="00106E64"/>
    <w:rsid w:val="00106F55"/>
    <w:rsid w:val="00107065"/>
    <w:rsid w:val="00107258"/>
    <w:rsid w:val="0010743D"/>
    <w:rsid w:val="00107498"/>
    <w:rsid w:val="001077FA"/>
    <w:rsid w:val="00107A38"/>
    <w:rsid w:val="00107C9F"/>
    <w:rsid w:val="00107F93"/>
    <w:rsid w:val="00110619"/>
    <w:rsid w:val="00110E74"/>
    <w:rsid w:val="0011137B"/>
    <w:rsid w:val="00111AA9"/>
    <w:rsid w:val="0011244D"/>
    <w:rsid w:val="00112882"/>
    <w:rsid w:val="00112CAC"/>
    <w:rsid w:val="00112E96"/>
    <w:rsid w:val="00113B1A"/>
    <w:rsid w:val="00113FD8"/>
    <w:rsid w:val="00114D25"/>
    <w:rsid w:val="00114D27"/>
    <w:rsid w:val="00114DE5"/>
    <w:rsid w:val="0011515C"/>
    <w:rsid w:val="00116AF1"/>
    <w:rsid w:val="00116D77"/>
    <w:rsid w:val="00116E10"/>
    <w:rsid w:val="001173BA"/>
    <w:rsid w:val="001179C1"/>
    <w:rsid w:val="00117A49"/>
    <w:rsid w:val="00117C68"/>
    <w:rsid w:val="00117CA6"/>
    <w:rsid w:val="001202E6"/>
    <w:rsid w:val="001202FB"/>
    <w:rsid w:val="001205E0"/>
    <w:rsid w:val="00120BC1"/>
    <w:rsid w:val="00120CC7"/>
    <w:rsid w:val="00120DB2"/>
    <w:rsid w:val="00121946"/>
    <w:rsid w:val="00122BBB"/>
    <w:rsid w:val="00122F3A"/>
    <w:rsid w:val="00122FCA"/>
    <w:rsid w:val="00123862"/>
    <w:rsid w:val="00123B59"/>
    <w:rsid w:val="00123CED"/>
    <w:rsid w:val="00123E2A"/>
    <w:rsid w:val="00124273"/>
    <w:rsid w:val="00124548"/>
    <w:rsid w:val="00124777"/>
    <w:rsid w:val="00124831"/>
    <w:rsid w:val="00124B98"/>
    <w:rsid w:val="00124FAC"/>
    <w:rsid w:val="00124FB9"/>
    <w:rsid w:val="00125B7A"/>
    <w:rsid w:val="00125CD6"/>
    <w:rsid w:val="00125F45"/>
    <w:rsid w:val="001260AA"/>
    <w:rsid w:val="001261FE"/>
    <w:rsid w:val="001264C3"/>
    <w:rsid w:val="00126707"/>
    <w:rsid w:val="00126805"/>
    <w:rsid w:val="001269AE"/>
    <w:rsid w:val="00127D25"/>
    <w:rsid w:val="001301B6"/>
    <w:rsid w:val="001305A6"/>
    <w:rsid w:val="0013129C"/>
    <w:rsid w:val="00131B05"/>
    <w:rsid w:val="00131C51"/>
    <w:rsid w:val="00132423"/>
    <w:rsid w:val="00132AD1"/>
    <w:rsid w:val="00132CE0"/>
    <w:rsid w:val="00132ECD"/>
    <w:rsid w:val="00133013"/>
    <w:rsid w:val="00133033"/>
    <w:rsid w:val="0013308F"/>
    <w:rsid w:val="00133183"/>
    <w:rsid w:val="00133478"/>
    <w:rsid w:val="00133644"/>
    <w:rsid w:val="001342F2"/>
    <w:rsid w:val="00134B48"/>
    <w:rsid w:val="0013522E"/>
    <w:rsid w:val="0013588C"/>
    <w:rsid w:val="00135A23"/>
    <w:rsid w:val="00135B90"/>
    <w:rsid w:val="00135E72"/>
    <w:rsid w:val="00135E92"/>
    <w:rsid w:val="001366E5"/>
    <w:rsid w:val="00136893"/>
    <w:rsid w:val="00136966"/>
    <w:rsid w:val="00136C08"/>
    <w:rsid w:val="00136DA4"/>
    <w:rsid w:val="00136E65"/>
    <w:rsid w:val="00137162"/>
    <w:rsid w:val="001371FA"/>
    <w:rsid w:val="0013776C"/>
    <w:rsid w:val="00137FDA"/>
    <w:rsid w:val="001400F3"/>
    <w:rsid w:val="00140F18"/>
    <w:rsid w:val="00140F61"/>
    <w:rsid w:val="0014108F"/>
    <w:rsid w:val="00141B03"/>
    <w:rsid w:val="001423F5"/>
    <w:rsid w:val="00142540"/>
    <w:rsid w:val="00142979"/>
    <w:rsid w:val="00142ABD"/>
    <w:rsid w:val="00142EDB"/>
    <w:rsid w:val="00142FD3"/>
    <w:rsid w:val="00143002"/>
    <w:rsid w:val="001434EA"/>
    <w:rsid w:val="00143814"/>
    <w:rsid w:val="001445AC"/>
    <w:rsid w:val="001448D2"/>
    <w:rsid w:val="00144B67"/>
    <w:rsid w:val="00144BF2"/>
    <w:rsid w:val="0014585D"/>
    <w:rsid w:val="00145944"/>
    <w:rsid w:val="00145AD1"/>
    <w:rsid w:val="00145F05"/>
    <w:rsid w:val="001462A0"/>
    <w:rsid w:val="00146314"/>
    <w:rsid w:val="001466F3"/>
    <w:rsid w:val="00146C11"/>
    <w:rsid w:val="00147195"/>
    <w:rsid w:val="00147250"/>
    <w:rsid w:val="001477C2"/>
    <w:rsid w:val="0015009D"/>
    <w:rsid w:val="00150706"/>
    <w:rsid w:val="00150793"/>
    <w:rsid w:val="00150D38"/>
    <w:rsid w:val="00151260"/>
    <w:rsid w:val="001514CB"/>
    <w:rsid w:val="00151757"/>
    <w:rsid w:val="00152672"/>
    <w:rsid w:val="001528EE"/>
    <w:rsid w:val="00152B9C"/>
    <w:rsid w:val="00153077"/>
    <w:rsid w:val="001535F3"/>
    <w:rsid w:val="00153CA6"/>
    <w:rsid w:val="00153DF3"/>
    <w:rsid w:val="00154247"/>
    <w:rsid w:val="001543D7"/>
    <w:rsid w:val="00154B29"/>
    <w:rsid w:val="00154BD9"/>
    <w:rsid w:val="00154DE5"/>
    <w:rsid w:val="00154FA1"/>
    <w:rsid w:val="00155948"/>
    <w:rsid w:val="00155A70"/>
    <w:rsid w:val="00155B06"/>
    <w:rsid w:val="00156356"/>
    <w:rsid w:val="00156A3B"/>
    <w:rsid w:val="00156B18"/>
    <w:rsid w:val="00156F40"/>
    <w:rsid w:val="00157450"/>
    <w:rsid w:val="00157673"/>
    <w:rsid w:val="00157743"/>
    <w:rsid w:val="00157B70"/>
    <w:rsid w:val="00157EC4"/>
    <w:rsid w:val="00157EF5"/>
    <w:rsid w:val="0016023C"/>
    <w:rsid w:val="001606A4"/>
    <w:rsid w:val="00160A10"/>
    <w:rsid w:val="00160C5B"/>
    <w:rsid w:val="00160EC6"/>
    <w:rsid w:val="00160FBD"/>
    <w:rsid w:val="0016116C"/>
    <w:rsid w:val="0016122A"/>
    <w:rsid w:val="0016140B"/>
    <w:rsid w:val="0016194D"/>
    <w:rsid w:val="00161F90"/>
    <w:rsid w:val="001623A2"/>
    <w:rsid w:val="00162970"/>
    <w:rsid w:val="00162F68"/>
    <w:rsid w:val="00163535"/>
    <w:rsid w:val="00163645"/>
    <w:rsid w:val="00164220"/>
    <w:rsid w:val="001643F8"/>
    <w:rsid w:val="0016452C"/>
    <w:rsid w:val="001647E9"/>
    <w:rsid w:val="00164961"/>
    <w:rsid w:val="00164FAD"/>
    <w:rsid w:val="001652A9"/>
    <w:rsid w:val="0016560A"/>
    <w:rsid w:val="00165DB5"/>
    <w:rsid w:val="00165FF0"/>
    <w:rsid w:val="00166023"/>
    <w:rsid w:val="001662FB"/>
    <w:rsid w:val="001663F9"/>
    <w:rsid w:val="001668BD"/>
    <w:rsid w:val="001671E2"/>
    <w:rsid w:val="0017086C"/>
    <w:rsid w:val="00170A50"/>
    <w:rsid w:val="00170EFE"/>
    <w:rsid w:val="00171333"/>
    <w:rsid w:val="00171F8E"/>
    <w:rsid w:val="0017216E"/>
    <w:rsid w:val="001721EA"/>
    <w:rsid w:val="0017261A"/>
    <w:rsid w:val="0017293F"/>
    <w:rsid w:val="001729BB"/>
    <w:rsid w:val="00172AEE"/>
    <w:rsid w:val="00173987"/>
    <w:rsid w:val="00173C2D"/>
    <w:rsid w:val="00174441"/>
    <w:rsid w:val="00174693"/>
    <w:rsid w:val="0017483F"/>
    <w:rsid w:val="00174C24"/>
    <w:rsid w:val="00174D6C"/>
    <w:rsid w:val="0017545F"/>
    <w:rsid w:val="00175494"/>
    <w:rsid w:val="00175539"/>
    <w:rsid w:val="00175890"/>
    <w:rsid w:val="00175A73"/>
    <w:rsid w:val="00175E50"/>
    <w:rsid w:val="00176340"/>
    <w:rsid w:val="00176403"/>
    <w:rsid w:val="0017681A"/>
    <w:rsid w:val="00176AE7"/>
    <w:rsid w:val="00176CB6"/>
    <w:rsid w:val="00176E98"/>
    <w:rsid w:val="00177307"/>
    <w:rsid w:val="00177400"/>
    <w:rsid w:val="00180811"/>
    <w:rsid w:val="001808E6"/>
    <w:rsid w:val="00180AEF"/>
    <w:rsid w:val="00180DC9"/>
    <w:rsid w:val="0018154E"/>
    <w:rsid w:val="00181857"/>
    <w:rsid w:val="00181D1E"/>
    <w:rsid w:val="00181E4B"/>
    <w:rsid w:val="00181FCA"/>
    <w:rsid w:val="001820C4"/>
    <w:rsid w:val="001824F0"/>
    <w:rsid w:val="001827BB"/>
    <w:rsid w:val="00182A2B"/>
    <w:rsid w:val="00182A94"/>
    <w:rsid w:val="00182C1A"/>
    <w:rsid w:val="00182D63"/>
    <w:rsid w:val="00182F27"/>
    <w:rsid w:val="00183392"/>
    <w:rsid w:val="0018347C"/>
    <w:rsid w:val="0018398A"/>
    <w:rsid w:val="00183D5F"/>
    <w:rsid w:val="00183EA5"/>
    <w:rsid w:val="00183FAF"/>
    <w:rsid w:val="00184091"/>
    <w:rsid w:val="00184502"/>
    <w:rsid w:val="0018452B"/>
    <w:rsid w:val="001845D5"/>
    <w:rsid w:val="001846D1"/>
    <w:rsid w:val="00184DF2"/>
    <w:rsid w:val="001850C5"/>
    <w:rsid w:val="001851AE"/>
    <w:rsid w:val="0018526D"/>
    <w:rsid w:val="001855F5"/>
    <w:rsid w:val="001858CD"/>
    <w:rsid w:val="001859FA"/>
    <w:rsid w:val="00185A12"/>
    <w:rsid w:val="00185BF6"/>
    <w:rsid w:val="00185D08"/>
    <w:rsid w:val="00185E33"/>
    <w:rsid w:val="001864AF"/>
    <w:rsid w:val="00186536"/>
    <w:rsid w:val="001869BB"/>
    <w:rsid w:val="00186C81"/>
    <w:rsid w:val="00186D39"/>
    <w:rsid w:val="00186DF9"/>
    <w:rsid w:val="00187AC9"/>
    <w:rsid w:val="00187C31"/>
    <w:rsid w:val="001902B3"/>
    <w:rsid w:val="00190983"/>
    <w:rsid w:val="0019151C"/>
    <w:rsid w:val="00191AA6"/>
    <w:rsid w:val="00191AB6"/>
    <w:rsid w:val="00191B55"/>
    <w:rsid w:val="00191EC8"/>
    <w:rsid w:val="00191F79"/>
    <w:rsid w:val="0019213B"/>
    <w:rsid w:val="0019232E"/>
    <w:rsid w:val="0019239F"/>
    <w:rsid w:val="001924F6"/>
    <w:rsid w:val="00192CDB"/>
    <w:rsid w:val="00192F6E"/>
    <w:rsid w:val="00193D9B"/>
    <w:rsid w:val="00193F20"/>
    <w:rsid w:val="0019413C"/>
    <w:rsid w:val="001941E4"/>
    <w:rsid w:val="00194AF7"/>
    <w:rsid w:val="00194C1F"/>
    <w:rsid w:val="00194DAF"/>
    <w:rsid w:val="001953AC"/>
    <w:rsid w:val="00195517"/>
    <w:rsid w:val="00195AE3"/>
    <w:rsid w:val="00195B15"/>
    <w:rsid w:val="00195BE8"/>
    <w:rsid w:val="00195CF2"/>
    <w:rsid w:val="00195E11"/>
    <w:rsid w:val="00195F99"/>
    <w:rsid w:val="00195FB3"/>
    <w:rsid w:val="00196263"/>
    <w:rsid w:val="001965AA"/>
    <w:rsid w:val="0019667B"/>
    <w:rsid w:val="001968E4"/>
    <w:rsid w:val="00197031"/>
    <w:rsid w:val="001970DB"/>
    <w:rsid w:val="001971AE"/>
    <w:rsid w:val="00197278"/>
    <w:rsid w:val="00197392"/>
    <w:rsid w:val="00197764"/>
    <w:rsid w:val="00197EC3"/>
    <w:rsid w:val="00197FB1"/>
    <w:rsid w:val="001A0601"/>
    <w:rsid w:val="001A0BB0"/>
    <w:rsid w:val="001A1837"/>
    <w:rsid w:val="001A1B2F"/>
    <w:rsid w:val="001A1C51"/>
    <w:rsid w:val="001A2023"/>
    <w:rsid w:val="001A236F"/>
    <w:rsid w:val="001A28BA"/>
    <w:rsid w:val="001A3051"/>
    <w:rsid w:val="001A314B"/>
    <w:rsid w:val="001A3387"/>
    <w:rsid w:val="001A3398"/>
    <w:rsid w:val="001A38D5"/>
    <w:rsid w:val="001A3DED"/>
    <w:rsid w:val="001A4493"/>
    <w:rsid w:val="001A4589"/>
    <w:rsid w:val="001A469D"/>
    <w:rsid w:val="001A4935"/>
    <w:rsid w:val="001A5350"/>
    <w:rsid w:val="001A5398"/>
    <w:rsid w:val="001A5553"/>
    <w:rsid w:val="001A59AF"/>
    <w:rsid w:val="001A5E96"/>
    <w:rsid w:val="001A6777"/>
    <w:rsid w:val="001A6D21"/>
    <w:rsid w:val="001A718A"/>
    <w:rsid w:val="001A718F"/>
    <w:rsid w:val="001A75B9"/>
    <w:rsid w:val="001A7DC2"/>
    <w:rsid w:val="001A7E84"/>
    <w:rsid w:val="001B09A8"/>
    <w:rsid w:val="001B0A90"/>
    <w:rsid w:val="001B124D"/>
    <w:rsid w:val="001B1694"/>
    <w:rsid w:val="001B18C3"/>
    <w:rsid w:val="001B1C70"/>
    <w:rsid w:val="001B20E4"/>
    <w:rsid w:val="001B2D1F"/>
    <w:rsid w:val="001B2E77"/>
    <w:rsid w:val="001B2FCD"/>
    <w:rsid w:val="001B3285"/>
    <w:rsid w:val="001B370A"/>
    <w:rsid w:val="001B39DD"/>
    <w:rsid w:val="001B3BA9"/>
    <w:rsid w:val="001B3E1C"/>
    <w:rsid w:val="001B4165"/>
    <w:rsid w:val="001B427B"/>
    <w:rsid w:val="001B44DB"/>
    <w:rsid w:val="001B4640"/>
    <w:rsid w:val="001B56BB"/>
    <w:rsid w:val="001B5EA6"/>
    <w:rsid w:val="001B6203"/>
    <w:rsid w:val="001B688A"/>
    <w:rsid w:val="001B7112"/>
    <w:rsid w:val="001B72FB"/>
    <w:rsid w:val="001B73BD"/>
    <w:rsid w:val="001B7BB1"/>
    <w:rsid w:val="001C0277"/>
    <w:rsid w:val="001C0F05"/>
    <w:rsid w:val="001C110F"/>
    <w:rsid w:val="001C129D"/>
    <w:rsid w:val="001C144A"/>
    <w:rsid w:val="001C15B0"/>
    <w:rsid w:val="001C18D4"/>
    <w:rsid w:val="001C1A52"/>
    <w:rsid w:val="001C239A"/>
    <w:rsid w:val="001C2554"/>
    <w:rsid w:val="001C2BD9"/>
    <w:rsid w:val="001C2EE5"/>
    <w:rsid w:val="001C395A"/>
    <w:rsid w:val="001C3A25"/>
    <w:rsid w:val="001C3BE9"/>
    <w:rsid w:val="001C486C"/>
    <w:rsid w:val="001C4AE1"/>
    <w:rsid w:val="001C4B35"/>
    <w:rsid w:val="001C4CCF"/>
    <w:rsid w:val="001C501A"/>
    <w:rsid w:val="001C510D"/>
    <w:rsid w:val="001C5CC2"/>
    <w:rsid w:val="001C61DB"/>
    <w:rsid w:val="001C6573"/>
    <w:rsid w:val="001C6BA6"/>
    <w:rsid w:val="001C6D97"/>
    <w:rsid w:val="001C726D"/>
    <w:rsid w:val="001C78CA"/>
    <w:rsid w:val="001D01FB"/>
    <w:rsid w:val="001D0221"/>
    <w:rsid w:val="001D03BA"/>
    <w:rsid w:val="001D13AD"/>
    <w:rsid w:val="001D1425"/>
    <w:rsid w:val="001D15E5"/>
    <w:rsid w:val="001D21EB"/>
    <w:rsid w:val="001D2381"/>
    <w:rsid w:val="001D29EA"/>
    <w:rsid w:val="001D2AFB"/>
    <w:rsid w:val="001D2CE9"/>
    <w:rsid w:val="001D34AF"/>
    <w:rsid w:val="001D3C01"/>
    <w:rsid w:val="001D3E63"/>
    <w:rsid w:val="001D40DA"/>
    <w:rsid w:val="001D419F"/>
    <w:rsid w:val="001D43D0"/>
    <w:rsid w:val="001D516B"/>
    <w:rsid w:val="001D5A4E"/>
    <w:rsid w:val="001D5C57"/>
    <w:rsid w:val="001D5D9A"/>
    <w:rsid w:val="001D6081"/>
    <w:rsid w:val="001D6684"/>
    <w:rsid w:val="001D6B29"/>
    <w:rsid w:val="001D6F2E"/>
    <w:rsid w:val="001D71BC"/>
    <w:rsid w:val="001D7346"/>
    <w:rsid w:val="001D755A"/>
    <w:rsid w:val="001E0367"/>
    <w:rsid w:val="001E094C"/>
    <w:rsid w:val="001E0FF6"/>
    <w:rsid w:val="001E11E2"/>
    <w:rsid w:val="001E11F6"/>
    <w:rsid w:val="001E1857"/>
    <w:rsid w:val="001E2231"/>
    <w:rsid w:val="001E27FB"/>
    <w:rsid w:val="001E2B1A"/>
    <w:rsid w:val="001E2C12"/>
    <w:rsid w:val="001E2FB8"/>
    <w:rsid w:val="001E3485"/>
    <w:rsid w:val="001E373E"/>
    <w:rsid w:val="001E3753"/>
    <w:rsid w:val="001E383E"/>
    <w:rsid w:val="001E4011"/>
    <w:rsid w:val="001E4060"/>
    <w:rsid w:val="001E4456"/>
    <w:rsid w:val="001E44C8"/>
    <w:rsid w:val="001E4518"/>
    <w:rsid w:val="001E467A"/>
    <w:rsid w:val="001E4C32"/>
    <w:rsid w:val="001E4E88"/>
    <w:rsid w:val="001E4FFF"/>
    <w:rsid w:val="001E5747"/>
    <w:rsid w:val="001E5BEE"/>
    <w:rsid w:val="001E619D"/>
    <w:rsid w:val="001E66E6"/>
    <w:rsid w:val="001E6889"/>
    <w:rsid w:val="001E68EE"/>
    <w:rsid w:val="001E751C"/>
    <w:rsid w:val="001E77C4"/>
    <w:rsid w:val="001E7EA4"/>
    <w:rsid w:val="001F00B7"/>
    <w:rsid w:val="001F0187"/>
    <w:rsid w:val="001F1092"/>
    <w:rsid w:val="001F18AA"/>
    <w:rsid w:val="001F1E88"/>
    <w:rsid w:val="001F200A"/>
    <w:rsid w:val="001F2337"/>
    <w:rsid w:val="001F2FB5"/>
    <w:rsid w:val="001F367C"/>
    <w:rsid w:val="001F4DE8"/>
    <w:rsid w:val="001F4EB9"/>
    <w:rsid w:val="001F4FD4"/>
    <w:rsid w:val="001F4FDB"/>
    <w:rsid w:val="001F52E5"/>
    <w:rsid w:val="001F540A"/>
    <w:rsid w:val="001F58AB"/>
    <w:rsid w:val="001F5D2F"/>
    <w:rsid w:val="001F5E20"/>
    <w:rsid w:val="001F5FA3"/>
    <w:rsid w:val="001F60AC"/>
    <w:rsid w:val="001F6E1E"/>
    <w:rsid w:val="001F6F0C"/>
    <w:rsid w:val="001F73E9"/>
    <w:rsid w:val="001F74B9"/>
    <w:rsid w:val="001F7CDD"/>
    <w:rsid w:val="001F7F82"/>
    <w:rsid w:val="002002AA"/>
    <w:rsid w:val="002003C3"/>
    <w:rsid w:val="00200D50"/>
    <w:rsid w:val="002019D1"/>
    <w:rsid w:val="00201A8D"/>
    <w:rsid w:val="00201AB8"/>
    <w:rsid w:val="00201E8F"/>
    <w:rsid w:val="00201FFF"/>
    <w:rsid w:val="002023B3"/>
    <w:rsid w:val="00202CDB"/>
    <w:rsid w:val="00203052"/>
    <w:rsid w:val="0020342F"/>
    <w:rsid w:val="002034CC"/>
    <w:rsid w:val="00203D9B"/>
    <w:rsid w:val="00204381"/>
    <w:rsid w:val="002045FE"/>
    <w:rsid w:val="00204779"/>
    <w:rsid w:val="00204799"/>
    <w:rsid w:val="00204B8D"/>
    <w:rsid w:val="00204EBE"/>
    <w:rsid w:val="00205131"/>
    <w:rsid w:val="002051EA"/>
    <w:rsid w:val="00205B05"/>
    <w:rsid w:val="002060C2"/>
    <w:rsid w:val="00206D91"/>
    <w:rsid w:val="00206EED"/>
    <w:rsid w:val="00207023"/>
    <w:rsid w:val="0020765F"/>
    <w:rsid w:val="00207674"/>
    <w:rsid w:val="002076D5"/>
    <w:rsid w:val="00207C9E"/>
    <w:rsid w:val="00210B8A"/>
    <w:rsid w:val="002111F3"/>
    <w:rsid w:val="002117F4"/>
    <w:rsid w:val="002118E8"/>
    <w:rsid w:val="00212024"/>
    <w:rsid w:val="00212116"/>
    <w:rsid w:val="002125AD"/>
    <w:rsid w:val="00212798"/>
    <w:rsid w:val="00213180"/>
    <w:rsid w:val="002136EF"/>
    <w:rsid w:val="00213A5A"/>
    <w:rsid w:val="00213C0E"/>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3F8"/>
    <w:rsid w:val="00223892"/>
    <w:rsid w:val="00223940"/>
    <w:rsid w:val="00223C1B"/>
    <w:rsid w:val="00223F09"/>
    <w:rsid w:val="00223FDF"/>
    <w:rsid w:val="002245C8"/>
    <w:rsid w:val="0022465E"/>
    <w:rsid w:val="00224A58"/>
    <w:rsid w:val="00225164"/>
    <w:rsid w:val="00225168"/>
    <w:rsid w:val="00226F59"/>
    <w:rsid w:val="00227A5C"/>
    <w:rsid w:val="0023041D"/>
    <w:rsid w:val="00231057"/>
    <w:rsid w:val="00231363"/>
    <w:rsid w:val="00231385"/>
    <w:rsid w:val="002313F3"/>
    <w:rsid w:val="002316E9"/>
    <w:rsid w:val="00231877"/>
    <w:rsid w:val="00231ADE"/>
    <w:rsid w:val="0023269D"/>
    <w:rsid w:val="002326C1"/>
    <w:rsid w:val="00232A8A"/>
    <w:rsid w:val="00233032"/>
    <w:rsid w:val="002332F7"/>
    <w:rsid w:val="00233986"/>
    <w:rsid w:val="00233D50"/>
    <w:rsid w:val="00234372"/>
    <w:rsid w:val="00234573"/>
    <w:rsid w:val="002346A5"/>
    <w:rsid w:val="002346FD"/>
    <w:rsid w:val="00234798"/>
    <w:rsid w:val="002358B6"/>
    <w:rsid w:val="00236146"/>
    <w:rsid w:val="00240C29"/>
    <w:rsid w:val="00240C3D"/>
    <w:rsid w:val="00240D9B"/>
    <w:rsid w:val="002413A5"/>
    <w:rsid w:val="00241466"/>
    <w:rsid w:val="00241F56"/>
    <w:rsid w:val="002421FC"/>
    <w:rsid w:val="00242239"/>
    <w:rsid w:val="00242676"/>
    <w:rsid w:val="00243076"/>
    <w:rsid w:val="00243135"/>
    <w:rsid w:val="0024319E"/>
    <w:rsid w:val="002432A0"/>
    <w:rsid w:val="002433B0"/>
    <w:rsid w:val="002433D6"/>
    <w:rsid w:val="00243641"/>
    <w:rsid w:val="00243BE3"/>
    <w:rsid w:val="0024415B"/>
    <w:rsid w:val="00244642"/>
    <w:rsid w:val="00244D15"/>
    <w:rsid w:val="00244E1B"/>
    <w:rsid w:val="00245445"/>
    <w:rsid w:val="00245474"/>
    <w:rsid w:val="00245FB5"/>
    <w:rsid w:val="0024629F"/>
    <w:rsid w:val="002462FC"/>
    <w:rsid w:val="00246417"/>
    <w:rsid w:val="002466EF"/>
    <w:rsid w:val="00246916"/>
    <w:rsid w:val="00247270"/>
    <w:rsid w:val="00247461"/>
    <w:rsid w:val="0024752F"/>
    <w:rsid w:val="00247C3E"/>
    <w:rsid w:val="002500E6"/>
    <w:rsid w:val="00250178"/>
    <w:rsid w:val="00250302"/>
    <w:rsid w:val="002503BA"/>
    <w:rsid w:val="00250600"/>
    <w:rsid w:val="002509DA"/>
    <w:rsid w:val="00251005"/>
    <w:rsid w:val="0025173F"/>
    <w:rsid w:val="00251963"/>
    <w:rsid w:val="00251F57"/>
    <w:rsid w:val="0025203C"/>
    <w:rsid w:val="0025220D"/>
    <w:rsid w:val="002529E3"/>
    <w:rsid w:val="00252E78"/>
    <w:rsid w:val="00252F17"/>
    <w:rsid w:val="00253194"/>
    <w:rsid w:val="00253238"/>
    <w:rsid w:val="0025359A"/>
    <w:rsid w:val="002539F9"/>
    <w:rsid w:val="00253D47"/>
    <w:rsid w:val="002545AB"/>
    <w:rsid w:val="00254667"/>
    <w:rsid w:val="0025469B"/>
    <w:rsid w:val="00254BBE"/>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2CC"/>
    <w:rsid w:val="00262391"/>
    <w:rsid w:val="00263152"/>
    <w:rsid w:val="0026368D"/>
    <w:rsid w:val="00263A27"/>
    <w:rsid w:val="0026424C"/>
    <w:rsid w:val="002642FC"/>
    <w:rsid w:val="0026495C"/>
    <w:rsid w:val="0026544D"/>
    <w:rsid w:val="00265FB5"/>
    <w:rsid w:val="002669E7"/>
    <w:rsid w:val="00266AF5"/>
    <w:rsid w:val="00266D04"/>
    <w:rsid w:val="002672C4"/>
    <w:rsid w:val="002674FC"/>
    <w:rsid w:val="00267651"/>
    <w:rsid w:val="00267867"/>
    <w:rsid w:val="002701ED"/>
    <w:rsid w:val="0027076E"/>
    <w:rsid w:val="0027080C"/>
    <w:rsid w:val="00270FD8"/>
    <w:rsid w:val="002710FF"/>
    <w:rsid w:val="002715E5"/>
    <w:rsid w:val="00271642"/>
    <w:rsid w:val="00271A30"/>
    <w:rsid w:val="00271AF4"/>
    <w:rsid w:val="00272747"/>
    <w:rsid w:val="00272812"/>
    <w:rsid w:val="0027321F"/>
    <w:rsid w:val="00273557"/>
    <w:rsid w:val="00273AE1"/>
    <w:rsid w:val="00273AF1"/>
    <w:rsid w:val="00273EB1"/>
    <w:rsid w:val="002742C4"/>
    <w:rsid w:val="002744A6"/>
    <w:rsid w:val="0027455B"/>
    <w:rsid w:val="002745D1"/>
    <w:rsid w:val="0027478C"/>
    <w:rsid w:val="002747FE"/>
    <w:rsid w:val="002749F4"/>
    <w:rsid w:val="00274CEA"/>
    <w:rsid w:val="00275441"/>
    <w:rsid w:val="00275BE1"/>
    <w:rsid w:val="002762BC"/>
    <w:rsid w:val="002763DB"/>
    <w:rsid w:val="00276E87"/>
    <w:rsid w:val="00277842"/>
    <w:rsid w:val="00277E99"/>
    <w:rsid w:val="00280101"/>
    <w:rsid w:val="00280569"/>
    <w:rsid w:val="002807FE"/>
    <w:rsid w:val="00281237"/>
    <w:rsid w:val="00281300"/>
    <w:rsid w:val="0028159B"/>
    <w:rsid w:val="002818C1"/>
    <w:rsid w:val="002822BC"/>
    <w:rsid w:val="00282934"/>
    <w:rsid w:val="00283343"/>
    <w:rsid w:val="00283475"/>
    <w:rsid w:val="00283765"/>
    <w:rsid w:val="002841B8"/>
    <w:rsid w:val="00284232"/>
    <w:rsid w:val="002843A3"/>
    <w:rsid w:val="00284488"/>
    <w:rsid w:val="0028457F"/>
    <w:rsid w:val="00284996"/>
    <w:rsid w:val="00284D0A"/>
    <w:rsid w:val="00284D15"/>
    <w:rsid w:val="00285044"/>
    <w:rsid w:val="002852B7"/>
    <w:rsid w:val="0028534D"/>
    <w:rsid w:val="00285594"/>
    <w:rsid w:val="00285654"/>
    <w:rsid w:val="00285B0D"/>
    <w:rsid w:val="00285BC7"/>
    <w:rsid w:val="0028636E"/>
    <w:rsid w:val="00286740"/>
    <w:rsid w:val="00286AC4"/>
    <w:rsid w:val="00286C29"/>
    <w:rsid w:val="00287643"/>
    <w:rsid w:val="00287F6C"/>
    <w:rsid w:val="002900F3"/>
    <w:rsid w:val="00290163"/>
    <w:rsid w:val="002904C4"/>
    <w:rsid w:val="002907AE"/>
    <w:rsid w:val="002907DC"/>
    <w:rsid w:val="00290876"/>
    <w:rsid w:val="00290C55"/>
    <w:rsid w:val="00290EE6"/>
    <w:rsid w:val="00291A08"/>
    <w:rsid w:val="00291FA2"/>
    <w:rsid w:val="002924AD"/>
    <w:rsid w:val="0029281E"/>
    <w:rsid w:val="00292884"/>
    <w:rsid w:val="00292971"/>
    <w:rsid w:val="00292EC1"/>
    <w:rsid w:val="00293051"/>
    <w:rsid w:val="00293385"/>
    <w:rsid w:val="0029338A"/>
    <w:rsid w:val="002939EB"/>
    <w:rsid w:val="00293D1E"/>
    <w:rsid w:val="00294726"/>
    <w:rsid w:val="0029481A"/>
    <w:rsid w:val="00294B02"/>
    <w:rsid w:val="00294C99"/>
    <w:rsid w:val="00294D83"/>
    <w:rsid w:val="00295917"/>
    <w:rsid w:val="0029593D"/>
    <w:rsid w:val="00295A11"/>
    <w:rsid w:val="00295C97"/>
    <w:rsid w:val="002961BB"/>
    <w:rsid w:val="0029628E"/>
    <w:rsid w:val="002968B1"/>
    <w:rsid w:val="002968FE"/>
    <w:rsid w:val="00296A32"/>
    <w:rsid w:val="00296AE1"/>
    <w:rsid w:val="00296F46"/>
    <w:rsid w:val="0029717D"/>
    <w:rsid w:val="00297899"/>
    <w:rsid w:val="00297C07"/>
    <w:rsid w:val="002A1277"/>
    <w:rsid w:val="002A1772"/>
    <w:rsid w:val="002A204B"/>
    <w:rsid w:val="002A2161"/>
    <w:rsid w:val="002A29F2"/>
    <w:rsid w:val="002A33F6"/>
    <w:rsid w:val="002A3BD8"/>
    <w:rsid w:val="002A3C2E"/>
    <w:rsid w:val="002A4706"/>
    <w:rsid w:val="002A4845"/>
    <w:rsid w:val="002A4F45"/>
    <w:rsid w:val="002A50A9"/>
    <w:rsid w:val="002A561C"/>
    <w:rsid w:val="002A5F57"/>
    <w:rsid w:val="002A6CBF"/>
    <w:rsid w:val="002A6D63"/>
    <w:rsid w:val="002A7048"/>
    <w:rsid w:val="002A70B7"/>
    <w:rsid w:val="002A748F"/>
    <w:rsid w:val="002A7D49"/>
    <w:rsid w:val="002B0238"/>
    <w:rsid w:val="002B02E8"/>
    <w:rsid w:val="002B0384"/>
    <w:rsid w:val="002B05FE"/>
    <w:rsid w:val="002B1060"/>
    <w:rsid w:val="002B1377"/>
    <w:rsid w:val="002B14CD"/>
    <w:rsid w:val="002B2304"/>
    <w:rsid w:val="002B2551"/>
    <w:rsid w:val="002B25B2"/>
    <w:rsid w:val="002B25DE"/>
    <w:rsid w:val="002B2668"/>
    <w:rsid w:val="002B2B8E"/>
    <w:rsid w:val="002B2EF8"/>
    <w:rsid w:val="002B323C"/>
    <w:rsid w:val="002B3244"/>
    <w:rsid w:val="002B3E0D"/>
    <w:rsid w:val="002B3E89"/>
    <w:rsid w:val="002B484C"/>
    <w:rsid w:val="002B490A"/>
    <w:rsid w:val="002B4D3E"/>
    <w:rsid w:val="002B4F73"/>
    <w:rsid w:val="002B5227"/>
    <w:rsid w:val="002B5B1A"/>
    <w:rsid w:val="002B5B7A"/>
    <w:rsid w:val="002B5C17"/>
    <w:rsid w:val="002B5D34"/>
    <w:rsid w:val="002B6133"/>
    <w:rsid w:val="002B6745"/>
    <w:rsid w:val="002B695A"/>
    <w:rsid w:val="002B6BB4"/>
    <w:rsid w:val="002B6E51"/>
    <w:rsid w:val="002B73E2"/>
    <w:rsid w:val="002B7904"/>
    <w:rsid w:val="002B79DA"/>
    <w:rsid w:val="002B7F97"/>
    <w:rsid w:val="002C0110"/>
    <w:rsid w:val="002C0304"/>
    <w:rsid w:val="002C079D"/>
    <w:rsid w:val="002C096A"/>
    <w:rsid w:val="002C12D6"/>
    <w:rsid w:val="002C12D9"/>
    <w:rsid w:val="002C18B7"/>
    <w:rsid w:val="002C1B26"/>
    <w:rsid w:val="002C1EB8"/>
    <w:rsid w:val="002C1F28"/>
    <w:rsid w:val="002C1FDF"/>
    <w:rsid w:val="002C23BF"/>
    <w:rsid w:val="002C23C7"/>
    <w:rsid w:val="002C24D7"/>
    <w:rsid w:val="002C286D"/>
    <w:rsid w:val="002C2B6D"/>
    <w:rsid w:val="002C2CAC"/>
    <w:rsid w:val="002C2F4E"/>
    <w:rsid w:val="002C30BA"/>
    <w:rsid w:val="002C33B7"/>
    <w:rsid w:val="002C3578"/>
    <w:rsid w:val="002C3AD2"/>
    <w:rsid w:val="002C3ED6"/>
    <w:rsid w:val="002C418B"/>
    <w:rsid w:val="002C4201"/>
    <w:rsid w:val="002C468E"/>
    <w:rsid w:val="002C4D33"/>
    <w:rsid w:val="002C522A"/>
    <w:rsid w:val="002C52BD"/>
    <w:rsid w:val="002C6075"/>
    <w:rsid w:val="002C64F3"/>
    <w:rsid w:val="002C6996"/>
    <w:rsid w:val="002C69F6"/>
    <w:rsid w:val="002C6C5B"/>
    <w:rsid w:val="002C7537"/>
    <w:rsid w:val="002C7F07"/>
    <w:rsid w:val="002D00C7"/>
    <w:rsid w:val="002D030C"/>
    <w:rsid w:val="002D0399"/>
    <w:rsid w:val="002D0882"/>
    <w:rsid w:val="002D0CBD"/>
    <w:rsid w:val="002D1067"/>
    <w:rsid w:val="002D11C6"/>
    <w:rsid w:val="002D1252"/>
    <w:rsid w:val="002D17E3"/>
    <w:rsid w:val="002D1D78"/>
    <w:rsid w:val="002D2739"/>
    <w:rsid w:val="002D2B07"/>
    <w:rsid w:val="002D2CAE"/>
    <w:rsid w:val="002D2DC4"/>
    <w:rsid w:val="002D2FA5"/>
    <w:rsid w:val="002D31D9"/>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656"/>
    <w:rsid w:val="002D7BAD"/>
    <w:rsid w:val="002D7BFC"/>
    <w:rsid w:val="002E029F"/>
    <w:rsid w:val="002E090F"/>
    <w:rsid w:val="002E0A5C"/>
    <w:rsid w:val="002E0E3A"/>
    <w:rsid w:val="002E11C3"/>
    <w:rsid w:val="002E130D"/>
    <w:rsid w:val="002E18ED"/>
    <w:rsid w:val="002E1ADD"/>
    <w:rsid w:val="002E1AFB"/>
    <w:rsid w:val="002E1EDB"/>
    <w:rsid w:val="002E20E4"/>
    <w:rsid w:val="002E2255"/>
    <w:rsid w:val="002E2470"/>
    <w:rsid w:val="002E2C27"/>
    <w:rsid w:val="002E2D64"/>
    <w:rsid w:val="002E2EA4"/>
    <w:rsid w:val="002E2F63"/>
    <w:rsid w:val="002E339C"/>
    <w:rsid w:val="002E4150"/>
    <w:rsid w:val="002E43D0"/>
    <w:rsid w:val="002E49A6"/>
    <w:rsid w:val="002E4C11"/>
    <w:rsid w:val="002E5800"/>
    <w:rsid w:val="002E5EF1"/>
    <w:rsid w:val="002E6B9E"/>
    <w:rsid w:val="002E6EAB"/>
    <w:rsid w:val="002E7799"/>
    <w:rsid w:val="002E7F57"/>
    <w:rsid w:val="002F013B"/>
    <w:rsid w:val="002F03EF"/>
    <w:rsid w:val="002F0511"/>
    <w:rsid w:val="002F0637"/>
    <w:rsid w:val="002F094A"/>
    <w:rsid w:val="002F0E98"/>
    <w:rsid w:val="002F1617"/>
    <w:rsid w:val="002F1B9F"/>
    <w:rsid w:val="002F1EBD"/>
    <w:rsid w:val="002F209C"/>
    <w:rsid w:val="002F242D"/>
    <w:rsid w:val="002F2AA4"/>
    <w:rsid w:val="002F2D6B"/>
    <w:rsid w:val="002F37A8"/>
    <w:rsid w:val="002F37D0"/>
    <w:rsid w:val="002F3E25"/>
    <w:rsid w:val="002F4243"/>
    <w:rsid w:val="002F49EC"/>
    <w:rsid w:val="002F4E32"/>
    <w:rsid w:val="002F5021"/>
    <w:rsid w:val="002F50A5"/>
    <w:rsid w:val="002F50FC"/>
    <w:rsid w:val="002F5497"/>
    <w:rsid w:val="002F5679"/>
    <w:rsid w:val="002F56B6"/>
    <w:rsid w:val="002F58B5"/>
    <w:rsid w:val="002F5B09"/>
    <w:rsid w:val="002F6391"/>
    <w:rsid w:val="002F63E7"/>
    <w:rsid w:val="002F68BA"/>
    <w:rsid w:val="002F6AC3"/>
    <w:rsid w:val="002F6D4A"/>
    <w:rsid w:val="002F6DCF"/>
    <w:rsid w:val="002F748D"/>
    <w:rsid w:val="002F781A"/>
    <w:rsid w:val="002F7920"/>
    <w:rsid w:val="002F7EAC"/>
    <w:rsid w:val="00300566"/>
    <w:rsid w:val="003006DA"/>
    <w:rsid w:val="0030071E"/>
    <w:rsid w:val="00300C77"/>
    <w:rsid w:val="00300DE1"/>
    <w:rsid w:val="00300E8B"/>
    <w:rsid w:val="0030108C"/>
    <w:rsid w:val="003015BA"/>
    <w:rsid w:val="003016E2"/>
    <w:rsid w:val="00301C17"/>
    <w:rsid w:val="00301E6A"/>
    <w:rsid w:val="00301FBA"/>
    <w:rsid w:val="00302CD2"/>
    <w:rsid w:val="00302D9D"/>
    <w:rsid w:val="0030300D"/>
    <w:rsid w:val="00303208"/>
    <w:rsid w:val="00303427"/>
    <w:rsid w:val="0030350B"/>
    <w:rsid w:val="00303543"/>
    <w:rsid w:val="00303716"/>
    <w:rsid w:val="00303B0B"/>
    <w:rsid w:val="00303BB4"/>
    <w:rsid w:val="00303BC4"/>
    <w:rsid w:val="00303EAD"/>
    <w:rsid w:val="00304129"/>
    <w:rsid w:val="00304177"/>
    <w:rsid w:val="00304DDA"/>
    <w:rsid w:val="00304E0B"/>
    <w:rsid w:val="00304EE1"/>
    <w:rsid w:val="00305CF4"/>
    <w:rsid w:val="00305F56"/>
    <w:rsid w:val="003064E1"/>
    <w:rsid w:val="00306D28"/>
    <w:rsid w:val="00306DB1"/>
    <w:rsid w:val="00307064"/>
    <w:rsid w:val="00307759"/>
    <w:rsid w:val="00307BFD"/>
    <w:rsid w:val="00307CF9"/>
    <w:rsid w:val="00307E09"/>
    <w:rsid w:val="00307E4B"/>
    <w:rsid w:val="00307F21"/>
    <w:rsid w:val="00310430"/>
    <w:rsid w:val="00310740"/>
    <w:rsid w:val="003114FA"/>
    <w:rsid w:val="00311BEA"/>
    <w:rsid w:val="00311D79"/>
    <w:rsid w:val="00311DD4"/>
    <w:rsid w:val="00312B38"/>
    <w:rsid w:val="00312D70"/>
    <w:rsid w:val="00313754"/>
    <w:rsid w:val="00313799"/>
    <w:rsid w:val="003138A8"/>
    <w:rsid w:val="00313907"/>
    <w:rsid w:val="00313A44"/>
    <w:rsid w:val="00313E37"/>
    <w:rsid w:val="00314D1E"/>
    <w:rsid w:val="00315073"/>
    <w:rsid w:val="00315206"/>
    <w:rsid w:val="00315241"/>
    <w:rsid w:val="003153BB"/>
    <w:rsid w:val="003159D9"/>
    <w:rsid w:val="003168CD"/>
    <w:rsid w:val="00316A16"/>
    <w:rsid w:val="0031729F"/>
    <w:rsid w:val="003174F8"/>
    <w:rsid w:val="003175E9"/>
    <w:rsid w:val="00317FD8"/>
    <w:rsid w:val="00320053"/>
    <w:rsid w:val="00320487"/>
    <w:rsid w:val="003204FD"/>
    <w:rsid w:val="00320AE3"/>
    <w:rsid w:val="00320B2A"/>
    <w:rsid w:val="00320F20"/>
    <w:rsid w:val="00320F88"/>
    <w:rsid w:val="00321558"/>
    <w:rsid w:val="00321743"/>
    <w:rsid w:val="0032190B"/>
    <w:rsid w:val="00322176"/>
    <w:rsid w:val="00322BE4"/>
    <w:rsid w:val="00322F9A"/>
    <w:rsid w:val="00322FA8"/>
    <w:rsid w:val="00323599"/>
    <w:rsid w:val="0032450A"/>
    <w:rsid w:val="00324C8C"/>
    <w:rsid w:val="00324DD1"/>
    <w:rsid w:val="00325472"/>
    <w:rsid w:val="00325769"/>
    <w:rsid w:val="00325AC3"/>
    <w:rsid w:val="00326155"/>
    <w:rsid w:val="0032616B"/>
    <w:rsid w:val="003266F9"/>
    <w:rsid w:val="00326B55"/>
    <w:rsid w:val="003271C5"/>
    <w:rsid w:val="00327425"/>
    <w:rsid w:val="003275E0"/>
    <w:rsid w:val="00330207"/>
    <w:rsid w:val="00330509"/>
    <w:rsid w:val="00330863"/>
    <w:rsid w:val="003308A9"/>
    <w:rsid w:val="003309E1"/>
    <w:rsid w:val="00330C3A"/>
    <w:rsid w:val="00330C3B"/>
    <w:rsid w:val="0033105F"/>
    <w:rsid w:val="003310A7"/>
    <w:rsid w:val="003311C5"/>
    <w:rsid w:val="00331432"/>
    <w:rsid w:val="00331492"/>
    <w:rsid w:val="00331696"/>
    <w:rsid w:val="00331CD1"/>
    <w:rsid w:val="00331D03"/>
    <w:rsid w:val="00332024"/>
    <w:rsid w:val="0033273D"/>
    <w:rsid w:val="00332972"/>
    <w:rsid w:val="00332FF3"/>
    <w:rsid w:val="0033309B"/>
    <w:rsid w:val="00333789"/>
    <w:rsid w:val="00333B5E"/>
    <w:rsid w:val="00334087"/>
    <w:rsid w:val="0033470F"/>
    <w:rsid w:val="00334766"/>
    <w:rsid w:val="00334776"/>
    <w:rsid w:val="00334B36"/>
    <w:rsid w:val="00334E1E"/>
    <w:rsid w:val="00335066"/>
    <w:rsid w:val="003352CE"/>
    <w:rsid w:val="00335348"/>
    <w:rsid w:val="00335F25"/>
    <w:rsid w:val="00336631"/>
    <w:rsid w:val="003368A9"/>
    <w:rsid w:val="00336E61"/>
    <w:rsid w:val="00337244"/>
    <w:rsid w:val="0033756B"/>
    <w:rsid w:val="00337793"/>
    <w:rsid w:val="00337851"/>
    <w:rsid w:val="00337863"/>
    <w:rsid w:val="00337CA7"/>
    <w:rsid w:val="00340786"/>
    <w:rsid w:val="00340CE0"/>
    <w:rsid w:val="003410AA"/>
    <w:rsid w:val="00341500"/>
    <w:rsid w:val="003418A7"/>
    <w:rsid w:val="00341B05"/>
    <w:rsid w:val="00342205"/>
    <w:rsid w:val="003423EB"/>
    <w:rsid w:val="0034251D"/>
    <w:rsid w:val="00342901"/>
    <w:rsid w:val="003429F1"/>
    <w:rsid w:val="00342B71"/>
    <w:rsid w:val="00342D15"/>
    <w:rsid w:val="00342EDD"/>
    <w:rsid w:val="0034309B"/>
    <w:rsid w:val="00343737"/>
    <w:rsid w:val="00343BB6"/>
    <w:rsid w:val="00344117"/>
    <w:rsid w:val="00344353"/>
    <w:rsid w:val="0034493D"/>
    <w:rsid w:val="00344A52"/>
    <w:rsid w:val="00344B38"/>
    <w:rsid w:val="00344F04"/>
    <w:rsid w:val="0034521D"/>
    <w:rsid w:val="003459AC"/>
    <w:rsid w:val="00345FA1"/>
    <w:rsid w:val="003464BD"/>
    <w:rsid w:val="00346D46"/>
    <w:rsid w:val="00346E32"/>
    <w:rsid w:val="0034755B"/>
    <w:rsid w:val="003475F8"/>
    <w:rsid w:val="00347982"/>
    <w:rsid w:val="00347A50"/>
    <w:rsid w:val="00347A59"/>
    <w:rsid w:val="00347EC1"/>
    <w:rsid w:val="0035004A"/>
    <w:rsid w:val="00350336"/>
    <w:rsid w:val="00350EF3"/>
    <w:rsid w:val="003510C4"/>
    <w:rsid w:val="00351513"/>
    <w:rsid w:val="00351BD9"/>
    <w:rsid w:val="00351D96"/>
    <w:rsid w:val="003524F3"/>
    <w:rsid w:val="00352C2B"/>
    <w:rsid w:val="00352F76"/>
    <w:rsid w:val="0035338B"/>
    <w:rsid w:val="003533A4"/>
    <w:rsid w:val="0035368F"/>
    <w:rsid w:val="00353FDC"/>
    <w:rsid w:val="00354E8D"/>
    <w:rsid w:val="0035525B"/>
    <w:rsid w:val="003554A7"/>
    <w:rsid w:val="0035551E"/>
    <w:rsid w:val="00355651"/>
    <w:rsid w:val="00355C2D"/>
    <w:rsid w:val="00355C89"/>
    <w:rsid w:val="00355EBB"/>
    <w:rsid w:val="00356698"/>
    <w:rsid w:val="003566BC"/>
    <w:rsid w:val="00356CE8"/>
    <w:rsid w:val="00356E6D"/>
    <w:rsid w:val="00357974"/>
    <w:rsid w:val="00357995"/>
    <w:rsid w:val="003579F2"/>
    <w:rsid w:val="003579F9"/>
    <w:rsid w:val="00360058"/>
    <w:rsid w:val="00360470"/>
    <w:rsid w:val="00360BE6"/>
    <w:rsid w:val="00360D78"/>
    <w:rsid w:val="00360FDE"/>
    <w:rsid w:val="00361524"/>
    <w:rsid w:val="003615A7"/>
    <w:rsid w:val="003617A8"/>
    <w:rsid w:val="00361EAF"/>
    <w:rsid w:val="00361FC7"/>
    <w:rsid w:val="00362382"/>
    <w:rsid w:val="00362463"/>
    <w:rsid w:val="0036257D"/>
    <w:rsid w:val="003626F8"/>
    <w:rsid w:val="003628B0"/>
    <w:rsid w:val="00363014"/>
    <w:rsid w:val="0036316C"/>
    <w:rsid w:val="00363306"/>
    <w:rsid w:val="00363315"/>
    <w:rsid w:val="0036333F"/>
    <w:rsid w:val="003636BA"/>
    <w:rsid w:val="003637A5"/>
    <w:rsid w:val="00363C1A"/>
    <w:rsid w:val="00363D3D"/>
    <w:rsid w:val="00363E99"/>
    <w:rsid w:val="003641A6"/>
    <w:rsid w:val="00364563"/>
    <w:rsid w:val="00364580"/>
    <w:rsid w:val="00364D6E"/>
    <w:rsid w:val="00365690"/>
    <w:rsid w:val="0036577B"/>
    <w:rsid w:val="00365959"/>
    <w:rsid w:val="0036620F"/>
    <w:rsid w:val="0036645D"/>
    <w:rsid w:val="00366ACD"/>
    <w:rsid w:val="00367033"/>
    <w:rsid w:val="00367362"/>
    <w:rsid w:val="003674D9"/>
    <w:rsid w:val="00367850"/>
    <w:rsid w:val="0037001F"/>
    <w:rsid w:val="0037017F"/>
    <w:rsid w:val="00370192"/>
    <w:rsid w:val="00370377"/>
    <w:rsid w:val="00370A1C"/>
    <w:rsid w:val="00370CE8"/>
    <w:rsid w:val="003710A2"/>
    <w:rsid w:val="00371321"/>
    <w:rsid w:val="00371384"/>
    <w:rsid w:val="00371AAD"/>
    <w:rsid w:val="00371EEF"/>
    <w:rsid w:val="00372965"/>
    <w:rsid w:val="00372C6F"/>
    <w:rsid w:val="00373A0B"/>
    <w:rsid w:val="00373E32"/>
    <w:rsid w:val="0037459F"/>
    <w:rsid w:val="003748CB"/>
    <w:rsid w:val="00374CB3"/>
    <w:rsid w:val="003750F8"/>
    <w:rsid w:val="00375136"/>
    <w:rsid w:val="00375341"/>
    <w:rsid w:val="00375929"/>
    <w:rsid w:val="00375A02"/>
    <w:rsid w:val="00375C31"/>
    <w:rsid w:val="00376467"/>
    <w:rsid w:val="0037671F"/>
    <w:rsid w:val="00376A38"/>
    <w:rsid w:val="00376DED"/>
    <w:rsid w:val="00376FB7"/>
    <w:rsid w:val="003770CC"/>
    <w:rsid w:val="0037735E"/>
    <w:rsid w:val="00377580"/>
    <w:rsid w:val="00377B9F"/>
    <w:rsid w:val="00377E04"/>
    <w:rsid w:val="00377FA0"/>
    <w:rsid w:val="00380210"/>
    <w:rsid w:val="00380F3E"/>
    <w:rsid w:val="00380F49"/>
    <w:rsid w:val="003810AB"/>
    <w:rsid w:val="00381745"/>
    <w:rsid w:val="00381764"/>
    <w:rsid w:val="00382167"/>
    <w:rsid w:val="003823D5"/>
    <w:rsid w:val="00382926"/>
    <w:rsid w:val="0038300C"/>
    <w:rsid w:val="0038363F"/>
    <w:rsid w:val="00383E33"/>
    <w:rsid w:val="003849E0"/>
    <w:rsid w:val="00384DDA"/>
    <w:rsid w:val="00384F56"/>
    <w:rsid w:val="00385316"/>
    <w:rsid w:val="00385328"/>
    <w:rsid w:val="003854E9"/>
    <w:rsid w:val="0038577D"/>
    <w:rsid w:val="00385BBA"/>
    <w:rsid w:val="00385C8A"/>
    <w:rsid w:val="003862A1"/>
    <w:rsid w:val="00386827"/>
    <w:rsid w:val="00386BAA"/>
    <w:rsid w:val="003870FA"/>
    <w:rsid w:val="003873C6"/>
    <w:rsid w:val="003873E3"/>
    <w:rsid w:val="0038746F"/>
    <w:rsid w:val="003878ED"/>
    <w:rsid w:val="00387FF5"/>
    <w:rsid w:val="00390575"/>
    <w:rsid w:val="003906CD"/>
    <w:rsid w:val="00390798"/>
    <w:rsid w:val="00390DAE"/>
    <w:rsid w:val="00391125"/>
    <w:rsid w:val="0039136E"/>
    <w:rsid w:val="003913BD"/>
    <w:rsid w:val="003919FB"/>
    <w:rsid w:val="00391F0E"/>
    <w:rsid w:val="0039211A"/>
    <w:rsid w:val="003922B1"/>
    <w:rsid w:val="0039296F"/>
    <w:rsid w:val="00392AFB"/>
    <w:rsid w:val="00392B31"/>
    <w:rsid w:val="003930B5"/>
    <w:rsid w:val="0039334A"/>
    <w:rsid w:val="00393394"/>
    <w:rsid w:val="00393468"/>
    <w:rsid w:val="00393585"/>
    <w:rsid w:val="003935B9"/>
    <w:rsid w:val="003935CB"/>
    <w:rsid w:val="00395CCF"/>
    <w:rsid w:val="00396338"/>
    <w:rsid w:val="00396749"/>
    <w:rsid w:val="003967B0"/>
    <w:rsid w:val="003967F8"/>
    <w:rsid w:val="00396958"/>
    <w:rsid w:val="00396B1E"/>
    <w:rsid w:val="00396BCA"/>
    <w:rsid w:val="00396E17"/>
    <w:rsid w:val="0039723A"/>
    <w:rsid w:val="00397280"/>
    <w:rsid w:val="003973DD"/>
    <w:rsid w:val="00397536"/>
    <w:rsid w:val="00397654"/>
    <w:rsid w:val="003978B3"/>
    <w:rsid w:val="003A0314"/>
    <w:rsid w:val="003A06C5"/>
    <w:rsid w:val="003A0890"/>
    <w:rsid w:val="003A0A29"/>
    <w:rsid w:val="003A0C97"/>
    <w:rsid w:val="003A1AF7"/>
    <w:rsid w:val="003A221F"/>
    <w:rsid w:val="003A257E"/>
    <w:rsid w:val="003A25F4"/>
    <w:rsid w:val="003A2918"/>
    <w:rsid w:val="003A295A"/>
    <w:rsid w:val="003A3159"/>
    <w:rsid w:val="003A39C7"/>
    <w:rsid w:val="003A3A4D"/>
    <w:rsid w:val="003A3AC4"/>
    <w:rsid w:val="003A3D0E"/>
    <w:rsid w:val="003A3D9A"/>
    <w:rsid w:val="003A409D"/>
    <w:rsid w:val="003A4129"/>
    <w:rsid w:val="003A420E"/>
    <w:rsid w:val="003A4801"/>
    <w:rsid w:val="003A48A3"/>
    <w:rsid w:val="003A4AAF"/>
    <w:rsid w:val="003A4B2E"/>
    <w:rsid w:val="003A4EC4"/>
    <w:rsid w:val="003A50BB"/>
    <w:rsid w:val="003A54BC"/>
    <w:rsid w:val="003A5737"/>
    <w:rsid w:val="003A589B"/>
    <w:rsid w:val="003A58AF"/>
    <w:rsid w:val="003A6AAA"/>
    <w:rsid w:val="003A6CAE"/>
    <w:rsid w:val="003A6DC0"/>
    <w:rsid w:val="003A7236"/>
    <w:rsid w:val="003A7320"/>
    <w:rsid w:val="003A7911"/>
    <w:rsid w:val="003B019B"/>
    <w:rsid w:val="003B01E4"/>
    <w:rsid w:val="003B088E"/>
    <w:rsid w:val="003B0AE3"/>
    <w:rsid w:val="003B0DA9"/>
    <w:rsid w:val="003B1014"/>
    <w:rsid w:val="003B106B"/>
    <w:rsid w:val="003B1188"/>
    <w:rsid w:val="003B124A"/>
    <w:rsid w:val="003B1EA1"/>
    <w:rsid w:val="003B1F25"/>
    <w:rsid w:val="003B22EF"/>
    <w:rsid w:val="003B27DF"/>
    <w:rsid w:val="003B2E07"/>
    <w:rsid w:val="003B3656"/>
    <w:rsid w:val="003B3951"/>
    <w:rsid w:val="003B3BDF"/>
    <w:rsid w:val="003B43D8"/>
    <w:rsid w:val="003B44AF"/>
    <w:rsid w:val="003B46C7"/>
    <w:rsid w:val="003B4719"/>
    <w:rsid w:val="003B4787"/>
    <w:rsid w:val="003B4C32"/>
    <w:rsid w:val="003B4F0C"/>
    <w:rsid w:val="003B50BA"/>
    <w:rsid w:val="003B5452"/>
    <w:rsid w:val="003B570C"/>
    <w:rsid w:val="003B5717"/>
    <w:rsid w:val="003B58FE"/>
    <w:rsid w:val="003B5B2E"/>
    <w:rsid w:val="003B5CAF"/>
    <w:rsid w:val="003B5EA5"/>
    <w:rsid w:val="003B6166"/>
    <w:rsid w:val="003B64E5"/>
    <w:rsid w:val="003B6534"/>
    <w:rsid w:val="003B6927"/>
    <w:rsid w:val="003B696F"/>
    <w:rsid w:val="003B6D41"/>
    <w:rsid w:val="003B768B"/>
    <w:rsid w:val="003B76CE"/>
    <w:rsid w:val="003B7749"/>
    <w:rsid w:val="003B7C7B"/>
    <w:rsid w:val="003B7CA4"/>
    <w:rsid w:val="003C0E58"/>
    <w:rsid w:val="003C0F84"/>
    <w:rsid w:val="003C11B2"/>
    <w:rsid w:val="003C12D2"/>
    <w:rsid w:val="003C1300"/>
    <w:rsid w:val="003C14B1"/>
    <w:rsid w:val="003C1591"/>
    <w:rsid w:val="003C199E"/>
    <w:rsid w:val="003C218F"/>
    <w:rsid w:val="003C2280"/>
    <w:rsid w:val="003C2AA7"/>
    <w:rsid w:val="003C2F47"/>
    <w:rsid w:val="003C3846"/>
    <w:rsid w:val="003C38C8"/>
    <w:rsid w:val="003C3CD7"/>
    <w:rsid w:val="003C44D1"/>
    <w:rsid w:val="003C4572"/>
    <w:rsid w:val="003C4733"/>
    <w:rsid w:val="003C48A1"/>
    <w:rsid w:val="003C4E8C"/>
    <w:rsid w:val="003C4F06"/>
    <w:rsid w:val="003C5A14"/>
    <w:rsid w:val="003C5D9C"/>
    <w:rsid w:val="003C5DE7"/>
    <w:rsid w:val="003C6080"/>
    <w:rsid w:val="003C634A"/>
    <w:rsid w:val="003C6592"/>
    <w:rsid w:val="003C667C"/>
    <w:rsid w:val="003C6AB1"/>
    <w:rsid w:val="003C717C"/>
    <w:rsid w:val="003C71E5"/>
    <w:rsid w:val="003C7335"/>
    <w:rsid w:val="003C7651"/>
    <w:rsid w:val="003C7879"/>
    <w:rsid w:val="003C79DB"/>
    <w:rsid w:val="003D029E"/>
    <w:rsid w:val="003D067C"/>
    <w:rsid w:val="003D0906"/>
    <w:rsid w:val="003D13D8"/>
    <w:rsid w:val="003D140A"/>
    <w:rsid w:val="003D15B7"/>
    <w:rsid w:val="003D15ED"/>
    <w:rsid w:val="003D1608"/>
    <w:rsid w:val="003D20E1"/>
    <w:rsid w:val="003D2486"/>
    <w:rsid w:val="003D295A"/>
    <w:rsid w:val="003D2A35"/>
    <w:rsid w:val="003D2A9A"/>
    <w:rsid w:val="003D2D51"/>
    <w:rsid w:val="003D2D5A"/>
    <w:rsid w:val="003D321B"/>
    <w:rsid w:val="003D35FA"/>
    <w:rsid w:val="003D39EF"/>
    <w:rsid w:val="003D41BA"/>
    <w:rsid w:val="003D41C7"/>
    <w:rsid w:val="003D420B"/>
    <w:rsid w:val="003D45E1"/>
    <w:rsid w:val="003D4B4B"/>
    <w:rsid w:val="003D4CC1"/>
    <w:rsid w:val="003D4F32"/>
    <w:rsid w:val="003D529E"/>
    <w:rsid w:val="003D5427"/>
    <w:rsid w:val="003D6474"/>
    <w:rsid w:val="003D664F"/>
    <w:rsid w:val="003D6670"/>
    <w:rsid w:val="003D6A09"/>
    <w:rsid w:val="003D6B36"/>
    <w:rsid w:val="003D6D63"/>
    <w:rsid w:val="003D6F67"/>
    <w:rsid w:val="003D707F"/>
    <w:rsid w:val="003D70B9"/>
    <w:rsid w:val="003D71D5"/>
    <w:rsid w:val="003D74EF"/>
    <w:rsid w:val="003D7671"/>
    <w:rsid w:val="003D7C9F"/>
    <w:rsid w:val="003E0086"/>
    <w:rsid w:val="003E0CAF"/>
    <w:rsid w:val="003E1122"/>
    <w:rsid w:val="003E1207"/>
    <w:rsid w:val="003E12C9"/>
    <w:rsid w:val="003E1604"/>
    <w:rsid w:val="003E1766"/>
    <w:rsid w:val="003E1858"/>
    <w:rsid w:val="003E18F5"/>
    <w:rsid w:val="003E1A61"/>
    <w:rsid w:val="003E21C5"/>
    <w:rsid w:val="003E279B"/>
    <w:rsid w:val="003E2AB7"/>
    <w:rsid w:val="003E2F36"/>
    <w:rsid w:val="003E2FB3"/>
    <w:rsid w:val="003E37A0"/>
    <w:rsid w:val="003E393E"/>
    <w:rsid w:val="003E3CFE"/>
    <w:rsid w:val="003E4066"/>
    <w:rsid w:val="003E46CB"/>
    <w:rsid w:val="003E4AE0"/>
    <w:rsid w:val="003E507E"/>
    <w:rsid w:val="003E5394"/>
    <w:rsid w:val="003E54F0"/>
    <w:rsid w:val="003E5CF4"/>
    <w:rsid w:val="003E678B"/>
    <w:rsid w:val="003E6923"/>
    <w:rsid w:val="003E6CCA"/>
    <w:rsid w:val="003E6D5E"/>
    <w:rsid w:val="003E6D93"/>
    <w:rsid w:val="003E73AA"/>
    <w:rsid w:val="003E76C6"/>
    <w:rsid w:val="003E7FBC"/>
    <w:rsid w:val="003F0186"/>
    <w:rsid w:val="003F038A"/>
    <w:rsid w:val="003F0555"/>
    <w:rsid w:val="003F09E9"/>
    <w:rsid w:val="003F0D0F"/>
    <w:rsid w:val="003F11D8"/>
    <w:rsid w:val="003F1222"/>
    <w:rsid w:val="003F1303"/>
    <w:rsid w:val="003F14E3"/>
    <w:rsid w:val="003F1AAC"/>
    <w:rsid w:val="003F1C16"/>
    <w:rsid w:val="003F1C6D"/>
    <w:rsid w:val="003F1D12"/>
    <w:rsid w:val="003F1E3F"/>
    <w:rsid w:val="003F1ECD"/>
    <w:rsid w:val="003F2C12"/>
    <w:rsid w:val="003F3195"/>
    <w:rsid w:val="003F32A8"/>
    <w:rsid w:val="003F34C4"/>
    <w:rsid w:val="003F3673"/>
    <w:rsid w:val="003F3760"/>
    <w:rsid w:val="003F3F81"/>
    <w:rsid w:val="003F442C"/>
    <w:rsid w:val="003F465F"/>
    <w:rsid w:val="003F47AB"/>
    <w:rsid w:val="003F47D1"/>
    <w:rsid w:val="003F4B6C"/>
    <w:rsid w:val="003F4DAF"/>
    <w:rsid w:val="003F5A39"/>
    <w:rsid w:val="003F5EE6"/>
    <w:rsid w:val="003F6039"/>
    <w:rsid w:val="003F62B7"/>
    <w:rsid w:val="003F67D7"/>
    <w:rsid w:val="003F7144"/>
    <w:rsid w:val="003F74EF"/>
    <w:rsid w:val="003F769F"/>
    <w:rsid w:val="00400195"/>
    <w:rsid w:val="00400758"/>
    <w:rsid w:val="00400A77"/>
    <w:rsid w:val="00401262"/>
    <w:rsid w:val="00401B6E"/>
    <w:rsid w:val="0040291B"/>
    <w:rsid w:val="0040364C"/>
    <w:rsid w:val="00404123"/>
    <w:rsid w:val="00404550"/>
    <w:rsid w:val="00404B91"/>
    <w:rsid w:val="00404BB2"/>
    <w:rsid w:val="0040541F"/>
    <w:rsid w:val="00405424"/>
    <w:rsid w:val="00405C8A"/>
    <w:rsid w:val="00406889"/>
    <w:rsid w:val="00406A16"/>
    <w:rsid w:val="00406DEE"/>
    <w:rsid w:val="00406E48"/>
    <w:rsid w:val="004072DC"/>
    <w:rsid w:val="004075B4"/>
    <w:rsid w:val="00407C6C"/>
    <w:rsid w:val="00410081"/>
    <w:rsid w:val="00410502"/>
    <w:rsid w:val="00410971"/>
    <w:rsid w:val="00410E96"/>
    <w:rsid w:val="00410F5C"/>
    <w:rsid w:val="00411C1D"/>
    <w:rsid w:val="00411FD7"/>
    <w:rsid w:val="0041213F"/>
    <w:rsid w:val="0041214B"/>
    <w:rsid w:val="0041242B"/>
    <w:rsid w:val="00412681"/>
    <w:rsid w:val="00412A04"/>
    <w:rsid w:val="00412C22"/>
    <w:rsid w:val="00412C54"/>
    <w:rsid w:val="00412DB7"/>
    <w:rsid w:val="0041307A"/>
    <w:rsid w:val="00413397"/>
    <w:rsid w:val="00413D02"/>
    <w:rsid w:val="00413DEA"/>
    <w:rsid w:val="00413DF7"/>
    <w:rsid w:val="004141EF"/>
    <w:rsid w:val="00414721"/>
    <w:rsid w:val="00414AA9"/>
    <w:rsid w:val="00414FC0"/>
    <w:rsid w:val="004150A8"/>
    <w:rsid w:val="0041538F"/>
    <w:rsid w:val="0041554C"/>
    <w:rsid w:val="004158E1"/>
    <w:rsid w:val="00415B20"/>
    <w:rsid w:val="0041798A"/>
    <w:rsid w:val="00417B00"/>
    <w:rsid w:val="00417D0F"/>
    <w:rsid w:val="00417E9B"/>
    <w:rsid w:val="00417ECD"/>
    <w:rsid w:val="0042007E"/>
    <w:rsid w:val="00420473"/>
    <w:rsid w:val="00420694"/>
    <w:rsid w:val="00420703"/>
    <w:rsid w:val="0042081E"/>
    <w:rsid w:val="00420E0C"/>
    <w:rsid w:val="00421989"/>
    <w:rsid w:val="00421B40"/>
    <w:rsid w:val="00421C02"/>
    <w:rsid w:val="00422163"/>
    <w:rsid w:val="00422B00"/>
    <w:rsid w:val="00422BB2"/>
    <w:rsid w:val="00422F9A"/>
    <w:rsid w:val="0042331A"/>
    <w:rsid w:val="00423479"/>
    <w:rsid w:val="004240BB"/>
    <w:rsid w:val="00424B49"/>
    <w:rsid w:val="00424BC0"/>
    <w:rsid w:val="00424CD9"/>
    <w:rsid w:val="00424EE9"/>
    <w:rsid w:val="00424F6E"/>
    <w:rsid w:val="00425365"/>
    <w:rsid w:val="00425A9F"/>
    <w:rsid w:val="00425BF0"/>
    <w:rsid w:val="00425C82"/>
    <w:rsid w:val="004261C5"/>
    <w:rsid w:val="004267BD"/>
    <w:rsid w:val="00426D00"/>
    <w:rsid w:val="00426DFE"/>
    <w:rsid w:val="00427071"/>
    <w:rsid w:val="0042739D"/>
    <w:rsid w:val="00427AC9"/>
    <w:rsid w:val="00427DF3"/>
    <w:rsid w:val="0043000A"/>
    <w:rsid w:val="0043033C"/>
    <w:rsid w:val="004304BD"/>
    <w:rsid w:val="004304D9"/>
    <w:rsid w:val="00430A35"/>
    <w:rsid w:val="00430E1F"/>
    <w:rsid w:val="00431223"/>
    <w:rsid w:val="004312F7"/>
    <w:rsid w:val="004318F3"/>
    <w:rsid w:val="00431CF1"/>
    <w:rsid w:val="004320E5"/>
    <w:rsid w:val="0043232C"/>
    <w:rsid w:val="00432C14"/>
    <w:rsid w:val="00432D80"/>
    <w:rsid w:val="00432EC8"/>
    <w:rsid w:val="00433ACC"/>
    <w:rsid w:val="004341E9"/>
    <w:rsid w:val="00434323"/>
    <w:rsid w:val="00434720"/>
    <w:rsid w:val="00434C76"/>
    <w:rsid w:val="00434CA4"/>
    <w:rsid w:val="00434F97"/>
    <w:rsid w:val="00435664"/>
    <w:rsid w:val="00435C51"/>
    <w:rsid w:val="00436AF2"/>
    <w:rsid w:val="00436C1D"/>
    <w:rsid w:val="00436D44"/>
    <w:rsid w:val="00437233"/>
    <w:rsid w:val="004379FE"/>
    <w:rsid w:val="00440002"/>
    <w:rsid w:val="00440C07"/>
    <w:rsid w:val="00440C48"/>
    <w:rsid w:val="00440D0E"/>
    <w:rsid w:val="00440D83"/>
    <w:rsid w:val="00440E3B"/>
    <w:rsid w:val="0044111B"/>
    <w:rsid w:val="00441985"/>
    <w:rsid w:val="00441CF6"/>
    <w:rsid w:val="00441E7C"/>
    <w:rsid w:val="00441F13"/>
    <w:rsid w:val="00441FF4"/>
    <w:rsid w:val="004437DC"/>
    <w:rsid w:val="00443A4C"/>
    <w:rsid w:val="00444013"/>
    <w:rsid w:val="004443AB"/>
    <w:rsid w:val="00444520"/>
    <w:rsid w:val="00444624"/>
    <w:rsid w:val="0044486A"/>
    <w:rsid w:val="004448DB"/>
    <w:rsid w:val="004450D0"/>
    <w:rsid w:val="0044527B"/>
    <w:rsid w:val="004452F2"/>
    <w:rsid w:val="00445D17"/>
    <w:rsid w:val="00445E64"/>
    <w:rsid w:val="00445F93"/>
    <w:rsid w:val="0044645D"/>
    <w:rsid w:val="00446746"/>
    <w:rsid w:val="00446778"/>
    <w:rsid w:val="00446AD1"/>
    <w:rsid w:val="00446FF5"/>
    <w:rsid w:val="004473E1"/>
    <w:rsid w:val="00447435"/>
    <w:rsid w:val="00447467"/>
    <w:rsid w:val="00447BE4"/>
    <w:rsid w:val="00447CC7"/>
    <w:rsid w:val="004501C4"/>
    <w:rsid w:val="0045342A"/>
    <w:rsid w:val="00453531"/>
    <w:rsid w:val="004539F3"/>
    <w:rsid w:val="00453E52"/>
    <w:rsid w:val="00453F61"/>
    <w:rsid w:val="00454DCF"/>
    <w:rsid w:val="00454F37"/>
    <w:rsid w:val="00455072"/>
    <w:rsid w:val="004551C5"/>
    <w:rsid w:val="0045526D"/>
    <w:rsid w:val="0045536D"/>
    <w:rsid w:val="0045563A"/>
    <w:rsid w:val="00455C0B"/>
    <w:rsid w:val="00455F0D"/>
    <w:rsid w:val="00455F76"/>
    <w:rsid w:val="0045615C"/>
    <w:rsid w:val="00456918"/>
    <w:rsid w:val="00457452"/>
    <w:rsid w:val="00457468"/>
    <w:rsid w:val="00457539"/>
    <w:rsid w:val="00460676"/>
    <w:rsid w:val="00460959"/>
    <w:rsid w:val="00460A2F"/>
    <w:rsid w:val="00460C33"/>
    <w:rsid w:val="00460DFC"/>
    <w:rsid w:val="00461390"/>
    <w:rsid w:val="00462344"/>
    <w:rsid w:val="00462441"/>
    <w:rsid w:val="00462792"/>
    <w:rsid w:val="00462882"/>
    <w:rsid w:val="00462DBD"/>
    <w:rsid w:val="00462DFC"/>
    <w:rsid w:val="00462EC3"/>
    <w:rsid w:val="00463713"/>
    <w:rsid w:val="00464A54"/>
    <w:rsid w:val="00464B57"/>
    <w:rsid w:val="00464CB3"/>
    <w:rsid w:val="00464F15"/>
    <w:rsid w:val="00465E1C"/>
    <w:rsid w:val="00466288"/>
    <w:rsid w:val="00466633"/>
    <w:rsid w:val="00466917"/>
    <w:rsid w:val="00466A68"/>
    <w:rsid w:val="00466E1F"/>
    <w:rsid w:val="0046788A"/>
    <w:rsid w:val="00467A07"/>
    <w:rsid w:val="00467DDF"/>
    <w:rsid w:val="00467E6F"/>
    <w:rsid w:val="0047033D"/>
    <w:rsid w:val="0047087C"/>
    <w:rsid w:val="004709CF"/>
    <w:rsid w:val="00470D72"/>
    <w:rsid w:val="0047104F"/>
    <w:rsid w:val="004712BA"/>
    <w:rsid w:val="004715DB"/>
    <w:rsid w:val="004717FC"/>
    <w:rsid w:val="00471DBD"/>
    <w:rsid w:val="00472AD8"/>
    <w:rsid w:val="00472C6D"/>
    <w:rsid w:val="00472D57"/>
    <w:rsid w:val="0047319E"/>
    <w:rsid w:val="0047343D"/>
    <w:rsid w:val="004737AB"/>
    <w:rsid w:val="004737D2"/>
    <w:rsid w:val="00474861"/>
    <w:rsid w:val="004749D1"/>
    <w:rsid w:val="004750E2"/>
    <w:rsid w:val="004756A4"/>
    <w:rsid w:val="0047572F"/>
    <w:rsid w:val="004757DD"/>
    <w:rsid w:val="00475A00"/>
    <w:rsid w:val="00475DE8"/>
    <w:rsid w:val="0047620B"/>
    <w:rsid w:val="004765C1"/>
    <w:rsid w:val="00476839"/>
    <w:rsid w:val="00477156"/>
    <w:rsid w:val="00477658"/>
    <w:rsid w:val="00477886"/>
    <w:rsid w:val="00480042"/>
    <w:rsid w:val="00480314"/>
    <w:rsid w:val="00480836"/>
    <w:rsid w:val="0048093C"/>
    <w:rsid w:val="00480C6C"/>
    <w:rsid w:val="00481166"/>
    <w:rsid w:val="004813F4"/>
    <w:rsid w:val="00481755"/>
    <w:rsid w:val="00481909"/>
    <w:rsid w:val="0048269A"/>
    <w:rsid w:val="00483B4A"/>
    <w:rsid w:val="00483CE2"/>
    <w:rsid w:val="00483E6B"/>
    <w:rsid w:val="00483EBC"/>
    <w:rsid w:val="004842F9"/>
    <w:rsid w:val="004847E2"/>
    <w:rsid w:val="00484846"/>
    <w:rsid w:val="00484C46"/>
    <w:rsid w:val="004856FD"/>
    <w:rsid w:val="0048633C"/>
    <w:rsid w:val="004865F3"/>
    <w:rsid w:val="00486A57"/>
    <w:rsid w:val="00486E0F"/>
    <w:rsid w:val="00487507"/>
    <w:rsid w:val="00487663"/>
    <w:rsid w:val="004877CE"/>
    <w:rsid w:val="00487AA1"/>
    <w:rsid w:val="00487AA5"/>
    <w:rsid w:val="00487D87"/>
    <w:rsid w:val="0049005A"/>
    <w:rsid w:val="0049089F"/>
    <w:rsid w:val="0049099D"/>
    <w:rsid w:val="00490E4A"/>
    <w:rsid w:val="00490E94"/>
    <w:rsid w:val="00490EE9"/>
    <w:rsid w:val="004913DD"/>
    <w:rsid w:val="004914C9"/>
    <w:rsid w:val="00491AF2"/>
    <w:rsid w:val="00491DE1"/>
    <w:rsid w:val="00491F25"/>
    <w:rsid w:val="00491FB0"/>
    <w:rsid w:val="00492077"/>
    <w:rsid w:val="004920BE"/>
    <w:rsid w:val="004922CB"/>
    <w:rsid w:val="004923E3"/>
    <w:rsid w:val="00492652"/>
    <w:rsid w:val="00492788"/>
    <w:rsid w:val="00492CC9"/>
    <w:rsid w:val="004930C9"/>
    <w:rsid w:val="004937B0"/>
    <w:rsid w:val="00493D61"/>
    <w:rsid w:val="00493F13"/>
    <w:rsid w:val="00494169"/>
    <w:rsid w:val="00494702"/>
    <w:rsid w:val="004948F2"/>
    <w:rsid w:val="004954B5"/>
    <w:rsid w:val="00495607"/>
    <w:rsid w:val="00495774"/>
    <w:rsid w:val="00495F75"/>
    <w:rsid w:val="00496151"/>
    <w:rsid w:val="00496379"/>
    <w:rsid w:val="0049641A"/>
    <w:rsid w:val="004968A8"/>
    <w:rsid w:val="004969CB"/>
    <w:rsid w:val="00496CB2"/>
    <w:rsid w:val="00496D6D"/>
    <w:rsid w:val="00497689"/>
    <w:rsid w:val="00497861"/>
    <w:rsid w:val="00497B8B"/>
    <w:rsid w:val="00497DD4"/>
    <w:rsid w:val="004A0111"/>
    <w:rsid w:val="004A05E1"/>
    <w:rsid w:val="004A0A58"/>
    <w:rsid w:val="004A0E9E"/>
    <w:rsid w:val="004A0FBA"/>
    <w:rsid w:val="004A1431"/>
    <w:rsid w:val="004A16AC"/>
    <w:rsid w:val="004A1B28"/>
    <w:rsid w:val="004A1C37"/>
    <w:rsid w:val="004A20D4"/>
    <w:rsid w:val="004A2BF9"/>
    <w:rsid w:val="004A2C3A"/>
    <w:rsid w:val="004A39B3"/>
    <w:rsid w:val="004A3A16"/>
    <w:rsid w:val="004A443B"/>
    <w:rsid w:val="004A5BC6"/>
    <w:rsid w:val="004A606E"/>
    <w:rsid w:val="004A6087"/>
    <w:rsid w:val="004A67DF"/>
    <w:rsid w:val="004A69F3"/>
    <w:rsid w:val="004A73AA"/>
    <w:rsid w:val="004B014F"/>
    <w:rsid w:val="004B0A99"/>
    <w:rsid w:val="004B0B98"/>
    <w:rsid w:val="004B14D9"/>
    <w:rsid w:val="004B1BF9"/>
    <w:rsid w:val="004B20AC"/>
    <w:rsid w:val="004B2450"/>
    <w:rsid w:val="004B26C7"/>
    <w:rsid w:val="004B317D"/>
    <w:rsid w:val="004B32FC"/>
    <w:rsid w:val="004B3567"/>
    <w:rsid w:val="004B39AC"/>
    <w:rsid w:val="004B3A7D"/>
    <w:rsid w:val="004B3CEC"/>
    <w:rsid w:val="004B4071"/>
    <w:rsid w:val="004B41CA"/>
    <w:rsid w:val="004B41D3"/>
    <w:rsid w:val="004B4228"/>
    <w:rsid w:val="004B4767"/>
    <w:rsid w:val="004B4A3D"/>
    <w:rsid w:val="004B4A92"/>
    <w:rsid w:val="004B5ADF"/>
    <w:rsid w:val="004B5DC2"/>
    <w:rsid w:val="004B5EF3"/>
    <w:rsid w:val="004B6067"/>
    <w:rsid w:val="004B66C4"/>
    <w:rsid w:val="004B67FA"/>
    <w:rsid w:val="004B702C"/>
    <w:rsid w:val="004B7411"/>
    <w:rsid w:val="004B74DA"/>
    <w:rsid w:val="004B7782"/>
    <w:rsid w:val="004B7A23"/>
    <w:rsid w:val="004B7C2B"/>
    <w:rsid w:val="004C009E"/>
    <w:rsid w:val="004C031E"/>
    <w:rsid w:val="004C0413"/>
    <w:rsid w:val="004C1928"/>
    <w:rsid w:val="004C1C10"/>
    <w:rsid w:val="004C1CED"/>
    <w:rsid w:val="004C1F3B"/>
    <w:rsid w:val="004C2707"/>
    <w:rsid w:val="004C30CA"/>
    <w:rsid w:val="004C376F"/>
    <w:rsid w:val="004C431E"/>
    <w:rsid w:val="004C43B3"/>
    <w:rsid w:val="004C458A"/>
    <w:rsid w:val="004C4C7A"/>
    <w:rsid w:val="004C4E08"/>
    <w:rsid w:val="004C4F65"/>
    <w:rsid w:val="004C5347"/>
    <w:rsid w:val="004C5DDA"/>
    <w:rsid w:val="004C5F4E"/>
    <w:rsid w:val="004C60F8"/>
    <w:rsid w:val="004C6320"/>
    <w:rsid w:val="004C65C9"/>
    <w:rsid w:val="004C65F2"/>
    <w:rsid w:val="004C665A"/>
    <w:rsid w:val="004C6876"/>
    <w:rsid w:val="004C6BE5"/>
    <w:rsid w:val="004C6EDF"/>
    <w:rsid w:val="004C6F08"/>
    <w:rsid w:val="004C75F6"/>
    <w:rsid w:val="004C7DEF"/>
    <w:rsid w:val="004D0198"/>
    <w:rsid w:val="004D0314"/>
    <w:rsid w:val="004D0661"/>
    <w:rsid w:val="004D0892"/>
    <w:rsid w:val="004D0E36"/>
    <w:rsid w:val="004D0E83"/>
    <w:rsid w:val="004D15F0"/>
    <w:rsid w:val="004D1ABC"/>
    <w:rsid w:val="004D1AD3"/>
    <w:rsid w:val="004D311F"/>
    <w:rsid w:val="004D377C"/>
    <w:rsid w:val="004D4790"/>
    <w:rsid w:val="004D47C1"/>
    <w:rsid w:val="004D4B5F"/>
    <w:rsid w:val="004D4EF0"/>
    <w:rsid w:val="004D52E2"/>
    <w:rsid w:val="004D54BD"/>
    <w:rsid w:val="004D6524"/>
    <w:rsid w:val="004D68B9"/>
    <w:rsid w:val="004D68BE"/>
    <w:rsid w:val="004D6BD9"/>
    <w:rsid w:val="004D6CE6"/>
    <w:rsid w:val="004D6F25"/>
    <w:rsid w:val="004D7264"/>
    <w:rsid w:val="004D789A"/>
    <w:rsid w:val="004D7B89"/>
    <w:rsid w:val="004E0134"/>
    <w:rsid w:val="004E0695"/>
    <w:rsid w:val="004E081A"/>
    <w:rsid w:val="004E09DC"/>
    <w:rsid w:val="004E0C7A"/>
    <w:rsid w:val="004E0E50"/>
    <w:rsid w:val="004E0F90"/>
    <w:rsid w:val="004E1162"/>
    <w:rsid w:val="004E13CC"/>
    <w:rsid w:val="004E15AE"/>
    <w:rsid w:val="004E1731"/>
    <w:rsid w:val="004E1D47"/>
    <w:rsid w:val="004E20A2"/>
    <w:rsid w:val="004E24CA"/>
    <w:rsid w:val="004E2A05"/>
    <w:rsid w:val="004E31BA"/>
    <w:rsid w:val="004E3436"/>
    <w:rsid w:val="004E3872"/>
    <w:rsid w:val="004E3966"/>
    <w:rsid w:val="004E39F8"/>
    <w:rsid w:val="004E3AFB"/>
    <w:rsid w:val="004E3D62"/>
    <w:rsid w:val="004E3DBA"/>
    <w:rsid w:val="004E4295"/>
    <w:rsid w:val="004E43D2"/>
    <w:rsid w:val="004E45A3"/>
    <w:rsid w:val="004E4646"/>
    <w:rsid w:val="004E46DA"/>
    <w:rsid w:val="004E4A1A"/>
    <w:rsid w:val="004E4E79"/>
    <w:rsid w:val="004E59B2"/>
    <w:rsid w:val="004E5B4A"/>
    <w:rsid w:val="004E5E56"/>
    <w:rsid w:val="004E604F"/>
    <w:rsid w:val="004E73E8"/>
    <w:rsid w:val="004E74EC"/>
    <w:rsid w:val="004E7BF8"/>
    <w:rsid w:val="004E7DEA"/>
    <w:rsid w:val="004F03AF"/>
    <w:rsid w:val="004F04CD"/>
    <w:rsid w:val="004F0789"/>
    <w:rsid w:val="004F0914"/>
    <w:rsid w:val="004F141F"/>
    <w:rsid w:val="004F14BF"/>
    <w:rsid w:val="004F2000"/>
    <w:rsid w:val="004F2318"/>
    <w:rsid w:val="004F24FB"/>
    <w:rsid w:val="004F26ED"/>
    <w:rsid w:val="004F2A65"/>
    <w:rsid w:val="004F2AF2"/>
    <w:rsid w:val="004F2F44"/>
    <w:rsid w:val="004F2F68"/>
    <w:rsid w:val="004F3176"/>
    <w:rsid w:val="004F32A4"/>
    <w:rsid w:val="004F3D32"/>
    <w:rsid w:val="004F4735"/>
    <w:rsid w:val="004F51D3"/>
    <w:rsid w:val="004F539C"/>
    <w:rsid w:val="004F5B6B"/>
    <w:rsid w:val="004F5B94"/>
    <w:rsid w:val="004F5BC4"/>
    <w:rsid w:val="004F63B9"/>
    <w:rsid w:val="004F663C"/>
    <w:rsid w:val="004F669C"/>
    <w:rsid w:val="004F6C88"/>
    <w:rsid w:val="004F709F"/>
    <w:rsid w:val="004F7104"/>
    <w:rsid w:val="004F7288"/>
    <w:rsid w:val="004F767C"/>
    <w:rsid w:val="004F7795"/>
    <w:rsid w:val="00500010"/>
    <w:rsid w:val="005001BC"/>
    <w:rsid w:val="00500BFA"/>
    <w:rsid w:val="00500DD6"/>
    <w:rsid w:val="005013E6"/>
    <w:rsid w:val="00501648"/>
    <w:rsid w:val="00501762"/>
    <w:rsid w:val="00501C83"/>
    <w:rsid w:val="005024E0"/>
    <w:rsid w:val="0050271A"/>
    <w:rsid w:val="00502E71"/>
    <w:rsid w:val="00502EA5"/>
    <w:rsid w:val="00503A88"/>
    <w:rsid w:val="005042A1"/>
    <w:rsid w:val="005042BC"/>
    <w:rsid w:val="00504C80"/>
    <w:rsid w:val="0050503C"/>
    <w:rsid w:val="00505568"/>
    <w:rsid w:val="0050598A"/>
    <w:rsid w:val="00505CD7"/>
    <w:rsid w:val="005061E5"/>
    <w:rsid w:val="005062B4"/>
    <w:rsid w:val="00506384"/>
    <w:rsid w:val="00506F08"/>
    <w:rsid w:val="005074FD"/>
    <w:rsid w:val="00507B1B"/>
    <w:rsid w:val="00507B6A"/>
    <w:rsid w:val="005104CF"/>
    <w:rsid w:val="005109A6"/>
    <w:rsid w:val="00510E7E"/>
    <w:rsid w:val="00510F27"/>
    <w:rsid w:val="00511504"/>
    <w:rsid w:val="005119C0"/>
    <w:rsid w:val="00511B57"/>
    <w:rsid w:val="00511EE9"/>
    <w:rsid w:val="00512353"/>
    <w:rsid w:val="00512653"/>
    <w:rsid w:val="005133D4"/>
    <w:rsid w:val="00513759"/>
    <w:rsid w:val="005137A8"/>
    <w:rsid w:val="00514262"/>
    <w:rsid w:val="00514327"/>
    <w:rsid w:val="0051485D"/>
    <w:rsid w:val="00514D54"/>
    <w:rsid w:val="00515430"/>
    <w:rsid w:val="00515531"/>
    <w:rsid w:val="005156C2"/>
    <w:rsid w:val="005159CD"/>
    <w:rsid w:val="00515C6E"/>
    <w:rsid w:val="005160E2"/>
    <w:rsid w:val="005161AD"/>
    <w:rsid w:val="00516BBA"/>
    <w:rsid w:val="00516CBD"/>
    <w:rsid w:val="00516EB9"/>
    <w:rsid w:val="005170B4"/>
    <w:rsid w:val="0051752A"/>
    <w:rsid w:val="00517CD0"/>
    <w:rsid w:val="00517F39"/>
    <w:rsid w:val="00517FBF"/>
    <w:rsid w:val="005203E7"/>
    <w:rsid w:val="005210FA"/>
    <w:rsid w:val="005211AC"/>
    <w:rsid w:val="0052127C"/>
    <w:rsid w:val="00521371"/>
    <w:rsid w:val="00521401"/>
    <w:rsid w:val="005214E2"/>
    <w:rsid w:val="00521531"/>
    <w:rsid w:val="00521617"/>
    <w:rsid w:val="005217E8"/>
    <w:rsid w:val="00522945"/>
    <w:rsid w:val="00523070"/>
    <w:rsid w:val="00523380"/>
    <w:rsid w:val="005239B7"/>
    <w:rsid w:val="00523BC0"/>
    <w:rsid w:val="00523BD2"/>
    <w:rsid w:val="00523CBE"/>
    <w:rsid w:val="00523FAF"/>
    <w:rsid w:val="00524146"/>
    <w:rsid w:val="00524613"/>
    <w:rsid w:val="00524713"/>
    <w:rsid w:val="00524C53"/>
    <w:rsid w:val="00524CB9"/>
    <w:rsid w:val="00524E6C"/>
    <w:rsid w:val="00524EA5"/>
    <w:rsid w:val="00525071"/>
    <w:rsid w:val="00525257"/>
    <w:rsid w:val="00525343"/>
    <w:rsid w:val="00525345"/>
    <w:rsid w:val="00525B14"/>
    <w:rsid w:val="00525B7E"/>
    <w:rsid w:val="00525D95"/>
    <w:rsid w:val="005260E6"/>
    <w:rsid w:val="0052633F"/>
    <w:rsid w:val="0052674D"/>
    <w:rsid w:val="00526B74"/>
    <w:rsid w:val="00526DB4"/>
    <w:rsid w:val="0052707E"/>
    <w:rsid w:val="00527144"/>
    <w:rsid w:val="00527332"/>
    <w:rsid w:val="00527901"/>
    <w:rsid w:val="00527AC5"/>
    <w:rsid w:val="00527EDB"/>
    <w:rsid w:val="005300D2"/>
    <w:rsid w:val="00530216"/>
    <w:rsid w:val="0053043B"/>
    <w:rsid w:val="0053046E"/>
    <w:rsid w:val="00530B61"/>
    <w:rsid w:val="00530FDE"/>
    <w:rsid w:val="0053152B"/>
    <w:rsid w:val="00531795"/>
    <w:rsid w:val="00531A98"/>
    <w:rsid w:val="00531CF0"/>
    <w:rsid w:val="00531E6A"/>
    <w:rsid w:val="005320F7"/>
    <w:rsid w:val="00532623"/>
    <w:rsid w:val="0053266E"/>
    <w:rsid w:val="0053269F"/>
    <w:rsid w:val="0053288C"/>
    <w:rsid w:val="00532B67"/>
    <w:rsid w:val="00532B8D"/>
    <w:rsid w:val="00532E70"/>
    <w:rsid w:val="00533A1F"/>
    <w:rsid w:val="005342A1"/>
    <w:rsid w:val="005349F6"/>
    <w:rsid w:val="00534CF1"/>
    <w:rsid w:val="005354F6"/>
    <w:rsid w:val="0053580A"/>
    <w:rsid w:val="0053590B"/>
    <w:rsid w:val="00535D0B"/>
    <w:rsid w:val="0053607E"/>
    <w:rsid w:val="00536119"/>
    <w:rsid w:val="00536390"/>
    <w:rsid w:val="0053646A"/>
    <w:rsid w:val="0053674A"/>
    <w:rsid w:val="00536EB8"/>
    <w:rsid w:val="0053709A"/>
    <w:rsid w:val="0053720F"/>
    <w:rsid w:val="00537407"/>
    <w:rsid w:val="00537415"/>
    <w:rsid w:val="00537739"/>
    <w:rsid w:val="00537E6A"/>
    <w:rsid w:val="00540A25"/>
    <w:rsid w:val="00540B24"/>
    <w:rsid w:val="005415DB"/>
    <w:rsid w:val="005416BB"/>
    <w:rsid w:val="005418E2"/>
    <w:rsid w:val="00541A87"/>
    <w:rsid w:val="00541CC7"/>
    <w:rsid w:val="00541D3C"/>
    <w:rsid w:val="005420B3"/>
    <w:rsid w:val="00542445"/>
    <w:rsid w:val="005426DA"/>
    <w:rsid w:val="0054272F"/>
    <w:rsid w:val="00542F7E"/>
    <w:rsid w:val="00543B10"/>
    <w:rsid w:val="00543FE7"/>
    <w:rsid w:val="00544139"/>
    <w:rsid w:val="00544D59"/>
    <w:rsid w:val="00545235"/>
    <w:rsid w:val="005452F5"/>
    <w:rsid w:val="00545A46"/>
    <w:rsid w:val="00545DC6"/>
    <w:rsid w:val="00546054"/>
    <w:rsid w:val="005466DD"/>
    <w:rsid w:val="00546765"/>
    <w:rsid w:val="00546871"/>
    <w:rsid w:val="00547229"/>
    <w:rsid w:val="00547850"/>
    <w:rsid w:val="00547879"/>
    <w:rsid w:val="005478E6"/>
    <w:rsid w:val="005479F1"/>
    <w:rsid w:val="00547B59"/>
    <w:rsid w:val="00547D22"/>
    <w:rsid w:val="00547E58"/>
    <w:rsid w:val="00547FD8"/>
    <w:rsid w:val="00550288"/>
    <w:rsid w:val="005509A3"/>
    <w:rsid w:val="00550D79"/>
    <w:rsid w:val="005517D2"/>
    <w:rsid w:val="00551840"/>
    <w:rsid w:val="00551A8A"/>
    <w:rsid w:val="00551AB3"/>
    <w:rsid w:val="00551D2E"/>
    <w:rsid w:val="00552143"/>
    <w:rsid w:val="005523C9"/>
    <w:rsid w:val="00552767"/>
    <w:rsid w:val="0055294B"/>
    <w:rsid w:val="005529F1"/>
    <w:rsid w:val="00552DD1"/>
    <w:rsid w:val="00553279"/>
    <w:rsid w:val="0055332C"/>
    <w:rsid w:val="0055349C"/>
    <w:rsid w:val="005536CF"/>
    <w:rsid w:val="0055394B"/>
    <w:rsid w:val="00553B17"/>
    <w:rsid w:val="00553C93"/>
    <w:rsid w:val="00553FA6"/>
    <w:rsid w:val="0055409C"/>
    <w:rsid w:val="00554124"/>
    <w:rsid w:val="0055413D"/>
    <w:rsid w:val="005544B3"/>
    <w:rsid w:val="005548D7"/>
    <w:rsid w:val="00554D59"/>
    <w:rsid w:val="00554E40"/>
    <w:rsid w:val="00554F97"/>
    <w:rsid w:val="00554FAB"/>
    <w:rsid w:val="005550E1"/>
    <w:rsid w:val="005554C2"/>
    <w:rsid w:val="00555ED2"/>
    <w:rsid w:val="00556745"/>
    <w:rsid w:val="00556C0A"/>
    <w:rsid w:val="00556D80"/>
    <w:rsid w:val="00557038"/>
    <w:rsid w:val="00557071"/>
    <w:rsid w:val="005571CE"/>
    <w:rsid w:val="0055775F"/>
    <w:rsid w:val="00557B21"/>
    <w:rsid w:val="00557E0E"/>
    <w:rsid w:val="00557E48"/>
    <w:rsid w:val="00560B35"/>
    <w:rsid w:val="00560BE0"/>
    <w:rsid w:val="005613FE"/>
    <w:rsid w:val="00561891"/>
    <w:rsid w:val="00562A60"/>
    <w:rsid w:val="00562AE4"/>
    <w:rsid w:val="00562C17"/>
    <w:rsid w:val="00563B11"/>
    <w:rsid w:val="00564889"/>
    <w:rsid w:val="00564B27"/>
    <w:rsid w:val="00564C46"/>
    <w:rsid w:val="00564C9B"/>
    <w:rsid w:val="00564DE4"/>
    <w:rsid w:val="00564EF6"/>
    <w:rsid w:val="00564FA7"/>
    <w:rsid w:val="00565365"/>
    <w:rsid w:val="00565386"/>
    <w:rsid w:val="0056542C"/>
    <w:rsid w:val="005655D3"/>
    <w:rsid w:val="005657D7"/>
    <w:rsid w:val="00565A20"/>
    <w:rsid w:val="00565BA1"/>
    <w:rsid w:val="00565BFE"/>
    <w:rsid w:val="005661AF"/>
    <w:rsid w:val="005668D1"/>
    <w:rsid w:val="0056691D"/>
    <w:rsid w:val="00567355"/>
    <w:rsid w:val="0056756C"/>
    <w:rsid w:val="005679D6"/>
    <w:rsid w:val="00567D22"/>
    <w:rsid w:val="00567F9E"/>
    <w:rsid w:val="00567FC1"/>
    <w:rsid w:val="00570058"/>
    <w:rsid w:val="0057013D"/>
    <w:rsid w:val="0057038E"/>
    <w:rsid w:val="00570A13"/>
    <w:rsid w:val="00570B11"/>
    <w:rsid w:val="005710C0"/>
    <w:rsid w:val="005718EC"/>
    <w:rsid w:val="00571C23"/>
    <w:rsid w:val="00572252"/>
    <w:rsid w:val="00572297"/>
    <w:rsid w:val="00572482"/>
    <w:rsid w:val="005727F7"/>
    <w:rsid w:val="005728D8"/>
    <w:rsid w:val="00572C96"/>
    <w:rsid w:val="00572D93"/>
    <w:rsid w:val="005730AB"/>
    <w:rsid w:val="005730C8"/>
    <w:rsid w:val="0057328E"/>
    <w:rsid w:val="00573521"/>
    <w:rsid w:val="00573774"/>
    <w:rsid w:val="00573EAB"/>
    <w:rsid w:val="0057434E"/>
    <w:rsid w:val="005748E5"/>
    <w:rsid w:val="005750C2"/>
    <w:rsid w:val="0057515A"/>
    <w:rsid w:val="00575BC1"/>
    <w:rsid w:val="005766AA"/>
    <w:rsid w:val="00576B32"/>
    <w:rsid w:val="00576DE4"/>
    <w:rsid w:val="00576FB2"/>
    <w:rsid w:val="00577129"/>
    <w:rsid w:val="00577721"/>
    <w:rsid w:val="005777C5"/>
    <w:rsid w:val="0058007A"/>
    <w:rsid w:val="00580440"/>
    <w:rsid w:val="00580937"/>
    <w:rsid w:val="00580CD8"/>
    <w:rsid w:val="00580F61"/>
    <w:rsid w:val="00580F93"/>
    <w:rsid w:val="00581832"/>
    <w:rsid w:val="00582103"/>
    <w:rsid w:val="005828F1"/>
    <w:rsid w:val="00582E34"/>
    <w:rsid w:val="00582F0A"/>
    <w:rsid w:val="005830F2"/>
    <w:rsid w:val="005835DA"/>
    <w:rsid w:val="00583C3B"/>
    <w:rsid w:val="005843CD"/>
    <w:rsid w:val="005854A0"/>
    <w:rsid w:val="00585A77"/>
    <w:rsid w:val="00585ABE"/>
    <w:rsid w:val="00585DEE"/>
    <w:rsid w:val="00585E2D"/>
    <w:rsid w:val="00585EBF"/>
    <w:rsid w:val="00585F7D"/>
    <w:rsid w:val="00585FAF"/>
    <w:rsid w:val="0058606B"/>
    <w:rsid w:val="00586239"/>
    <w:rsid w:val="0058649D"/>
    <w:rsid w:val="005868D0"/>
    <w:rsid w:val="00586FF6"/>
    <w:rsid w:val="0058712F"/>
    <w:rsid w:val="005873D4"/>
    <w:rsid w:val="005875DB"/>
    <w:rsid w:val="00587800"/>
    <w:rsid w:val="00587993"/>
    <w:rsid w:val="00587B01"/>
    <w:rsid w:val="0059095A"/>
    <w:rsid w:val="00590BA5"/>
    <w:rsid w:val="00590F0B"/>
    <w:rsid w:val="00591077"/>
    <w:rsid w:val="005912B0"/>
    <w:rsid w:val="005914A0"/>
    <w:rsid w:val="0059164A"/>
    <w:rsid w:val="00591C47"/>
    <w:rsid w:val="00591C73"/>
    <w:rsid w:val="00591FBB"/>
    <w:rsid w:val="005922B5"/>
    <w:rsid w:val="005923EC"/>
    <w:rsid w:val="00592581"/>
    <w:rsid w:val="00592725"/>
    <w:rsid w:val="005928C5"/>
    <w:rsid w:val="00592E63"/>
    <w:rsid w:val="0059324C"/>
    <w:rsid w:val="00593297"/>
    <w:rsid w:val="005932E4"/>
    <w:rsid w:val="005935DA"/>
    <w:rsid w:val="0059381A"/>
    <w:rsid w:val="00593C34"/>
    <w:rsid w:val="00594879"/>
    <w:rsid w:val="005948A6"/>
    <w:rsid w:val="00594D73"/>
    <w:rsid w:val="00594E6B"/>
    <w:rsid w:val="00595AB2"/>
    <w:rsid w:val="00596854"/>
    <w:rsid w:val="00597031"/>
    <w:rsid w:val="005978A0"/>
    <w:rsid w:val="00597A30"/>
    <w:rsid w:val="00597A74"/>
    <w:rsid w:val="00597E5D"/>
    <w:rsid w:val="00597FA3"/>
    <w:rsid w:val="005A0129"/>
    <w:rsid w:val="005A0464"/>
    <w:rsid w:val="005A0EFB"/>
    <w:rsid w:val="005A1885"/>
    <w:rsid w:val="005A1DD2"/>
    <w:rsid w:val="005A21BC"/>
    <w:rsid w:val="005A2571"/>
    <w:rsid w:val="005A2B2D"/>
    <w:rsid w:val="005A3963"/>
    <w:rsid w:val="005A3CA5"/>
    <w:rsid w:val="005A44CA"/>
    <w:rsid w:val="005A4CCA"/>
    <w:rsid w:val="005A53AD"/>
    <w:rsid w:val="005A5A32"/>
    <w:rsid w:val="005A5C2A"/>
    <w:rsid w:val="005A5C9B"/>
    <w:rsid w:val="005A6AC4"/>
    <w:rsid w:val="005A6AE8"/>
    <w:rsid w:val="005A7007"/>
    <w:rsid w:val="005A72D7"/>
    <w:rsid w:val="005A73B5"/>
    <w:rsid w:val="005A7911"/>
    <w:rsid w:val="005A7BE4"/>
    <w:rsid w:val="005A7EBB"/>
    <w:rsid w:val="005B035A"/>
    <w:rsid w:val="005B0468"/>
    <w:rsid w:val="005B0BCF"/>
    <w:rsid w:val="005B10D9"/>
    <w:rsid w:val="005B1526"/>
    <w:rsid w:val="005B1589"/>
    <w:rsid w:val="005B197F"/>
    <w:rsid w:val="005B1C5D"/>
    <w:rsid w:val="005B2017"/>
    <w:rsid w:val="005B2434"/>
    <w:rsid w:val="005B2748"/>
    <w:rsid w:val="005B2B3E"/>
    <w:rsid w:val="005B2C29"/>
    <w:rsid w:val="005B2DF0"/>
    <w:rsid w:val="005B2FDF"/>
    <w:rsid w:val="005B32E1"/>
    <w:rsid w:val="005B3401"/>
    <w:rsid w:val="005B3584"/>
    <w:rsid w:val="005B3653"/>
    <w:rsid w:val="005B3700"/>
    <w:rsid w:val="005B372F"/>
    <w:rsid w:val="005B3895"/>
    <w:rsid w:val="005B3AF5"/>
    <w:rsid w:val="005B4024"/>
    <w:rsid w:val="005B40EE"/>
    <w:rsid w:val="005B4114"/>
    <w:rsid w:val="005B415D"/>
    <w:rsid w:val="005B41BF"/>
    <w:rsid w:val="005B4374"/>
    <w:rsid w:val="005B4559"/>
    <w:rsid w:val="005B4689"/>
    <w:rsid w:val="005B4C2D"/>
    <w:rsid w:val="005B5237"/>
    <w:rsid w:val="005B54E9"/>
    <w:rsid w:val="005B5773"/>
    <w:rsid w:val="005B5BCD"/>
    <w:rsid w:val="005B6604"/>
    <w:rsid w:val="005B6999"/>
    <w:rsid w:val="005B6C1F"/>
    <w:rsid w:val="005B7212"/>
    <w:rsid w:val="005B77C7"/>
    <w:rsid w:val="005B79D1"/>
    <w:rsid w:val="005B7B29"/>
    <w:rsid w:val="005B7BF4"/>
    <w:rsid w:val="005B7D06"/>
    <w:rsid w:val="005C0F0A"/>
    <w:rsid w:val="005C109C"/>
    <w:rsid w:val="005C1D39"/>
    <w:rsid w:val="005C1D42"/>
    <w:rsid w:val="005C2439"/>
    <w:rsid w:val="005C2746"/>
    <w:rsid w:val="005C2868"/>
    <w:rsid w:val="005C2B9F"/>
    <w:rsid w:val="005C2F7B"/>
    <w:rsid w:val="005C32A6"/>
    <w:rsid w:val="005C3A1E"/>
    <w:rsid w:val="005C3BF8"/>
    <w:rsid w:val="005C3FEE"/>
    <w:rsid w:val="005C408D"/>
    <w:rsid w:val="005C4796"/>
    <w:rsid w:val="005C4CC2"/>
    <w:rsid w:val="005C4E3B"/>
    <w:rsid w:val="005C4F64"/>
    <w:rsid w:val="005C5566"/>
    <w:rsid w:val="005C5AE4"/>
    <w:rsid w:val="005C5C59"/>
    <w:rsid w:val="005C5E87"/>
    <w:rsid w:val="005C5F0E"/>
    <w:rsid w:val="005C60CB"/>
    <w:rsid w:val="005C63FC"/>
    <w:rsid w:val="005C64A4"/>
    <w:rsid w:val="005C6A2F"/>
    <w:rsid w:val="005C70EE"/>
    <w:rsid w:val="005C71AA"/>
    <w:rsid w:val="005C72C3"/>
    <w:rsid w:val="005C73FB"/>
    <w:rsid w:val="005C7A94"/>
    <w:rsid w:val="005C7C55"/>
    <w:rsid w:val="005C7FB2"/>
    <w:rsid w:val="005D0232"/>
    <w:rsid w:val="005D051A"/>
    <w:rsid w:val="005D0878"/>
    <w:rsid w:val="005D08F9"/>
    <w:rsid w:val="005D0A1C"/>
    <w:rsid w:val="005D0C16"/>
    <w:rsid w:val="005D114B"/>
    <w:rsid w:val="005D1767"/>
    <w:rsid w:val="005D2250"/>
    <w:rsid w:val="005D25CB"/>
    <w:rsid w:val="005D30DB"/>
    <w:rsid w:val="005D3640"/>
    <w:rsid w:val="005D3712"/>
    <w:rsid w:val="005D3747"/>
    <w:rsid w:val="005D4088"/>
    <w:rsid w:val="005D41C8"/>
    <w:rsid w:val="005D43CB"/>
    <w:rsid w:val="005D4951"/>
    <w:rsid w:val="005D6209"/>
    <w:rsid w:val="005D6312"/>
    <w:rsid w:val="005D6890"/>
    <w:rsid w:val="005D707E"/>
    <w:rsid w:val="005D7574"/>
    <w:rsid w:val="005D7577"/>
    <w:rsid w:val="005D77BD"/>
    <w:rsid w:val="005D7867"/>
    <w:rsid w:val="005D7AF3"/>
    <w:rsid w:val="005D7E0B"/>
    <w:rsid w:val="005D7EEA"/>
    <w:rsid w:val="005D7F1C"/>
    <w:rsid w:val="005E019A"/>
    <w:rsid w:val="005E0670"/>
    <w:rsid w:val="005E0989"/>
    <w:rsid w:val="005E09E5"/>
    <w:rsid w:val="005E0A3F"/>
    <w:rsid w:val="005E0EE0"/>
    <w:rsid w:val="005E0F68"/>
    <w:rsid w:val="005E0F9B"/>
    <w:rsid w:val="005E0FB0"/>
    <w:rsid w:val="005E12E0"/>
    <w:rsid w:val="005E1717"/>
    <w:rsid w:val="005E1A9F"/>
    <w:rsid w:val="005E1E33"/>
    <w:rsid w:val="005E2907"/>
    <w:rsid w:val="005E2B9E"/>
    <w:rsid w:val="005E3057"/>
    <w:rsid w:val="005E3200"/>
    <w:rsid w:val="005E3375"/>
    <w:rsid w:val="005E3957"/>
    <w:rsid w:val="005E3A2A"/>
    <w:rsid w:val="005E3EA2"/>
    <w:rsid w:val="005E42E3"/>
    <w:rsid w:val="005E5002"/>
    <w:rsid w:val="005E50DF"/>
    <w:rsid w:val="005E53B2"/>
    <w:rsid w:val="005E53F6"/>
    <w:rsid w:val="005E59EE"/>
    <w:rsid w:val="005E5D7B"/>
    <w:rsid w:val="005E6014"/>
    <w:rsid w:val="005E6143"/>
    <w:rsid w:val="005E618A"/>
    <w:rsid w:val="005E6419"/>
    <w:rsid w:val="005E6475"/>
    <w:rsid w:val="005E661E"/>
    <w:rsid w:val="005E670D"/>
    <w:rsid w:val="005E6B8D"/>
    <w:rsid w:val="005E6ED1"/>
    <w:rsid w:val="005E6F26"/>
    <w:rsid w:val="005E6FE6"/>
    <w:rsid w:val="005E7922"/>
    <w:rsid w:val="005E7AC0"/>
    <w:rsid w:val="005E7BE5"/>
    <w:rsid w:val="005E7E1E"/>
    <w:rsid w:val="005F08B1"/>
    <w:rsid w:val="005F09AA"/>
    <w:rsid w:val="005F0E48"/>
    <w:rsid w:val="005F120A"/>
    <w:rsid w:val="005F1247"/>
    <w:rsid w:val="005F12B4"/>
    <w:rsid w:val="005F162B"/>
    <w:rsid w:val="005F1F3A"/>
    <w:rsid w:val="005F2308"/>
    <w:rsid w:val="005F282D"/>
    <w:rsid w:val="005F2BC6"/>
    <w:rsid w:val="005F3133"/>
    <w:rsid w:val="005F32FC"/>
    <w:rsid w:val="005F33C2"/>
    <w:rsid w:val="005F374A"/>
    <w:rsid w:val="005F3781"/>
    <w:rsid w:val="005F3C83"/>
    <w:rsid w:val="005F4066"/>
    <w:rsid w:val="005F411A"/>
    <w:rsid w:val="005F480E"/>
    <w:rsid w:val="005F49D8"/>
    <w:rsid w:val="005F4CC4"/>
    <w:rsid w:val="005F4EE3"/>
    <w:rsid w:val="005F5068"/>
    <w:rsid w:val="005F585D"/>
    <w:rsid w:val="005F5AD1"/>
    <w:rsid w:val="005F5D4E"/>
    <w:rsid w:val="005F5F63"/>
    <w:rsid w:val="005F6133"/>
    <w:rsid w:val="005F65F9"/>
    <w:rsid w:val="005F661F"/>
    <w:rsid w:val="005F6BAB"/>
    <w:rsid w:val="005F6D10"/>
    <w:rsid w:val="005F6E29"/>
    <w:rsid w:val="005F6EDE"/>
    <w:rsid w:val="005F7245"/>
    <w:rsid w:val="005F76BD"/>
    <w:rsid w:val="005F770F"/>
    <w:rsid w:val="005F7C0E"/>
    <w:rsid w:val="0060032E"/>
    <w:rsid w:val="006003B3"/>
    <w:rsid w:val="006004E2"/>
    <w:rsid w:val="006006E5"/>
    <w:rsid w:val="00600794"/>
    <w:rsid w:val="00600C91"/>
    <w:rsid w:val="0060171A"/>
    <w:rsid w:val="00601B4A"/>
    <w:rsid w:val="00601BD0"/>
    <w:rsid w:val="00601C10"/>
    <w:rsid w:val="00601C6D"/>
    <w:rsid w:val="00601D77"/>
    <w:rsid w:val="00601E0C"/>
    <w:rsid w:val="00601E59"/>
    <w:rsid w:val="00601F31"/>
    <w:rsid w:val="006029EF"/>
    <w:rsid w:val="00602B13"/>
    <w:rsid w:val="006031AD"/>
    <w:rsid w:val="00603524"/>
    <w:rsid w:val="00603601"/>
    <w:rsid w:val="00603A00"/>
    <w:rsid w:val="00603C32"/>
    <w:rsid w:val="00603C8F"/>
    <w:rsid w:val="00603D3A"/>
    <w:rsid w:val="006040AB"/>
    <w:rsid w:val="006043AE"/>
    <w:rsid w:val="006045AA"/>
    <w:rsid w:val="00604699"/>
    <w:rsid w:val="006046D4"/>
    <w:rsid w:val="0060482E"/>
    <w:rsid w:val="00604F99"/>
    <w:rsid w:val="00605251"/>
    <w:rsid w:val="00605D5C"/>
    <w:rsid w:val="00606298"/>
    <w:rsid w:val="006062A6"/>
    <w:rsid w:val="00606840"/>
    <w:rsid w:val="00606DF1"/>
    <w:rsid w:val="006073CE"/>
    <w:rsid w:val="0060764B"/>
    <w:rsid w:val="00607658"/>
    <w:rsid w:val="00607B0C"/>
    <w:rsid w:val="00607CA2"/>
    <w:rsid w:val="00610BF6"/>
    <w:rsid w:val="00610DF4"/>
    <w:rsid w:val="00610E61"/>
    <w:rsid w:val="00611140"/>
    <w:rsid w:val="006114AE"/>
    <w:rsid w:val="00611FC1"/>
    <w:rsid w:val="006124DD"/>
    <w:rsid w:val="006127AB"/>
    <w:rsid w:val="0061290D"/>
    <w:rsid w:val="00612DE7"/>
    <w:rsid w:val="006130EE"/>
    <w:rsid w:val="00613123"/>
    <w:rsid w:val="006131CE"/>
    <w:rsid w:val="006138C0"/>
    <w:rsid w:val="00613A29"/>
    <w:rsid w:val="00613AA5"/>
    <w:rsid w:val="00613EF5"/>
    <w:rsid w:val="0061441E"/>
    <w:rsid w:val="00614434"/>
    <w:rsid w:val="006147E5"/>
    <w:rsid w:val="006149DB"/>
    <w:rsid w:val="00614D57"/>
    <w:rsid w:val="00614EA7"/>
    <w:rsid w:val="00615836"/>
    <w:rsid w:val="00615D2C"/>
    <w:rsid w:val="00615DFD"/>
    <w:rsid w:val="00615E6C"/>
    <w:rsid w:val="00616104"/>
    <w:rsid w:val="0061611D"/>
    <w:rsid w:val="00616AAF"/>
    <w:rsid w:val="00616BDD"/>
    <w:rsid w:val="00616F74"/>
    <w:rsid w:val="006173C1"/>
    <w:rsid w:val="00617584"/>
    <w:rsid w:val="006176AE"/>
    <w:rsid w:val="006176D9"/>
    <w:rsid w:val="00617B03"/>
    <w:rsid w:val="00617B9C"/>
    <w:rsid w:val="00617E61"/>
    <w:rsid w:val="0062059F"/>
    <w:rsid w:val="00620605"/>
    <w:rsid w:val="00620751"/>
    <w:rsid w:val="006207FA"/>
    <w:rsid w:val="00620ACB"/>
    <w:rsid w:val="006211CD"/>
    <w:rsid w:val="00621247"/>
    <w:rsid w:val="006226A2"/>
    <w:rsid w:val="0062274A"/>
    <w:rsid w:val="00622BD3"/>
    <w:rsid w:val="00622E44"/>
    <w:rsid w:val="00623453"/>
    <w:rsid w:val="00623C52"/>
    <w:rsid w:val="00623CD9"/>
    <w:rsid w:val="00623E83"/>
    <w:rsid w:val="00624692"/>
    <w:rsid w:val="006248CA"/>
    <w:rsid w:val="00624A65"/>
    <w:rsid w:val="00625445"/>
    <w:rsid w:val="00625876"/>
    <w:rsid w:val="00625F38"/>
    <w:rsid w:val="0062612B"/>
    <w:rsid w:val="006267F7"/>
    <w:rsid w:val="00626D7D"/>
    <w:rsid w:val="0062731C"/>
    <w:rsid w:val="006308FC"/>
    <w:rsid w:val="006309E0"/>
    <w:rsid w:val="00630B8D"/>
    <w:rsid w:val="006311F1"/>
    <w:rsid w:val="006314C2"/>
    <w:rsid w:val="00631843"/>
    <w:rsid w:val="00631C37"/>
    <w:rsid w:val="0063209E"/>
    <w:rsid w:val="006320EC"/>
    <w:rsid w:val="0063233E"/>
    <w:rsid w:val="0063260C"/>
    <w:rsid w:val="006326C5"/>
    <w:rsid w:val="00632A6F"/>
    <w:rsid w:val="00632AF3"/>
    <w:rsid w:val="00633754"/>
    <w:rsid w:val="006337E6"/>
    <w:rsid w:val="00633965"/>
    <w:rsid w:val="0063405A"/>
    <w:rsid w:val="00635029"/>
    <w:rsid w:val="00635743"/>
    <w:rsid w:val="00635AD4"/>
    <w:rsid w:val="0063672C"/>
    <w:rsid w:val="00636B48"/>
    <w:rsid w:val="00636CD7"/>
    <w:rsid w:val="00636CE4"/>
    <w:rsid w:val="0063794E"/>
    <w:rsid w:val="00637AF9"/>
    <w:rsid w:val="00640454"/>
    <w:rsid w:val="0064046C"/>
    <w:rsid w:val="006406EE"/>
    <w:rsid w:val="00641023"/>
    <w:rsid w:val="006412EB"/>
    <w:rsid w:val="00641482"/>
    <w:rsid w:val="00641A26"/>
    <w:rsid w:val="00641E21"/>
    <w:rsid w:val="0064274E"/>
    <w:rsid w:val="00642AF6"/>
    <w:rsid w:val="00642E5B"/>
    <w:rsid w:val="00642ED7"/>
    <w:rsid w:val="00642EEF"/>
    <w:rsid w:val="0064302D"/>
    <w:rsid w:val="006438FE"/>
    <w:rsid w:val="006440AB"/>
    <w:rsid w:val="00644788"/>
    <w:rsid w:val="00644D2E"/>
    <w:rsid w:val="006459AD"/>
    <w:rsid w:val="00645E9B"/>
    <w:rsid w:val="00646469"/>
    <w:rsid w:val="006464AC"/>
    <w:rsid w:val="006466C6"/>
    <w:rsid w:val="006469C2"/>
    <w:rsid w:val="00646A3A"/>
    <w:rsid w:val="00646F69"/>
    <w:rsid w:val="00647013"/>
    <w:rsid w:val="00647516"/>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4D0"/>
    <w:rsid w:val="00654637"/>
    <w:rsid w:val="0065486D"/>
    <w:rsid w:val="00654A03"/>
    <w:rsid w:val="00654CF7"/>
    <w:rsid w:val="00654D82"/>
    <w:rsid w:val="00654FEE"/>
    <w:rsid w:val="0065544D"/>
    <w:rsid w:val="006554E5"/>
    <w:rsid w:val="00655915"/>
    <w:rsid w:val="00656380"/>
    <w:rsid w:val="00656AE0"/>
    <w:rsid w:val="00656BDE"/>
    <w:rsid w:val="00656DBF"/>
    <w:rsid w:val="00657160"/>
    <w:rsid w:val="006573F5"/>
    <w:rsid w:val="006576B5"/>
    <w:rsid w:val="006577D7"/>
    <w:rsid w:val="006577FA"/>
    <w:rsid w:val="006600B7"/>
    <w:rsid w:val="00660629"/>
    <w:rsid w:val="006608F8"/>
    <w:rsid w:val="00660987"/>
    <w:rsid w:val="00660C93"/>
    <w:rsid w:val="00661B4C"/>
    <w:rsid w:val="00661BE3"/>
    <w:rsid w:val="00662282"/>
    <w:rsid w:val="006629AB"/>
    <w:rsid w:val="00662ECD"/>
    <w:rsid w:val="0066339D"/>
    <w:rsid w:val="006637F7"/>
    <w:rsid w:val="00663E3B"/>
    <w:rsid w:val="00663ECC"/>
    <w:rsid w:val="00664431"/>
    <w:rsid w:val="00664474"/>
    <w:rsid w:val="0066448E"/>
    <w:rsid w:val="0066459B"/>
    <w:rsid w:val="00664D95"/>
    <w:rsid w:val="00664FC5"/>
    <w:rsid w:val="00665539"/>
    <w:rsid w:val="00665594"/>
    <w:rsid w:val="0066586D"/>
    <w:rsid w:val="006658F0"/>
    <w:rsid w:val="00665DDF"/>
    <w:rsid w:val="00665F0E"/>
    <w:rsid w:val="006662BA"/>
    <w:rsid w:val="00666332"/>
    <w:rsid w:val="0066642F"/>
    <w:rsid w:val="006666FD"/>
    <w:rsid w:val="00666DDF"/>
    <w:rsid w:val="006673D9"/>
    <w:rsid w:val="00667620"/>
    <w:rsid w:val="006678C9"/>
    <w:rsid w:val="00667962"/>
    <w:rsid w:val="00667C1A"/>
    <w:rsid w:val="00667D51"/>
    <w:rsid w:val="00667DB3"/>
    <w:rsid w:val="006703D5"/>
    <w:rsid w:val="00670491"/>
    <w:rsid w:val="00670B23"/>
    <w:rsid w:val="00670F01"/>
    <w:rsid w:val="00670F08"/>
    <w:rsid w:val="00671112"/>
    <w:rsid w:val="006711CD"/>
    <w:rsid w:val="00671274"/>
    <w:rsid w:val="006714CE"/>
    <w:rsid w:val="00671C11"/>
    <w:rsid w:val="00671FC2"/>
    <w:rsid w:val="00672021"/>
    <w:rsid w:val="006724B7"/>
    <w:rsid w:val="00672626"/>
    <w:rsid w:val="00672876"/>
    <w:rsid w:val="006729FC"/>
    <w:rsid w:val="00672DD5"/>
    <w:rsid w:val="00672F78"/>
    <w:rsid w:val="0067339C"/>
    <w:rsid w:val="006734BE"/>
    <w:rsid w:val="006735F3"/>
    <w:rsid w:val="00673641"/>
    <w:rsid w:val="00673A06"/>
    <w:rsid w:val="00673C08"/>
    <w:rsid w:val="00673D32"/>
    <w:rsid w:val="00674859"/>
    <w:rsid w:val="00675366"/>
    <w:rsid w:val="006759CB"/>
    <w:rsid w:val="006759E0"/>
    <w:rsid w:val="00675D32"/>
    <w:rsid w:val="00675DD6"/>
    <w:rsid w:val="00675E99"/>
    <w:rsid w:val="006760DF"/>
    <w:rsid w:val="0067611A"/>
    <w:rsid w:val="00676157"/>
    <w:rsid w:val="0067626D"/>
    <w:rsid w:val="0067642C"/>
    <w:rsid w:val="00676777"/>
    <w:rsid w:val="00676A74"/>
    <w:rsid w:val="00676B58"/>
    <w:rsid w:val="00676BDC"/>
    <w:rsid w:val="00676D5D"/>
    <w:rsid w:val="00680148"/>
    <w:rsid w:val="0068057F"/>
    <w:rsid w:val="00680F5B"/>
    <w:rsid w:val="006815AE"/>
    <w:rsid w:val="00682164"/>
    <w:rsid w:val="006821A3"/>
    <w:rsid w:val="0068230C"/>
    <w:rsid w:val="0068246C"/>
    <w:rsid w:val="00682617"/>
    <w:rsid w:val="00682BA5"/>
    <w:rsid w:val="00682FA5"/>
    <w:rsid w:val="0068316A"/>
    <w:rsid w:val="006834D8"/>
    <w:rsid w:val="006835B1"/>
    <w:rsid w:val="00683AC0"/>
    <w:rsid w:val="00683CCE"/>
    <w:rsid w:val="00683DEA"/>
    <w:rsid w:val="00683F05"/>
    <w:rsid w:val="006843EE"/>
    <w:rsid w:val="00684B43"/>
    <w:rsid w:val="00684D70"/>
    <w:rsid w:val="0068510C"/>
    <w:rsid w:val="006858F0"/>
    <w:rsid w:val="00685937"/>
    <w:rsid w:val="00685DBD"/>
    <w:rsid w:val="0068612F"/>
    <w:rsid w:val="00686EF0"/>
    <w:rsid w:val="00687B93"/>
    <w:rsid w:val="00687E4C"/>
    <w:rsid w:val="00687F21"/>
    <w:rsid w:val="0069072A"/>
    <w:rsid w:val="00690A36"/>
    <w:rsid w:val="00690B2B"/>
    <w:rsid w:val="00690C85"/>
    <w:rsid w:val="0069106C"/>
    <w:rsid w:val="0069113C"/>
    <w:rsid w:val="00691433"/>
    <w:rsid w:val="006914E7"/>
    <w:rsid w:val="006916AA"/>
    <w:rsid w:val="00691C48"/>
    <w:rsid w:val="00691D6E"/>
    <w:rsid w:val="00692436"/>
    <w:rsid w:val="00692D16"/>
    <w:rsid w:val="00692FF7"/>
    <w:rsid w:val="006930BD"/>
    <w:rsid w:val="0069324C"/>
    <w:rsid w:val="006932EF"/>
    <w:rsid w:val="006935B3"/>
    <w:rsid w:val="0069394E"/>
    <w:rsid w:val="006943A2"/>
    <w:rsid w:val="00694761"/>
    <w:rsid w:val="00694840"/>
    <w:rsid w:val="00694B05"/>
    <w:rsid w:val="00694DF8"/>
    <w:rsid w:val="00694E7F"/>
    <w:rsid w:val="0069509B"/>
    <w:rsid w:val="006951E2"/>
    <w:rsid w:val="00695A32"/>
    <w:rsid w:val="006960FC"/>
    <w:rsid w:val="006964C6"/>
    <w:rsid w:val="00696852"/>
    <w:rsid w:val="00696EFE"/>
    <w:rsid w:val="00696F4C"/>
    <w:rsid w:val="00697379"/>
    <w:rsid w:val="00697393"/>
    <w:rsid w:val="006976BB"/>
    <w:rsid w:val="006977BF"/>
    <w:rsid w:val="006978ED"/>
    <w:rsid w:val="00697A08"/>
    <w:rsid w:val="00697A85"/>
    <w:rsid w:val="00697AF3"/>
    <w:rsid w:val="006A015F"/>
    <w:rsid w:val="006A02AE"/>
    <w:rsid w:val="006A09C3"/>
    <w:rsid w:val="006A09E5"/>
    <w:rsid w:val="006A114F"/>
    <w:rsid w:val="006A13AE"/>
    <w:rsid w:val="006A1509"/>
    <w:rsid w:val="006A1624"/>
    <w:rsid w:val="006A184C"/>
    <w:rsid w:val="006A2C78"/>
    <w:rsid w:val="006A3481"/>
    <w:rsid w:val="006A361D"/>
    <w:rsid w:val="006A378C"/>
    <w:rsid w:val="006A3870"/>
    <w:rsid w:val="006A3AF9"/>
    <w:rsid w:val="006A433E"/>
    <w:rsid w:val="006A454B"/>
    <w:rsid w:val="006A46C0"/>
    <w:rsid w:val="006A4D83"/>
    <w:rsid w:val="006A4E72"/>
    <w:rsid w:val="006A4F97"/>
    <w:rsid w:val="006A52EE"/>
    <w:rsid w:val="006A5859"/>
    <w:rsid w:val="006A5C9A"/>
    <w:rsid w:val="006A6D94"/>
    <w:rsid w:val="006A6E5D"/>
    <w:rsid w:val="006A756A"/>
    <w:rsid w:val="006A770E"/>
    <w:rsid w:val="006A7E3F"/>
    <w:rsid w:val="006B012B"/>
    <w:rsid w:val="006B01DA"/>
    <w:rsid w:val="006B020C"/>
    <w:rsid w:val="006B07A9"/>
    <w:rsid w:val="006B0BAB"/>
    <w:rsid w:val="006B1105"/>
    <w:rsid w:val="006B1158"/>
    <w:rsid w:val="006B15AD"/>
    <w:rsid w:val="006B1B76"/>
    <w:rsid w:val="006B1C5D"/>
    <w:rsid w:val="006B2093"/>
    <w:rsid w:val="006B21C9"/>
    <w:rsid w:val="006B2ACE"/>
    <w:rsid w:val="006B3446"/>
    <w:rsid w:val="006B38BE"/>
    <w:rsid w:val="006B3921"/>
    <w:rsid w:val="006B3D8C"/>
    <w:rsid w:val="006B4618"/>
    <w:rsid w:val="006B4AFB"/>
    <w:rsid w:val="006B4F01"/>
    <w:rsid w:val="006B510E"/>
    <w:rsid w:val="006B58A1"/>
    <w:rsid w:val="006B5C2D"/>
    <w:rsid w:val="006B618C"/>
    <w:rsid w:val="006B70F4"/>
    <w:rsid w:val="006B7470"/>
    <w:rsid w:val="006B74D3"/>
    <w:rsid w:val="006B7656"/>
    <w:rsid w:val="006B7810"/>
    <w:rsid w:val="006B7845"/>
    <w:rsid w:val="006B7867"/>
    <w:rsid w:val="006C00BB"/>
    <w:rsid w:val="006C0638"/>
    <w:rsid w:val="006C09E4"/>
    <w:rsid w:val="006C0B2A"/>
    <w:rsid w:val="006C0ED8"/>
    <w:rsid w:val="006C102B"/>
    <w:rsid w:val="006C1144"/>
    <w:rsid w:val="006C1185"/>
    <w:rsid w:val="006C16F4"/>
    <w:rsid w:val="006C1B63"/>
    <w:rsid w:val="006C1F97"/>
    <w:rsid w:val="006C2872"/>
    <w:rsid w:val="006C2881"/>
    <w:rsid w:val="006C2E25"/>
    <w:rsid w:val="006C2EB8"/>
    <w:rsid w:val="006C3147"/>
    <w:rsid w:val="006C3181"/>
    <w:rsid w:val="006C3DDE"/>
    <w:rsid w:val="006C4C5E"/>
    <w:rsid w:val="006C54A6"/>
    <w:rsid w:val="006C57B2"/>
    <w:rsid w:val="006C6503"/>
    <w:rsid w:val="006C6B6F"/>
    <w:rsid w:val="006C722C"/>
    <w:rsid w:val="006C7528"/>
    <w:rsid w:val="006C77ED"/>
    <w:rsid w:val="006C783F"/>
    <w:rsid w:val="006C798A"/>
    <w:rsid w:val="006C7A48"/>
    <w:rsid w:val="006C7E40"/>
    <w:rsid w:val="006D038C"/>
    <w:rsid w:val="006D05DB"/>
    <w:rsid w:val="006D0894"/>
    <w:rsid w:val="006D1564"/>
    <w:rsid w:val="006D179A"/>
    <w:rsid w:val="006D1C4F"/>
    <w:rsid w:val="006D1EAB"/>
    <w:rsid w:val="006D21E9"/>
    <w:rsid w:val="006D21EB"/>
    <w:rsid w:val="006D22F6"/>
    <w:rsid w:val="006D257F"/>
    <w:rsid w:val="006D303B"/>
    <w:rsid w:val="006D311A"/>
    <w:rsid w:val="006D341F"/>
    <w:rsid w:val="006D35EA"/>
    <w:rsid w:val="006D37AF"/>
    <w:rsid w:val="006D3A1F"/>
    <w:rsid w:val="006D3A52"/>
    <w:rsid w:val="006D4177"/>
    <w:rsid w:val="006D4403"/>
    <w:rsid w:val="006D4720"/>
    <w:rsid w:val="006D47E1"/>
    <w:rsid w:val="006D4DF2"/>
    <w:rsid w:val="006D4FA9"/>
    <w:rsid w:val="006D5019"/>
    <w:rsid w:val="006D501E"/>
    <w:rsid w:val="006D50CD"/>
    <w:rsid w:val="006D5274"/>
    <w:rsid w:val="006D539F"/>
    <w:rsid w:val="006D5A63"/>
    <w:rsid w:val="006D5B26"/>
    <w:rsid w:val="006D5D56"/>
    <w:rsid w:val="006D66F4"/>
    <w:rsid w:val="006D6D49"/>
    <w:rsid w:val="006D6DB7"/>
    <w:rsid w:val="006D70E0"/>
    <w:rsid w:val="006D7856"/>
    <w:rsid w:val="006D7A8B"/>
    <w:rsid w:val="006E0181"/>
    <w:rsid w:val="006E0F71"/>
    <w:rsid w:val="006E13AE"/>
    <w:rsid w:val="006E16AA"/>
    <w:rsid w:val="006E1F6D"/>
    <w:rsid w:val="006E1F92"/>
    <w:rsid w:val="006E2A14"/>
    <w:rsid w:val="006E3227"/>
    <w:rsid w:val="006E3498"/>
    <w:rsid w:val="006E34A1"/>
    <w:rsid w:val="006E3841"/>
    <w:rsid w:val="006E3C64"/>
    <w:rsid w:val="006E3D8A"/>
    <w:rsid w:val="006E4199"/>
    <w:rsid w:val="006E4332"/>
    <w:rsid w:val="006E43F6"/>
    <w:rsid w:val="006E450A"/>
    <w:rsid w:val="006E46D5"/>
    <w:rsid w:val="006E4CA2"/>
    <w:rsid w:val="006E4D80"/>
    <w:rsid w:val="006E4E3E"/>
    <w:rsid w:val="006E50B6"/>
    <w:rsid w:val="006E532B"/>
    <w:rsid w:val="006E5464"/>
    <w:rsid w:val="006E5EE8"/>
    <w:rsid w:val="006E6B3E"/>
    <w:rsid w:val="006E6D3C"/>
    <w:rsid w:val="006E6E49"/>
    <w:rsid w:val="006E7108"/>
    <w:rsid w:val="006E718A"/>
    <w:rsid w:val="006E71F1"/>
    <w:rsid w:val="006E72B3"/>
    <w:rsid w:val="006E78A2"/>
    <w:rsid w:val="006E7D1E"/>
    <w:rsid w:val="006F061A"/>
    <w:rsid w:val="006F0766"/>
    <w:rsid w:val="006F0B1D"/>
    <w:rsid w:val="006F0C05"/>
    <w:rsid w:val="006F0F53"/>
    <w:rsid w:val="006F195F"/>
    <w:rsid w:val="006F1CEE"/>
    <w:rsid w:val="006F1F96"/>
    <w:rsid w:val="006F21DA"/>
    <w:rsid w:val="006F2870"/>
    <w:rsid w:val="006F28A3"/>
    <w:rsid w:val="006F28CA"/>
    <w:rsid w:val="006F2A14"/>
    <w:rsid w:val="006F2CB5"/>
    <w:rsid w:val="006F2D05"/>
    <w:rsid w:val="006F2DD0"/>
    <w:rsid w:val="006F3552"/>
    <w:rsid w:val="006F3AED"/>
    <w:rsid w:val="006F3F61"/>
    <w:rsid w:val="006F402B"/>
    <w:rsid w:val="006F434D"/>
    <w:rsid w:val="006F56CF"/>
    <w:rsid w:val="006F5A43"/>
    <w:rsid w:val="006F618D"/>
    <w:rsid w:val="006F61DF"/>
    <w:rsid w:val="006F650B"/>
    <w:rsid w:val="006F67AF"/>
    <w:rsid w:val="006F69CF"/>
    <w:rsid w:val="006F70EF"/>
    <w:rsid w:val="007014EC"/>
    <w:rsid w:val="007018F0"/>
    <w:rsid w:val="007019F6"/>
    <w:rsid w:val="00701BBC"/>
    <w:rsid w:val="00701F04"/>
    <w:rsid w:val="007024FD"/>
    <w:rsid w:val="0070267F"/>
    <w:rsid w:val="00702733"/>
    <w:rsid w:val="00702CAB"/>
    <w:rsid w:val="00703521"/>
    <w:rsid w:val="00703732"/>
    <w:rsid w:val="0070383F"/>
    <w:rsid w:val="00703DA0"/>
    <w:rsid w:val="0070438D"/>
    <w:rsid w:val="00704407"/>
    <w:rsid w:val="0070493B"/>
    <w:rsid w:val="00704983"/>
    <w:rsid w:val="00704D58"/>
    <w:rsid w:val="00704FF7"/>
    <w:rsid w:val="007052B0"/>
    <w:rsid w:val="00705558"/>
    <w:rsid w:val="00705B86"/>
    <w:rsid w:val="00705E27"/>
    <w:rsid w:val="00705F5D"/>
    <w:rsid w:val="007061E9"/>
    <w:rsid w:val="007064D2"/>
    <w:rsid w:val="00706583"/>
    <w:rsid w:val="007069ED"/>
    <w:rsid w:val="007077AD"/>
    <w:rsid w:val="00707AA3"/>
    <w:rsid w:val="00707B2E"/>
    <w:rsid w:val="00707DF0"/>
    <w:rsid w:val="00707FBE"/>
    <w:rsid w:val="007102A7"/>
    <w:rsid w:val="007103DD"/>
    <w:rsid w:val="007107DF"/>
    <w:rsid w:val="007108F1"/>
    <w:rsid w:val="00710FA6"/>
    <w:rsid w:val="00710FBC"/>
    <w:rsid w:val="007110D8"/>
    <w:rsid w:val="00711275"/>
    <w:rsid w:val="0071162B"/>
    <w:rsid w:val="007119F8"/>
    <w:rsid w:val="00711EF2"/>
    <w:rsid w:val="00711F81"/>
    <w:rsid w:val="0071251B"/>
    <w:rsid w:val="007125DE"/>
    <w:rsid w:val="00712750"/>
    <w:rsid w:val="00712967"/>
    <w:rsid w:val="00712E4D"/>
    <w:rsid w:val="0071312F"/>
    <w:rsid w:val="0071384D"/>
    <w:rsid w:val="00713A49"/>
    <w:rsid w:val="00713A52"/>
    <w:rsid w:val="00713B49"/>
    <w:rsid w:val="00713BA4"/>
    <w:rsid w:val="00713BAD"/>
    <w:rsid w:val="00713CCA"/>
    <w:rsid w:val="00713ED4"/>
    <w:rsid w:val="00713EF8"/>
    <w:rsid w:val="00714427"/>
    <w:rsid w:val="007144E6"/>
    <w:rsid w:val="00714741"/>
    <w:rsid w:val="00714C37"/>
    <w:rsid w:val="00714C8E"/>
    <w:rsid w:val="007156A6"/>
    <w:rsid w:val="0071574D"/>
    <w:rsid w:val="00715DF7"/>
    <w:rsid w:val="00715E0F"/>
    <w:rsid w:val="00716094"/>
    <w:rsid w:val="00716262"/>
    <w:rsid w:val="00716567"/>
    <w:rsid w:val="00716847"/>
    <w:rsid w:val="00716F33"/>
    <w:rsid w:val="0071747F"/>
    <w:rsid w:val="00717754"/>
    <w:rsid w:val="00717B7A"/>
    <w:rsid w:val="00720327"/>
    <w:rsid w:val="00720B5B"/>
    <w:rsid w:val="00720BDD"/>
    <w:rsid w:val="00720E66"/>
    <w:rsid w:val="0072101F"/>
    <w:rsid w:val="007212CB"/>
    <w:rsid w:val="0072166A"/>
    <w:rsid w:val="00721ACD"/>
    <w:rsid w:val="00721B8F"/>
    <w:rsid w:val="00721EE9"/>
    <w:rsid w:val="00721FB6"/>
    <w:rsid w:val="007220FA"/>
    <w:rsid w:val="00722732"/>
    <w:rsid w:val="007233EF"/>
    <w:rsid w:val="00723530"/>
    <w:rsid w:val="0072369E"/>
    <w:rsid w:val="007238A9"/>
    <w:rsid w:val="00723B94"/>
    <w:rsid w:val="00723E35"/>
    <w:rsid w:val="00723E43"/>
    <w:rsid w:val="00724089"/>
    <w:rsid w:val="007240EE"/>
    <w:rsid w:val="007243FC"/>
    <w:rsid w:val="00724512"/>
    <w:rsid w:val="00724D36"/>
    <w:rsid w:val="00724E80"/>
    <w:rsid w:val="00724F48"/>
    <w:rsid w:val="00724FD0"/>
    <w:rsid w:val="00725400"/>
    <w:rsid w:val="0072547C"/>
    <w:rsid w:val="00725A85"/>
    <w:rsid w:val="00725EF0"/>
    <w:rsid w:val="0072604F"/>
    <w:rsid w:val="007263D3"/>
    <w:rsid w:val="007267EC"/>
    <w:rsid w:val="00726BFF"/>
    <w:rsid w:val="00727213"/>
    <w:rsid w:val="0072742F"/>
    <w:rsid w:val="00727EC9"/>
    <w:rsid w:val="00727F78"/>
    <w:rsid w:val="00730079"/>
    <w:rsid w:val="007303D5"/>
    <w:rsid w:val="00730E54"/>
    <w:rsid w:val="0073139C"/>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032"/>
    <w:rsid w:val="007342AC"/>
    <w:rsid w:val="00734713"/>
    <w:rsid w:val="00734AE3"/>
    <w:rsid w:val="00734D2F"/>
    <w:rsid w:val="00734DD9"/>
    <w:rsid w:val="00734F0F"/>
    <w:rsid w:val="0073510D"/>
    <w:rsid w:val="0073518A"/>
    <w:rsid w:val="00735226"/>
    <w:rsid w:val="00735609"/>
    <w:rsid w:val="0073562C"/>
    <w:rsid w:val="007358D6"/>
    <w:rsid w:val="00735BBB"/>
    <w:rsid w:val="00735C53"/>
    <w:rsid w:val="00736743"/>
    <w:rsid w:val="00736E50"/>
    <w:rsid w:val="007373FD"/>
    <w:rsid w:val="00737A7A"/>
    <w:rsid w:val="00737FE5"/>
    <w:rsid w:val="007401D9"/>
    <w:rsid w:val="00740460"/>
    <w:rsid w:val="0074051D"/>
    <w:rsid w:val="00740F24"/>
    <w:rsid w:val="00741B45"/>
    <w:rsid w:val="00741D80"/>
    <w:rsid w:val="00741E2F"/>
    <w:rsid w:val="00741EC9"/>
    <w:rsid w:val="00742082"/>
    <w:rsid w:val="0074246F"/>
    <w:rsid w:val="007429ED"/>
    <w:rsid w:val="00742A67"/>
    <w:rsid w:val="00742F2E"/>
    <w:rsid w:val="007430CA"/>
    <w:rsid w:val="007436A4"/>
    <w:rsid w:val="00743C7B"/>
    <w:rsid w:val="00743DC3"/>
    <w:rsid w:val="00743F94"/>
    <w:rsid w:val="007443B6"/>
    <w:rsid w:val="00744E39"/>
    <w:rsid w:val="00744F5B"/>
    <w:rsid w:val="007450A7"/>
    <w:rsid w:val="00745692"/>
    <w:rsid w:val="00745A36"/>
    <w:rsid w:val="007464FB"/>
    <w:rsid w:val="00746832"/>
    <w:rsid w:val="0074694C"/>
    <w:rsid w:val="0074704B"/>
    <w:rsid w:val="007474DC"/>
    <w:rsid w:val="00747741"/>
    <w:rsid w:val="00747A9B"/>
    <w:rsid w:val="00747C42"/>
    <w:rsid w:val="00747D86"/>
    <w:rsid w:val="00750056"/>
    <w:rsid w:val="007501D2"/>
    <w:rsid w:val="0075064B"/>
    <w:rsid w:val="00750C6B"/>
    <w:rsid w:val="00750DF9"/>
    <w:rsid w:val="00750EB3"/>
    <w:rsid w:val="00751212"/>
    <w:rsid w:val="0075198E"/>
    <w:rsid w:val="00751A2A"/>
    <w:rsid w:val="00751C4D"/>
    <w:rsid w:val="00751DEC"/>
    <w:rsid w:val="00752066"/>
    <w:rsid w:val="00752071"/>
    <w:rsid w:val="007529C8"/>
    <w:rsid w:val="007534AC"/>
    <w:rsid w:val="00753B48"/>
    <w:rsid w:val="00753D5A"/>
    <w:rsid w:val="00753E9C"/>
    <w:rsid w:val="00753EB2"/>
    <w:rsid w:val="0075428E"/>
    <w:rsid w:val="007542B0"/>
    <w:rsid w:val="00754429"/>
    <w:rsid w:val="00754696"/>
    <w:rsid w:val="00754B16"/>
    <w:rsid w:val="00754D0A"/>
    <w:rsid w:val="00754DE8"/>
    <w:rsid w:val="007553B1"/>
    <w:rsid w:val="00756395"/>
    <w:rsid w:val="00756772"/>
    <w:rsid w:val="00756A0A"/>
    <w:rsid w:val="0075719C"/>
    <w:rsid w:val="0075766C"/>
    <w:rsid w:val="007577CE"/>
    <w:rsid w:val="007579E1"/>
    <w:rsid w:val="00757B91"/>
    <w:rsid w:val="00757EC1"/>
    <w:rsid w:val="007604EB"/>
    <w:rsid w:val="007607CE"/>
    <w:rsid w:val="00760AD3"/>
    <w:rsid w:val="00760DF0"/>
    <w:rsid w:val="00760F06"/>
    <w:rsid w:val="00761207"/>
    <w:rsid w:val="007615E4"/>
    <w:rsid w:val="0076186B"/>
    <w:rsid w:val="00761AEA"/>
    <w:rsid w:val="00761E0D"/>
    <w:rsid w:val="00762133"/>
    <w:rsid w:val="0076230C"/>
    <w:rsid w:val="00762DD6"/>
    <w:rsid w:val="00762F71"/>
    <w:rsid w:val="00762FDB"/>
    <w:rsid w:val="00763152"/>
    <w:rsid w:val="00763529"/>
    <w:rsid w:val="00763648"/>
    <w:rsid w:val="00763693"/>
    <w:rsid w:val="00763A62"/>
    <w:rsid w:val="007640A5"/>
    <w:rsid w:val="007642FF"/>
    <w:rsid w:val="0076489E"/>
    <w:rsid w:val="007648E6"/>
    <w:rsid w:val="00764B7C"/>
    <w:rsid w:val="007650A2"/>
    <w:rsid w:val="00765995"/>
    <w:rsid w:val="00765E01"/>
    <w:rsid w:val="00765E98"/>
    <w:rsid w:val="00766416"/>
    <w:rsid w:val="00766422"/>
    <w:rsid w:val="00766573"/>
    <w:rsid w:val="00766B23"/>
    <w:rsid w:val="00766B5F"/>
    <w:rsid w:val="00766CA5"/>
    <w:rsid w:val="00767582"/>
    <w:rsid w:val="00767697"/>
    <w:rsid w:val="00767736"/>
    <w:rsid w:val="00767D7B"/>
    <w:rsid w:val="00767F3E"/>
    <w:rsid w:val="00770063"/>
    <w:rsid w:val="00770427"/>
    <w:rsid w:val="0077045B"/>
    <w:rsid w:val="00770887"/>
    <w:rsid w:val="007708DC"/>
    <w:rsid w:val="00770982"/>
    <w:rsid w:val="00771C2B"/>
    <w:rsid w:val="007727F1"/>
    <w:rsid w:val="00772CAA"/>
    <w:rsid w:val="00772D55"/>
    <w:rsid w:val="00772EF8"/>
    <w:rsid w:val="00772F5E"/>
    <w:rsid w:val="007730CC"/>
    <w:rsid w:val="0077322E"/>
    <w:rsid w:val="00773772"/>
    <w:rsid w:val="00773907"/>
    <w:rsid w:val="00774020"/>
    <w:rsid w:val="00774716"/>
    <w:rsid w:val="0077484D"/>
    <w:rsid w:val="00774DE7"/>
    <w:rsid w:val="007752F8"/>
    <w:rsid w:val="0077546D"/>
    <w:rsid w:val="007759E0"/>
    <w:rsid w:val="00775AF6"/>
    <w:rsid w:val="00776409"/>
    <w:rsid w:val="007766A4"/>
    <w:rsid w:val="00776784"/>
    <w:rsid w:val="007767C5"/>
    <w:rsid w:val="00776B05"/>
    <w:rsid w:val="007770A7"/>
    <w:rsid w:val="0077785A"/>
    <w:rsid w:val="00777E17"/>
    <w:rsid w:val="00780319"/>
    <w:rsid w:val="007803D0"/>
    <w:rsid w:val="00780ABC"/>
    <w:rsid w:val="00780C15"/>
    <w:rsid w:val="00780EBC"/>
    <w:rsid w:val="0078138E"/>
    <w:rsid w:val="007815EB"/>
    <w:rsid w:val="00781659"/>
    <w:rsid w:val="0078251F"/>
    <w:rsid w:val="00782523"/>
    <w:rsid w:val="007827F1"/>
    <w:rsid w:val="00782842"/>
    <w:rsid w:val="00783029"/>
    <w:rsid w:val="007830F5"/>
    <w:rsid w:val="007832BD"/>
    <w:rsid w:val="0078359E"/>
    <w:rsid w:val="007837AB"/>
    <w:rsid w:val="00783B8A"/>
    <w:rsid w:val="00783ECE"/>
    <w:rsid w:val="007841D6"/>
    <w:rsid w:val="0078421B"/>
    <w:rsid w:val="00784A2F"/>
    <w:rsid w:val="00784CD2"/>
    <w:rsid w:val="00784D35"/>
    <w:rsid w:val="00784E3D"/>
    <w:rsid w:val="007850B5"/>
    <w:rsid w:val="00785EEE"/>
    <w:rsid w:val="00786292"/>
    <w:rsid w:val="00786515"/>
    <w:rsid w:val="007866E5"/>
    <w:rsid w:val="00786C75"/>
    <w:rsid w:val="00787276"/>
    <w:rsid w:val="0078727E"/>
    <w:rsid w:val="00787CCA"/>
    <w:rsid w:val="00790251"/>
    <w:rsid w:val="00790C39"/>
    <w:rsid w:val="00791101"/>
    <w:rsid w:val="00791215"/>
    <w:rsid w:val="0079130C"/>
    <w:rsid w:val="007919BA"/>
    <w:rsid w:val="00791EE4"/>
    <w:rsid w:val="00792348"/>
    <w:rsid w:val="00792849"/>
    <w:rsid w:val="00792BF4"/>
    <w:rsid w:val="00792C85"/>
    <w:rsid w:val="00792F8D"/>
    <w:rsid w:val="00793281"/>
    <w:rsid w:val="007950CE"/>
    <w:rsid w:val="007957B6"/>
    <w:rsid w:val="007961AA"/>
    <w:rsid w:val="0079645D"/>
    <w:rsid w:val="00796BDD"/>
    <w:rsid w:val="00796C8D"/>
    <w:rsid w:val="00797250"/>
    <w:rsid w:val="007975CA"/>
    <w:rsid w:val="00797675"/>
    <w:rsid w:val="007977B0"/>
    <w:rsid w:val="00797848"/>
    <w:rsid w:val="0079786D"/>
    <w:rsid w:val="00797A09"/>
    <w:rsid w:val="00797A1F"/>
    <w:rsid w:val="007A0867"/>
    <w:rsid w:val="007A098C"/>
    <w:rsid w:val="007A0DF3"/>
    <w:rsid w:val="007A10A3"/>
    <w:rsid w:val="007A126F"/>
    <w:rsid w:val="007A12F9"/>
    <w:rsid w:val="007A1518"/>
    <w:rsid w:val="007A1642"/>
    <w:rsid w:val="007A1BEE"/>
    <w:rsid w:val="007A2B3E"/>
    <w:rsid w:val="007A3260"/>
    <w:rsid w:val="007A3376"/>
    <w:rsid w:val="007A34B2"/>
    <w:rsid w:val="007A38E9"/>
    <w:rsid w:val="007A41D4"/>
    <w:rsid w:val="007A4208"/>
    <w:rsid w:val="007A445E"/>
    <w:rsid w:val="007A4A89"/>
    <w:rsid w:val="007A4EC2"/>
    <w:rsid w:val="007A50B2"/>
    <w:rsid w:val="007A627D"/>
    <w:rsid w:val="007A62E3"/>
    <w:rsid w:val="007A6536"/>
    <w:rsid w:val="007A6B37"/>
    <w:rsid w:val="007A7191"/>
    <w:rsid w:val="007A7205"/>
    <w:rsid w:val="007A7314"/>
    <w:rsid w:val="007A78EA"/>
    <w:rsid w:val="007B008F"/>
    <w:rsid w:val="007B0121"/>
    <w:rsid w:val="007B04F5"/>
    <w:rsid w:val="007B10F3"/>
    <w:rsid w:val="007B110E"/>
    <w:rsid w:val="007B24B5"/>
    <w:rsid w:val="007B3315"/>
    <w:rsid w:val="007B3369"/>
    <w:rsid w:val="007B3549"/>
    <w:rsid w:val="007B3621"/>
    <w:rsid w:val="007B36EF"/>
    <w:rsid w:val="007B442C"/>
    <w:rsid w:val="007B4A82"/>
    <w:rsid w:val="007B523F"/>
    <w:rsid w:val="007B52A7"/>
    <w:rsid w:val="007B6007"/>
    <w:rsid w:val="007B626B"/>
    <w:rsid w:val="007B64AA"/>
    <w:rsid w:val="007B69DD"/>
    <w:rsid w:val="007B7198"/>
    <w:rsid w:val="007B71FE"/>
    <w:rsid w:val="007B7302"/>
    <w:rsid w:val="007B7451"/>
    <w:rsid w:val="007B7497"/>
    <w:rsid w:val="007B765F"/>
    <w:rsid w:val="007B776B"/>
    <w:rsid w:val="007B7D81"/>
    <w:rsid w:val="007B7F69"/>
    <w:rsid w:val="007C0D38"/>
    <w:rsid w:val="007C1025"/>
    <w:rsid w:val="007C1321"/>
    <w:rsid w:val="007C16FE"/>
    <w:rsid w:val="007C1790"/>
    <w:rsid w:val="007C18CB"/>
    <w:rsid w:val="007C1FFB"/>
    <w:rsid w:val="007C2392"/>
    <w:rsid w:val="007C24EE"/>
    <w:rsid w:val="007C2A25"/>
    <w:rsid w:val="007C2C2B"/>
    <w:rsid w:val="007C2E28"/>
    <w:rsid w:val="007C2E2E"/>
    <w:rsid w:val="007C3B8A"/>
    <w:rsid w:val="007C4568"/>
    <w:rsid w:val="007C4657"/>
    <w:rsid w:val="007C5818"/>
    <w:rsid w:val="007C5910"/>
    <w:rsid w:val="007C5951"/>
    <w:rsid w:val="007C59F7"/>
    <w:rsid w:val="007C618E"/>
    <w:rsid w:val="007C6C83"/>
    <w:rsid w:val="007C6DCF"/>
    <w:rsid w:val="007C6E65"/>
    <w:rsid w:val="007C73AC"/>
    <w:rsid w:val="007C7737"/>
    <w:rsid w:val="007C7A6C"/>
    <w:rsid w:val="007C7BB9"/>
    <w:rsid w:val="007C7C33"/>
    <w:rsid w:val="007C7F1F"/>
    <w:rsid w:val="007D0044"/>
    <w:rsid w:val="007D06F4"/>
    <w:rsid w:val="007D125B"/>
    <w:rsid w:val="007D17CC"/>
    <w:rsid w:val="007D18FE"/>
    <w:rsid w:val="007D1BFA"/>
    <w:rsid w:val="007D1D6A"/>
    <w:rsid w:val="007D1FA3"/>
    <w:rsid w:val="007D2455"/>
    <w:rsid w:val="007D32B4"/>
    <w:rsid w:val="007D3AF7"/>
    <w:rsid w:val="007D434E"/>
    <w:rsid w:val="007D45C8"/>
    <w:rsid w:val="007D4BA8"/>
    <w:rsid w:val="007D4C28"/>
    <w:rsid w:val="007D4DEE"/>
    <w:rsid w:val="007D569F"/>
    <w:rsid w:val="007D59BC"/>
    <w:rsid w:val="007D5B05"/>
    <w:rsid w:val="007D653F"/>
    <w:rsid w:val="007D6A22"/>
    <w:rsid w:val="007D6F9A"/>
    <w:rsid w:val="007D716C"/>
    <w:rsid w:val="007D79D5"/>
    <w:rsid w:val="007E00E9"/>
    <w:rsid w:val="007E04BF"/>
    <w:rsid w:val="007E0DBB"/>
    <w:rsid w:val="007E0F97"/>
    <w:rsid w:val="007E100E"/>
    <w:rsid w:val="007E127A"/>
    <w:rsid w:val="007E1753"/>
    <w:rsid w:val="007E1904"/>
    <w:rsid w:val="007E1B84"/>
    <w:rsid w:val="007E1DD6"/>
    <w:rsid w:val="007E1F9F"/>
    <w:rsid w:val="007E2108"/>
    <w:rsid w:val="007E22C2"/>
    <w:rsid w:val="007E28C4"/>
    <w:rsid w:val="007E2B0A"/>
    <w:rsid w:val="007E2F61"/>
    <w:rsid w:val="007E301B"/>
    <w:rsid w:val="007E323F"/>
    <w:rsid w:val="007E35E4"/>
    <w:rsid w:val="007E376B"/>
    <w:rsid w:val="007E3A9E"/>
    <w:rsid w:val="007E3CBB"/>
    <w:rsid w:val="007E413C"/>
    <w:rsid w:val="007E41FB"/>
    <w:rsid w:val="007E474B"/>
    <w:rsid w:val="007E4B68"/>
    <w:rsid w:val="007E4CC0"/>
    <w:rsid w:val="007E4DD3"/>
    <w:rsid w:val="007E56AE"/>
    <w:rsid w:val="007E59CA"/>
    <w:rsid w:val="007E5F7B"/>
    <w:rsid w:val="007E6365"/>
    <w:rsid w:val="007E66D8"/>
    <w:rsid w:val="007E6D6D"/>
    <w:rsid w:val="007E6EAB"/>
    <w:rsid w:val="007E75C0"/>
    <w:rsid w:val="007E786E"/>
    <w:rsid w:val="007F00CF"/>
    <w:rsid w:val="007F052C"/>
    <w:rsid w:val="007F07F3"/>
    <w:rsid w:val="007F083E"/>
    <w:rsid w:val="007F1203"/>
    <w:rsid w:val="007F1230"/>
    <w:rsid w:val="007F178D"/>
    <w:rsid w:val="007F19D6"/>
    <w:rsid w:val="007F1A1F"/>
    <w:rsid w:val="007F1D41"/>
    <w:rsid w:val="007F1F03"/>
    <w:rsid w:val="007F24B0"/>
    <w:rsid w:val="007F2529"/>
    <w:rsid w:val="007F2625"/>
    <w:rsid w:val="007F2766"/>
    <w:rsid w:val="007F29F1"/>
    <w:rsid w:val="007F2F76"/>
    <w:rsid w:val="007F35DF"/>
    <w:rsid w:val="007F3E5C"/>
    <w:rsid w:val="007F406A"/>
    <w:rsid w:val="007F45BC"/>
    <w:rsid w:val="007F4EEF"/>
    <w:rsid w:val="007F5114"/>
    <w:rsid w:val="007F54B2"/>
    <w:rsid w:val="007F54DE"/>
    <w:rsid w:val="007F5506"/>
    <w:rsid w:val="007F5609"/>
    <w:rsid w:val="007F59DB"/>
    <w:rsid w:val="007F6592"/>
    <w:rsid w:val="007F65F9"/>
    <w:rsid w:val="007F65FF"/>
    <w:rsid w:val="007F664F"/>
    <w:rsid w:val="007F68B7"/>
    <w:rsid w:val="007F6C61"/>
    <w:rsid w:val="007F6E44"/>
    <w:rsid w:val="007F78D5"/>
    <w:rsid w:val="007F7902"/>
    <w:rsid w:val="007F7CD3"/>
    <w:rsid w:val="007F7F48"/>
    <w:rsid w:val="0080016B"/>
    <w:rsid w:val="00800DAF"/>
    <w:rsid w:val="00800FB7"/>
    <w:rsid w:val="00801259"/>
    <w:rsid w:val="00801265"/>
    <w:rsid w:val="008013CE"/>
    <w:rsid w:val="00801843"/>
    <w:rsid w:val="00801A73"/>
    <w:rsid w:val="008024AE"/>
    <w:rsid w:val="00802E04"/>
    <w:rsid w:val="0080396D"/>
    <w:rsid w:val="00803CEE"/>
    <w:rsid w:val="00803F6D"/>
    <w:rsid w:val="00803F9C"/>
    <w:rsid w:val="00804350"/>
    <w:rsid w:val="0080444A"/>
    <w:rsid w:val="008045CF"/>
    <w:rsid w:val="008045ED"/>
    <w:rsid w:val="00805103"/>
    <w:rsid w:val="008051F0"/>
    <w:rsid w:val="00805E97"/>
    <w:rsid w:val="00805FD3"/>
    <w:rsid w:val="00805FFE"/>
    <w:rsid w:val="00806119"/>
    <w:rsid w:val="00806131"/>
    <w:rsid w:val="00806800"/>
    <w:rsid w:val="008069A6"/>
    <w:rsid w:val="00806CC1"/>
    <w:rsid w:val="008070A4"/>
    <w:rsid w:val="00807560"/>
    <w:rsid w:val="00810546"/>
    <w:rsid w:val="00810653"/>
    <w:rsid w:val="00810935"/>
    <w:rsid w:val="00810B19"/>
    <w:rsid w:val="00810D7B"/>
    <w:rsid w:val="00810DC0"/>
    <w:rsid w:val="00810E3C"/>
    <w:rsid w:val="00811441"/>
    <w:rsid w:val="00811799"/>
    <w:rsid w:val="00812597"/>
    <w:rsid w:val="00812786"/>
    <w:rsid w:val="008128C4"/>
    <w:rsid w:val="00813038"/>
    <w:rsid w:val="008134F1"/>
    <w:rsid w:val="008138E4"/>
    <w:rsid w:val="00813BBB"/>
    <w:rsid w:val="00813F65"/>
    <w:rsid w:val="00814C31"/>
    <w:rsid w:val="00814C89"/>
    <w:rsid w:val="00815063"/>
    <w:rsid w:val="00815198"/>
    <w:rsid w:val="008153F6"/>
    <w:rsid w:val="00815CEC"/>
    <w:rsid w:val="008168A5"/>
    <w:rsid w:val="00816B00"/>
    <w:rsid w:val="00816D7C"/>
    <w:rsid w:val="00817036"/>
    <w:rsid w:val="008170AA"/>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35A"/>
    <w:rsid w:val="00822B95"/>
    <w:rsid w:val="00822EDB"/>
    <w:rsid w:val="008234DD"/>
    <w:rsid w:val="0082393B"/>
    <w:rsid w:val="00823976"/>
    <w:rsid w:val="00823B36"/>
    <w:rsid w:val="00823C82"/>
    <w:rsid w:val="00823E43"/>
    <w:rsid w:val="00823F07"/>
    <w:rsid w:val="00824070"/>
    <w:rsid w:val="008241D8"/>
    <w:rsid w:val="008242AC"/>
    <w:rsid w:val="0082454A"/>
    <w:rsid w:val="00825F9C"/>
    <w:rsid w:val="00826094"/>
    <w:rsid w:val="008262D2"/>
    <w:rsid w:val="0082661D"/>
    <w:rsid w:val="00826E50"/>
    <w:rsid w:val="00826FC5"/>
    <w:rsid w:val="00830151"/>
    <w:rsid w:val="0083023D"/>
    <w:rsid w:val="00830423"/>
    <w:rsid w:val="008306CF"/>
    <w:rsid w:val="0083082F"/>
    <w:rsid w:val="00830D15"/>
    <w:rsid w:val="00830E17"/>
    <w:rsid w:val="008314D1"/>
    <w:rsid w:val="0083168F"/>
    <w:rsid w:val="00831EED"/>
    <w:rsid w:val="00832056"/>
    <w:rsid w:val="00832190"/>
    <w:rsid w:val="008326E7"/>
    <w:rsid w:val="008328E3"/>
    <w:rsid w:val="00832DEB"/>
    <w:rsid w:val="00833836"/>
    <w:rsid w:val="00834161"/>
    <w:rsid w:val="00834BCD"/>
    <w:rsid w:val="00834FB3"/>
    <w:rsid w:val="00835288"/>
    <w:rsid w:val="008354B6"/>
    <w:rsid w:val="00835CC8"/>
    <w:rsid w:val="00835DBD"/>
    <w:rsid w:val="0083601A"/>
    <w:rsid w:val="00836054"/>
    <w:rsid w:val="0083607D"/>
    <w:rsid w:val="008360FD"/>
    <w:rsid w:val="00836272"/>
    <w:rsid w:val="008362B6"/>
    <w:rsid w:val="00836D0F"/>
    <w:rsid w:val="008374FC"/>
    <w:rsid w:val="00837BEB"/>
    <w:rsid w:val="00840198"/>
    <w:rsid w:val="00840441"/>
    <w:rsid w:val="008405E0"/>
    <w:rsid w:val="00840BC5"/>
    <w:rsid w:val="00840C3C"/>
    <w:rsid w:val="00840F7F"/>
    <w:rsid w:val="00841150"/>
    <w:rsid w:val="008411A1"/>
    <w:rsid w:val="0084199D"/>
    <w:rsid w:val="00841CA2"/>
    <w:rsid w:val="00841D79"/>
    <w:rsid w:val="00841D85"/>
    <w:rsid w:val="00841F1E"/>
    <w:rsid w:val="00842771"/>
    <w:rsid w:val="00842B7D"/>
    <w:rsid w:val="00842ECE"/>
    <w:rsid w:val="00842FDA"/>
    <w:rsid w:val="00843247"/>
    <w:rsid w:val="00843A4B"/>
    <w:rsid w:val="00843CBA"/>
    <w:rsid w:val="00843EAC"/>
    <w:rsid w:val="008442D2"/>
    <w:rsid w:val="00844697"/>
    <w:rsid w:val="00844985"/>
    <w:rsid w:val="00844A9F"/>
    <w:rsid w:val="00844E9A"/>
    <w:rsid w:val="00845606"/>
    <w:rsid w:val="0084568A"/>
    <w:rsid w:val="00845BDB"/>
    <w:rsid w:val="008461BF"/>
    <w:rsid w:val="008461C8"/>
    <w:rsid w:val="008469B1"/>
    <w:rsid w:val="00846A1C"/>
    <w:rsid w:val="00846E82"/>
    <w:rsid w:val="00846F2F"/>
    <w:rsid w:val="00847A74"/>
    <w:rsid w:val="00847E54"/>
    <w:rsid w:val="00850A7B"/>
    <w:rsid w:val="00850E23"/>
    <w:rsid w:val="00850FB1"/>
    <w:rsid w:val="00850FB2"/>
    <w:rsid w:val="00851388"/>
    <w:rsid w:val="008519BC"/>
    <w:rsid w:val="00851BF8"/>
    <w:rsid w:val="00851E4E"/>
    <w:rsid w:val="00851E6C"/>
    <w:rsid w:val="00851F93"/>
    <w:rsid w:val="00852345"/>
    <w:rsid w:val="00852545"/>
    <w:rsid w:val="00852638"/>
    <w:rsid w:val="00852D5C"/>
    <w:rsid w:val="00852F05"/>
    <w:rsid w:val="00853090"/>
    <w:rsid w:val="00853329"/>
    <w:rsid w:val="00853509"/>
    <w:rsid w:val="00853ABB"/>
    <w:rsid w:val="00853AF2"/>
    <w:rsid w:val="00853B02"/>
    <w:rsid w:val="00853BC8"/>
    <w:rsid w:val="0085437C"/>
    <w:rsid w:val="008549B5"/>
    <w:rsid w:val="00854CCB"/>
    <w:rsid w:val="0085580B"/>
    <w:rsid w:val="008559B2"/>
    <w:rsid w:val="00855C1C"/>
    <w:rsid w:val="00856043"/>
    <w:rsid w:val="008562F6"/>
    <w:rsid w:val="00856595"/>
    <w:rsid w:val="00856D8A"/>
    <w:rsid w:val="00856F53"/>
    <w:rsid w:val="00856FC6"/>
    <w:rsid w:val="0085756E"/>
    <w:rsid w:val="008575D8"/>
    <w:rsid w:val="008576D3"/>
    <w:rsid w:val="00860156"/>
    <w:rsid w:val="00860F01"/>
    <w:rsid w:val="00860F36"/>
    <w:rsid w:val="00861072"/>
    <w:rsid w:val="008612A8"/>
    <w:rsid w:val="008613E8"/>
    <w:rsid w:val="008625C0"/>
    <w:rsid w:val="008629B1"/>
    <w:rsid w:val="00862B00"/>
    <w:rsid w:val="008634DA"/>
    <w:rsid w:val="00863FA2"/>
    <w:rsid w:val="00864133"/>
    <w:rsid w:val="00864189"/>
    <w:rsid w:val="0086438A"/>
    <w:rsid w:val="00864BAC"/>
    <w:rsid w:val="00864C1A"/>
    <w:rsid w:val="00865223"/>
    <w:rsid w:val="00865250"/>
    <w:rsid w:val="00865264"/>
    <w:rsid w:val="0086592B"/>
    <w:rsid w:val="00865D8C"/>
    <w:rsid w:val="00866142"/>
    <w:rsid w:val="0086660F"/>
    <w:rsid w:val="00866836"/>
    <w:rsid w:val="00866972"/>
    <w:rsid w:val="00867040"/>
    <w:rsid w:val="00867071"/>
    <w:rsid w:val="00867198"/>
    <w:rsid w:val="008672CC"/>
    <w:rsid w:val="0086751D"/>
    <w:rsid w:val="00867903"/>
    <w:rsid w:val="00867EE1"/>
    <w:rsid w:val="00870084"/>
    <w:rsid w:val="008700E5"/>
    <w:rsid w:val="00870638"/>
    <w:rsid w:val="0087081F"/>
    <w:rsid w:val="00870888"/>
    <w:rsid w:val="008709C4"/>
    <w:rsid w:val="00870FA2"/>
    <w:rsid w:val="008714DD"/>
    <w:rsid w:val="00871528"/>
    <w:rsid w:val="0087158E"/>
    <w:rsid w:val="008715A1"/>
    <w:rsid w:val="0087193A"/>
    <w:rsid w:val="00871B9F"/>
    <w:rsid w:val="00871CA8"/>
    <w:rsid w:val="008722DD"/>
    <w:rsid w:val="00872D49"/>
    <w:rsid w:val="008734C1"/>
    <w:rsid w:val="008736F6"/>
    <w:rsid w:val="00873DED"/>
    <w:rsid w:val="00874500"/>
    <w:rsid w:val="0087488B"/>
    <w:rsid w:val="00874A2B"/>
    <w:rsid w:val="00874B1E"/>
    <w:rsid w:val="00874BAA"/>
    <w:rsid w:val="00875CB8"/>
    <w:rsid w:val="00876531"/>
    <w:rsid w:val="00876987"/>
    <w:rsid w:val="00876C5C"/>
    <w:rsid w:val="00877628"/>
    <w:rsid w:val="008777AC"/>
    <w:rsid w:val="00877A4E"/>
    <w:rsid w:val="00877F55"/>
    <w:rsid w:val="00880721"/>
    <w:rsid w:val="00880CE6"/>
    <w:rsid w:val="008811AC"/>
    <w:rsid w:val="00881978"/>
    <w:rsid w:val="00881A32"/>
    <w:rsid w:val="00881C12"/>
    <w:rsid w:val="00881D82"/>
    <w:rsid w:val="00881DA0"/>
    <w:rsid w:val="00881F72"/>
    <w:rsid w:val="008820D1"/>
    <w:rsid w:val="008828B3"/>
    <w:rsid w:val="00882DCD"/>
    <w:rsid w:val="00883399"/>
    <w:rsid w:val="0088368D"/>
    <w:rsid w:val="00883A3D"/>
    <w:rsid w:val="00883A43"/>
    <w:rsid w:val="00884394"/>
    <w:rsid w:val="008844D2"/>
    <w:rsid w:val="0088475C"/>
    <w:rsid w:val="00884DE1"/>
    <w:rsid w:val="008856FD"/>
    <w:rsid w:val="00885C38"/>
    <w:rsid w:val="00886376"/>
    <w:rsid w:val="00886723"/>
    <w:rsid w:val="008867ED"/>
    <w:rsid w:val="00886D08"/>
    <w:rsid w:val="00887157"/>
    <w:rsid w:val="00887FDF"/>
    <w:rsid w:val="00891B29"/>
    <w:rsid w:val="00891C5D"/>
    <w:rsid w:val="00892422"/>
    <w:rsid w:val="0089296D"/>
    <w:rsid w:val="008930F0"/>
    <w:rsid w:val="008936B4"/>
    <w:rsid w:val="00893768"/>
    <w:rsid w:val="00893CBD"/>
    <w:rsid w:val="00893D2C"/>
    <w:rsid w:val="00893F6D"/>
    <w:rsid w:val="008943A7"/>
    <w:rsid w:val="008947AD"/>
    <w:rsid w:val="00895BF3"/>
    <w:rsid w:val="008967D5"/>
    <w:rsid w:val="008969AB"/>
    <w:rsid w:val="00896B3C"/>
    <w:rsid w:val="00896D37"/>
    <w:rsid w:val="008971B1"/>
    <w:rsid w:val="00897432"/>
    <w:rsid w:val="00897E53"/>
    <w:rsid w:val="008A0382"/>
    <w:rsid w:val="008A0606"/>
    <w:rsid w:val="008A0A31"/>
    <w:rsid w:val="008A0DA6"/>
    <w:rsid w:val="008A0FDF"/>
    <w:rsid w:val="008A10A4"/>
    <w:rsid w:val="008A1600"/>
    <w:rsid w:val="008A1EBC"/>
    <w:rsid w:val="008A1FA2"/>
    <w:rsid w:val="008A2293"/>
    <w:rsid w:val="008A2E1E"/>
    <w:rsid w:val="008A2E6F"/>
    <w:rsid w:val="008A33BB"/>
    <w:rsid w:val="008A3859"/>
    <w:rsid w:val="008A40CE"/>
    <w:rsid w:val="008A443A"/>
    <w:rsid w:val="008A4C9D"/>
    <w:rsid w:val="008A4F5D"/>
    <w:rsid w:val="008A4FD2"/>
    <w:rsid w:val="008A50AB"/>
    <w:rsid w:val="008A5701"/>
    <w:rsid w:val="008A5DC0"/>
    <w:rsid w:val="008A61E8"/>
    <w:rsid w:val="008A680B"/>
    <w:rsid w:val="008A68CE"/>
    <w:rsid w:val="008A6F20"/>
    <w:rsid w:val="008A706D"/>
    <w:rsid w:val="008A7090"/>
    <w:rsid w:val="008B012C"/>
    <w:rsid w:val="008B0190"/>
    <w:rsid w:val="008B041F"/>
    <w:rsid w:val="008B0629"/>
    <w:rsid w:val="008B07BC"/>
    <w:rsid w:val="008B0922"/>
    <w:rsid w:val="008B1242"/>
    <w:rsid w:val="008B165E"/>
    <w:rsid w:val="008B16CD"/>
    <w:rsid w:val="008B173A"/>
    <w:rsid w:val="008B19FD"/>
    <w:rsid w:val="008B1D39"/>
    <w:rsid w:val="008B1FF4"/>
    <w:rsid w:val="008B21AD"/>
    <w:rsid w:val="008B2795"/>
    <w:rsid w:val="008B27CF"/>
    <w:rsid w:val="008B2B3C"/>
    <w:rsid w:val="008B30B0"/>
    <w:rsid w:val="008B320A"/>
    <w:rsid w:val="008B327D"/>
    <w:rsid w:val="008B3C26"/>
    <w:rsid w:val="008B3ECB"/>
    <w:rsid w:val="008B44A8"/>
    <w:rsid w:val="008B4705"/>
    <w:rsid w:val="008B4802"/>
    <w:rsid w:val="008B4957"/>
    <w:rsid w:val="008B53F4"/>
    <w:rsid w:val="008B5D4B"/>
    <w:rsid w:val="008B6A86"/>
    <w:rsid w:val="008B70EF"/>
    <w:rsid w:val="008B7125"/>
    <w:rsid w:val="008C01D1"/>
    <w:rsid w:val="008C022C"/>
    <w:rsid w:val="008C0A2D"/>
    <w:rsid w:val="008C0F0C"/>
    <w:rsid w:val="008C1E94"/>
    <w:rsid w:val="008C248C"/>
    <w:rsid w:val="008C2561"/>
    <w:rsid w:val="008C298A"/>
    <w:rsid w:val="008C2C08"/>
    <w:rsid w:val="008C2D97"/>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C7A40"/>
    <w:rsid w:val="008D0028"/>
    <w:rsid w:val="008D006B"/>
    <w:rsid w:val="008D02CD"/>
    <w:rsid w:val="008D0DFE"/>
    <w:rsid w:val="008D1038"/>
    <w:rsid w:val="008D1112"/>
    <w:rsid w:val="008D14BB"/>
    <w:rsid w:val="008D176B"/>
    <w:rsid w:val="008D196A"/>
    <w:rsid w:val="008D1A01"/>
    <w:rsid w:val="008D1F29"/>
    <w:rsid w:val="008D22DF"/>
    <w:rsid w:val="008D25B4"/>
    <w:rsid w:val="008D2835"/>
    <w:rsid w:val="008D2E4C"/>
    <w:rsid w:val="008D2F84"/>
    <w:rsid w:val="008D3817"/>
    <w:rsid w:val="008D3836"/>
    <w:rsid w:val="008D3DDA"/>
    <w:rsid w:val="008D3FF4"/>
    <w:rsid w:val="008D4678"/>
    <w:rsid w:val="008D4831"/>
    <w:rsid w:val="008D48C6"/>
    <w:rsid w:val="008D4A24"/>
    <w:rsid w:val="008D53C2"/>
    <w:rsid w:val="008D53D8"/>
    <w:rsid w:val="008D5C9C"/>
    <w:rsid w:val="008D60BA"/>
    <w:rsid w:val="008D653F"/>
    <w:rsid w:val="008D67E9"/>
    <w:rsid w:val="008D7032"/>
    <w:rsid w:val="008D73C3"/>
    <w:rsid w:val="008D73D2"/>
    <w:rsid w:val="008D78AA"/>
    <w:rsid w:val="008D7E4C"/>
    <w:rsid w:val="008E09C3"/>
    <w:rsid w:val="008E0ACA"/>
    <w:rsid w:val="008E0C42"/>
    <w:rsid w:val="008E1046"/>
    <w:rsid w:val="008E1192"/>
    <w:rsid w:val="008E13BD"/>
    <w:rsid w:val="008E16C7"/>
    <w:rsid w:val="008E182C"/>
    <w:rsid w:val="008E1C6A"/>
    <w:rsid w:val="008E20FF"/>
    <w:rsid w:val="008E272A"/>
    <w:rsid w:val="008E3521"/>
    <w:rsid w:val="008E3A2F"/>
    <w:rsid w:val="008E3AED"/>
    <w:rsid w:val="008E3C48"/>
    <w:rsid w:val="008E3CF5"/>
    <w:rsid w:val="008E3DEE"/>
    <w:rsid w:val="008E41B5"/>
    <w:rsid w:val="008E4C75"/>
    <w:rsid w:val="008E513C"/>
    <w:rsid w:val="008E56F4"/>
    <w:rsid w:val="008E58F2"/>
    <w:rsid w:val="008E676B"/>
    <w:rsid w:val="008E69DA"/>
    <w:rsid w:val="008E6F55"/>
    <w:rsid w:val="008E7038"/>
    <w:rsid w:val="008E72DC"/>
    <w:rsid w:val="008E75BF"/>
    <w:rsid w:val="008E7703"/>
    <w:rsid w:val="008F0837"/>
    <w:rsid w:val="008F0D04"/>
    <w:rsid w:val="008F0DD5"/>
    <w:rsid w:val="008F1113"/>
    <w:rsid w:val="008F1134"/>
    <w:rsid w:val="008F1581"/>
    <w:rsid w:val="008F15D8"/>
    <w:rsid w:val="008F160D"/>
    <w:rsid w:val="008F1B20"/>
    <w:rsid w:val="008F1CA8"/>
    <w:rsid w:val="008F1D72"/>
    <w:rsid w:val="008F1D9B"/>
    <w:rsid w:val="008F1E68"/>
    <w:rsid w:val="008F1EA8"/>
    <w:rsid w:val="008F1EB5"/>
    <w:rsid w:val="008F209F"/>
    <w:rsid w:val="008F21BA"/>
    <w:rsid w:val="008F222A"/>
    <w:rsid w:val="008F29DC"/>
    <w:rsid w:val="008F2B13"/>
    <w:rsid w:val="008F2C55"/>
    <w:rsid w:val="008F3684"/>
    <w:rsid w:val="008F3E98"/>
    <w:rsid w:val="008F4D07"/>
    <w:rsid w:val="008F4F70"/>
    <w:rsid w:val="008F5136"/>
    <w:rsid w:val="008F51BB"/>
    <w:rsid w:val="008F542D"/>
    <w:rsid w:val="008F57F6"/>
    <w:rsid w:val="008F5CDA"/>
    <w:rsid w:val="008F5D76"/>
    <w:rsid w:val="008F5E15"/>
    <w:rsid w:val="008F62EF"/>
    <w:rsid w:val="008F6AA6"/>
    <w:rsid w:val="008F6CD8"/>
    <w:rsid w:val="008F6D8B"/>
    <w:rsid w:val="008F6F6F"/>
    <w:rsid w:val="008F6F74"/>
    <w:rsid w:val="008F7938"/>
    <w:rsid w:val="008F7B9C"/>
    <w:rsid w:val="008F7EBE"/>
    <w:rsid w:val="008F7F2C"/>
    <w:rsid w:val="009004D2"/>
    <w:rsid w:val="009006AA"/>
    <w:rsid w:val="009012FB"/>
    <w:rsid w:val="009013FC"/>
    <w:rsid w:val="009020AD"/>
    <w:rsid w:val="009020C8"/>
    <w:rsid w:val="0090215C"/>
    <w:rsid w:val="00902DFD"/>
    <w:rsid w:val="00902F75"/>
    <w:rsid w:val="00903093"/>
    <w:rsid w:val="0090310A"/>
    <w:rsid w:val="00903548"/>
    <w:rsid w:val="009039C4"/>
    <w:rsid w:val="00903E34"/>
    <w:rsid w:val="0090512C"/>
    <w:rsid w:val="009051FB"/>
    <w:rsid w:val="0090557C"/>
    <w:rsid w:val="0090562D"/>
    <w:rsid w:val="00905B1C"/>
    <w:rsid w:val="00905E17"/>
    <w:rsid w:val="0090633F"/>
    <w:rsid w:val="0090641A"/>
    <w:rsid w:val="0090737E"/>
    <w:rsid w:val="00907E49"/>
    <w:rsid w:val="009108E1"/>
    <w:rsid w:val="00910E84"/>
    <w:rsid w:val="00911411"/>
    <w:rsid w:val="00911B8C"/>
    <w:rsid w:val="00911DA0"/>
    <w:rsid w:val="0091226D"/>
    <w:rsid w:val="0091286D"/>
    <w:rsid w:val="00913197"/>
    <w:rsid w:val="0091353B"/>
    <w:rsid w:val="0091366D"/>
    <w:rsid w:val="00913A18"/>
    <w:rsid w:val="00913C26"/>
    <w:rsid w:val="00914035"/>
    <w:rsid w:val="00914399"/>
    <w:rsid w:val="009144A5"/>
    <w:rsid w:val="009145A3"/>
    <w:rsid w:val="00914882"/>
    <w:rsid w:val="009149DD"/>
    <w:rsid w:val="00914A25"/>
    <w:rsid w:val="00914E08"/>
    <w:rsid w:val="00915071"/>
    <w:rsid w:val="0091562C"/>
    <w:rsid w:val="00915C6E"/>
    <w:rsid w:val="00915CB5"/>
    <w:rsid w:val="00915EB0"/>
    <w:rsid w:val="009160C9"/>
    <w:rsid w:val="0091667E"/>
    <w:rsid w:val="009167E2"/>
    <w:rsid w:val="0091680A"/>
    <w:rsid w:val="00916D65"/>
    <w:rsid w:val="00916F6B"/>
    <w:rsid w:val="00917990"/>
    <w:rsid w:val="00917A2E"/>
    <w:rsid w:val="00917A63"/>
    <w:rsid w:val="00917BC5"/>
    <w:rsid w:val="00920649"/>
    <w:rsid w:val="00921262"/>
    <w:rsid w:val="00921588"/>
    <w:rsid w:val="009223FB"/>
    <w:rsid w:val="00922902"/>
    <w:rsid w:val="00922FE6"/>
    <w:rsid w:val="009231A5"/>
    <w:rsid w:val="0092343F"/>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DB4"/>
    <w:rsid w:val="00930E6C"/>
    <w:rsid w:val="0093163C"/>
    <w:rsid w:val="00931682"/>
    <w:rsid w:val="00931C83"/>
    <w:rsid w:val="00931FEB"/>
    <w:rsid w:val="0093211F"/>
    <w:rsid w:val="00932186"/>
    <w:rsid w:val="00932464"/>
    <w:rsid w:val="009325A8"/>
    <w:rsid w:val="00932897"/>
    <w:rsid w:val="0093296D"/>
    <w:rsid w:val="00932987"/>
    <w:rsid w:val="00932FB8"/>
    <w:rsid w:val="009333DC"/>
    <w:rsid w:val="009337DB"/>
    <w:rsid w:val="00933BBE"/>
    <w:rsid w:val="00934030"/>
    <w:rsid w:val="009343A4"/>
    <w:rsid w:val="009344DC"/>
    <w:rsid w:val="00934F91"/>
    <w:rsid w:val="00935767"/>
    <w:rsid w:val="00935852"/>
    <w:rsid w:val="00935896"/>
    <w:rsid w:val="009362C3"/>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318A"/>
    <w:rsid w:val="009440AF"/>
    <w:rsid w:val="00944627"/>
    <w:rsid w:val="00944890"/>
    <w:rsid w:val="009448F8"/>
    <w:rsid w:val="00944B8F"/>
    <w:rsid w:val="0094633A"/>
    <w:rsid w:val="009463C3"/>
    <w:rsid w:val="00946883"/>
    <w:rsid w:val="00946A35"/>
    <w:rsid w:val="009474E7"/>
    <w:rsid w:val="00947D06"/>
    <w:rsid w:val="00947FA0"/>
    <w:rsid w:val="00950167"/>
    <w:rsid w:val="009501B4"/>
    <w:rsid w:val="0095039D"/>
    <w:rsid w:val="009507B3"/>
    <w:rsid w:val="0095090A"/>
    <w:rsid w:val="00950CAC"/>
    <w:rsid w:val="00951176"/>
    <w:rsid w:val="0095140A"/>
    <w:rsid w:val="009517D8"/>
    <w:rsid w:val="009519A6"/>
    <w:rsid w:val="00951C14"/>
    <w:rsid w:val="00951D98"/>
    <w:rsid w:val="00951E83"/>
    <w:rsid w:val="0095270C"/>
    <w:rsid w:val="00952CF9"/>
    <w:rsid w:val="00952D62"/>
    <w:rsid w:val="00953AB5"/>
    <w:rsid w:val="00953E5F"/>
    <w:rsid w:val="009544DF"/>
    <w:rsid w:val="00954BBF"/>
    <w:rsid w:val="00954CB6"/>
    <w:rsid w:val="00954CE2"/>
    <w:rsid w:val="00954FCD"/>
    <w:rsid w:val="009556AA"/>
    <w:rsid w:val="009557AE"/>
    <w:rsid w:val="009557EA"/>
    <w:rsid w:val="0095584C"/>
    <w:rsid w:val="00955A05"/>
    <w:rsid w:val="00955C91"/>
    <w:rsid w:val="00955DC8"/>
    <w:rsid w:val="00955F05"/>
    <w:rsid w:val="00955F7B"/>
    <w:rsid w:val="009567AC"/>
    <w:rsid w:val="00956C35"/>
    <w:rsid w:val="00956CC1"/>
    <w:rsid w:val="00956D57"/>
    <w:rsid w:val="00956E59"/>
    <w:rsid w:val="00957352"/>
    <w:rsid w:val="00957AC8"/>
    <w:rsid w:val="0096006A"/>
    <w:rsid w:val="009606FD"/>
    <w:rsid w:val="00960E05"/>
    <w:rsid w:val="00961073"/>
    <w:rsid w:val="0096184C"/>
    <w:rsid w:val="009619E6"/>
    <w:rsid w:val="00961C92"/>
    <w:rsid w:val="00961D25"/>
    <w:rsid w:val="00962004"/>
    <w:rsid w:val="00962749"/>
    <w:rsid w:val="0096283A"/>
    <w:rsid w:val="00962D3D"/>
    <w:rsid w:val="00962F63"/>
    <w:rsid w:val="00962FD6"/>
    <w:rsid w:val="009635FF"/>
    <w:rsid w:val="00963633"/>
    <w:rsid w:val="00963799"/>
    <w:rsid w:val="00963E5A"/>
    <w:rsid w:val="00964232"/>
    <w:rsid w:val="009645CF"/>
    <w:rsid w:val="00964A12"/>
    <w:rsid w:val="0096512C"/>
    <w:rsid w:val="009651FA"/>
    <w:rsid w:val="009660E5"/>
    <w:rsid w:val="0096612D"/>
    <w:rsid w:val="009661FC"/>
    <w:rsid w:val="0096631B"/>
    <w:rsid w:val="00966977"/>
    <w:rsid w:val="00966F1B"/>
    <w:rsid w:val="009672EC"/>
    <w:rsid w:val="00967BB9"/>
    <w:rsid w:val="00967E84"/>
    <w:rsid w:val="00970EB8"/>
    <w:rsid w:val="00970FB3"/>
    <w:rsid w:val="00971228"/>
    <w:rsid w:val="00971857"/>
    <w:rsid w:val="00971C40"/>
    <w:rsid w:val="009722F3"/>
    <w:rsid w:val="0097264F"/>
    <w:rsid w:val="009727C2"/>
    <w:rsid w:val="00972B22"/>
    <w:rsid w:val="00973445"/>
    <w:rsid w:val="00973733"/>
    <w:rsid w:val="0097384D"/>
    <w:rsid w:val="00973902"/>
    <w:rsid w:val="00973B1F"/>
    <w:rsid w:val="009749AD"/>
    <w:rsid w:val="009750CE"/>
    <w:rsid w:val="009757B5"/>
    <w:rsid w:val="00975816"/>
    <w:rsid w:val="00975E09"/>
    <w:rsid w:val="00976910"/>
    <w:rsid w:val="00976DCD"/>
    <w:rsid w:val="00976EDA"/>
    <w:rsid w:val="009772CA"/>
    <w:rsid w:val="009772D1"/>
    <w:rsid w:val="0097747C"/>
    <w:rsid w:val="0097778D"/>
    <w:rsid w:val="009802F0"/>
    <w:rsid w:val="00980500"/>
    <w:rsid w:val="0098069D"/>
    <w:rsid w:val="00980A59"/>
    <w:rsid w:val="00980BA8"/>
    <w:rsid w:val="009810B3"/>
    <w:rsid w:val="009810FB"/>
    <w:rsid w:val="00981316"/>
    <w:rsid w:val="009814F8"/>
    <w:rsid w:val="009819FE"/>
    <w:rsid w:val="00982109"/>
    <w:rsid w:val="00982E94"/>
    <w:rsid w:val="0098306A"/>
    <w:rsid w:val="00983265"/>
    <w:rsid w:val="00983505"/>
    <w:rsid w:val="00983D5B"/>
    <w:rsid w:val="00983F71"/>
    <w:rsid w:val="009843CC"/>
    <w:rsid w:val="0098489A"/>
    <w:rsid w:val="0098490F"/>
    <w:rsid w:val="00984AA2"/>
    <w:rsid w:val="00985306"/>
    <w:rsid w:val="0098552E"/>
    <w:rsid w:val="00985622"/>
    <w:rsid w:val="00986786"/>
    <w:rsid w:val="00986D0F"/>
    <w:rsid w:val="00986FE2"/>
    <w:rsid w:val="009875A2"/>
    <w:rsid w:val="009879E8"/>
    <w:rsid w:val="00987A25"/>
    <w:rsid w:val="00987A4B"/>
    <w:rsid w:val="00987AE4"/>
    <w:rsid w:val="00987CE4"/>
    <w:rsid w:val="00987D06"/>
    <w:rsid w:val="00987F6E"/>
    <w:rsid w:val="00990210"/>
    <w:rsid w:val="00990212"/>
    <w:rsid w:val="00990A2E"/>
    <w:rsid w:val="00990D38"/>
    <w:rsid w:val="00991234"/>
    <w:rsid w:val="00991439"/>
    <w:rsid w:val="00991448"/>
    <w:rsid w:val="0099199E"/>
    <w:rsid w:val="00991AB2"/>
    <w:rsid w:val="00991CB3"/>
    <w:rsid w:val="0099209A"/>
    <w:rsid w:val="00992478"/>
    <w:rsid w:val="009926DE"/>
    <w:rsid w:val="00992DC4"/>
    <w:rsid w:val="00992F41"/>
    <w:rsid w:val="00992FD7"/>
    <w:rsid w:val="0099311B"/>
    <w:rsid w:val="009931B5"/>
    <w:rsid w:val="009933E4"/>
    <w:rsid w:val="0099382C"/>
    <w:rsid w:val="00994293"/>
    <w:rsid w:val="009947C7"/>
    <w:rsid w:val="00994811"/>
    <w:rsid w:val="00994F58"/>
    <w:rsid w:val="009953A7"/>
    <w:rsid w:val="009955F2"/>
    <w:rsid w:val="00995B87"/>
    <w:rsid w:val="00995EA7"/>
    <w:rsid w:val="00995F2D"/>
    <w:rsid w:val="00996230"/>
    <w:rsid w:val="009965E2"/>
    <w:rsid w:val="00996BA8"/>
    <w:rsid w:val="00996DD7"/>
    <w:rsid w:val="00996FC9"/>
    <w:rsid w:val="009970F9"/>
    <w:rsid w:val="00997295"/>
    <w:rsid w:val="009973BB"/>
    <w:rsid w:val="009975EC"/>
    <w:rsid w:val="00997A43"/>
    <w:rsid w:val="00997C45"/>
    <w:rsid w:val="009A03A7"/>
    <w:rsid w:val="009A044E"/>
    <w:rsid w:val="009A067C"/>
    <w:rsid w:val="009A08C8"/>
    <w:rsid w:val="009A0A8A"/>
    <w:rsid w:val="009A1227"/>
    <w:rsid w:val="009A1307"/>
    <w:rsid w:val="009A158A"/>
    <w:rsid w:val="009A1E9B"/>
    <w:rsid w:val="009A2220"/>
    <w:rsid w:val="009A2248"/>
    <w:rsid w:val="009A269C"/>
    <w:rsid w:val="009A2AD3"/>
    <w:rsid w:val="009A2D3C"/>
    <w:rsid w:val="009A36B2"/>
    <w:rsid w:val="009A38EA"/>
    <w:rsid w:val="009A3E8B"/>
    <w:rsid w:val="009A3FA1"/>
    <w:rsid w:val="009A407E"/>
    <w:rsid w:val="009A4373"/>
    <w:rsid w:val="009A4971"/>
    <w:rsid w:val="009A4AC9"/>
    <w:rsid w:val="009A4D08"/>
    <w:rsid w:val="009A4E0F"/>
    <w:rsid w:val="009A50B6"/>
    <w:rsid w:val="009A5168"/>
    <w:rsid w:val="009A52F8"/>
    <w:rsid w:val="009A55D4"/>
    <w:rsid w:val="009A57DC"/>
    <w:rsid w:val="009A5B5D"/>
    <w:rsid w:val="009A5BBF"/>
    <w:rsid w:val="009A5BCC"/>
    <w:rsid w:val="009A5D58"/>
    <w:rsid w:val="009A5E4F"/>
    <w:rsid w:val="009A6453"/>
    <w:rsid w:val="009A6717"/>
    <w:rsid w:val="009A7350"/>
    <w:rsid w:val="009A76FE"/>
    <w:rsid w:val="009A7BBC"/>
    <w:rsid w:val="009A7CDC"/>
    <w:rsid w:val="009B0036"/>
    <w:rsid w:val="009B02F4"/>
    <w:rsid w:val="009B0519"/>
    <w:rsid w:val="009B051D"/>
    <w:rsid w:val="009B0738"/>
    <w:rsid w:val="009B08B9"/>
    <w:rsid w:val="009B08E4"/>
    <w:rsid w:val="009B0977"/>
    <w:rsid w:val="009B09EA"/>
    <w:rsid w:val="009B0A14"/>
    <w:rsid w:val="009B15F6"/>
    <w:rsid w:val="009B1713"/>
    <w:rsid w:val="009B1721"/>
    <w:rsid w:val="009B183A"/>
    <w:rsid w:val="009B18F4"/>
    <w:rsid w:val="009B1E96"/>
    <w:rsid w:val="009B23DC"/>
    <w:rsid w:val="009B25F5"/>
    <w:rsid w:val="009B27F7"/>
    <w:rsid w:val="009B2E77"/>
    <w:rsid w:val="009B2FC4"/>
    <w:rsid w:val="009B3383"/>
    <w:rsid w:val="009B367E"/>
    <w:rsid w:val="009B3F96"/>
    <w:rsid w:val="009B45A3"/>
    <w:rsid w:val="009B462D"/>
    <w:rsid w:val="009B46C0"/>
    <w:rsid w:val="009B479F"/>
    <w:rsid w:val="009B4DFD"/>
    <w:rsid w:val="009B50FB"/>
    <w:rsid w:val="009B536C"/>
    <w:rsid w:val="009B62F2"/>
    <w:rsid w:val="009B6D9A"/>
    <w:rsid w:val="009B6FE6"/>
    <w:rsid w:val="009B724D"/>
    <w:rsid w:val="009B753E"/>
    <w:rsid w:val="009B78BC"/>
    <w:rsid w:val="009B7E8C"/>
    <w:rsid w:val="009C0765"/>
    <w:rsid w:val="009C0F63"/>
    <w:rsid w:val="009C114E"/>
    <w:rsid w:val="009C12E9"/>
    <w:rsid w:val="009C1784"/>
    <w:rsid w:val="009C2054"/>
    <w:rsid w:val="009C2226"/>
    <w:rsid w:val="009C24EB"/>
    <w:rsid w:val="009C2594"/>
    <w:rsid w:val="009C2A6B"/>
    <w:rsid w:val="009C2BC1"/>
    <w:rsid w:val="009C2C3F"/>
    <w:rsid w:val="009C2DE0"/>
    <w:rsid w:val="009C2E5A"/>
    <w:rsid w:val="009C30A3"/>
    <w:rsid w:val="009C318D"/>
    <w:rsid w:val="009C341D"/>
    <w:rsid w:val="009C3826"/>
    <w:rsid w:val="009C3B6A"/>
    <w:rsid w:val="009C3FD0"/>
    <w:rsid w:val="009C451B"/>
    <w:rsid w:val="009C547C"/>
    <w:rsid w:val="009C5806"/>
    <w:rsid w:val="009C5F2F"/>
    <w:rsid w:val="009C6341"/>
    <w:rsid w:val="009C653D"/>
    <w:rsid w:val="009C68D1"/>
    <w:rsid w:val="009C6A9E"/>
    <w:rsid w:val="009C6C06"/>
    <w:rsid w:val="009C721E"/>
    <w:rsid w:val="009C7B7E"/>
    <w:rsid w:val="009C7E43"/>
    <w:rsid w:val="009D0188"/>
    <w:rsid w:val="009D01BB"/>
    <w:rsid w:val="009D06E2"/>
    <w:rsid w:val="009D0ADA"/>
    <w:rsid w:val="009D0CF2"/>
    <w:rsid w:val="009D1292"/>
    <w:rsid w:val="009D192F"/>
    <w:rsid w:val="009D1F2C"/>
    <w:rsid w:val="009D1F8D"/>
    <w:rsid w:val="009D1FAB"/>
    <w:rsid w:val="009D2787"/>
    <w:rsid w:val="009D2C24"/>
    <w:rsid w:val="009D3660"/>
    <w:rsid w:val="009D3A22"/>
    <w:rsid w:val="009D3E39"/>
    <w:rsid w:val="009D4399"/>
    <w:rsid w:val="009D444A"/>
    <w:rsid w:val="009D464E"/>
    <w:rsid w:val="009D47D5"/>
    <w:rsid w:val="009D4E74"/>
    <w:rsid w:val="009D4F20"/>
    <w:rsid w:val="009D4F9E"/>
    <w:rsid w:val="009D56E3"/>
    <w:rsid w:val="009D59A8"/>
    <w:rsid w:val="009D5B81"/>
    <w:rsid w:val="009D62F2"/>
    <w:rsid w:val="009D6BBC"/>
    <w:rsid w:val="009D7B2B"/>
    <w:rsid w:val="009E0009"/>
    <w:rsid w:val="009E0201"/>
    <w:rsid w:val="009E05D6"/>
    <w:rsid w:val="009E06CA"/>
    <w:rsid w:val="009E0DD4"/>
    <w:rsid w:val="009E0DED"/>
    <w:rsid w:val="009E12C8"/>
    <w:rsid w:val="009E13D7"/>
    <w:rsid w:val="009E1E3D"/>
    <w:rsid w:val="009E202C"/>
    <w:rsid w:val="009E28B9"/>
    <w:rsid w:val="009E2A8F"/>
    <w:rsid w:val="009E2E3B"/>
    <w:rsid w:val="009E3980"/>
    <w:rsid w:val="009E3B55"/>
    <w:rsid w:val="009E43F8"/>
    <w:rsid w:val="009E4599"/>
    <w:rsid w:val="009E469A"/>
    <w:rsid w:val="009E49E5"/>
    <w:rsid w:val="009E5646"/>
    <w:rsid w:val="009E5682"/>
    <w:rsid w:val="009E5806"/>
    <w:rsid w:val="009E5EFE"/>
    <w:rsid w:val="009E6012"/>
    <w:rsid w:val="009E6B24"/>
    <w:rsid w:val="009E7B1F"/>
    <w:rsid w:val="009E7C7C"/>
    <w:rsid w:val="009E7EDD"/>
    <w:rsid w:val="009F06BD"/>
    <w:rsid w:val="009F0907"/>
    <w:rsid w:val="009F0AA2"/>
    <w:rsid w:val="009F1097"/>
    <w:rsid w:val="009F13D5"/>
    <w:rsid w:val="009F1983"/>
    <w:rsid w:val="009F1F41"/>
    <w:rsid w:val="009F208D"/>
    <w:rsid w:val="009F23BD"/>
    <w:rsid w:val="009F24FC"/>
    <w:rsid w:val="009F2652"/>
    <w:rsid w:val="009F28DA"/>
    <w:rsid w:val="009F2913"/>
    <w:rsid w:val="009F2A92"/>
    <w:rsid w:val="009F2F4A"/>
    <w:rsid w:val="009F38CE"/>
    <w:rsid w:val="009F3C50"/>
    <w:rsid w:val="009F3FDB"/>
    <w:rsid w:val="009F421A"/>
    <w:rsid w:val="009F425D"/>
    <w:rsid w:val="009F42B3"/>
    <w:rsid w:val="009F48AA"/>
    <w:rsid w:val="009F4ACA"/>
    <w:rsid w:val="009F4E34"/>
    <w:rsid w:val="009F532D"/>
    <w:rsid w:val="009F5805"/>
    <w:rsid w:val="009F583B"/>
    <w:rsid w:val="009F5ABB"/>
    <w:rsid w:val="009F6253"/>
    <w:rsid w:val="009F6ACC"/>
    <w:rsid w:val="009F6B67"/>
    <w:rsid w:val="009F7087"/>
    <w:rsid w:val="009F73A1"/>
    <w:rsid w:val="009F74E3"/>
    <w:rsid w:val="009F76C4"/>
    <w:rsid w:val="009F7DA5"/>
    <w:rsid w:val="009F7F00"/>
    <w:rsid w:val="00A00330"/>
    <w:rsid w:val="00A00672"/>
    <w:rsid w:val="00A00F9E"/>
    <w:rsid w:val="00A012DB"/>
    <w:rsid w:val="00A01594"/>
    <w:rsid w:val="00A01832"/>
    <w:rsid w:val="00A01A2C"/>
    <w:rsid w:val="00A01B11"/>
    <w:rsid w:val="00A0283A"/>
    <w:rsid w:val="00A02887"/>
    <w:rsid w:val="00A02F1E"/>
    <w:rsid w:val="00A02FCC"/>
    <w:rsid w:val="00A03F4D"/>
    <w:rsid w:val="00A04017"/>
    <w:rsid w:val="00A04318"/>
    <w:rsid w:val="00A0457F"/>
    <w:rsid w:val="00A04927"/>
    <w:rsid w:val="00A0497C"/>
    <w:rsid w:val="00A04BBC"/>
    <w:rsid w:val="00A04BE9"/>
    <w:rsid w:val="00A04F4B"/>
    <w:rsid w:val="00A04FFB"/>
    <w:rsid w:val="00A0585A"/>
    <w:rsid w:val="00A05CBF"/>
    <w:rsid w:val="00A05E5A"/>
    <w:rsid w:val="00A06447"/>
    <w:rsid w:val="00A0695D"/>
    <w:rsid w:val="00A06E12"/>
    <w:rsid w:val="00A07483"/>
    <w:rsid w:val="00A07554"/>
    <w:rsid w:val="00A10AC7"/>
    <w:rsid w:val="00A10AEE"/>
    <w:rsid w:val="00A10B0B"/>
    <w:rsid w:val="00A10D9D"/>
    <w:rsid w:val="00A10DA5"/>
    <w:rsid w:val="00A11319"/>
    <w:rsid w:val="00A11A60"/>
    <w:rsid w:val="00A1248A"/>
    <w:rsid w:val="00A12A2D"/>
    <w:rsid w:val="00A12E81"/>
    <w:rsid w:val="00A13915"/>
    <w:rsid w:val="00A13C4E"/>
    <w:rsid w:val="00A13F87"/>
    <w:rsid w:val="00A14560"/>
    <w:rsid w:val="00A14628"/>
    <w:rsid w:val="00A14D7C"/>
    <w:rsid w:val="00A14E53"/>
    <w:rsid w:val="00A15418"/>
    <w:rsid w:val="00A16909"/>
    <w:rsid w:val="00A16B7B"/>
    <w:rsid w:val="00A178E7"/>
    <w:rsid w:val="00A178FD"/>
    <w:rsid w:val="00A17F7B"/>
    <w:rsid w:val="00A20195"/>
    <w:rsid w:val="00A2025F"/>
    <w:rsid w:val="00A20303"/>
    <w:rsid w:val="00A2032E"/>
    <w:rsid w:val="00A20829"/>
    <w:rsid w:val="00A20C72"/>
    <w:rsid w:val="00A22357"/>
    <w:rsid w:val="00A225C6"/>
    <w:rsid w:val="00A2333B"/>
    <w:rsid w:val="00A23B92"/>
    <w:rsid w:val="00A23F13"/>
    <w:rsid w:val="00A240BF"/>
    <w:rsid w:val="00A242E1"/>
    <w:rsid w:val="00A24643"/>
    <w:rsid w:val="00A248CA"/>
    <w:rsid w:val="00A249A0"/>
    <w:rsid w:val="00A249F7"/>
    <w:rsid w:val="00A24B24"/>
    <w:rsid w:val="00A24B51"/>
    <w:rsid w:val="00A24C80"/>
    <w:rsid w:val="00A24E4F"/>
    <w:rsid w:val="00A252C3"/>
    <w:rsid w:val="00A252CE"/>
    <w:rsid w:val="00A26199"/>
    <w:rsid w:val="00A26FE8"/>
    <w:rsid w:val="00A2728D"/>
    <w:rsid w:val="00A2746B"/>
    <w:rsid w:val="00A27EC4"/>
    <w:rsid w:val="00A27F83"/>
    <w:rsid w:val="00A3027C"/>
    <w:rsid w:val="00A307B9"/>
    <w:rsid w:val="00A30A76"/>
    <w:rsid w:val="00A30E02"/>
    <w:rsid w:val="00A30EB9"/>
    <w:rsid w:val="00A311AB"/>
    <w:rsid w:val="00A31367"/>
    <w:rsid w:val="00A3186F"/>
    <w:rsid w:val="00A31ED0"/>
    <w:rsid w:val="00A32B32"/>
    <w:rsid w:val="00A32CAE"/>
    <w:rsid w:val="00A3371D"/>
    <w:rsid w:val="00A33C2B"/>
    <w:rsid w:val="00A33EE9"/>
    <w:rsid w:val="00A341C0"/>
    <w:rsid w:val="00A348D3"/>
    <w:rsid w:val="00A34F21"/>
    <w:rsid w:val="00A34FA2"/>
    <w:rsid w:val="00A35037"/>
    <w:rsid w:val="00A3523E"/>
    <w:rsid w:val="00A352BC"/>
    <w:rsid w:val="00A35521"/>
    <w:rsid w:val="00A35697"/>
    <w:rsid w:val="00A35C4E"/>
    <w:rsid w:val="00A3673A"/>
    <w:rsid w:val="00A367E1"/>
    <w:rsid w:val="00A36884"/>
    <w:rsid w:val="00A3707D"/>
    <w:rsid w:val="00A37822"/>
    <w:rsid w:val="00A37C8C"/>
    <w:rsid w:val="00A37DB5"/>
    <w:rsid w:val="00A37E59"/>
    <w:rsid w:val="00A37EFA"/>
    <w:rsid w:val="00A37FEC"/>
    <w:rsid w:val="00A40757"/>
    <w:rsid w:val="00A4079A"/>
    <w:rsid w:val="00A408CB"/>
    <w:rsid w:val="00A40A62"/>
    <w:rsid w:val="00A40BF6"/>
    <w:rsid w:val="00A40C5B"/>
    <w:rsid w:val="00A40D9E"/>
    <w:rsid w:val="00A40E17"/>
    <w:rsid w:val="00A40FEF"/>
    <w:rsid w:val="00A412B4"/>
    <w:rsid w:val="00A415A9"/>
    <w:rsid w:val="00A41767"/>
    <w:rsid w:val="00A417AF"/>
    <w:rsid w:val="00A41EE2"/>
    <w:rsid w:val="00A42538"/>
    <w:rsid w:val="00A42719"/>
    <w:rsid w:val="00A42AAE"/>
    <w:rsid w:val="00A42BE2"/>
    <w:rsid w:val="00A43680"/>
    <w:rsid w:val="00A43CB2"/>
    <w:rsid w:val="00A4422A"/>
    <w:rsid w:val="00A44286"/>
    <w:rsid w:val="00A4460E"/>
    <w:rsid w:val="00A446ED"/>
    <w:rsid w:val="00A44794"/>
    <w:rsid w:val="00A448EF"/>
    <w:rsid w:val="00A44E0A"/>
    <w:rsid w:val="00A44F16"/>
    <w:rsid w:val="00A4514A"/>
    <w:rsid w:val="00A4544B"/>
    <w:rsid w:val="00A45793"/>
    <w:rsid w:val="00A45AAA"/>
    <w:rsid w:val="00A4612A"/>
    <w:rsid w:val="00A461A9"/>
    <w:rsid w:val="00A463B8"/>
    <w:rsid w:val="00A46541"/>
    <w:rsid w:val="00A473A0"/>
    <w:rsid w:val="00A47613"/>
    <w:rsid w:val="00A50017"/>
    <w:rsid w:val="00A5097F"/>
    <w:rsid w:val="00A50A2F"/>
    <w:rsid w:val="00A51505"/>
    <w:rsid w:val="00A517D9"/>
    <w:rsid w:val="00A51A64"/>
    <w:rsid w:val="00A51A85"/>
    <w:rsid w:val="00A53E27"/>
    <w:rsid w:val="00A543EB"/>
    <w:rsid w:val="00A54707"/>
    <w:rsid w:val="00A54930"/>
    <w:rsid w:val="00A5527F"/>
    <w:rsid w:val="00A555A6"/>
    <w:rsid w:val="00A555DC"/>
    <w:rsid w:val="00A556DE"/>
    <w:rsid w:val="00A55B03"/>
    <w:rsid w:val="00A55DC7"/>
    <w:rsid w:val="00A56028"/>
    <w:rsid w:val="00A561FD"/>
    <w:rsid w:val="00A5622B"/>
    <w:rsid w:val="00A562E6"/>
    <w:rsid w:val="00A56DCA"/>
    <w:rsid w:val="00A56EB0"/>
    <w:rsid w:val="00A57135"/>
    <w:rsid w:val="00A57514"/>
    <w:rsid w:val="00A57602"/>
    <w:rsid w:val="00A57824"/>
    <w:rsid w:val="00A57C3E"/>
    <w:rsid w:val="00A606AE"/>
    <w:rsid w:val="00A608D2"/>
    <w:rsid w:val="00A60A7C"/>
    <w:rsid w:val="00A60AD2"/>
    <w:rsid w:val="00A60DB5"/>
    <w:rsid w:val="00A60DE3"/>
    <w:rsid w:val="00A60EDD"/>
    <w:rsid w:val="00A62BA4"/>
    <w:rsid w:val="00A62F1B"/>
    <w:rsid w:val="00A63118"/>
    <w:rsid w:val="00A63947"/>
    <w:rsid w:val="00A63F11"/>
    <w:rsid w:val="00A64063"/>
    <w:rsid w:val="00A64B40"/>
    <w:rsid w:val="00A64DD4"/>
    <w:rsid w:val="00A6525E"/>
    <w:rsid w:val="00A6526E"/>
    <w:rsid w:val="00A6574A"/>
    <w:rsid w:val="00A66962"/>
    <w:rsid w:val="00A6696C"/>
    <w:rsid w:val="00A66988"/>
    <w:rsid w:val="00A66C6F"/>
    <w:rsid w:val="00A66F0B"/>
    <w:rsid w:val="00A674A2"/>
    <w:rsid w:val="00A67BA0"/>
    <w:rsid w:val="00A70049"/>
    <w:rsid w:val="00A7008A"/>
    <w:rsid w:val="00A700D2"/>
    <w:rsid w:val="00A70633"/>
    <w:rsid w:val="00A71831"/>
    <w:rsid w:val="00A72295"/>
    <w:rsid w:val="00A722AF"/>
    <w:rsid w:val="00A72310"/>
    <w:rsid w:val="00A72611"/>
    <w:rsid w:val="00A72FE5"/>
    <w:rsid w:val="00A73091"/>
    <w:rsid w:val="00A73156"/>
    <w:rsid w:val="00A7328B"/>
    <w:rsid w:val="00A7388F"/>
    <w:rsid w:val="00A73DA1"/>
    <w:rsid w:val="00A73EF0"/>
    <w:rsid w:val="00A74112"/>
    <w:rsid w:val="00A74B3D"/>
    <w:rsid w:val="00A74E2A"/>
    <w:rsid w:val="00A7504B"/>
    <w:rsid w:val="00A75A7C"/>
    <w:rsid w:val="00A76160"/>
    <w:rsid w:val="00A76521"/>
    <w:rsid w:val="00A77154"/>
    <w:rsid w:val="00A77462"/>
    <w:rsid w:val="00A775F1"/>
    <w:rsid w:val="00A7792B"/>
    <w:rsid w:val="00A77A58"/>
    <w:rsid w:val="00A77E37"/>
    <w:rsid w:val="00A8034E"/>
    <w:rsid w:val="00A80774"/>
    <w:rsid w:val="00A80BBE"/>
    <w:rsid w:val="00A80BD2"/>
    <w:rsid w:val="00A80E6F"/>
    <w:rsid w:val="00A81005"/>
    <w:rsid w:val="00A812B6"/>
    <w:rsid w:val="00A81543"/>
    <w:rsid w:val="00A81A39"/>
    <w:rsid w:val="00A8248C"/>
    <w:rsid w:val="00A825FF"/>
    <w:rsid w:val="00A8294F"/>
    <w:rsid w:val="00A8297B"/>
    <w:rsid w:val="00A83CA3"/>
    <w:rsid w:val="00A83ED2"/>
    <w:rsid w:val="00A8413F"/>
    <w:rsid w:val="00A841C9"/>
    <w:rsid w:val="00A846F7"/>
    <w:rsid w:val="00A848B2"/>
    <w:rsid w:val="00A849A5"/>
    <w:rsid w:val="00A84E08"/>
    <w:rsid w:val="00A851FA"/>
    <w:rsid w:val="00A85204"/>
    <w:rsid w:val="00A85602"/>
    <w:rsid w:val="00A85A19"/>
    <w:rsid w:val="00A862B9"/>
    <w:rsid w:val="00A8631F"/>
    <w:rsid w:val="00A86452"/>
    <w:rsid w:val="00A87611"/>
    <w:rsid w:val="00A87C84"/>
    <w:rsid w:val="00A87D49"/>
    <w:rsid w:val="00A90030"/>
    <w:rsid w:val="00A90046"/>
    <w:rsid w:val="00A90542"/>
    <w:rsid w:val="00A909B5"/>
    <w:rsid w:val="00A90A3E"/>
    <w:rsid w:val="00A90AD0"/>
    <w:rsid w:val="00A9101B"/>
    <w:rsid w:val="00A91662"/>
    <w:rsid w:val="00A91A56"/>
    <w:rsid w:val="00A91A5F"/>
    <w:rsid w:val="00A91F90"/>
    <w:rsid w:val="00A91FD2"/>
    <w:rsid w:val="00A93845"/>
    <w:rsid w:val="00A93DD6"/>
    <w:rsid w:val="00A93E60"/>
    <w:rsid w:val="00A94AD1"/>
    <w:rsid w:val="00A94ED5"/>
    <w:rsid w:val="00A9525F"/>
    <w:rsid w:val="00A953AC"/>
    <w:rsid w:val="00A95437"/>
    <w:rsid w:val="00A95523"/>
    <w:rsid w:val="00A95852"/>
    <w:rsid w:val="00A95BDD"/>
    <w:rsid w:val="00A96705"/>
    <w:rsid w:val="00A968C9"/>
    <w:rsid w:val="00A9696C"/>
    <w:rsid w:val="00A974BC"/>
    <w:rsid w:val="00A977AE"/>
    <w:rsid w:val="00A977B0"/>
    <w:rsid w:val="00AA07C3"/>
    <w:rsid w:val="00AA0987"/>
    <w:rsid w:val="00AA0F40"/>
    <w:rsid w:val="00AA1283"/>
    <w:rsid w:val="00AA133C"/>
    <w:rsid w:val="00AA19A1"/>
    <w:rsid w:val="00AA1A2E"/>
    <w:rsid w:val="00AA1DE4"/>
    <w:rsid w:val="00AA1E72"/>
    <w:rsid w:val="00AA274A"/>
    <w:rsid w:val="00AA2E7A"/>
    <w:rsid w:val="00AA2F11"/>
    <w:rsid w:val="00AA3595"/>
    <w:rsid w:val="00AA39DB"/>
    <w:rsid w:val="00AA3F6D"/>
    <w:rsid w:val="00AA3FD0"/>
    <w:rsid w:val="00AA4582"/>
    <w:rsid w:val="00AA5177"/>
    <w:rsid w:val="00AA54D3"/>
    <w:rsid w:val="00AA55C7"/>
    <w:rsid w:val="00AA5D97"/>
    <w:rsid w:val="00AA6367"/>
    <w:rsid w:val="00AA6792"/>
    <w:rsid w:val="00AA67FF"/>
    <w:rsid w:val="00AA6F87"/>
    <w:rsid w:val="00AA7164"/>
    <w:rsid w:val="00AA7215"/>
    <w:rsid w:val="00AA7CAF"/>
    <w:rsid w:val="00AB0046"/>
    <w:rsid w:val="00AB08CE"/>
    <w:rsid w:val="00AB0C38"/>
    <w:rsid w:val="00AB1750"/>
    <w:rsid w:val="00AB1878"/>
    <w:rsid w:val="00AB1899"/>
    <w:rsid w:val="00AB1C75"/>
    <w:rsid w:val="00AB1DE7"/>
    <w:rsid w:val="00AB1E7B"/>
    <w:rsid w:val="00AB241B"/>
    <w:rsid w:val="00AB24F1"/>
    <w:rsid w:val="00AB257C"/>
    <w:rsid w:val="00AB2F28"/>
    <w:rsid w:val="00AB365E"/>
    <w:rsid w:val="00AB36B6"/>
    <w:rsid w:val="00AB3FE4"/>
    <w:rsid w:val="00AB443B"/>
    <w:rsid w:val="00AB44CD"/>
    <w:rsid w:val="00AB4667"/>
    <w:rsid w:val="00AB46C3"/>
    <w:rsid w:val="00AB4E1B"/>
    <w:rsid w:val="00AB4EA7"/>
    <w:rsid w:val="00AB4FEF"/>
    <w:rsid w:val="00AB57F6"/>
    <w:rsid w:val="00AB5AF3"/>
    <w:rsid w:val="00AB5DEE"/>
    <w:rsid w:val="00AB5E4E"/>
    <w:rsid w:val="00AB62E6"/>
    <w:rsid w:val="00AB638D"/>
    <w:rsid w:val="00AB6B43"/>
    <w:rsid w:val="00AB6E51"/>
    <w:rsid w:val="00AB76E0"/>
    <w:rsid w:val="00AB7A71"/>
    <w:rsid w:val="00AB7C65"/>
    <w:rsid w:val="00AB7CA4"/>
    <w:rsid w:val="00AC0076"/>
    <w:rsid w:val="00AC0A98"/>
    <w:rsid w:val="00AC0D24"/>
    <w:rsid w:val="00AC14EC"/>
    <w:rsid w:val="00AC1729"/>
    <w:rsid w:val="00AC18B9"/>
    <w:rsid w:val="00AC18F9"/>
    <w:rsid w:val="00AC1F7D"/>
    <w:rsid w:val="00AC2954"/>
    <w:rsid w:val="00AC2E5B"/>
    <w:rsid w:val="00AC30FA"/>
    <w:rsid w:val="00AC3200"/>
    <w:rsid w:val="00AC3300"/>
    <w:rsid w:val="00AC414B"/>
    <w:rsid w:val="00AC41AA"/>
    <w:rsid w:val="00AC420C"/>
    <w:rsid w:val="00AC4342"/>
    <w:rsid w:val="00AC49A6"/>
    <w:rsid w:val="00AC4BF9"/>
    <w:rsid w:val="00AC50F2"/>
    <w:rsid w:val="00AC535C"/>
    <w:rsid w:val="00AC539F"/>
    <w:rsid w:val="00AC559C"/>
    <w:rsid w:val="00AC563F"/>
    <w:rsid w:val="00AC6147"/>
    <w:rsid w:val="00AC6261"/>
    <w:rsid w:val="00AC63A4"/>
    <w:rsid w:val="00AC645F"/>
    <w:rsid w:val="00AC6DDB"/>
    <w:rsid w:val="00AC779C"/>
    <w:rsid w:val="00AD04FE"/>
    <w:rsid w:val="00AD06C1"/>
    <w:rsid w:val="00AD0854"/>
    <w:rsid w:val="00AD0B87"/>
    <w:rsid w:val="00AD119D"/>
    <w:rsid w:val="00AD12AC"/>
    <w:rsid w:val="00AD1536"/>
    <w:rsid w:val="00AD1C9E"/>
    <w:rsid w:val="00AD1CD5"/>
    <w:rsid w:val="00AD27B4"/>
    <w:rsid w:val="00AD3012"/>
    <w:rsid w:val="00AD3222"/>
    <w:rsid w:val="00AD32F7"/>
    <w:rsid w:val="00AD3A95"/>
    <w:rsid w:val="00AD3DB0"/>
    <w:rsid w:val="00AD44E5"/>
    <w:rsid w:val="00AD4519"/>
    <w:rsid w:val="00AD481E"/>
    <w:rsid w:val="00AD50E2"/>
    <w:rsid w:val="00AD584B"/>
    <w:rsid w:val="00AD5DC0"/>
    <w:rsid w:val="00AD5ED6"/>
    <w:rsid w:val="00AD5F24"/>
    <w:rsid w:val="00AD5FD7"/>
    <w:rsid w:val="00AD6061"/>
    <w:rsid w:val="00AD63D3"/>
    <w:rsid w:val="00AD65BA"/>
    <w:rsid w:val="00AD6851"/>
    <w:rsid w:val="00AD6B5D"/>
    <w:rsid w:val="00AD7027"/>
    <w:rsid w:val="00AD71D9"/>
    <w:rsid w:val="00AD7E85"/>
    <w:rsid w:val="00AE06A0"/>
    <w:rsid w:val="00AE0B67"/>
    <w:rsid w:val="00AE0EE7"/>
    <w:rsid w:val="00AE11ED"/>
    <w:rsid w:val="00AE120E"/>
    <w:rsid w:val="00AE17A1"/>
    <w:rsid w:val="00AE22BE"/>
    <w:rsid w:val="00AE244F"/>
    <w:rsid w:val="00AE24A2"/>
    <w:rsid w:val="00AE2AD5"/>
    <w:rsid w:val="00AE3436"/>
    <w:rsid w:val="00AE35CD"/>
    <w:rsid w:val="00AE413D"/>
    <w:rsid w:val="00AE4C21"/>
    <w:rsid w:val="00AE525B"/>
    <w:rsid w:val="00AE537F"/>
    <w:rsid w:val="00AE5544"/>
    <w:rsid w:val="00AE5DF9"/>
    <w:rsid w:val="00AE64A7"/>
    <w:rsid w:val="00AE6CA9"/>
    <w:rsid w:val="00AE6D16"/>
    <w:rsid w:val="00AE6E66"/>
    <w:rsid w:val="00AE70AA"/>
    <w:rsid w:val="00AE73F3"/>
    <w:rsid w:val="00AE7BC3"/>
    <w:rsid w:val="00AF0271"/>
    <w:rsid w:val="00AF099F"/>
    <w:rsid w:val="00AF10A8"/>
    <w:rsid w:val="00AF1218"/>
    <w:rsid w:val="00AF1248"/>
    <w:rsid w:val="00AF12CD"/>
    <w:rsid w:val="00AF164B"/>
    <w:rsid w:val="00AF16F5"/>
    <w:rsid w:val="00AF190A"/>
    <w:rsid w:val="00AF1BD5"/>
    <w:rsid w:val="00AF1CA0"/>
    <w:rsid w:val="00AF1E89"/>
    <w:rsid w:val="00AF1FFD"/>
    <w:rsid w:val="00AF205D"/>
    <w:rsid w:val="00AF242C"/>
    <w:rsid w:val="00AF26D1"/>
    <w:rsid w:val="00AF3022"/>
    <w:rsid w:val="00AF312A"/>
    <w:rsid w:val="00AF3241"/>
    <w:rsid w:val="00AF3A16"/>
    <w:rsid w:val="00AF3A3C"/>
    <w:rsid w:val="00AF3E31"/>
    <w:rsid w:val="00AF4109"/>
    <w:rsid w:val="00AF4235"/>
    <w:rsid w:val="00AF489E"/>
    <w:rsid w:val="00AF4B35"/>
    <w:rsid w:val="00AF5E98"/>
    <w:rsid w:val="00AF5ED0"/>
    <w:rsid w:val="00AF68D2"/>
    <w:rsid w:val="00AF71D6"/>
    <w:rsid w:val="00AF732C"/>
    <w:rsid w:val="00AF74C8"/>
    <w:rsid w:val="00AF7B4A"/>
    <w:rsid w:val="00AF7C95"/>
    <w:rsid w:val="00AF7DE7"/>
    <w:rsid w:val="00B00085"/>
    <w:rsid w:val="00B006A8"/>
    <w:rsid w:val="00B00966"/>
    <w:rsid w:val="00B00CC1"/>
    <w:rsid w:val="00B00DE8"/>
    <w:rsid w:val="00B010C7"/>
    <w:rsid w:val="00B011F2"/>
    <w:rsid w:val="00B012DD"/>
    <w:rsid w:val="00B019A1"/>
    <w:rsid w:val="00B01EA9"/>
    <w:rsid w:val="00B0214A"/>
    <w:rsid w:val="00B0247F"/>
    <w:rsid w:val="00B02711"/>
    <w:rsid w:val="00B02A41"/>
    <w:rsid w:val="00B02B0D"/>
    <w:rsid w:val="00B02D26"/>
    <w:rsid w:val="00B0343C"/>
    <w:rsid w:val="00B036E0"/>
    <w:rsid w:val="00B039F0"/>
    <w:rsid w:val="00B03AF2"/>
    <w:rsid w:val="00B03C0C"/>
    <w:rsid w:val="00B03D11"/>
    <w:rsid w:val="00B03E8B"/>
    <w:rsid w:val="00B04268"/>
    <w:rsid w:val="00B049D7"/>
    <w:rsid w:val="00B04A6B"/>
    <w:rsid w:val="00B04F49"/>
    <w:rsid w:val="00B05191"/>
    <w:rsid w:val="00B0527D"/>
    <w:rsid w:val="00B0532B"/>
    <w:rsid w:val="00B054AB"/>
    <w:rsid w:val="00B0589E"/>
    <w:rsid w:val="00B05EF9"/>
    <w:rsid w:val="00B067C3"/>
    <w:rsid w:val="00B06952"/>
    <w:rsid w:val="00B06E02"/>
    <w:rsid w:val="00B07348"/>
    <w:rsid w:val="00B0772A"/>
    <w:rsid w:val="00B078A9"/>
    <w:rsid w:val="00B07CFD"/>
    <w:rsid w:val="00B100AC"/>
    <w:rsid w:val="00B103A6"/>
    <w:rsid w:val="00B1053E"/>
    <w:rsid w:val="00B10A38"/>
    <w:rsid w:val="00B10A61"/>
    <w:rsid w:val="00B10E27"/>
    <w:rsid w:val="00B110AB"/>
    <w:rsid w:val="00B110C1"/>
    <w:rsid w:val="00B110DB"/>
    <w:rsid w:val="00B1189B"/>
    <w:rsid w:val="00B12935"/>
    <w:rsid w:val="00B129B7"/>
    <w:rsid w:val="00B12B2D"/>
    <w:rsid w:val="00B13128"/>
    <w:rsid w:val="00B13721"/>
    <w:rsid w:val="00B139AE"/>
    <w:rsid w:val="00B13AC3"/>
    <w:rsid w:val="00B13C4B"/>
    <w:rsid w:val="00B14298"/>
    <w:rsid w:val="00B14BE9"/>
    <w:rsid w:val="00B14EA1"/>
    <w:rsid w:val="00B1577D"/>
    <w:rsid w:val="00B15C58"/>
    <w:rsid w:val="00B16262"/>
    <w:rsid w:val="00B16A1D"/>
    <w:rsid w:val="00B16AD0"/>
    <w:rsid w:val="00B16BE0"/>
    <w:rsid w:val="00B16C80"/>
    <w:rsid w:val="00B16D2E"/>
    <w:rsid w:val="00B170A3"/>
    <w:rsid w:val="00B1783A"/>
    <w:rsid w:val="00B17ADD"/>
    <w:rsid w:val="00B17B02"/>
    <w:rsid w:val="00B17DB6"/>
    <w:rsid w:val="00B20173"/>
    <w:rsid w:val="00B201FA"/>
    <w:rsid w:val="00B20366"/>
    <w:rsid w:val="00B209F4"/>
    <w:rsid w:val="00B209F5"/>
    <w:rsid w:val="00B20BB9"/>
    <w:rsid w:val="00B20F01"/>
    <w:rsid w:val="00B2122C"/>
    <w:rsid w:val="00B21242"/>
    <w:rsid w:val="00B213AF"/>
    <w:rsid w:val="00B21884"/>
    <w:rsid w:val="00B21E9A"/>
    <w:rsid w:val="00B2229F"/>
    <w:rsid w:val="00B223D6"/>
    <w:rsid w:val="00B22B62"/>
    <w:rsid w:val="00B22D04"/>
    <w:rsid w:val="00B23068"/>
    <w:rsid w:val="00B237FA"/>
    <w:rsid w:val="00B2387C"/>
    <w:rsid w:val="00B23E91"/>
    <w:rsid w:val="00B23FEF"/>
    <w:rsid w:val="00B240E7"/>
    <w:rsid w:val="00B24250"/>
    <w:rsid w:val="00B2429A"/>
    <w:rsid w:val="00B2443F"/>
    <w:rsid w:val="00B245F2"/>
    <w:rsid w:val="00B24950"/>
    <w:rsid w:val="00B24BF4"/>
    <w:rsid w:val="00B24D9B"/>
    <w:rsid w:val="00B24E45"/>
    <w:rsid w:val="00B24EA2"/>
    <w:rsid w:val="00B2623A"/>
    <w:rsid w:val="00B26519"/>
    <w:rsid w:val="00B267BB"/>
    <w:rsid w:val="00B26E23"/>
    <w:rsid w:val="00B270B6"/>
    <w:rsid w:val="00B2757E"/>
    <w:rsid w:val="00B27B66"/>
    <w:rsid w:val="00B27DEF"/>
    <w:rsid w:val="00B3002A"/>
    <w:rsid w:val="00B30909"/>
    <w:rsid w:val="00B30A94"/>
    <w:rsid w:val="00B30B56"/>
    <w:rsid w:val="00B30BDE"/>
    <w:rsid w:val="00B30CDD"/>
    <w:rsid w:val="00B30D6F"/>
    <w:rsid w:val="00B30FF5"/>
    <w:rsid w:val="00B31061"/>
    <w:rsid w:val="00B31287"/>
    <w:rsid w:val="00B31322"/>
    <w:rsid w:val="00B314D9"/>
    <w:rsid w:val="00B31606"/>
    <w:rsid w:val="00B31D49"/>
    <w:rsid w:val="00B31ECA"/>
    <w:rsid w:val="00B32126"/>
    <w:rsid w:val="00B329C7"/>
    <w:rsid w:val="00B33729"/>
    <w:rsid w:val="00B33CE1"/>
    <w:rsid w:val="00B33DC4"/>
    <w:rsid w:val="00B34B04"/>
    <w:rsid w:val="00B34F16"/>
    <w:rsid w:val="00B35DC3"/>
    <w:rsid w:val="00B3669A"/>
    <w:rsid w:val="00B3677B"/>
    <w:rsid w:val="00B369D3"/>
    <w:rsid w:val="00B36A14"/>
    <w:rsid w:val="00B36C0C"/>
    <w:rsid w:val="00B3738D"/>
    <w:rsid w:val="00B378BA"/>
    <w:rsid w:val="00B378E7"/>
    <w:rsid w:val="00B378F9"/>
    <w:rsid w:val="00B37E05"/>
    <w:rsid w:val="00B37E10"/>
    <w:rsid w:val="00B37F65"/>
    <w:rsid w:val="00B37F8A"/>
    <w:rsid w:val="00B40B2F"/>
    <w:rsid w:val="00B40BE5"/>
    <w:rsid w:val="00B40C9B"/>
    <w:rsid w:val="00B40E29"/>
    <w:rsid w:val="00B40E83"/>
    <w:rsid w:val="00B414B6"/>
    <w:rsid w:val="00B4152F"/>
    <w:rsid w:val="00B417F7"/>
    <w:rsid w:val="00B418FB"/>
    <w:rsid w:val="00B41A74"/>
    <w:rsid w:val="00B41DDD"/>
    <w:rsid w:val="00B41FED"/>
    <w:rsid w:val="00B421CC"/>
    <w:rsid w:val="00B42217"/>
    <w:rsid w:val="00B42914"/>
    <w:rsid w:val="00B4293D"/>
    <w:rsid w:val="00B429BD"/>
    <w:rsid w:val="00B42F86"/>
    <w:rsid w:val="00B432B9"/>
    <w:rsid w:val="00B4333D"/>
    <w:rsid w:val="00B43A5C"/>
    <w:rsid w:val="00B43CE3"/>
    <w:rsid w:val="00B43E7F"/>
    <w:rsid w:val="00B43EAE"/>
    <w:rsid w:val="00B44208"/>
    <w:rsid w:val="00B44C1C"/>
    <w:rsid w:val="00B44D0D"/>
    <w:rsid w:val="00B45414"/>
    <w:rsid w:val="00B45BCB"/>
    <w:rsid w:val="00B45C7E"/>
    <w:rsid w:val="00B45D1C"/>
    <w:rsid w:val="00B45E61"/>
    <w:rsid w:val="00B46240"/>
    <w:rsid w:val="00B4647C"/>
    <w:rsid w:val="00B466BC"/>
    <w:rsid w:val="00B47048"/>
    <w:rsid w:val="00B4726C"/>
    <w:rsid w:val="00B47270"/>
    <w:rsid w:val="00B476DE"/>
    <w:rsid w:val="00B47730"/>
    <w:rsid w:val="00B50106"/>
    <w:rsid w:val="00B50E5D"/>
    <w:rsid w:val="00B50F25"/>
    <w:rsid w:val="00B50F32"/>
    <w:rsid w:val="00B5181A"/>
    <w:rsid w:val="00B51846"/>
    <w:rsid w:val="00B5196B"/>
    <w:rsid w:val="00B5197A"/>
    <w:rsid w:val="00B51B93"/>
    <w:rsid w:val="00B52123"/>
    <w:rsid w:val="00B52192"/>
    <w:rsid w:val="00B529DF"/>
    <w:rsid w:val="00B529E2"/>
    <w:rsid w:val="00B52E1C"/>
    <w:rsid w:val="00B53232"/>
    <w:rsid w:val="00B534FA"/>
    <w:rsid w:val="00B538A7"/>
    <w:rsid w:val="00B53984"/>
    <w:rsid w:val="00B53EDF"/>
    <w:rsid w:val="00B542CF"/>
    <w:rsid w:val="00B54562"/>
    <w:rsid w:val="00B5493B"/>
    <w:rsid w:val="00B54B62"/>
    <w:rsid w:val="00B5516C"/>
    <w:rsid w:val="00B554CE"/>
    <w:rsid w:val="00B5559A"/>
    <w:rsid w:val="00B5580F"/>
    <w:rsid w:val="00B5581C"/>
    <w:rsid w:val="00B55E9E"/>
    <w:rsid w:val="00B565F1"/>
    <w:rsid w:val="00B566E2"/>
    <w:rsid w:val="00B56995"/>
    <w:rsid w:val="00B56B53"/>
    <w:rsid w:val="00B56C71"/>
    <w:rsid w:val="00B56E2A"/>
    <w:rsid w:val="00B5703E"/>
    <w:rsid w:val="00B573FE"/>
    <w:rsid w:val="00B57DA2"/>
    <w:rsid w:val="00B57DC1"/>
    <w:rsid w:val="00B57EE0"/>
    <w:rsid w:val="00B57F17"/>
    <w:rsid w:val="00B602EC"/>
    <w:rsid w:val="00B6079A"/>
    <w:rsid w:val="00B608A3"/>
    <w:rsid w:val="00B609F3"/>
    <w:rsid w:val="00B60FE8"/>
    <w:rsid w:val="00B6108F"/>
    <w:rsid w:val="00B6120B"/>
    <w:rsid w:val="00B61268"/>
    <w:rsid w:val="00B61317"/>
    <w:rsid w:val="00B61869"/>
    <w:rsid w:val="00B61C85"/>
    <w:rsid w:val="00B62244"/>
    <w:rsid w:val="00B625C3"/>
    <w:rsid w:val="00B62756"/>
    <w:rsid w:val="00B6277B"/>
    <w:rsid w:val="00B62C37"/>
    <w:rsid w:val="00B63A13"/>
    <w:rsid w:val="00B63FEA"/>
    <w:rsid w:val="00B64205"/>
    <w:rsid w:val="00B6423F"/>
    <w:rsid w:val="00B642CD"/>
    <w:rsid w:val="00B64340"/>
    <w:rsid w:val="00B64364"/>
    <w:rsid w:val="00B646BF"/>
    <w:rsid w:val="00B64906"/>
    <w:rsid w:val="00B64941"/>
    <w:rsid w:val="00B654DB"/>
    <w:rsid w:val="00B657E8"/>
    <w:rsid w:val="00B65833"/>
    <w:rsid w:val="00B65A2D"/>
    <w:rsid w:val="00B65BBE"/>
    <w:rsid w:val="00B66261"/>
    <w:rsid w:val="00B66672"/>
    <w:rsid w:val="00B669A6"/>
    <w:rsid w:val="00B669B3"/>
    <w:rsid w:val="00B66ED2"/>
    <w:rsid w:val="00B66F09"/>
    <w:rsid w:val="00B67B77"/>
    <w:rsid w:val="00B67EBD"/>
    <w:rsid w:val="00B703AF"/>
    <w:rsid w:val="00B703C7"/>
    <w:rsid w:val="00B705CF"/>
    <w:rsid w:val="00B708FB"/>
    <w:rsid w:val="00B70BA5"/>
    <w:rsid w:val="00B711C3"/>
    <w:rsid w:val="00B711F0"/>
    <w:rsid w:val="00B714CA"/>
    <w:rsid w:val="00B716C8"/>
    <w:rsid w:val="00B719A8"/>
    <w:rsid w:val="00B721A5"/>
    <w:rsid w:val="00B721C7"/>
    <w:rsid w:val="00B727AD"/>
    <w:rsid w:val="00B72BCF"/>
    <w:rsid w:val="00B72E9D"/>
    <w:rsid w:val="00B7329D"/>
    <w:rsid w:val="00B73395"/>
    <w:rsid w:val="00B7353A"/>
    <w:rsid w:val="00B73850"/>
    <w:rsid w:val="00B738DC"/>
    <w:rsid w:val="00B7424D"/>
    <w:rsid w:val="00B743A0"/>
    <w:rsid w:val="00B74475"/>
    <w:rsid w:val="00B74858"/>
    <w:rsid w:val="00B74A09"/>
    <w:rsid w:val="00B74A3A"/>
    <w:rsid w:val="00B74CDA"/>
    <w:rsid w:val="00B74D9E"/>
    <w:rsid w:val="00B7572F"/>
    <w:rsid w:val="00B75DEF"/>
    <w:rsid w:val="00B76064"/>
    <w:rsid w:val="00B76D84"/>
    <w:rsid w:val="00B77876"/>
    <w:rsid w:val="00B7788E"/>
    <w:rsid w:val="00B80307"/>
    <w:rsid w:val="00B809F2"/>
    <w:rsid w:val="00B80E88"/>
    <w:rsid w:val="00B81096"/>
    <w:rsid w:val="00B81142"/>
    <w:rsid w:val="00B816B8"/>
    <w:rsid w:val="00B81BBB"/>
    <w:rsid w:val="00B82272"/>
    <w:rsid w:val="00B82360"/>
    <w:rsid w:val="00B82B4F"/>
    <w:rsid w:val="00B82B78"/>
    <w:rsid w:val="00B82BF9"/>
    <w:rsid w:val="00B82C07"/>
    <w:rsid w:val="00B82EDC"/>
    <w:rsid w:val="00B832B4"/>
    <w:rsid w:val="00B834AF"/>
    <w:rsid w:val="00B83D67"/>
    <w:rsid w:val="00B83E74"/>
    <w:rsid w:val="00B843FE"/>
    <w:rsid w:val="00B849FA"/>
    <w:rsid w:val="00B84D8D"/>
    <w:rsid w:val="00B84E02"/>
    <w:rsid w:val="00B85129"/>
    <w:rsid w:val="00B8547C"/>
    <w:rsid w:val="00B85F9A"/>
    <w:rsid w:val="00B8608B"/>
    <w:rsid w:val="00B86279"/>
    <w:rsid w:val="00B86568"/>
    <w:rsid w:val="00B8675F"/>
    <w:rsid w:val="00B86928"/>
    <w:rsid w:val="00B869B1"/>
    <w:rsid w:val="00B86B13"/>
    <w:rsid w:val="00B873C9"/>
    <w:rsid w:val="00B87435"/>
    <w:rsid w:val="00B87481"/>
    <w:rsid w:val="00B87954"/>
    <w:rsid w:val="00B87995"/>
    <w:rsid w:val="00B90241"/>
    <w:rsid w:val="00B906CA"/>
    <w:rsid w:val="00B907BB"/>
    <w:rsid w:val="00B90A20"/>
    <w:rsid w:val="00B90D42"/>
    <w:rsid w:val="00B90E95"/>
    <w:rsid w:val="00B9144F"/>
    <w:rsid w:val="00B91922"/>
    <w:rsid w:val="00B9199C"/>
    <w:rsid w:val="00B91AC0"/>
    <w:rsid w:val="00B9248C"/>
    <w:rsid w:val="00B924EC"/>
    <w:rsid w:val="00B92E53"/>
    <w:rsid w:val="00B92E5A"/>
    <w:rsid w:val="00B92EF5"/>
    <w:rsid w:val="00B93166"/>
    <w:rsid w:val="00B93219"/>
    <w:rsid w:val="00B93271"/>
    <w:rsid w:val="00B9341C"/>
    <w:rsid w:val="00B9351A"/>
    <w:rsid w:val="00B936FC"/>
    <w:rsid w:val="00B93839"/>
    <w:rsid w:val="00B93973"/>
    <w:rsid w:val="00B93FD2"/>
    <w:rsid w:val="00B942AC"/>
    <w:rsid w:val="00B95110"/>
    <w:rsid w:val="00B95876"/>
    <w:rsid w:val="00B95D0F"/>
    <w:rsid w:val="00B96172"/>
    <w:rsid w:val="00B9621C"/>
    <w:rsid w:val="00B9632D"/>
    <w:rsid w:val="00B9667A"/>
    <w:rsid w:val="00B97227"/>
    <w:rsid w:val="00B976B5"/>
    <w:rsid w:val="00B979B5"/>
    <w:rsid w:val="00B97A81"/>
    <w:rsid w:val="00B97B6C"/>
    <w:rsid w:val="00BA057E"/>
    <w:rsid w:val="00BA099B"/>
    <w:rsid w:val="00BA0B08"/>
    <w:rsid w:val="00BA0C6C"/>
    <w:rsid w:val="00BA1530"/>
    <w:rsid w:val="00BA173D"/>
    <w:rsid w:val="00BA1944"/>
    <w:rsid w:val="00BA1B27"/>
    <w:rsid w:val="00BA1E27"/>
    <w:rsid w:val="00BA2285"/>
    <w:rsid w:val="00BA288F"/>
    <w:rsid w:val="00BA28CC"/>
    <w:rsid w:val="00BA2FDE"/>
    <w:rsid w:val="00BA2FFA"/>
    <w:rsid w:val="00BA376D"/>
    <w:rsid w:val="00BA39C4"/>
    <w:rsid w:val="00BA4773"/>
    <w:rsid w:val="00BA501B"/>
    <w:rsid w:val="00BA5399"/>
    <w:rsid w:val="00BA5F4E"/>
    <w:rsid w:val="00BA5FDD"/>
    <w:rsid w:val="00BA6673"/>
    <w:rsid w:val="00BA66AD"/>
    <w:rsid w:val="00BA6AD2"/>
    <w:rsid w:val="00BA6B11"/>
    <w:rsid w:val="00BA6D69"/>
    <w:rsid w:val="00BA6F24"/>
    <w:rsid w:val="00BA707E"/>
    <w:rsid w:val="00BA74D8"/>
    <w:rsid w:val="00BA7B75"/>
    <w:rsid w:val="00BA7B94"/>
    <w:rsid w:val="00BA7E6D"/>
    <w:rsid w:val="00BB059C"/>
    <w:rsid w:val="00BB07AE"/>
    <w:rsid w:val="00BB0DAE"/>
    <w:rsid w:val="00BB0DBD"/>
    <w:rsid w:val="00BB0FA6"/>
    <w:rsid w:val="00BB1069"/>
    <w:rsid w:val="00BB106E"/>
    <w:rsid w:val="00BB11E9"/>
    <w:rsid w:val="00BB14D2"/>
    <w:rsid w:val="00BB1BC3"/>
    <w:rsid w:val="00BB27DB"/>
    <w:rsid w:val="00BB2AD2"/>
    <w:rsid w:val="00BB2DCA"/>
    <w:rsid w:val="00BB329E"/>
    <w:rsid w:val="00BB3D38"/>
    <w:rsid w:val="00BB3D3C"/>
    <w:rsid w:val="00BB45A9"/>
    <w:rsid w:val="00BB475C"/>
    <w:rsid w:val="00BB48E1"/>
    <w:rsid w:val="00BB4A49"/>
    <w:rsid w:val="00BB4F85"/>
    <w:rsid w:val="00BB5024"/>
    <w:rsid w:val="00BB55DF"/>
    <w:rsid w:val="00BB5AD6"/>
    <w:rsid w:val="00BB5FA3"/>
    <w:rsid w:val="00BB626A"/>
    <w:rsid w:val="00BB62FD"/>
    <w:rsid w:val="00BB69B8"/>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64F"/>
    <w:rsid w:val="00BC376A"/>
    <w:rsid w:val="00BC392D"/>
    <w:rsid w:val="00BC3C64"/>
    <w:rsid w:val="00BC4CB2"/>
    <w:rsid w:val="00BC5185"/>
    <w:rsid w:val="00BC5FC4"/>
    <w:rsid w:val="00BC6426"/>
    <w:rsid w:val="00BC65A3"/>
    <w:rsid w:val="00BC6902"/>
    <w:rsid w:val="00BC6B51"/>
    <w:rsid w:val="00BC7265"/>
    <w:rsid w:val="00BC728F"/>
    <w:rsid w:val="00BC72AC"/>
    <w:rsid w:val="00BC7453"/>
    <w:rsid w:val="00BC7C00"/>
    <w:rsid w:val="00BD0036"/>
    <w:rsid w:val="00BD00AF"/>
    <w:rsid w:val="00BD01E6"/>
    <w:rsid w:val="00BD0223"/>
    <w:rsid w:val="00BD0265"/>
    <w:rsid w:val="00BD0457"/>
    <w:rsid w:val="00BD0864"/>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895"/>
    <w:rsid w:val="00BD4A93"/>
    <w:rsid w:val="00BD4A9D"/>
    <w:rsid w:val="00BD4E44"/>
    <w:rsid w:val="00BD68EF"/>
    <w:rsid w:val="00BD6A65"/>
    <w:rsid w:val="00BD6C15"/>
    <w:rsid w:val="00BD6F34"/>
    <w:rsid w:val="00BD712F"/>
    <w:rsid w:val="00BD7545"/>
    <w:rsid w:val="00BD756E"/>
    <w:rsid w:val="00BD76D4"/>
    <w:rsid w:val="00BD775F"/>
    <w:rsid w:val="00BD7A60"/>
    <w:rsid w:val="00BE040E"/>
    <w:rsid w:val="00BE0761"/>
    <w:rsid w:val="00BE0851"/>
    <w:rsid w:val="00BE08F4"/>
    <w:rsid w:val="00BE0C2E"/>
    <w:rsid w:val="00BE16B2"/>
    <w:rsid w:val="00BE183A"/>
    <w:rsid w:val="00BE1C49"/>
    <w:rsid w:val="00BE1D60"/>
    <w:rsid w:val="00BE1D66"/>
    <w:rsid w:val="00BE1F9B"/>
    <w:rsid w:val="00BE2024"/>
    <w:rsid w:val="00BE2100"/>
    <w:rsid w:val="00BE2721"/>
    <w:rsid w:val="00BE2C17"/>
    <w:rsid w:val="00BE3398"/>
    <w:rsid w:val="00BE34A4"/>
    <w:rsid w:val="00BE34A5"/>
    <w:rsid w:val="00BE3508"/>
    <w:rsid w:val="00BE3676"/>
    <w:rsid w:val="00BE37B7"/>
    <w:rsid w:val="00BE4005"/>
    <w:rsid w:val="00BE44BE"/>
    <w:rsid w:val="00BE4E66"/>
    <w:rsid w:val="00BE52A7"/>
    <w:rsid w:val="00BE564B"/>
    <w:rsid w:val="00BE58FC"/>
    <w:rsid w:val="00BE5A27"/>
    <w:rsid w:val="00BE5C73"/>
    <w:rsid w:val="00BE6021"/>
    <w:rsid w:val="00BE618A"/>
    <w:rsid w:val="00BE666B"/>
    <w:rsid w:val="00BE6677"/>
    <w:rsid w:val="00BE6D00"/>
    <w:rsid w:val="00BE7049"/>
    <w:rsid w:val="00BE708F"/>
    <w:rsid w:val="00BE748D"/>
    <w:rsid w:val="00BE74A3"/>
    <w:rsid w:val="00BE7723"/>
    <w:rsid w:val="00BE7A79"/>
    <w:rsid w:val="00BF10F5"/>
    <w:rsid w:val="00BF1593"/>
    <w:rsid w:val="00BF15DD"/>
    <w:rsid w:val="00BF16D5"/>
    <w:rsid w:val="00BF196E"/>
    <w:rsid w:val="00BF1D82"/>
    <w:rsid w:val="00BF2045"/>
    <w:rsid w:val="00BF3625"/>
    <w:rsid w:val="00BF3781"/>
    <w:rsid w:val="00BF3966"/>
    <w:rsid w:val="00BF3A53"/>
    <w:rsid w:val="00BF3B6B"/>
    <w:rsid w:val="00BF411F"/>
    <w:rsid w:val="00BF41E2"/>
    <w:rsid w:val="00BF466D"/>
    <w:rsid w:val="00BF51EA"/>
    <w:rsid w:val="00BF5443"/>
    <w:rsid w:val="00BF5671"/>
    <w:rsid w:val="00BF5689"/>
    <w:rsid w:val="00BF5729"/>
    <w:rsid w:val="00BF5936"/>
    <w:rsid w:val="00BF62D3"/>
    <w:rsid w:val="00BF662F"/>
    <w:rsid w:val="00BF6977"/>
    <w:rsid w:val="00BF6E7C"/>
    <w:rsid w:val="00BF7316"/>
    <w:rsid w:val="00BF7CC7"/>
    <w:rsid w:val="00BF7DD9"/>
    <w:rsid w:val="00C0025C"/>
    <w:rsid w:val="00C0099A"/>
    <w:rsid w:val="00C00B59"/>
    <w:rsid w:val="00C00BB2"/>
    <w:rsid w:val="00C00CBC"/>
    <w:rsid w:val="00C012E6"/>
    <w:rsid w:val="00C02276"/>
    <w:rsid w:val="00C024A9"/>
    <w:rsid w:val="00C02536"/>
    <w:rsid w:val="00C026FD"/>
    <w:rsid w:val="00C02C91"/>
    <w:rsid w:val="00C032BF"/>
    <w:rsid w:val="00C03941"/>
    <w:rsid w:val="00C0398A"/>
    <w:rsid w:val="00C03A0A"/>
    <w:rsid w:val="00C03B14"/>
    <w:rsid w:val="00C03C31"/>
    <w:rsid w:val="00C04181"/>
    <w:rsid w:val="00C0419A"/>
    <w:rsid w:val="00C04331"/>
    <w:rsid w:val="00C04363"/>
    <w:rsid w:val="00C04B0A"/>
    <w:rsid w:val="00C04E9D"/>
    <w:rsid w:val="00C05184"/>
    <w:rsid w:val="00C06F91"/>
    <w:rsid w:val="00C07085"/>
    <w:rsid w:val="00C07293"/>
    <w:rsid w:val="00C07459"/>
    <w:rsid w:val="00C07ACA"/>
    <w:rsid w:val="00C07C2B"/>
    <w:rsid w:val="00C1022A"/>
    <w:rsid w:val="00C10F9E"/>
    <w:rsid w:val="00C1109D"/>
    <w:rsid w:val="00C1149B"/>
    <w:rsid w:val="00C12A73"/>
    <w:rsid w:val="00C13515"/>
    <w:rsid w:val="00C13E1A"/>
    <w:rsid w:val="00C14078"/>
    <w:rsid w:val="00C14120"/>
    <w:rsid w:val="00C14213"/>
    <w:rsid w:val="00C14CAF"/>
    <w:rsid w:val="00C14F79"/>
    <w:rsid w:val="00C1518C"/>
    <w:rsid w:val="00C156DF"/>
    <w:rsid w:val="00C157CD"/>
    <w:rsid w:val="00C15913"/>
    <w:rsid w:val="00C15AEF"/>
    <w:rsid w:val="00C16110"/>
    <w:rsid w:val="00C1636B"/>
    <w:rsid w:val="00C16442"/>
    <w:rsid w:val="00C1715B"/>
    <w:rsid w:val="00C17244"/>
    <w:rsid w:val="00C173DC"/>
    <w:rsid w:val="00C17491"/>
    <w:rsid w:val="00C17775"/>
    <w:rsid w:val="00C17D8D"/>
    <w:rsid w:val="00C17F22"/>
    <w:rsid w:val="00C20200"/>
    <w:rsid w:val="00C2042B"/>
    <w:rsid w:val="00C205BF"/>
    <w:rsid w:val="00C20631"/>
    <w:rsid w:val="00C20868"/>
    <w:rsid w:val="00C22489"/>
    <w:rsid w:val="00C22592"/>
    <w:rsid w:val="00C2259C"/>
    <w:rsid w:val="00C22672"/>
    <w:rsid w:val="00C227C7"/>
    <w:rsid w:val="00C22C28"/>
    <w:rsid w:val="00C22CC4"/>
    <w:rsid w:val="00C22CC7"/>
    <w:rsid w:val="00C22CFE"/>
    <w:rsid w:val="00C22E7A"/>
    <w:rsid w:val="00C23B2D"/>
    <w:rsid w:val="00C23E1C"/>
    <w:rsid w:val="00C23ED2"/>
    <w:rsid w:val="00C2406A"/>
    <w:rsid w:val="00C2409D"/>
    <w:rsid w:val="00C248F3"/>
    <w:rsid w:val="00C24A17"/>
    <w:rsid w:val="00C24AE4"/>
    <w:rsid w:val="00C24DBE"/>
    <w:rsid w:val="00C25290"/>
    <w:rsid w:val="00C25683"/>
    <w:rsid w:val="00C25B8B"/>
    <w:rsid w:val="00C25FA5"/>
    <w:rsid w:val="00C26351"/>
    <w:rsid w:val="00C26FED"/>
    <w:rsid w:val="00C27662"/>
    <w:rsid w:val="00C27DB0"/>
    <w:rsid w:val="00C27DEF"/>
    <w:rsid w:val="00C27E77"/>
    <w:rsid w:val="00C27E86"/>
    <w:rsid w:val="00C304B9"/>
    <w:rsid w:val="00C30D70"/>
    <w:rsid w:val="00C30F29"/>
    <w:rsid w:val="00C311D2"/>
    <w:rsid w:val="00C3169F"/>
    <w:rsid w:val="00C31729"/>
    <w:rsid w:val="00C31A7B"/>
    <w:rsid w:val="00C31DA6"/>
    <w:rsid w:val="00C320D1"/>
    <w:rsid w:val="00C32154"/>
    <w:rsid w:val="00C32173"/>
    <w:rsid w:val="00C331F6"/>
    <w:rsid w:val="00C3320C"/>
    <w:rsid w:val="00C33489"/>
    <w:rsid w:val="00C33A80"/>
    <w:rsid w:val="00C33FB1"/>
    <w:rsid w:val="00C346C5"/>
    <w:rsid w:val="00C347B7"/>
    <w:rsid w:val="00C34BD6"/>
    <w:rsid w:val="00C34BF2"/>
    <w:rsid w:val="00C34E44"/>
    <w:rsid w:val="00C35849"/>
    <w:rsid w:val="00C35BF5"/>
    <w:rsid w:val="00C35C17"/>
    <w:rsid w:val="00C35D84"/>
    <w:rsid w:val="00C35EB3"/>
    <w:rsid w:val="00C36431"/>
    <w:rsid w:val="00C3669A"/>
    <w:rsid w:val="00C36700"/>
    <w:rsid w:val="00C36718"/>
    <w:rsid w:val="00C3675D"/>
    <w:rsid w:val="00C36DB2"/>
    <w:rsid w:val="00C370BE"/>
    <w:rsid w:val="00C370E6"/>
    <w:rsid w:val="00C37249"/>
    <w:rsid w:val="00C3726E"/>
    <w:rsid w:val="00C373E3"/>
    <w:rsid w:val="00C3755D"/>
    <w:rsid w:val="00C376CF"/>
    <w:rsid w:val="00C37918"/>
    <w:rsid w:val="00C3796D"/>
    <w:rsid w:val="00C4018A"/>
    <w:rsid w:val="00C40557"/>
    <w:rsid w:val="00C41216"/>
    <w:rsid w:val="00C41F11"/>
    <w:rsid w:val="00C420F6"/>
    <w:rsid w:val="00C422BA"/>
    <w:rsid w:val="00C423D5"/>
    <w:rsid w:val="00C4277C"/>
    <w:rsid w:val="00C42992"/>
    <w:rsid w:val="00C42B66"/>
    <w:rsid w:val="00C430C7"/>
    <w:rsid w:val="00C431F9"/>
    <w:rsid w:val="00C4338C"/>
    <w:rsid w:val="00C4366D"/>
    <w:rsid w:val="00C437B7"/>
    <w:rsid w:val="00C4395A"/>
    <w:rsid w:val="00C43C1A"/>
    <w:rsid w:val="00C43E9D"/>
    <w:rsid w:val="00C43EE2"/>
    <w:rsid w:val="00C441F1"/>
    <w:rsid w:val="00C445D2"/>
    <w:rsid w:val="00C44DA0"/>
    <w:rsid w:val="00C44DA1"/>
    <w:rsid w:val="00C44EEA"/>
    <w:rsid w:val="00C45137"/>
    <w:rsid w:val="00C454D3"/>
    <w:rsid w:val="00C45602"/>
    <w:rsid w:val="00C45F7B"/>
    <w:rsid w:val="00C45F9A"/>
    <w:rsid w:val="00C47272"/>
    <w:rsid w:val="00C47283"/>
    <w:rsid w:val="00C4733D"/>
    <w:rsid w:val="00C474EF"/>
    <w:rsid w:val="00C47586"/>
    <w:rsid w:val="00C47D63"/>
    <w:rsid w:val="00C47D8D"/>
    <w:rsid w:val="00C47E0C"/>
    <w:rsid w:val="00C50227"/>
    <w:rsid w:val="00C50296"/>
    <w:rsid w:val="00C50631"/>
    <w:rsid w:val="00C5090E"/>
    <w:rsid w:val="00C50B51"/>
    <w:rsid w:val="00C50B99"/>
    <w:rsid w:val="00C50DB6"/>
    <w:rsid w:val="00C514DD"/>
    <w:rsid w:val="00C5196B"/>
    <w:rsid w:val="00C51F24"/>
    <w:rsid w:val="00C522AE"/>
    <w:rsid w:val="00C52625"/>
    <w:rsid w:val="00C52872"/>
    <w:rsid w:val="00C52B8B"/>
    <w:rsid w:val="00C52C8E"/>
    <w:rsid w:val="00C52EE1"/>
    <w:rsid w:val="00C536AD"/>
    <w:rsid w:val="00C53A72"/>
    <w:rsid w:val="00C53B42"/>
    <w:rsid w:val="00C53FE2"/>
    <w:rsid w:val="00C54248"/>
    <w:rsid w:val="00C5430D"/>
    <w:rsid w:val="00C54440"/>
    <w:rsid w:val="00C544EB"/>
    <w:rsid w:val="00C54510"/>
    <w:rsid w:val="00C54573"/>
    <w:rsid w:val="00C5461E"/>
    <w:rsid w:val="00C54A11"/>
    <w:rsid w:val="00C54BB2"/>
    <w:rsid w:val="00C54FCA"/>
    <w:rsid w:val="00C5543F"/>
    <w:rsid w:val="00C55A10"/>
    <w:rsid w:val="00C562E5"/>
    <w:rsid w:val="00C5641A"/>
    <w:rsid w:val="00C56BDC"/>
    <w:rsid w:val="00C56BDE"/>
    <w:rsid w:val="00C56F44"/>
    <w:rsid w:val="00C56F84"/>
    <w:rsid w:val="00C57040"/>
    <w:rsid w:val="00C5705A"/>
    <w:rsid w:val="00C570F8"/>
    <w:rsid w:val="00C571FE"/>
    <w:rsid w:val="00C5757B"/>
    <w:rsid w:val="00C57BE3"/>
    <w:rsid w:val="00C60682"/>
    <w:rsid w:val="00C60B25"/>
    <w:rsid w:val="00C610F1"/>
    <w:rsid w:val="00C61620"/>
    <w:rsid w:val="00C6163A"/>
    <w:rsid w:val="00C61C61"/>
    <w:rsid w:val="00C61CDC"/>
    <w:rsid w:val="00C6269A"/>
    <w:rsid w:val="00C62849"/>
    <w:rsid w:val="00C62B54"/>
    <w:rsid w:val="00C63188"/>
    <w:rsid w:val="00C634DB"/>
    <w:rsid w:val="00C637A9"/>
    <w:rsid w:val="00C63BFF"/>
    <w:rsid w:val="00C63E05"/>
    <w:rsid w:val="00C64164"/>
    <w:rsid w:val="00C64362"/>
    <w:rsid w:val="00C64633"/>
    <w:rsid w:val="00C646EF"/>
    <w:rsid w:val="00C647A9"/>
    <w:rsid w:val="00C652D4"/>
    <w:rsid w:val="00C65416"/>
    <w:rsid w:val="00C65450"/>
    <w:rsid w:val="00C65952"/>
    <w:rsid w:val="00C659A2"/>
    <w:rsid w:val="00C65FAA"/>
    <w:rsid w:val="00C660F5"/>
    <w:rsid w:val="00C664A3"/>
    <w:rsid w:val="00C66B1D"/>
    <w:rsid w:val="00C66F48"/>
    <w:rsid w:val="00C66F7C"/>
    <w:rsid w:val="00C671EF"/>
    <w:rsid w:val="00C677C3"/>
    <w:rsid w:val="00C678B2"/>
    <w:rsid w:val="00C6795E"/>
    <w:rsid w:val="00C67DE6"/>
    <w:rsid w:val="00C70400"/>
    <w:rsid w:val="00C707C2"/>
    <w:rsid w:val="00C70992"/>
    <w:rsid w:val="00C70A90"/>
    <w:rsid w:val="00C70C56"/>
    <w:rsid w:val="00C70DD2"/>
    <w:rsid w:val="00C70E7B"/>
    <w:rsid w:val="00C70FB7"/>
    <w:rsid w:val="00C71242"/>
    <w:rsid w:val="00C712FD"/>
    <w:rsid w:val="00C7158C"/>
    <w:rsid w:val="00C71A83"/>
    <w:rsid w:val="00C71C93"/>
    <w:rsid w:val="00C71ECC"/>
    <w:rsid w:val="00C7257C"/>
    <w:rsid w:val="00C72624"/>
    <w:rsid w:val="00C727A8"/>
    <w:rsid w:val="00C72B02"/>
    <w:rsid w:val="00C72F1B"/>
    <w:rsid w:val="00C73372"/>
    <w:rsid w:val="00C73541"/>
    <w:rsid w:val="00C73808"/>
    <w:rsid w:val="00C7384F"/>
    <w:rsid w:val="00C73984"/>
    <w:rsid w:val="00C74044"/>
    <w:rsid w:val="00C74314"/>
    <w:rsid w:val="00C7461B"/>
    <w:rsid w:val="00C747F6"/>
    <w:rsid w:val="00C74DAC"/>
    <w:rsid w:val="00C75557"/>
    <w:rsid w:val="00C75F99"/>
    <w:rsid w:val="00C76712"/>
    <w:rsid w:val="00C76DEC"/>
    <w:rsid w:val="00C76F0B"/>
    <w:rsid w:val="00C771EE"/>
    <w:rsid w:val="00C772BA"/>
    <w:rsid w:val="00C77324"/>
    <w:rsid w:val="00C77A13"/>
    <w:rsid w:val="00C80BC1"/>
    <w:rsid w:val="00C80C93"/>
    <w:rsid w:val="00C80F1A"/>
    <w:rsid w:val="00C813BD"/>
    <w:rsid w:val="00C818E7"/>
    <w:rsid w:val="00C81F7E"/>
    <w:rsid w:val="00C823FA"/>
    <w:rsid w:val="00C828FC"/>
    <w:rsid w:val="00C82A66"/>
    <w:rsid w:val="00C82AA2"/>
    <w:rsid w:val="00C82AD3"/>
    <w:rsid w:val="00C82FEC"/>
    <w:rsid w:val="00C83494"/>
    <w:rsid w:val="00C83498"/>
    <w:rsid w:val="00C8454D"/>
    <w:rsid w:val="00C8459A"/>
    <w:rsid w:val="00C846DA"/>
    <w:rsid w:val="00C84919"/>
    <w:rsid w:val="00C853E8"/>
    <w:rsid w:val="00C85452"/>
    <w:rsid w:val="00C860D0"/>
    <w:rsid w:val="00C86BF9"/>
    <w:rsid w:val="00C8701E"/>
    <w:rsid w:val="00C873BC"/>
    <w:rsid w:val="00C87725"/>
    <w:rsid w:val="00C87A81"/>
    <w:rsid w:val="00C87E68"/>
    <w:rsid w:val="00C87F8A"/>
    <w:rsid w:val="00C9046A"/>
    <w:rsid w:val="00C9048F"/>
    <w:rsid w:val="00C90693"/>
    <w:rsid w:val="00C909DB"/>
    <w:rsid w:val="00C90F2E"/>
    <w:rsid w:val="00C910DB"/>
    <w:rsid w:val="00C91166"/>
    <w:rsid w:val="00C913C1"/>
    <w:rsid w:val="00C917EE"/>
    <w:rsid w:val="00C9192D"/>
    <w:rsid w:val="00C91A45"/>
    <w:rsid w:val="00C92174"/>
    <w:rsid w:val="00C9330F"/>
    <w:rsid w:val="00C93692"/>
    <w:rsid w:val="00C93859"/>
    <w:rsid w:val="00C93B71"/>
    <w:rsid w:val="00C942FA"/>
    <w:rsid w:val="00C94BBF"/>
    <w:rsid w:val="00C94EC9"/>
    <w:rsid w:val="00C956DB"/>
    <w:rsid w:val="00C95C27"/>
    <w:rsid w:val="00C95DF8"/>
    <w:rsid w:val="00C95E32"/>
    <w:rsid w:val="00C9617A"/>
    <w:rsid w:val="00C96244"/>
    <w:rsid w:val="00C9678B"/>
    <w:rsid w:val="00C9680B"/>
    <w:rsid w:val="00C9690C"/>
    <w:rsid w:val="00C96981"/>
    <w:rsid w:val="00C96FF7"/>
    <w:rsid w:val="00C976DB"/>
    <w:rsid w:val="00C977E8"/>
    <w:rsid w:val="00C97F61"/>
    <w:rsid w:val="00CA0B2C"/>
    <w:rsid w:val="00CA0F20"/>
    <w:rsid w:val="00CA118D"/>
    <w:rsid w:val="00CA179F"/>
    <w:rsid w:val="00CA17BD"/>
    <w:rsid w:val="00CA1A2A"/>
    <w:rsid w:val="00CA1D02"/>
    <w:rsid w:val="00CA1DC5"/>
    <w:rsid w:val="00CA22C4"/>
    <w:rsid w:val="00CA2753"/>
    <w:rsid w:val="00CA2BE7"/>
    <w:rsid w:val="00CA2D3F"/>
    <w:rsid w:val="00CA2F18"/>
    <w:rsid w:val="00CA34CE"/>
    <w:rsid w:val="00CA34ED"/>
    <w:rsid w:val="00CA3F79"/>
    <w:rsid w:val="00CA413E"/>
    <w:rsid w:val="00CA4187"/>
    <w:rsid w:val="00CA41AB"/>
    <w:rsid w:val="00CA45AD"/>
    <w:rsid w:val="00CA46B8"/>
    <w:rsid w:val="00CA48B0"/>
    <w:rsid w:val="00CA4B97"/>
    <w:rsid w:val="00CA4C49"/>
    <w:rsid w:val="00CA4D46"/>
    <w:rsid w:val="00CA4EF0"/>
    <w:rsid w:val="00CA5471"/>
    <w:rsid w:val="00CA56AC"/>
    <w:rsid w:val="00CA5E8D"/>
    <w:rsid w:val="00CA6765"/>
    <w:rsid w:val="00CA680E"/>
    <w:rsid w:val="00CA68C9"/>
    <w:rsid w:val="00CA69AE"/>
    <w:rsid w:val="00CA6B7A"/>
    <w:rsid w:val="00CA71A3"/>
    <w:rsid w:val="00CA72D2"/>
    <w:rsid w:val="00CA75AB"/>
    <w:rsid w:val="00CA78F9"/>
    <w:rsid w:val="00CA7C01"/>
    <w:rsid w:val="00CA7CA8"/>
    <w:rsid w:val="00CA7EB4"/>
    <w:rsid w:val="00CB019A"/>
    <w:rsid w:val="00CB0395"/>
    <w:rsid w:val="00CB0A55"/>
    <w:rsid w:val="00CB0EAD"/>
    <w:rsid w:val="00CB0ED7"/>
    <w:rsid w:val="00CB0EFB"/>
    <w:rsid w:val="00CB10AF"/>
    <w:rsid w:val="00CB15CA"/>
    <w:rsid w:val="00CB19A5"/>
    <w:rsid w:val="00CB1C7E"/>
    <w:rsid w:val="00CB2946"/>
    <w:rsid w:val="00CB29B4"/>
    <w:rsid w:val="00CB2E15"/>
    <w:rsid w:val="00CB2E79"/>
    <w:rsid w:val="00CB2FA2"/>
    <w:rsid w:val="00CB3013"/>
    <w:rsid w:val="00CB312F"/>
    <w:rsid w:val="00CB39AF"/>
    <w:rsid w:val="00CB3AA1"/>
    <w:rsid w:val="00CB3CB9"/>
    <w:rsid w:val="00CB4730"/>
    <w:rsid w:val="00CB49E4"/>
    <w:rsid w:val="00CB4A79"/>
    <w:rsid w:val="00CB4B55"/>
    <w:rsid w:val="00CB54D4"/>
    <w:rsid w:val="00CB57A1"/>
    <w:rsid w:val="00CB57D8"/>
    <w:rsid w:val="00CB59ED"/>
    <w:rsid w:val="00CB5A40"/>
    <w:rsid w:val="00CB5EAF"/>
    <w:rsid w:val="00CB5FC6"/>
    <w:rsid w:val="00CB6D71"/>
    <w:rsid w:val="00CB6ED8"/>
    <w:rsid w:val="00CB7771"/>
    <w:rsid w:val="00CB7A7A"/>
    <w:rsid w:val="00CB7FEE"/>
    <w:rsid w:val="00CC0687"/>
    <w:rsid w:val="00CC0B06"/>
    <w:rsid w:val="00CC0ED4"/>
    <w:rsid w:val="00CC181C"/>
    <w:rsid w:val="00CC1AAA"/>
    <w:rsid w:val="00CC1E51"/>
    <w:rsid w:val="00CC1F5F"/>
    <w:rsid w:val="00CC20C0"/>
    <w:rsid w:val="00CC20CE"/>
    <w:rsid w:val="00CC2882"/>
    <w:rsid w:val="00CC2F61"/>
    <w:rsid w:val="00CC3186"/>
    <w:rsid w:val="00CC341C"/>
    <w:rsid w:val="00CC3D96"/>
    <w:rsid w:val="00CC4022"/>
    <w:rsid w:val="00CC404A"/>
    <w:rsid w:val="00CC4216"/>
    <w:rsid w:val="00CC42CE"/>
    <w:rsid w:val="00CC449A"/>
    <w:rsid w:val="00CC4BE9"/>
    <w:rsid w:val="00CC4D42"/>
    <w:rsid w:val="00CC4FE0"/>
    <w:rsid w:val="00CC51BE"/>
    <w:rsid w:val="00CC52AC"/>
    <w:rsid w:val="00CC539F"/>
    <w:rsid w:val="00CC5479"/>
    <w:rsid w:val="00CC564F"/>
    <w:rsid w:val="00CC5B57"/>
    <w:rsid w:val="00CC5BFC"/>
    <w:rsid w:val="00CC5F6E"/>
    <w:rsid w:val="00CC7420"/>
    <w:rsid w:val="00CC7486"/>
    <w:rsid w:val="00CC75BE"/>
    <w:rsid w:val="00CC75D4"/>
    <w:rsid w:val="00CC79D5"/>
    <w:rsid w:val="00CC7D7B"/>
    <w:rsid w:val="00CC7D8F"/>
    <w:rsid w:val="00CD031C"/>
    <w:rsid w:val="00CD03D6"/>
    <w:rsid w:val="00CD070B"/>
    <w:rsid w:val="00CD157C"/>
    <w:rsid w:val="00CD1BF5"/>
    <w:rsid w:val="00CD1C94"/>
    <w:rsid w:val="00CD22D3"/>
    <w:rsid w:val="00CD2325"/>
    <w:rsid w:val="00CD2A1F"/>
    <w:rsid w:val="00CD2F95"/>
    <w:rsid w:val="00CD3064"/>
    <w:rsid w:val="00CD3441"/>
    <w:rsid w:val="00CD35CC"/>
    <w:rsid w:val="00CD390B"/>
    <w:rsid w:val="00CD394B"/>
    <w:rsid w:val="00CD4006"/>
    <w:rsid w:val="00CD4152"/>
    <w:rsid w:val="00CD43A3"/>
    <w:rsid w:val="00CD4483"/>
    <w:rsid w:val="00CD46ED"/>
    <w:rsid w:val="00CD477E"/>
    <w:rsid w:val="00CD4B7F"/>
    <w:rsid w:val="00CD4C41"/>
    <w:rsid w:val="00CD4DB7"/>
    <w:rsid w:val="00CD5348"/>
    <w:rsid w:val="00CD5355"/>
    <w:rsid w:val="00CD5803"/>
    <w:rsid w:val="00CD5CE1"/>
    <w:rsid w:val="00CD5D72"/>
    <w:rsid w:val="00CD60FA"/>
    <w:rsid w:val="00CD61A5"/>
    <w:rsid w:val="00CD628F"/>
    <w:rsid w:val="00CD62FE"/>
    <w:rsid w:val="00CD766B"/>
    <w:rsid w:val="00CD7872"/>
    <w:rsid w:val="00CD7D58"/>
    <w:rsid w:val="00CD7EB6"/>
    <w:rsid w:val="00CD7FBB"/>
    <w:rsid w:val="00CE0350"/>
    <w:rsid w:val="00CE04DE"/>
    <w:rsid w:val="00CE0630"/>
    <w:rsid w:val="00CE09A2"/>
    <w:rsid w:val="00CE0E84"/>
    <w:rsid w:val="00CE1041"/>
    <w:rsid w:val="00CE10B1"/>
    <w:rsid w:val="00CE14D6"/>
    <w:rsid w:val="00CE153D"/>
    <w:rsid w:val="00CE1D7B"/>
    <w:rsid w:val="00CE2118"/>
    <w:rsid w:val="00CE243F"/>
    <w:rsid w:val="00CE2493"/>
    <w:rsid w:val="00CE2551"/>
    <w:rsid w:val="00CE25FD"/>
    <w:rsid w:val="00CE2EC4"/>
    <w:rsid w:val="00CE3175"/>
    <w:rsid w:val="00CE3293"/>
    <w:rsid w:val="00CE3C6D"/>
    <w:rsid w:val="00CE3C82"/>
    <w:rsid w:val="00CE43B1"/>
    <w:rsid w:val="00CE45DB"/>
    <w:rsid w:val="00CE4964"/>
    <w:rsid w:val="00CE4BCF"/>
    <w:rsid w:val="00CE4ED1"/>
    <w:rsid w:val="00CE537D"/>
    <w:rsid w:val="00CE5414"/>
    <w:rsid w:val="00CE55AA"/>
    <w:rsid w:val="00CE5BCC"/>
    <w:rsid w:val="00CE5E44"/>
    <w:rsid w:val="00CE6540"/>
    <w:rsid w:val="00CE6893"/>
    <w:rsid w:val="00CE6D9E"/>
    <w:rsid w:val="00CE6DB4"/>
    <w:rsid w:val="00CE70AB"/>
    <w:rsid w:val="00CE7426"/>
    <w:rsid w:val="00CE794B"/>
    <w:rsid w:val="00CE7C39"/>
    <w:rsid w:val="00CF021D"/>
    <w:rsid w:val="00CF05EA"/>
    <w:rsid w:val="00CF0731"/>
    <w:rsid w:val="00CF088B"/>
    <w:rsid w:val="00CF08DE"/>
    <w:rsid w:val="00CF0D7A"/>
    <w:rsid w:val="00CF0FB9"/>
    <w:rsid w:val="00CF204F"/>
    <w:rsid w:val="00CF21A8"/>
    <w:rsid w:val="00CF248F"/>
    <w:rsid w:val="00CF2A96"/>
    <w:rsid w:val="00CF2AB7"/>
    <w:rsid w:val="00CF3381"/>
    <w:rsid w:val="00CF3394"/>
    <w:rsid w:val="00CF3522"/>
    <w:rsid w:val="00CF370F"/>
    <w:rsid w:val="00CF3DAA"/>
    <w:rsid w:val="00CF3F37"/>
    <w:rsid w:val="00CF487F"/>
    <w:rsid w:val="00CF4A46"/>
    <w:rsid w:val="00CF4BD8"/>
    <w:rsid w:val="00CF4C97"/>
    <w:rsid w:val="00CF581A"/>
    <w:rsid w:val="00CF6248"/>
    <w:rsid w:val="00CF63D1"/>
    <w:rsid w:val="00CF6BBF"/>
    <w:rsid w:val="00CF6E5F"/>
    <w:rsid w:val="00CF74C0"/>
    <w:rsid w:val="00CF74FB"/>
    <w:rsid w:val="00CF7897"/>
    <w:rsid w:val="00CF7997"/>
    <w:rsid w:val="00CF7BFA"/>
    <w:rsid w:val="00CF7E1F"/>
    <w:rsid w:val="00D009E0"/>
    <w:rsid w:val="00D00DD6"/>
    <w:rsid w:val="00D00E92"/>
    <w:rsid w:val="00D01230"/>
    <w:rsid w:val="00D013D9"/>
    <w:rsid w:val="00D017A2"/>
    <w:rsid w:val="00D019BF"/>
    <w:rsid w:val="00D01CAD"/>
    <w:rsid w:val="00D01E38"/>
    <w:rsid w:val="00D022BA"/>
    <w:rsid w:val="00D0252C"/>
    <w:rsid w:val="00D026AB"/>
    <w:rsid w:val="00D0283B"/>
    <w:rsid w:val="00D02ABB"/>
    <w:rsid w:val="00D03A98"/>
    <w:rsid w:val="00D03BB9"/>
    <w:rsid w:val="00D03D4D"/>
    <w:rsid w:val="00D03E69"/>
    <w:rsid w:val="00D03F6C"/>
    <w:rsid w:val="00D0415C"/>
    <w:rsid w:val="00D0425D"/>
    <w:rsid w:val="00D04983"/>
    <w:rsid w:val="00D04CDF"/>
    <w:rsid w:val="00D05778"/>
    <w:rsid w:val="00D06378"/>
    <w:rsid w:val="00D06937"/>
    <w:rsid w:val="00D06F86"/>
    <w:rsid w:val="00D070FF"/>
    <w:rsid w:val="00D075A4"/>
    <w:rsid w:val="00D07D94"/>
    <w:rsid w:val="00D10407"/>
    <w:rsid w:val="00D1058E"/>
    <w:rsid w:val="00D109C1"/>
    <w:rsid w:val="00D10AE5"/>
    <w:rsid w:val="00D10CA3"/>
    <w:rsid w:val="00D11433"/>
    <w:rsid w:val="00D11542"/>
    <w:rsid w:val="00D11573"/>
    <w:rsid w:val="00D11EC5"/>
    <w:rsid w:val="00D12059"/>
    <w:rsid w:val="00D122E6"/>
    <w:rsid w:val="00D1239D"/>
    <w:rsid w:val="00D125DE"/>
    <w:rsid w:val="00D12DF5"/>
    <w:rsid w:val="00D13777"/>
    <w:rsid w:val="00D13BB6"/>
    <w:rsid w:val="00D13C2D"/>
    <w:rsid w:val="00D140A1"/>
    <w:rsid w:val="00D1459C"/>
    <w:rsid w:val="00D145DE"/>
    <w:rsid w:val="00D14E96"/>
    <w:rsid w:val="00D15083"/>
    <w:rsid w:val="00D151F0"/>
    <w:rsid w:val="00D156B6"/>
    <w:rsid w:val="00D15F8E"/>
    <w:rsid w:val="00D1690E"/>
    <w:rsid w:val="00D172D8"/>
    <w:rsid w:val="00D173A5"/>
    <w:rsid w:val="00D173FA"/>
    <w:rsid w:val="00D178E9"/>
    <w:rsid w:val="00D17AB7"/>
    <w:rsid w:val="00D17B3F"/>
    <w:rsid w:val="00D17BB9"/>
    <w:rsid w:val="00D17E74"/>
    <w:rsid w:val="00D17F1D"/>
    <w:rsid w:val="00D219D5"/>
    <w:rsid w:val="00D2203E"/>
    <w:rsid w:val="00D2231C"/>
    <w:rsid w:val="00D2254A"/>
    <w:rsid w:val="00D22704"/>
    <w:rsid w:val="00D230FC"/>
    <w:rsid w:val="00D23513"/>
    <w:rsid w:val="00D237C9"/>
    <w:rsid w:val="00D23C31"/>
    <w:rsid w:val="00D242CF"/>
    <w:rsid w:val="00D24573"/>
    <w:rsid w:val="00D245B9"/>
    <w:rsid w:val="00D245E2"/>
    <w:rsid w:val="00D24A53"/>
    <w:rsid w:val="00D24C69"/>
    <w:rsid w:val="00D25047"/>
    <w:rsid w:val="00D251CF"/>
    <w:rsid w:val="00D252B8"/>
    <w:rsid w:val="00D26621"/>
    <w:rsid w:val="00D267D6"/>
    <w:rsid w:val="00D26BEC"/>
    <w:rsid w:val="00D2729A"/>
    <w:rsid w:val="00D27506"/>
    <w:rsid w:val="00D2757B"/>
    <w:rsid w:val="00D27816"/>
    <w:rsid w:val="00D27E6C"/>
    <w:rsid w:val="00D305DF"/>
    <w:rsid w:val="00D306E6"/>
    <w:rsid w:val="00D30F5A"/>
    <w:rsid w:val="00D3198D"/>
    <w:rsid w:val="00D31D82"/>
    <w:rsid w:val="00D31FC6"/>
    <w:rsid w:val="00D323B7"/>
    <w:rsid w:val="00D32EAB"/>
    <w:rsid w:val="00D3357B"/>
    <w:rsid w:val="00D34338"/>
    <w:rsid w:val="00D34688"/>
    <w:rsid w:val="00D353A6"/>
    <w:rsid w:val="00D35601"/>
    <w:rsid w:val="00D35F3B"/>
    <w:rsid w:val="00D36027"/>
    <w:rsid w:val="00D36337"/>
    <w:rsid w:val="00D363AA"/>
    <w:rsid w:val="00D36522"/>
    <w:rsid w:val="00D365FA"/>
    <w:rsid w:val="00D366B7"/>
    <w:rsid w:val="00D367F5"/>
    <w:rsid w:val="00D36C23"/>
    <w:rsid w:val="00D36FB2"/>
    <w:rsid w:val="00D37072"/>
    <w:rsid w:val="00D375C7"/>
    <w:rsid w:val="00D3769E"/>
    <w:rsid w:val="00D37B7E"/>
    <w:rsid w:val="00D40005"/>
    <w:rsid w:val="00D40081"/>
    <w:rsid w:val="00D402AA"/>
    <w:rsid w:val="00D4040E"/>
    <w:rsid w:val="00D40703"/>
    <w:rsid w:val="00D407D8"/>
    <w:rsid w:val="00D40E3B"/>
    <w:rsid w:val="00D40EAF"/>
    <w:rsid w:val="00D41034"/>
    <w:rsid w:val="00D411A8"/>
    <w:rsid w:val="00D412CF"/>
    <w:rsid w:val="00D413DA"/>
    <w:rsid w:val="00D418A3"/>
    <w:rsid w:val="00D41B99"/>
    <w:rsid w:val="00D42249"/>
    <w:rsid w:val="00D4244A"/>
    <w:rsid w:val="00D42487"/>
    <w:rsid w:val="00D430C6"/>
    <w:rsid w:val="00D4341B"/>
    <w:rsid w:val="00D43539"/>
    <w:rsid w:val="00D43FBC"/>
    <w:rsid w:val="00D440EE"/>
    <w:rsid w:val="00D4432C"/>
    <w:rsid w:val="00D44522"/>
    <w:rsid w:val="00D44CC7"/>
    <w:rsid w:val="00D45865"/>
    <w:rsid w:val="00D45867"/>
    <w:rsid w:val="00D458A5"/>
    <w:rsid w:val="00D4595F"/>
    <w:rsid w:val="00D45CE3"/>
    <w:rsid w:val="00D46157"/>
    <w:rsid w:val="00D46214"/>
    <w:rsid w:val="00D4646A"/>
    <w:rsid w:val="00D466A8"/>
    <w:rsid w:val="00D46A18"/>
    <w:rsid w:val="00D46BEF"/>
    <w:rsid w:val="00D47187"/>
    <w:rsid w:val="00D4751A"/>
    <w:rsid w:val="00D477E0"/>
    <w:rsid w:val="00D47805"/>
    <w:rsid w:val="00D47A56"/>
    <w:rsid w:val="00D47DDB"/>
    <w:rsid w:val="00D47FF2"/>
    <w:rsid w:val="00D50011"/>
    <w:rsid w:val="00D500F2"/>
    <w:rsid w:val="00D5017E"/>
    <w:rsid w:val="00D501F5"/>
    <w:rsid w:val="00D50728"/>
    <w:rsid w:val="00D508E4"/>
    <w:rsid w:val="00D50B2C"/>
    <w:rsid w:val="00D50EB3"/>
    <w:rsid w:val="00D51172"/>
    <w:rsid w:val="00D519D2"/>
    <w:rsid w:val="00D520B8"/>
    <w:rsid w:val="00D52284"/>
    <w:rsid w:val="00D528B5"/>
    <w:rsid w:val="00D52C6F"/>
    <w:rsid w:val="00D5322C"/>
    <w:rsid w:val="00D533A1"/>
    <w:rsid w:val="00D533BF"/>
    <w:rsid w:val="00D53841"/>
    <w:rsid w:val="00D53C05"/>
    <w:rsid w:val="00D544C2"/>
    <w:rsid w:val="00D546B8"/>
    <w:rsid w:val="00D55294"/>
    <w:rsid w:val="00D55C10"/>
    <w:rsid w:val="00D56273"/>
    <w:rsid w:val="00D567E0"/>
    <w:rsid w:val="00D56ACF"/>
    <w:rsid w:val="00D56BDE"/>
    <w:rsid w:val="00D57152"/>
    <w:rsid w:val="00D571A7"/>
    <w:rsid w:val="00D57692"/>
    <w:rsid w:val="00D576D7"/>
    <w:rsid w:val="00D57AF1"/>
    <w:rsid w:val="00D57CBB"/>
    <w:rsid w:val="00D57DBE"/>
    <w:rsid w:val="00D60236"/>
    <w:rsid w:val="00D6063B"/>
    <w:rsid w:val="00D60B43"/>
    <w:rsid w:val="00D60C45"/>
    <w:rsid w:val="00D60CC1"/>
    <w:rsid w:val="00D613F0"/>
    <w:rsid w:val="00D614C7"/>
    <w:rsid w:val="00D61A0C"/>
    <w:rsid w:val="00D61E9C"/>
    <w:rsid w:val="00D61F3D"/>
    <w:rsid w:val="00D61F93"/>
    <w:rsid w:val="00D623A8"/>
    <w:rsid w:val="00D62472"/>
    <w:rsid w:val="00D62545"/>
    <w:rsid w:val="00D62EEF"/>
    <w:rsid w:val="00D6312F"/>
    <w:rsid w:val="00D633BB"/>
    <w:rsid w:val="00D63A3E"/>
    <w:rsid w:val="00D63B7F"/>
    <w:rsid w:val="00D63D36"/>
    <w:rsid w:val="00D63D69"/>
    <w:rsid w:val="00D640F2"/>
    <w:rsid w:val="00D64236"/>
    <w:rsid w:val="00D64240"/>
    <w:rsid w:val="00D642AD"/>
    <w:rsid w:val="00D64A40"/>
    <w:rsid w:val="00D64BD4"/>
    <w:rsid w:val="00D64E02"/>
    <w:rsid w:val="00D654E8"/>
    <w:rsid w:val="00D654FB"/>
    <w:rsid w:val="00D65619"/>
    <w:rsid w:val="00D66229"/>
    <w:rsid w:val="00D667D9"/>
    <w:rsid w:val="00D66C42"/>
    <w:rsid w:val="00D67079"/>
    <w:rsid w:val="00D670A2"/>
    <w:rsid w:val="00D6715C"/>
    <w:rsid w:val="00D671FA"/>
    <w:rsid w:val="00D67216"/>
    <w:rsid w:val="00D67780"/>
    <w:rsid w:val="00D701C2"/>
    <w:rsid w:val="00D7031B"/>
    <w:rsid w:val="00D7055C"/>
    <w:rsid w:val="00D709B0"/>
    <w:rsid w:val="00D70DED"/>
    <w:rsid w:val="00D70FDE"/>
    <w:rsid w:val="00D71468"/>
    <w:rsid w:val="00D71604"/>
    <w:rsid w:val="00D7160C"/>
    <w:rsid w:val="00D71741"/>
    <w:rsid w:val="00D71A0A"/>
    <w:rsid w:val="00D71A70"/>
    <w:rsid w:val="00D71C1F"/>
    <w:rsid w:val="00D71C8F"/>
    <w:rsid w:val="00D71CE6"/>
    <w:rsid w:val="00D71F03"/>
    <w:rsid w:val="00D72304"/>
    <w:rsid w:val="00D7249D"/>
    <w:rsid w:val="00D727B3"/>
    <w:rsid w:val="00D73210"/>
    <w:rsid w:val="00D73AD4"/>
    <w:rsid w:val="00D73C8C"/>
    <w:rsid w:val="00D74108"/>
    <w:rsid w:val="00D744AF"/>
    <w:rsid w:val="00D74862"/>
    <w:rsid w:val="00D74FD2"/>
    <w:rsid w:val="00D75172"/>
    <w:rsid w:val="00D7538F"/>
    <w:rsid w:val="00D7555D"/>
    <w:rsid w:val="00D756D2"/>
    <w:rsid w:val="00D75879"/>
    <w:rsid w:val="00D75908"/>
    <w:rsid w:val="00D75BF2"/>
    <w:rsid w:val="00D75C42"/>
    <w:rsid w:val="00D75CD0"/>
    <w:rsid w:val="00D75ECA"/>
    <w:rsid w:val="00D760B5"/>
    <w:rsid w:val="00D764EB"/>
    <w:rsid w:val="00D766A9"/>
    <w:rsid w:val="00D766D1"/>
    <w:rsid w:val="00D7731C"/>
    <w:rsid w:val="00D7733A"/>
    <w:rsid w:val="00D775CD"/>
    <w:rsid w:val="00D778F2"/>
    <w:rsid w:val="00D8005C"/>
    <w:rsid w:val="00D80539"/>
    <w:rsid w:val="00D808EE"/>
    <w:rsid w:val="00D80A72"/>
    <w:rsid w:val="00D80AF5"/>
    <w:rsid w:val="00D81003"/>
    <w:rsid w:val="00D81129"/>
    <w:rsid w:val="00D818D0"/>
    <w:rsid w:val="00D81A7D"/>
    <w:rsid w:val="00D8202C"/>
    <w:rsid w:val="00D82223"/>
    <w:rsid w:val="00D822E5"/>
    <w:rsid w:val="00D82F39"/>
    <w:rsid w:val="00D8300D"/>
    <w:rsid w:val="00D8378B"/>
    <w:rsid w:val="00D840BF"/>
    <w:rsid w:val="00D841CB"/>
    <w:rsid w:val="00D846D9"/>
    <w:rsid w:val="00D8480B"/>
    <w:rsid w:val="00D84B62"/>
    <w:rsid w:val="00D84CF1"/>
    <w:rsid w:val="00D84F1E"/>
    <w:rsid w:val="00D8538C"/>
    <w:rsid w:val="00D859E0"/>
    <w:rsid w:val="00D85CF7"/>
    <w:rsid w:val="00D85D18"/>
    <w:rsid w:val="00D863F7"/>
    <w:rsid w:val="00D87225"/>
    <w:rsid w:val="00D87307"/>
    <w:rsid w:val="00D87322"/>
    <w:rsid w:val="00D8792C"/>
    <w:rsid w:val="00D87974"/>
    <w:rsid w:val="00D87B4D"/>
    <w:rsid w:val="00D87C8F"/>
    <w:rsid w:val="00D87F7F"/>
    <w:rsid w:val="00D90235"/>
    <w:rsid w:val="00D90662"/>
    <w:rsid w:val="00D90712"/>
    <w:rsid w:val="00D9076C"/>
    <w:rsid w:val="00D90F3C"/>
    <w:rsid w:val="00D91043"/>
    <w:rsid w:val="00D911ED"/>
    <w:rsid w:val="00D91651"/>
    <w:rsid w:val="00D91686"/>
    <w:rsid w:val="00D9181C"/>
    <w:rsid w:val="00D91841"/>
    <w:rsid w:val="00D918BC"/>
    <w:rsid w:val="00D9191D"/>
    <w:rsid w:val="00D91A49"/>
    <w:rsid w:val="00D91D95"/>
    <w:rsid w:val="00D91E5A"/>
    <w:rsid w:val="00D921A2"/>
    <w:rsid w:val="00D92400"/>
    <w:rsid w:val="00D92454"/>
    <w:rsid w:val="00D9270B"/>
    <w:rsid w:val="00D927AB"/>
    <w:rsid w:val="00D93CB6"/>
    <w:rsid w:val="00D94506"/>
    <w:rsid w:val="00D947E8"/>
    <w:rsid w:val="00D94AA3"/>
    <w:rsid w:val="00D94C19"/>
    <w:rsid w:val="00D94DB2"/>
    <w:rsid w:val="00D94FA6"/>
    <w:rsid w:val="00D950AF"/>
    <w:rsid w:val="00D95D11"/>
    <w:rsid w:val="00D95DD1"/>
    <w:rsid w:val="00D96192"/>
    <w:rsid w:val="00D96A20"/>
    <w:rsid w:val="00D96D76"/>
    <w:rsid w:val="00D97020"/>
    <w:rsid w:val="00D9744D"/>
    <w:rsid w:val="00D97FAC"/>
    <w:rsid w:val="00DA10C4"/>
    <w:rsid w:val="00DA123A"/>
    <w:rsid w:val="00DA1442"/>
    <w:rsid w:val="00DA1662"/>
    <w:rsid w:val="00DA1F5A"/>
    <w:rsid w:val="00DA2813"/>
    <w:rsid w:val="00DA2C32"/>
    <w:rsid w:val="00DA2DF2"/>
    <w:rsid w:val="00DA31ED"/>
    <w:rsid w:val="00DA36B3"/>
    <w:rsid w:val="00DA4054"/>
    <w:rsid w:val="00DA467B"/>
    <w:rsid w:val="00DA4DDB"/>
    <w:rsid w:val="00DA4E5A"/>
    <w:rsid w:val="00DA53B9"/>
    <w:rsid w:val="00DA595B"/>
    <w:rsid w:val="00DA64C9"/>
    <w:rsid w:val="00DA66C7"/>
    <w:rsid w:val="00DA6844"/>
    <w:rsid w:val="00DA6B67"/>
    <w:rsid w:val="00DA7371"/>
    <w:rsid w:val="00DA74CE"/>
    <w:rsid w:val="00DA7705"/>
    <w:rsid w:val="00DA7878"/>
    <w:rsid w:val="00DA7ABE"/>
    <w:rsid w:val="00DA7D78"/>
    <w:rsid w:val="00DA7F35"/>
    <w:rsid w:val="00DB005E"/>
    <w:rsid w:val="00DB0592"/>
    <w:rsid w:val="00DB06F7"/>
    <w:rsid w:val="00DB0B44"/>
    <w:rsid w:val="00DB0C89"/>
    <w:rsid w:val="00DB17F3"/>
    <w:rsid w:val="00DB1D21"/>
    <w:rsid w:val="00DB1FA4"/>
    <w:rsid w:val="00DB2A05"/>
    <w:rsid w:val="00DB2C57"/>
    <w:rsid w:val="00DB2DF8"/>
    <w:rsid w:val="00DB3023"/>
    <w:rsid w:val="00DB3562"/>
    <w:rsid w:val="00DB3613"/>
    <w:rsid w:val="00DB3DB1"/>
    <w:rsid w:val="00DB3E6A"/>
    <w:rsid w:val="00DB3FDB"/>
    <w:rsid w:val="00DB4274"/>
    <w:rsid w:val="00DB4D86"/>
    <w:rsid w:val="00DB4D89"/>
    <w:rsid w:val="00DB514B"/>
    <w:rsid w:val="00DB5712"/>
    <w:rsid w:val="00DB5C0E"/>
    <w:rsid w:val="00DB5E0E"/>
    <w:rsid w:val="00DB6379"/>
    <w:rsid w:val="00DB64AA"/>
    <w:rsid w:val="00DB657F"/>
    <w:rsid w:val="00DB65C2"/>
    <w:rsid w:val="00DB66CE"/>
    <w:rsid w:val="00DB6952"/>
    <w:rsid w:val="00DB70EE"/>
    <w:rsid w:val="00DB7503"/>
    <w:rsid w:val="00DB75A4"/>
    <w:rsid w:val="00DB7827"/>
    <w:rsid w:val="00DB7890"/>
    <w:rsid w:val="00DB7BF9"/>
    <w:rsid w:val="00DB7F54"/>
    <w:rsid w:val="00DC00C7"/>
    <w:rsid w:val="00DC023B"/>
    <w:rsid w:val="00DC04B9"/>
    <w:rsid w:val="00DC0554"/>
    <w:rsid w:val="00DC07EC"/>
    <w:rsid w:val="00DC07F1"/>
    <w:rsid w:val="00DC0AEF"/>
    <w:rsid w:val="00DC128B"/>
    <w:rsid w:val="00DC1828"/>
    <w:rsid w:val="00DC1A6F"/>
    <w:rsid w:val="00DC2DC5"/>
    <w:rsid w:val="00DC2E98"/>
    <w:rsid w:val="00DC30EA"/>
    <w:rsid w:val="00DC33EC"/>
    <w:rsid w:val="00DC3764"/>
    <w:rsid w:val="00DC3F9B"/>
    <w:rsid w:val="00DC4D22"/>
    <w:rsid w:val="00DC560B"/>
    <w:rsid w:val="00DC5B2D"/>
    <w:rsid w:val="00DC6491"/>
    <w:rsid w:val="00DC6C95"/>
    <w:rsid w:val="00DC6E16"/>
    <w:rsid w:val="00DC6ECC"/>
    <w:rsid w:val="00DC7045"/>
    <w:rsid w:val="00DC70CD"/>
    <w:rsid w:val="00DC7199"/>
    <w:rsid w:val="00DC7601"/>
    <w:rsid w:val="00DC7E6F"/>
    <w:rsid w:val="00DD00EA"/>
    <w:rsid w:val="00DD0208"/>
    <w:rsid w:val="00DD1524"/>
    <w:rsid w:val="00DD1635"/>
    <w:rsid w:val="00DD1728"/>
    <w:rsid w:val="00DD1BD3"/>
    <w:rsid w:val="00DD1EFE"/>
    <w:rsid w:val="00DD20DE"/>
    <w:rsid w:val="00DD2E4E"/>
    <w:rsid w:val="00DD35C4"/>
    <w:rsid w:val="00DD36AA"/>
    <w:rsid w:val="00DD389D"/>
    <w:rsid w:val="00DD3B6A"/>
    <w:rsid w:val="00DD405B"/>
    <w:rsid w:val="00DD40F9"/>
    <w:rsid w:val="00DD45BB"/>
    <w:rsid w:val="00DD4974"/>
    <w:rsid w:val="00DD4991"/>
    <w:rsid w:val="00DD553E"/>
    <w:rsid w:val="00DD564B"/>
    <w:rsid w:val="00DD638A"/>
    <w:rsid w:val="00DD64A2"/>
    <w:rsid w:val="00DD64CB"/>
    <w:rsid w:val="00DD6531"/>
    <w:rsid w:val="00DD671F"/>
    <w:rsid w:val="00DD6801"/>
    <w:rsid w:val="00DD6925"/>
    <w:rsid w:val="00DD6A21"/>
    <w:rsid w:val="00DD6E0E"/>
    <w:rsid w:val="00DD6E6C"/>
    <w:rsid w:val="00DD6F13"/>
    <w:rsid w:val="00DD7BF9"/>
    <w:rsid w:val="00DD7C13"/>
    <w:rsid w:val="00DD7C7A"/>
    <w:rsid w:val="00DE037E"/>
    <w:rsid w:val="00DE0759"/>
    <w:rsid w:val="00DE0DFB"/>
    <w:rsid w:val="00DE1550"/>
    <w:rsid w:val="00DE176E"/>
    <w:rsid w:val="00DE1EC9"/>
    <w:rsid w:val="00DE23F2"/>
    <w:rsid w:val="00DE24B0"/>
    <w:rsid w:val="00DE27C7"/>
    <w:rsid w:val="00DE28B1"/>
    <w:rsid w:val="00DE2D38"/>
    <w:rsid w:val="00DE38AA"/>
    <w:rsid w:val="00DE4CB8"/>
    <w:rsid w:val="00DE4E9C"/>
    <w:rsid w:val="00DE5A1E"/>
    <w:rsid w:val="00DE5EEE"/>
    <w:rsid w:val="00DE6721"/>
    <w:rsid w:val="00DE6912"/>
    <w:rsid w:val="00DE6F95"/>
    <w:rsid w:val="00DE7140"/>
    <w:rsid w:val="00DE7355"/>
    <w:rsid w:val="00DE77E7"/>
    <w:rsid w:val="00DE7E8B"/>
    <w:rsid w:val="00DF0365"/>
    <w:rsid w:val="00DF04A6"/>
    <w:rsid w:val="00DF0745"/>
    <w:rsid w:val="00DF0790"/>
    <w:rsid w:val="00DF0DF8"/>
    <w:rsid w:val="00DF1011"/>
    <w:rsid w:val="00DF15B6"/>
    <w:rsid w:val="00DF15EC"/>
    <w:rsid w:val="00DF1806"/>
    <w:rsid w:val="00DF1C2D"/>
    <w:rsid w:val="00DF1F17"/>
    <w:rsid w:val="00DF1F85"/>
    <w:rsid w:val="00DF20CE"/>
    <w:rsid w:val="00DF20EA"/>
    <w:rsid w:val="00DF2425"/>
    <w:rsid w:val="00DF2974"/>
    <w:rsid w:val="00DF297F"/>
    <w:rsid w:val="00DF2B4F"/>
    <w:rsid w:val="00DF3422"/>
    <w:rsid w:val="00DF3E3B"/>
    <w:rsid w:val="00DF45FF"/>
    <w:rsid w:val="00DF4AC7"/>
    <w:rsid w:val="00DF4CEB"/>
    <w:rsid w:val="00DF52F8"/>
    <w:rsid w:val="00DF6191"/>
    <w:rsid w:val="00DF73CF"/>
    <w:rsid w:val="00DF79A3"/>
    <w:rsid w:val="00DF7C8C"/>
    <w:rsid w:val="00E00282"/>
    <w:rsid w:val="00E0043E"/>
    <w:rsid w:val="00E00576"/>
    <w:rsid w:val="00E00A75"/>
    <w:rsid w:val="00E00C22"/>
    <w:rsid w:val="00E0156F"/>
    <w:rsid w:val="00E019C8"/>
    <w:rsid w:val="00E01C97"/>
    <w:rsid w:val="00E01CF0"/>
    <w:rsid w:val="00E0263A"/>
    <w:rsid w:val="00E027C2"/>
    <w:rsid w:val="00E02F4E"/>
    <w:rsid w:val="00E031F0"/>
    <w:rsid w:val="00E0320F"/>
    <w:rsid w:val="00E037A1"/>
    <w:rsid w:val="00E04064"/>
    <w:rsid w:val="00E042F2"/>
    <w:rsid w:val="00E045EF"/>
    <w:rsid w:val="00E04E2B"/>
    <w:rsid w:val="00E0514D"/>
    <w:rsid w:val="00E052C4"/>
    <w:rsid w:val="00E05CBA"/>
    <w:rsid w:val="00E05D37"/>
    <w:rsid w:val="00E06166"/>
    <w:rsid w:val="00E0621A"/>
    <w:rsid w:val="00E06561"/>
    <w:rsid w:val="00E06583"/>
    <w:rsid w:val="00E065DC"/>
    <w:rsid w:val="00E06C17"/>
    <w:rsid w:val="00E06FDB"/>
    <w:rsid w:val="00E07228"/>
    <w:rsid w:val="00E0766D"/>
    <w:rsid w:val="00E07847"/>
    <w:rsid w:val="00E10090"/>
    <w:rsid w:val="00E102DD"/>
    <w:rsid w:val="00E10331"/>
    <w:rsid w:val="00E10935"/>
    <w:rsid w:val="00E10B43"/>
    <w:rsid w:val="00E10C1D"/>
    <w:rsid w:val="00E10D76"/>
    <w:rsid w:val="00E11A6C"/>
    <w:rsid w:val="00E11AE0"/>
    <w:rsid w:val="00E11E8D"/>
    <w:rsid w:val="00E12585"/>
    <w:rsid w:val="00E12613"/>
    <w:rsid w:val="00E126E5"/>
    <w:rsid w:val="00E13153"/>
    <w:rsid w:val="00E13C3D"/>
    <w:rsid w:val="00E13CC6"/>
    <w:rsid w:val="00E13E3F"/>
    <w:rsid w:val="00E1421F"/>
    <w:rsid w:val="00E1436D"/>
    <w:rsid w:val="00E14415"/>
    <w:rsid w:val="00E1449F"/>
    <w:rsid w:val="00E14752"/>
    <w:rsid w:val="00E14A2C"/>
    <w:rsid w:val="00E14C3C"/>
    <w:rsid w:val="00E15157"/>
    <w:rsid w:val="00E15484"/>
    <w:rsid w:val="00E15680"/>
    <w:rsid w:val="00E15BCB"/>
    <w:rsid w:val="00E160F7"/>
    <w:rsid w:val="00E16155"/>
    <w:rsid w:val="00E1644C"/>
    <w:rsid w:val="00E16730"/>
    <w:rsid w:val="00E16852"/>
    <w:rsid w:val="00E168FA"/>
    <w:rsid w:val="00E16DB7"/>
    <w:rsid w:val="00E177F1"/>
    <w:rsid w:val="00E17D33"/>
    <w:rsid w:val="00E202FC"/>
    <w:rsid w:val="00E203ED"/>
    <w:rsid w:val="00E20CD7"/>
    <w:rsid w:val="00E20D09"/>
    <w:rsid w:val="00E2106E"/>
    <w:rsid w:val="00E21495"/>
    <w:rsid w:val="00E219C6"/>
    <w:rsid w:val="00E21AD7"/>
    <w:rsid w:val="00E22183"/>
    <w:rsid w:val="00E22D0F"/>
    <w:rsid w:val="00E23482"/>
    <w:rsid w:val="00E23557"/>
    <w:rsid w:val="00E23D2E"/>
    <w:rsid w:val="00E23D4C"/>
    <w:rsid w:val="00E23E7D"/>
    <w:rsid w:val="00E24B81"/>
    <w:rsid w:val="00E24C2A"/>
    <w:rsid w:val="00E24F41"/>
    <w:rsid w:val="00E24FFE"/>
    <w:rsid w:val="00E251C3"/>
    <w:rsid w:val="00E252E5"/>
    <w:rsid w:val="00E25EB1"/>
    <w:rsid w:val="00E2604C"/>
    <w:rsid w:val="00E260B0"/>
    <w:rsid w:val="00E26382"/>
    <w:rsid w:val="00E264C0"/>
    <w:rsid w:val="00E264F9"/>
    <w:rsid w:val="00E267AA"/>
    <w:rsid w:val="00E26870"/>
    <w:rsid w:val="00E273E5"/>
    <w:rsid w:val="00E278E8"/>
    <w:rsid w:val="00E27FB8"/>
    <w:rsid w:val="00E30064"/>
    <w:rsid w:val="00E301E4"/>
    <w:rsid w:val="00E303BF"/>
    <w:rsid w:val="00E3078A"/>
    <w:rsid w:val="00E31099"/>
    <w:rsid w:val="00E31801"/>
    <w:rsid w:val="00E319E0"/>
    <w:rsid w:val="00E31DD9"/>
    <w:rsid w:val="00E32209"/>
    <w:rsid w:val="00E32593"/>
    <w:rsid w:val="00E3275C"/>
    <w:rsid w:val="00E327B1"/>
    <w:rsid w:val="00E327B9"/>
    <w:rsid w:val="00E32A5A"/>
    <w:rsid w:val="00E32A5E"/>
    <w:rsid w:val="00E32E66"/>
    <w:rsid w:val="00E3307A"/>
    <w:rsid w:val="00E331E4"/>
    <w:rsid w:val="00E3328F"/>
    <w:rsid w:val="00E336AB"/>
    <w:rsid w:val="00E33880"/>
    <w:rsid w:val="00E33C15"/>
    <w:rsid w:val="00E3413D"/>
    <w:rsid w:val="00E341E2"/>
    <w:rsid w:val="00E34633"/>
    <w:rsid w:val="00E3470A"/>
    <w:rsid w:val="00E34977"/>
    <w:rsid w:val="00E34C64"/>
    <w:rsid w:val="00E34CED"/>
    <w:rsid w:val="00E35CBE"/>
    <w:rsid w:val="00E35DC5"/>
    <w:rsid w:val="00E35F33"/>
    <w:rsid w:val="00E36239"/>
    <w:rsid w:val="00E36C10"/>
    <w:rsid w:val="00E36EB8"/>
    <w:rsid w:val="00E374E2"/>
    <w:rsid w:val="00E37695"/>
    <w:rsid w:val="00E37830"/>
    <w:rsid w:val="00E37F55"/>
    <w:rsid w:val="00E40453"/>
    <w:rsid w:val="00E4059C"/>
    <w:rsid w:val="00E405F0"/>
    <w:rsid w:val="00E40680"/>
    <w:rsid w:val="00E40C15"/>
    <w:rsid w:val="00E40C1A"/>
    <w:rsid w:val="00E40DE8"/>
    <w:rsid w:val="00E41014"/>
    <w:rsid w:val="00E412B8"/>
    <w:rsid w:val="00E41601"/>
    <w:rsid w:val="00E421F2"/>
    <w:rsid w:val="00E42555"/>
    <w:rsid w:val="00E428CB"/>
    <w:rsid w:val="00E438C5"/>
    <w:rsid w:val="00E43C0A"/>
    <w:rsid w:val="00E4423D"/>
    <w:rsid w:val="00E44378"/>
    <w:rsid w:val="00E449C3"/>
    <w:rsid w:val="00E44EFC"/>
    <w:rsid w:val="00E45020"/>
    <w:rsid w:val="00E450D8"/>
    <w:rsid w:val="00E4513D"/>
    <w:rsid w:val="00E4528A"/>
    <w:rsid w:val="00E45835"/>
    <w:rsid w:val="00E4591D"/>
    <w:rsid w:val="00E45C08"/>
    <w:rsid w:val="00E45E72"/>
    <w:rsid w:val="00E464DF"/>
    <w:rsid w:val="00E46502"/>
    <w:rsid w:val="00E46F6A"/>
    <w:rsid w:val="00E471E6"/>
    <w:rsid w:val="00E473AE"/>
    <w:rsid w:val="00E476A3"/>
    <w:rsid w:val="00E476E0"/>
    <w:rsid w:val="00E47DDE"/>
    <w:rsid w:val="00E50124"/>
    <w:rsid w:val="00E501A0"/>
    <w:rsid w:val="00E5134D"/>
    <w:rsid w:val="00E519D8"/>
    <w:rsid w:val="00E51DD3"/>
    <w:rsid w:val="00E5209E"/>
    <w:rsid w:val="00E5241D"/>
    <w:rsid w:val="00E5271E"/>
    <w:rsid w:val="00E5276F"/>
    <w:rsid w:val="00E528F3"/>
    <w:rsid w:val="00E52BC4"/>
    <w:rsid w:val="00E53315"/>
    <w:rsid w:val="00E5334A"/>
    <w:rsid w:val="00E53532"/>
    <w:rsid w:val="00E536C6"/>
    <w:rsid w:val="00E53B8E"/>
    <w:rsid w:val="00E53BBA"/>
    <w:rsid w:val="00E542AA"/>
    <w:rsid w:val="00E543EE"/>
    <w:rsid w:val="00E548D1"/>
    <w:rsid w:val="00E549E5"/>
    <w:rsid w:val="00E54D9C"/>
    <w:rsid w:val="00E54DFC"/>
    <w:rsid w:val="00E54DFF"/>
    <w:rsid w:val="00E54E59"/>
    <w:rsid w:val="00E54EA3"/>
    <w:rsid w:val="00E553BA"/>
    <w:rsid w:val="00E554DE"/>
    <w:rsid w:val="00E55626"/>
    <w:rsid w:val="00E55B02"/>
    <w:rsid w:val="00E55EA3"/>
    <w:rsid w:val="00E55FAC"/>
    <w:rsid w:val="00E56130"/>
    <w:rsid w:val="00E563F0"/>
    <w:rsid w:val="00E56574"/>
    <w:rsid w:val="00E565B4"/>
    <w:rsid w:val="00E56C0F"/>
    <w:rsid w:val="00E56D19"/>
    <w:rsid w:val="00E57012"/>
    <w:rsid w:val="00E5737A"/>
    <w:rsid w:val="00E57481"/>
    <w:rsid w:val="00E57704"/>
    <w:rsid w:val="00E5776E"/>
    <w:rsid w:val="00E57954"/>
    <w:rsid w:val="00E57AA2"/>
    <w:rsid w:val="00E57C07"/>
    <w:rsid w:val="00E57D82"/>
    <w:rsid w:val="00E57EE7"/>
    <w:rsid w:val="00E6032B"/>
    <w:rsid w:val="00E604CA"/>
    <w:rsid w:val="00E60D04"/>
    <w:rsid w:val="00E612CC"/>
    <w:rsid w:val="00E617FF"/>
    <w:rsid w:val="00E62268"/>
    <w:rsid w:val="00E6294C"/>
    <w:rsid w:val="00E62B0B"/>
    <w:rsid w:val="00E62C32"/>
    <w:rsid w:val="00E63504"/>
    <w:rsid w:val="00E635B9"/>
    <w:rsid w:val="00E638BA"/>
    <w:rsid w:val="00E6426E"/>
    <w:rsid w:val="00E64509"/>
    <w:rsid w:val="00E646E7"/>
    <w:rsid w:val="00E649FC"/>
    <w:rsid w:val="00E64AAF"/>
    <w:rsid w:val="00E64B6D"/>
    <w:rsid w:val="00E64EDF"/>
    <w:rsid w:val="00E65903"/>
    <w:rsid w:val="00E6592E"/>
    <w:rsid w:val="00E65958"/>
    <w:rsid w:val="00E65DDD"/>
    <w:rsid w:val="00E65EFB"/>
    <w:rsid w:val="00E66536"/>
    <w:rsid w:val="00E6668F"/>
    <w:rsid w:val="00E666DD"/>
    <w:rsid w:val="00E66856"/>
    <w:rsid w:val="00E66B4A"/>
    <w:rsid w:val="00E670C5"/>
    <w:rsid w:val="00E671F0"/>
    <w:rsid w:val="00E67B43"/>
    <w:rsid w:val="00E70402"/>
    <w:rsid w:val="00E707EA"/>
    <w:rsid w:val="00E70F07"/>
    <w:rsid w:val="00E7123B"/>
    <w:rsid w:val="00E712EA"/>
    <w:rsid w:val="00E7142E"/>
    <w:rsid w:val="00E71813"/>
    <w:rsid w:val="00E71CF6"/>
    <w:rsid w:val="00E71F12"/>
    <w:rsid w:val="00E722A5"/>
    <w:rsid w:val="00E72478"/>
    <w:rsid w:val="00E726BE"/>
    <w:rsid w:val="00E7292C"/>
    <w:rsid w:val="00E72DBA"/>
    <w:rsid w:val="00E73482"/>
    <w:rsid w:val="00E73537"/>
    <w:rsid w:val="00E739A6"/>
    <w:rsid w:val="00E73AFD"/>
    <w:rsid w:val="00E740DA"/>
    <w:rsid w:val="00E7455D"/>
    <w:rsid w:val="00E745C0"/>
    <w:rsid w:val="00E747EA"/>
    <w:rsid w:val="00E747EE"/>
    <w:rsid w:val="00E74802"/>
    <w:rsid w:val="00E74B06"/>
    <w:rsid w:val="00E74D9F"/>
    <w:rsid w:val="00E74FA2"/>
    <w:rsid w:val="00E74FCB"/>
    <w:rsid w:val="00E75AAC"/>
    <w:rsid w:val="00E75D1F"/>
    <w:rsid w:val="00E7605B"/>
    <w:rsid w:val="00E76345"/>
    <w:rsid w:val="00E76625"/>
    <w:rsid w:val="00E76C41"/>
    <w:rsid w:val="00E76F7A"/>
    <w:rsid w:val="00E775FB"/>
    <w:rsid w:val="00E77687"/>
    <w:rsid w:val="00E776F4"/>
    <w:rsid w:val="00E77DAA"/>
    <w:rsid w:val="00E80094"/>
    <w:rsid w:val="00E804A3"/>
    <w:rsid w:val="00E80681"/>
    <w:rsid w:val="00E8086C"/>
    <w:rsid w:val="00E80B98"/>
    <w:rsid w:val="00E813A8"/>
    <w:rsid w:val="00E813F4"/>
    <w:rsid w:val="00E81822"/>
    <w:rsid w:val="00E819A8"/>
    <w:rsid w:val="00E819BE"/>
    <w:rsid w:val="00E81A7F"/>
    <w:rsid w:val="00E826D1"/>
    <w:rsid w:val="00E82815"/>
    <w:rsid w:val="00E8286D"/>
    <w:rsid w:val="00E828CB"/>
    <w:rsid w:val="00E828D8"/>
    <w:rsid w:val="00E83A5E"/>
    <w:rsid w:val="00E83AFD"/>
    <w:rsid w:val="00E844C3"/>
    <w:rsid w:val="00E845F8"/>
    <w:rsid w:val="00E846DB"/>
    <w:rsid w:val="00E85157"/>
    <w:rsid w:val="00E8521F"/>
    <w:rsid w:val="00E863AA"/>
    <w:rsid w:val="00E86555"/>
    <w:rsid w:val="00E86608"/>
    <w:rsid w:val="00E8695C"/>
    <w:rsid w:val="00E86FEA"/>
    <w:rsid w:val="00E87559"/>
    <w:rsid w:val="00E87A01"/>
    <w:rsid w:val="00E87DDD"/>
    <w:rsid w:val="00E9006C"/>
    <w:rsid w:val="00E9023B"/>
    <w:rsid w:val="00E9047A"/>
    <w:rsid w:val="00E90609"/>
    <w:rsid w:val="00E90A58"/>
    <w:rsid w:val="00E90B5E"/>
    <w:rsid w:val="00E90B82"/>
    <w:rsid w:val="00E90C89"/>
    <w:rsid w:val="00E913B3"/>
    <w:rsid w:val="00E918B7"/>
    <w:rsid w:val="00E92565"/>
    <w:rsid w:val="00E925EA"/>
    <w:rsid w:val="00E9260C"/>
    <w:rsid w:val="00E9266C"/>
    <w:rsid w:val="00E93001"/>
    <w:rsid w:val="00E932D1"/>
    <w:rsid w:val="00E93BEB"/>
    <w:rsid w:val="00E93C7E"/>
    <w:rsid w:val="00E93EB9"/>
    <w:rsid w:val="00E94084"/>
    <w:rsid w:val="00E94113"/>
    <w:rsid w:val="00E94BA7"/>
    <w:rsid w:val="00E94DAA"/>
    <w:rsid w:val="00E9526E"/>
    <w:rsid w:val="00E96468"/>
    <w:rsid w:val="00E96AEB"/>
    <w:rsid w:val="00E96F68"/>
    <w:rsid w:val="00E970D7"/>
    <w:rsid w:val="00E972EE"/>
    <w:rsid w:val="00E97779"/>
    <w:rsid w:val="00E978CC"/>
    <w:rsid w:val="00E97A9E"/>
    <w:rsid w:val="00E97AD7"/>
    <w:rsid w:val="00E97B84"/>
    <w:rsid w:val="00E97F38"/>
    <w:rsid w:val="00EA0289"/>
    <w:rsid w:val="00EA08EC"/>
    <w:rsid w:val="00EA0FCE"/>
    <w:rsid w:val="00EA18A8"/>
    <w:rsid w:val="00EA1FE5"/>
    <w:rsid w:val="00EA2142"/>
    <w:rsid w:val="00EA2ADD"/>
    <w:rsid w:val="00EA2D29"/>
    <w:rsid w:val="00EA3749"/>
    <w:rsid w:val="00EA3AB1"/>
    <w:rsid w:val="00EA3B00"/>
    <w:rsid w:val="00EA3CF5"/>
    <w:rsid w:val="00EA3D21"/>
    <w:rsid w:val="00EA48C9"/>
    <w:rsid w:val="00EA4BB6"/>
    <w:rsid w:val="00EA538B"/>
    <w:rsid w:val="00EA59B0"/>
    <w:rsid w:val="00EA6094"/>
    <w:rsid w:val="00EA6224"/>
    <w:rsid w:val="00EA69A5"/>
    <w:rsid w:val="00EA6D93"/>
    <w:rsid w:val="00EA70F7"/>
    <w:rsid w:val="00EA7446"/>
    <w:rsid w:val="00EA7509"/>
    <w:rsid w:val="00EB004D"/>
    <w:rsid w:val="00EB0146"/>
    <w:rsid w:val="00EB02C1"/>
    <w:rsid w:val="00EB0322"/>
    <w:rsid w:val="00EB05F5"/>
    <w:rsid w:val="00EB0ACA"/>
    <w:rsid w:val="00EB126D"/>
    <w:rsid w:val="00EB153B"/>
    <w:rsid w:val="00EB159C"/>
    <w:rsid w:val="00EB17F3"/>
    <w:rsid w:val="00EB1BE8"/>
    <w:rsid w:val="00EB292B"/>
    <w:rsid w:val="00EB2D5C"/>
    <w:rsid w:val="00EB2EF7"/>
    <w:rsid w:val="00EB3802"/>
    <w:rsid w:val="00EB3EAF"/>
    <w:rsid w:val="00EB46FA"/>
    <w:rsid w:val="00EB48F6"/>
    <w:rsid w:val="00EB4BEB"/>
    <w:rsid w:val="00EB4D75"/>
    <w:rsid w:val="00EB5287"/>
    <w:rsid w:val="00EB5B30"/>
    <w:rsid w:val="00EB6405"/>
    <w:rsid w:val="00EB6587"/>
    <w:rsid w:val="00EB66AC"/>
    <w:rsid w:val="00EB69B4"/>
    <w:rsid w:val="00EB6A0D"/>
    <w:rsid w:val="00EB704A"/>
    <w:rsid w:val="00EB7059"/>
    <w:rsid w:val="00EB75D2"/>
    <w:rsid w:val="00EB7932"/>
    <w:rsid w:val="00EB7DD0"/>
    <w:rsid w:val="00EB7E38"/>
    <w:rsid w:val="00EB7F02"/>
    <w:rsid w:val="00EB7F10"/>
    <w:rsid w:val="00EC0191"/>
    <w:rsid w:val="00EC0214"/>
    <w:rsid w:val="00EC05BA"/>
    <w:rsid w:val="00EC0B35"/>
    <w:rsid w:val="00EC0BAA"/>
    <w:rsid w:val="00EC0D64"/>
    <w:rsid w:val="00EC104C"/>
    <w:rsid w:val="00EC178C"/>
    <w:rsid w:val="00EC17E3"/>
    <w:rsid w:val="00EC1A16"/>
    <w:rsid w:val="00EC1D75"/>
    <w:rsid w:val="00EC20DA"/>
    <w:rsid w:val="00EC2127"/>
    <w:rsid w:val="00EC238B"/>
    <w:rsid w:val="00EC2B1A"/>
    <w:rsid w:val="00EC2F7A"/>
    <w:rsid w:val="00EC3117"/>
    <w:rsid w:val="00EC3329"/>
    <w:rsid w:val="00EC36BB"/>
    <w:rsid w:val="00EC3C44"/>
    <w:rsid w:val="00EC45DE"/>
    <w:rsid w:val="00EC478C"/>
    <w:rsid w:val="00EC498D"/>
    <w:rsid w:val="00EC4ABA"/>
    <w:rsid w:val="00EC4BC9"/>
    <w:rsid w:val="00EC4CE0"/>
    <w:rsid w:val="00EC517B"/>
    <w:rsid w:val="00EC5A38"/>
    <w:rsid w:val="00EC5B0D"/>
    <w:rsid w:val="00EC5BB4"/>
    <w:rsid w:val="00EC6364"/>
    <w:rsid w:val="00EC654A"/>
    <w:rsid w:val="00EC7114"/>
    <w:rsid w:val="00EC7551"/>
    <w:rsid w:val="00EC7D15"/>
    <w:rsid w:val="00EC7DAA"/>
    <w:rsid w:val="00EC7DB0"/>
    <w:rsid w:val="00EC7EDB"/>
    <w:rsid w:val="00ED024A"/>
    <w:rsid w:val="00ED12B0"/>
    <w:rsid w:val="00ED1D36"/>
    <w:rsid w:val="00ED1F83"/>
    <w:rsid w:val="00ED213F"/>
    <w:rsid w:val="00ED226A"/>
    <w:rsid w:val="00ED2540"/>
    <w:rsid w:val="00ED2B9A"/>
    <w:rsid w:val="00ED2DB8"/>
    <w:rsid w:val="00ED366E"/>
    <w:rsid w:val="00ED379B"/>
    <w:rsid w:val="00ED38E3"/>
    <w:rsid w:val="00ED3A92"/>
    <w:rsid w:val="00ED4060"/>
    <w:rsid w:val="00ED42F6"/>
    <w:rsid w:val="00ED45E3"/>
    <w:rsid w:val="00ED4783"/>
    <w:rsid w:val="00ED49B3"/>
    <w:rsid w:val="00ED5162"/>
    <w:rsid w:val="00ED51DE"/>
    <w:rsid w:val="00ED52CD"/>
    <w:rsid w:val="00ED539C"/>
    <w:rsid w:val="00ED53CB"/>
    <w:rsid w:val="00ED5447"/>
    <w:rsid w:val="00ED54B4"/>
    <w:rsid w:val="00ED5993"/>
    <w:rsid w:val="00ED5A24"/>
    <w:rsid w:val="00ED6222"/>
    <w:rsid w:val="00ED681C"/>
    <w:rsid w:val="00ED689C"/>
    <w:rsid w:val="00ED6D5F"/>
    <w:rsid w:val="00ED6F3C"/>
    <w:rsid w:val="00ED74B3"/>
    <w:rsid w:val="00ED74C3"/>
    <w:rsid w:val="00ED79B4"/>
    <w:rsid w:val="00ED7E44"/>
    <w:rsid w:val="00ED7E9D"/>
    <w:rsid w:val="00EE0456"/>
    <w:rsid w:val="00EE081A"/>
    <w:rsid w:val="00EE08CA"/>
    <w:rsid w:val="00EE0A57"/>
    <w:rsid w:val="00EE0C9C"/>
    <w:rsid w:val="00EE0CF3"/>
    <w:rsid w:val="00EE1228"/>
    <w:rsid w:val="00EE1B4A"/>
    <w:rsid w:val="00EE1C17"/>
    <w:rsid w:val="00EE1D56"/>
    <w:rsid w:val="00EE1F84"/>
    <w:rsid w:val="00EE20B1"/>
    <w:rsid w:val="00EE235A"/>
    <w:rsid w:val="00EE294E"/>
    <w:rsid w:val="00EE35B8"/>
    <w:rsid w:val="00EE3632"/>
    <w:rsid w:val="00EE3EC0"/>
    <w:rsid w:val="00EE427C"/>
    <w:rsid w:val="00EE4392"/>
    <w:rsid w:val="00EE43C1"/>
    <w:rsid w:val="00EE4B3F"/>
    <w:rsid w:val="00EE4DCC"/>
    <w:rsid w:val="00EE5425"/>
    <w:rsid w:val="00EE559E"/>
    <w:rsid w:val="00EE5BB3"/>
    <w:rsid w:val="00EE620B"/>
    <w:rsid w:val="00EE6D82"/>
    <w:rsid w:val="00EE715D"/>
    <w:rsid w:val="00EE7273"/>
    <w:rsid w:val="00EE73DF"/>
    <w:rsid w:val="00EE74FC"/>
    <w:rsid w:val="00EE7916"/>
    <w:rsid w:val="00EE793A"/>
    <w:rsid w:val="00EE7A69"/>
    <w:rsid w:val="00EE7C99"/>
    <w:rsid w:val="00EF0A64"/>
    <w:rsid w:val="00EF132F"/>
    <w:rsid w:val="00EF1392"/>
    <w:rsid w:val="00EF150A"/>
    <w:rsid w:val="00EF18AD"/>
    <w:rsid w:val="00EF19D9"/>
    <w:rsid w:val="00EF1A80"/>
    <w:rsid w:val="00EF2467"/>
    <w:rsid w:val="00EF446A"/>
    <w:rsid w:val="00EF46BA"/>
    <w:rsid w:val="00EF4844"/>
    <w:rsid w:val="00EF4853"/>
    <w:rsid w:val="00EF4A5A"/>
    <w:rsid w:val="00EF4E5E"/>
    <w:rsid w:val="00EF4FCC"/>
    <w:rsid w:val="00EF5112"/>
    <w:rsid w:val="00EF5132"/>
    <w:rsid w:val="00EF5667"/>
    <w:rsid w:val="00EF5D5A"/>
    <w:rsid w:val="00EF5D5C"/>
    <w:rsid w:val="00EF61CF"/>
    <w:rsid w:val="00EF63BB"/>
    <w:rsid w:val="00EF6662"/>
    <w:rsid w:val="00EF6786"/>
    <w:rsid w:val="00EF6D04"/>
    <w:rsid w:val="00EF6D93"/>
    <w:rsid w:val="00EF6EEB"/>
    <w:rsid w:val="00EF760F"/>
    <w:rsid w:val="00EF7671"/>
    <w:rsid w:val="00EF77F0"/>
    <w:rsid w:val="00EF7E34"/>
    <w:rsid w:val="00F00002"/>
    <w:rsid w:val="00F001EC"/>
    <w:rsid w:val="00F003C1"/>
    <w:rsid w:val="00F00918"/>
    <w:rsid w:val="00F009C1"/>
    <w:rsid w:val="00F00EA8"/>
    <w:rsid w:val="00F01186"/>
    <w:rsid w:val="00F011DB"/>
    <w:rsid w:val="00F01A4D"/>
    <w:rsid w:val="00F01EB1"/>
    <w:rsid w:val="00F021AC"/>
    <w:rsid w:val="00F0223F"/>
    <w:rsid w:val="00F029BC"/>
    <w:rsid w:val="00F02BBD"/>
    <w:rsid w:val="00F02C66"/>
    <w:rsid w:val="00F02F44"/>
    <w:rsid w:val="00F02F5D"/>
    <w:rsid w:val="00F0307D"/>
    <w:rsid w:val="00F031F5"/>
    <w:rsid w:val="00F036A3"/>
    <w:rsid w:val="00F0373C"/>
    <w:rsid w:val="00F03B42"/>
    <w:rsid w:val="00F047F5"/>
    <w:rsid w:val="00F04921"/>
    <w:rsid w:val="00F04E78"/>
    <w:rsid w:val="00F04FEF"/>
    <w:rsid w:val="00F05361"/>
    <w:rsid w:val="00F05B65"/>
    <w:rsid w:val="00F05D9F"/>
    <w:rsid w:val="00F0636F"/>
    <w:rsid w:val="00F06854"/>
    <w:rsid w:val="00F0710F"/>
    <w:rsid w:val="00F07604"/>
    <w:rsid w:val="00F07613"/>
    <w:rsid w:val="00F0767F"/>
    <w:rsid w:val="00F0785A"/>
    <w:rsid w:val="00F078EC"/>
    <w:rsid w:val="00F07B52"/>
    <w:rsid w:val="00F07B9B"/>
    <w:rsid w:val="00F07C18"/>
    <w:rsid w:val="00F11356"/>
    <w:rsid w:val="00F1160D"/>
    <w:rsid w:val="00F116D0"/>
    <w:rsid w:val="00F11778"/>
    <w:rsid w:val="00F121D1"/>
    <w:rsid w:val="00F12309"/>
    <w:rsid w:val="00F12629"/>
    <w:rsid w:val="00F12B69"/>
    <w:rsid w:val="00F1308B"/>
    <w:rsid w:val="00F134C6"/>
    <w:rsid w:val="00F1354C"/>
    <w:rsid w:val="00F13C51"/>
    <w:rsid w:val="00F143DE"/>
    <w:rsid w:val="00F1440B"/>
    <w:rsid w:val="00F14777"/>
    <w:rsid w:val="00F147E6"/>
    <w:rsid w:val="00F14D71"/>
    <w:rsid w:val="00F14FD5"/>
    <w:rsid w:val="00F15169"/>
    <w:rsid w:val="00F152D3"/>
    <w:rsid w:val="00F15440"/>
    <w:rsid w:val="00F15515"/>
    <w:rsid w:val="00F15E67"/>
    <w:rsid w:val="00F15EFD"/>
    <w:rsid w:val="00F15EFE"/>
    <w:rsid w:val="00F164DE"/>
    <w:rsid w:val="00F16634"/>
    <w:rsid w:val="00F16853"/>
    <w:rsid w:val="00F171F9"/>
    <w:rsid w:val="00F1730F"/>
    <w:rsid w:val="00F178D2"/>
    <w:rsid w:val="00F17A79"/>
    <w:rsid w:val="00F17C66"/>
    <w:rsid w:val="00F202DD"/>
    <w:rsid w:val="00F209F8"/>
    <w:rsid w:val="00F20C34"/>
    <w:rsid w:val="00F2147E"/>
    <w:rsid w:val="00F21609"/>
    <w:rsid w:val="00F21A45"/>
    <w:rsid w:val="00F21B53"/>
    <w:rsid w:val="00F21EB0"/>
    <w:rsid w:val="00F2201B"/>
    <w:rsid w:val="00F22065"/>
    <w:rsid w:val="00F22313"/>
    <w:rsid w:val="00F22343"/>
    <w:rsid w:val="00F22404"/>
    <w:rsid w:val="00F226B6"/>
    <w:rsid w:val="00F22D6E"/>
    <w:rsid w:val="00F236D5"/>
    <w:rsid w:val="00F238EF"/>
    <w:rsid w:val="00F23DE7"/>
    <w:rsid w:val="00F23EBE"/>
    <w:rsid w:val="00F248C7"/>
    <w:rsid w:val="00F24B8E"/>
    <w:rsid w:val="00F24D6A"/>
    <w:rsid w:val="00F24FFD"/>
    <w:rsid w:val="00F2574A"/>
    <w:rsid w:val="00F25763"/>
    <w:rsid w:val="00F2594A"/>
    <w:rsid w:val="00F25CA3"/>
    <w:rsid w:val="00F25F64"/>
    <w:rsid w:val="00F25FC7"/>
    <w:rsid w:val="00F2630A"/>
    <w:rsid w:val="00F263AD"/>
    <w:rsid w:val="00F264B8"/>
    <w:rsid w:val="00F26A5A"/>
    <w:rsid w:val="00F26BBA"/>
    <w:rsid w:val="00F26C88"/>
    <w:rsid w:val="00F26D06"/>
    <w:rsid w:val="00F26D38"/>
    <w:rsid w:val="00F26E72"/>
    <w:rsid w:val="00F27536"/>
    <w:rsid w:val="00F27B76"/>
    <w:rsid w:val="00F3040E"/>
    <w:rsid w:val="00F304A8"/>
    <w:rsid w:val="00F309CA"/>
    <w:rsid w:val="00F30B91"/>
    <w:rsid w:val="00F30F5D"/>
    <w:rsid w:val="00F31206"/>
    <w:rsid w:val="00F31532"/>
    <w:rsid w:val="00F3173A"/>
    <w:rsid w:val="00F31861"/>
    <w:rsid w:val="00F32088"/>
    <w:rsid w:val="00F32366"/>
    <w:rsid w:val="00F32418"/>
    <w:rsid w:val="00F32913"/>
    <w:rsid w:val="00F32A66"/>
    <w:rsid w:val="00F3324D"/>
    <w:rsid w:val="00F34210"/>
    <w:rsid w:val="00F34F66"/>
    <w:rsid w:val="00F350C6"/>
    <w:rsid w:val="00F3511E"/>
    <w:rsid w:val="00F351F7"/>
    <w:rsid w:val="00F3525E"/>
    <w:rsid w:val="00F35549"/>
    <w:rsid w:val="00F35885"/>
    <w:rsid w:val="00F3591E"/>
    <w:rsid w:val="00F36019"/>
    <w:rsid w:val="00F36605"/>
    <w:rsid w:val="00F366FB"/>
    <w:rsid w:val="00F36C9F"/>
    <w:rsid w:val="00F373DC"/>
    <w:rsid w:val="00F375F4"/>
    <w:rsid w:val="00F378A6"/>
    <w:rsid w:val="00F3796D"/>
    <w:rsid w:val="00F4000E"/>
    <w:rsid w:val="00F40202"/>
    <w:rsid w:val="00F40BE9"/>
    <w:rsid w:val="00F40C79"/>
    <w:rsid w:val="00F40ED3"/>
    <w:rsid w:val="00F411C1"/>
    <w:rsid w:val="00F4123C"/>
    <w:rsid w:val="00F4131E"/>
    <w:rsid w:val="00F4135A"/>
    <w:rsid w:val="00F41386"/>
    <w:rsid w:val="00F41BD1"/>
    <w:rsid w:val="00F41E51"/>
    <w:rsid w:val="00F42164"/>
    <w:rsid w:val="00F42AC0"/>
    <w:rsid w:val="00F4345F"/>
    <w:rsid w:val="00F43A56"/>
    <w:rsid w:val="00F43DD0"/>
    <w:rsid w:val="00F4417C"/>
    <w:rsid w:val="00F44203"/>
    <w:rsid w:val="00F445FF"/>
    <w:rsid w:val="00F4463B"/>
    <w:rsid w:val="00F44AF1"/>
    <w:rsid w:val="00F44CBA"/>
    <w:rsid w:val="00F451D4"/>
    <w:rsid w:val="00F4541A"/>
    <w:rsid w:val="00F45AE2"/>
    <w:rsid w:val="00F45BD4"/>
    <w:rsid w:val="00F45EDF"/>
    <w:rsid w:val="00F46184"/>
    <w:rsid w:val="00F4625D"/>
    <w:rsid w:val="00F4638F"/>
    <w:rsid w:val="00F466B3"/>
    <w:rsid w:val="00F467AF"/>
    <w:rsid w:val="00F46867"/>
    <w:rsid w:val="00F468E9"/>
    <w:rsid w:val="00F470D0"/>
    <w:rsid w:val="00F470E9"/>
    <w:rsid w:val="00F473D8"/>
    <w:rsid w:val="00F47523"/>
    <w:rsid w:val="00F47643"/>
    <w:rsid w:val="00F47788"/>
    <w:rsid w:val="00F47849"/>
    <w:rsid w:val="00F478EB"/>
    <w:rsid w:val="00F47DD5"/>
    <w:rsid w:val="00F5074E"/>
    <w:rsid w:val="00F50BA3"/>
    <w:rsid w:val="00F50F2A"/>
    <w:rsid w:val="00F51106"/>
    <w:rsid w:val="00F514E3"/>
    <w:rsid w:val="00F51A14"/>
    <w:rsid w:val="00F521AA"/>
    <w:rsid w:val="00F52501"/>
    <w:rsid w:val="00F526CF"/>
    <w:rsid w:val="00F52838"/>
    <w:rsid w:val="00F5284C"/>
    <w:rsid w:val="00F531C9"/>
    <w:rsid w:val="00F53B78"/>
    <w:rsid w:val="00F53BB4"/>
    <w:rsid w:val="00F54251"/>
    <w:rsid w:val="00F5455E"/>
    <w:rsid w:val="00F547A4"/>
    <w:rsid w:val="00F54897"/>
    <w:rsid w:val="00F548B6"/>
    <w:rsid w:val="00F54D38"/>
    <w:rsid w:val="00F55082"/>
    <w:rsid w:val="00F553BF"/>
    <w:rsid w:val="00F55691"/>
    <w:rsid w:val="00F558E6"/>
    <w:rsid w:val="00F55B78"/>
    <w:rsid w:val="00F55EAA"/>
    <w:rsid w:val="00F55F46"/>
    <w:rsid w:val="00F5629A"/>
    <w:rsid w:val="00F562A2"/>
    <w:rsid w:val="00F56A10"/>
    <w:rsid w:val="00F56BAE"/>
    <w:rsid w:val="00F57054"/>
    <w:rsid w:val="00F571DB"/>
    <w:rsid w:val="00F572FE"/>
    <w:rsid w:val="00F5769E"/>
    <w:rsid w:val="00F5774F"/>
    <w:rsid w:val="00F579D5"/>
    <w:rsid w:val="00F57E50"/>
    <w:rsid w:val="00F57F20"/>
    <w:rsid w:val="00F602E9"/>
    <w:rsid w:val="00F60617"/>
    <w:rsid w:val="00F60639"/>
    <w:rsid w:val="00F60C47"/>
    <w:rsid w:val="00F60F0A"/>
    <w:rsid w:val="00F6140D"/>
    <w:rsid w:val="00F61C2B"/>
    <w:rsid w:val="00F62348"/>
    <w:rsid w:val="00F625E6"/>
    <w:rsid w:val="00F62660"/>
    <w:rsid w:val="00F6281D"/>
    <w:rsid w:val="00F628E6"/>
    <w:rsid w:val="00F62D25"/>
    <w:rsid w:val="00F62FEE"/>
    <w:rsid w:val="00F630ED"/>
    <w:rsid w:val="00F6367D"/>
    <w:rsid w:val="00F6436A"/>
    <w:rsid w:val="00F6480B"/>
    <w:rsid w:val="00F64A00"/>
    <w:rsid w:val="00F64B26"/>
    <w:rsid w:val="00F64BC9"/>
    <w:rsid w:val="00F651FB"/>
    <w:rsid w:val="00F655F5"/>
    <w:rsid w:val="00F65886"/>
    <w:rsid w:val="00F65A67"/>
    <w:rsid w:val="00F65BDC"/>
    <w:rsid w:val="00F65F1F"/>
    <w:rsid w:val="00F66042"/>
    <w:rsid w:val="00F663E4"/>
    <w:rsid w:val="00F66822"/>
    <w:rsid w:val="00F66A6E"/>
    <w:rsid w:val="00F66D44"/>
    <w:rsid w:val="00F66F07"/>
    <w:rsid w:val="00F67097"/>
    <w:rsid w:val="00F67329"/>
    <w:rsid w:val="00F674DA"/>
    <w:rsid w:val="00F67D3F"/>
    <w:rsid w:val="00F67EE8"/>
    <w:rsid w:val="00F7002C"/>
    <w:rsid w:val="00F700D8"/>
    <w:rsid w:val="00F708F1"/>
    <w:rsid w:val="00F70ED3"/>
    <w:rsid w:val="00F70FDD"/>
    <w:rsid w:val="00F710A0"/>
    <w:rsid w:val="00F71320"/>
    <w:rsid w:val="00F715E5"/>
    <w:rsid w:val="00F71A05"/>
    <w:rsid w:val="00F71A7A"/>
    <w:rsid w:val="00F722BE"/>
    <w:rsid w:val="00F72844"/>
    <w:rsid w:val="00F729DC"/>
    <w:rsid w:val="00F729F1"/>
    <w:rsid w:val="00F72B73"/>
    <w:rsid w:val="00F731D7"/>
    <w:rsid w:val="00F73702"/>
    <w:rsid w:val="00F73BCF"/>
    <w:rsid w:val="00F74166"/>
    <w:rsid w:val="00F74B26"/>
    <w:rsid w:val="00F752A2"/>
    <w:rsid w:val="00F752EC"/>
    <w:rsid w:val="00F75776"/>
    <w:rsid w:val="00F75AC3"/>
    <w:rsid w:val="00F75ADB"/>
    <w:rsid w:val="00F75EF5"/>
    <w:rsid w:val="00F7602D"/>
    <w:rsid w:val="00F76363"/>
    <w:rsid w:val="00F7685D"/>
    <w:rsid w:val="00F76C6C"/>
    <w:rsid w:val="00F76D4A"/>
    <w:rsid w:val="00F77119"/>
    <w:rsid w:val="00F77328"/>
    <w:rsid w:val="00F77CBA"/>
    <w:rsid w:val="00F77E63"/>
    <w:rsid w:val="00F8037E"/>
    <w:rsid w:val="00F803B7"/>
    <w:rsid w:val="00F806C9"/>
    <w:rsid w:val="00F807F7"/>
    <w:rsid w:val="00F8099F"/>
    <w:rsid w:val="00F816F6"/>
    <w:rsid w:val="00F818A9"/>
    <w:rsid w:val="00F81CDD"/>
    <w:rsid w:val="00F8228B"/>
    <w:rsid w:val="00F82D8A"/>
    <w:rsid w:val="00F8324B"/>
    <w:rsid w:val="00F838A8"/>
    <w:rsid w:val="00F83A8A"/>
    <w:rsid w:val="00F83E26"/>
    <w:rsid w:val="00F84A5A"/>
    <w:rsid w:val="00F85A9D"/>
    <w:rsid w:val="00F85B83"/>
    <w:rsid w:val="00F860D8"/>
    <w:rsid w:val="00F86849"/>
    <w:rsid w:val="00F86914"/>
    <w:rsid w:val="00F86B73"/>
    <w:rsid w:val="00F86B8F"/>
    <w:rsid w:val="00F870BF"/>
    <w:rsid w:val="00F8754B"/>
    <w:rsid w:val="00F9012C"/>
    <w:rsid w:val="00F90377"/>
    <w:rsid w:val="00F90ADE"/>
    <w:rsid w:val="00F9176D"/>
    <w:rsid w:val="00F91D3B"/>
    <w:rsid w:val="00F91D8E"/>
    <w:rsid w:val="00F91FB6"/>
    <w:rsid w:val="00F923B9"/>
    <w:rsid w:val="00F9245E"/>
    <w:rsid w:val="00F927E3"/>
    <w:rsid w:val="00F92F2C"/>
    <w:rsid w:val="00F934BB"/>
    <w:rsid w:val="00F93552"/>
    <w:rsid w:val="00F939B6"/>
    <w:rsid w:val="00F93D52"/>
    <w:rsid w:val="00F93E25"/>
    <w:rsid w:val="00F93EC8"/>
    <w:rsid w:val="00F9440D"/>
    <w:rsid w:val="00F94A68"/>
    <w:rsid w:val="00F94BC6"/>
    <w:rsid w:val="00F94BC8"/>
    <w:rsid w:val="00F94C99"/>
    <w:rsid w:val="00F95E60"/>
    <w:rsid w:val="00F96019"/>
    <w:rsid w:val="00F9640C"/>
    <w:rsid w:val="00F9667A"/>
    <w:rsid w:val="00F9727D"/>
    <w:rsid w:val="00F9741B"/>
    <w:rsid w:val="00F97B70"/>
    <w:rsid w:val="00F97BCC"/>
    <w:rsid w:val="00FA057A"/>
    <w:rsid w:val="00FA0665"/>
    <w:rsid w:val="00FA0A8E"/>
    <w:rsid w:val="00FA1687"/>
    <w:rsid w:val="00FA189A"/>
    <w:rsid w:val="00FA1A50"/>
    <w:rsid w:val="00FA1D9A"/>
    <w:rsid w:val="00FA1F76"/>
    <w:rsid w:val="00FA26F8"/>
    <w:rsid w:val="00FA276F"/>
    <w:rsid w:val="00FA281F"/>
    <w:rsid w:val="00FA2B8C"/>
    <w:rsid w:val="00FA33C1"/>
    <w:rsid w:val="00FA3509"/>
    <w:rsid w:val="00FA357D"/>
    <w:rsid w:val="00FA3AE6"/>
    <w:rsid w:val="00FA3E60"/>
    <w:rsid w:val="00FA3EC1"/>
    <w:rsid w:val="00FA40E6"/>
    <w:rsid w:val="00FA4628"/>
    <w:rsid w:val="00FA49E0"/>
    <w:rsid w:val="00FA5819"/>
    <w:rsid w:val="00FA5C9E"/>
    <w:rsid w:val="00FA5D5F"/>
    <w:rsid w:val="00FA66C6"/>
    <w:rsid w:val="00FA6F3D"/>
    <w:rsid w:val="00FA77FB"/>
    <w:rsid w:val="00FA7989"/>
    <w:rsid w:val="00FA7D36"/>
    <w:rsid w:val="00FB016A"/>
    <w:rsid w:val="00FB055C"/>
    <w:rsid w:val="00FB0A9B"/>
    <w:rsid w:val="00FB0D77"/>
    <w:rsid w:val="00FB0D91"/>
    <w:rsid w:val="00FB0E86"/>
    <w:rsid w:val="00FB0F89"/>
    <w:rsid w:val="00FB172B"/>
    <w:rsid w:val="00FB1D2E"/>
    <w:rsid w:val="00FB24EB"/>
    <w:rsid w:val="00FB274B"/>
    <w:rsid w:val="00FB39F2"/>
    <w:rsid w:val="00FB3C2C"/>
    <w:rsid w:val="00FB3FE2"/>
    <w:rsid w:val="00FB3FEE"/>
    <w:rsid w:val="00FB41D0"/>
    <w:rsid w:val="00FB4372"/>
    <w:rsid w:val="00FB49E4"/>
    <w:rsid w:val="00FB568A"/>
    <w:rsid w:val="00FB5967"/>
    <w:rsid w:val="00FB5AFD"/>
    <w:rsid w:val="00FB5B5B"/>
    <w:rsid w:val="00FB5D5B"/>
    <w:rsid w:val="00FB6CE2"/>
    <w:rsid w:val="00FB77CF"/>
    <w:rsid w:val="00FB7A8F"/>
    <w:rsid w:val="00FB7ACB"/>
    <w:rsid w:val="00FB7F03"/>
    <w:rsid w:val="00FB7FEA"/>
    <w:rsid w:val="00FC01EC"/>
    <w:rsid w:val="00FC051A"/>
    <w:rsid w:val="00FC0E47"/>
    <w:rsid w:val="00FC1402"/>
    <w:rsid w:val="00FC1591"/>
    <w:rsid w:val="00FC15F6"/>
    <w:rsid w:val="00FC18D6"/>
    <w:rsid w:val="00FC194F"/>
    <w:rsid w:val="00FC1B18"/>
    <w:rsid w:val="00FC2295"/>
    <w:rsid w:val="00FC29D5"/>
    <w:rsid w:val="00FC2AF3"/>
    <w:rsid w:val="00FC2DCC"/>
    <w:rsid w:val="00FC35FA"/>
    <w:rsid w:val="00FC370E"/>
    <w:rsid w:val="00FC3B85"/>
    <w:rsid w:val="00FC3D15"/>
    <w:rsid w:val="00FC3D4C"/>
    <w:rsid w:val="00FC40E0"/>
    <w:rsid w:val="00FC434E"/>
    <w:rsid w:val="00FC4846"/>
    <w:rsid w:val="00FC4D1E"/>
    <w:rsid w:val="00FC4FE0"/>
    <w:rsid w:val="00FC5486"/>
    <w:rsid w:val="00FC58D3"/>
    <w:rsid w:val="00FC6222"/>
    <w:rsid w:val="00FC6EC0"/>
    <w:rsid w:val="00FC7770"/>
    <w:rsid w:val="00FC77C7"/>
    <w:rsid w:val="00FC7F65"/>
    <w:rsid w:val="00FD0D3F"/>
    <w:rsid w:val="00FD0F5C"/>
    <w:rsid w:val="00FD1298"/>
    <w:rsid w:val="00FD1CCA"/>
    <w:rsid w:val="00FD277B"/>
    <w:rsid w:val="00FD2CBA"/>
    <w:rsid w:val="00FD362E"/>
    <w:rsid w:val="00FD3816"/>
    <w:rsid w:val="00FD3AEE"/>
    <w:rsid w:val="00FD4281"/>
    <w:rsid w:val="00FD47BB"/>
    <w:rsid w:val="00FD4FFE"/>
    <w:rsid w:val="00FD510F"/>
    <w:rsid w:val="00FD55E2"/>
    <w:rsid w:val="00FD56F6"/>
    <w:rsid w:val="00FD5A91"/>
    <w:rsid w:val="00FD5DF2"/>
    <w:rsid w:val="00FD5E28"/>
    <w:rsid w:val="00FD5E9E"/>
    <w:rsid w:val="00FD6519"/>
    <w:rsid w:val="00FD675A"/>
    <w:rsid w:val="00FD6EA3"/>
    <w:rsid w:val="00FD7514"/>
    <w:rsid w:val="00FD77A4"/>
    <w:rsid w:val="00FE03DA"/>
    <w:rsid w:val="00FE0897"/>
    <w:rsid w:val="00FE0940"/>
    <w:rsid w:val="00FE0989"/>
    <w:rsid w:val="00FE0E36"/>
    <w:rsid w:val="00FE102E"/>
    <w:rsid w:val="00FE1A57"/>
    <w:rsid w:val="00FE1FB4"/>
    <w:rsid w:val="00FE23B0"/>
    <w:rsid w:val="00FE24A9"/>
    <w:rsid w:val="00FE28C4"/>
    <w:rsid w:val="00FE34DC"/>
    <w:rsid w:val="00FE354B"/>
    <w:rsid w:val="00FE3658"/>
    <w:rsid w:val="00FE371A"/>
    <w:rsid w:val="00FE37A8"/>
    <w:rsid w:val="00FE37E9"/>
    <w:rsid w:val="00FE38A4"/>
    <w:rsid w:val="00FE3D93"/>
    <w:rsid w:val="00FE3F16"/>
    <w:rsid w:val="00FE410E"/>
    <w:rsid w:val="00FE4329"/>
    <w:rsid w:val="00FE44CB"/>
    <w:rsid w:val="00FE453A"/>
    <w:rsid w:val="00FE45BD"/>
    <w:rsid w:val="00FE4BD1"/>
    <w:rsid w:val="00FE4D06"/>
    <w:rsid w:val="00FE574B"/>
    <w:rsid w:val="00FE6632"/>
    <w:rsid w:val="00FE66ED"/>
    <w:rsid w:val="00FE68E7"/>
    <w:rsid w:val="00FE6C64"/>
    <w:rsid w:val="00FE6F3D"/>
    <w:rsid w:val="00FE76FA"/>
    <w:rsid w:val="00FE77D3"/>
    <w:rsid w:val="00FF02F7"/>
    <w:rsid w:val="00FF062D"/>
    <w:rsid w:val="00FF0D5B"/>
    <w:rsid w:val="00FF1329"/>
    <w:rsid w:val="00FF1643"/>
    <w:rsid w:val="00FF1B15"/>
    <w:rsid w:val="00FF1CE1"/>
    <w:rsid w:val="00FF1E0B"/>
    <w:rsid w:val="00FF2021"/>
    <w:rsid w:val="00FF24A7"/>
    <w:rsid w:val="00FF267E"/>
    <w:rsid w:val="00FF2948"/>
    <w:rsid w:val="00FF2A25"/>
    <w:rsid w:val="00FF2A98"/>
    <w:rsid w:val="00FF2C48"/>
    <w:rsid w:val="00FF2F44"/>
    <w:rsid w:val="00FF314A"/>
    <w:rsid w:val="00FF34CD"/>
    <w:rsid w:val="00FF352D"/>
    <w:rsid w:val="00FF360F"/>
    <w:rsid w:val="00FF3965"/>
    <w:rsid w:val="00FF396F"/>
    <w:rsid w:val="00FF3AA1"/>
    <w:rsid w:val="00FF3F93"/>
    <w:rsid w:val="00FF4397"/>
    <w:rsid w:val="00FF4541"/>
    <w:rsid w:val="00FF463E"/>
    <w:rsid w:val="00FF4BAF"/>
    <w:rsid w:val="00FF4ED3"/>
    <w:rsid w:val="00FF50D5"/>
    <w:rsid w:val="00FF537D"/>
    <w:rsid w:val="00FF6180"/>
    <w:rsid w:val="00FF64E9"/>
    <w:rsid w:val="00FF6E50"/>
    <w:rsid w:val="00FF6E89"/>
    <w:rsid w:val="00FF7965"/>
    <w:rsid w:val="00FF799E"/>
    <w:rsid w:val="00FF7AC5"/>
    <w:rsid w:val="00FF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1A4A1"/>
  <w15:docId w15:val="{147C23F4-AC17-4A31-9B7B-D70D1CFB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link w:val="Heading2Char"/>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uiPriority w:val="99"/>
    <w:qFormat/>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link w:val="FootnotesymbolCarZchn"/>
    <w:uiPriority w:val="99"/>
    <w:qFormat/>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Header Char2,Header Char1 Char1,Header Char Char1"/>
    <w:basedOn w:val="Normal"/>
    <w:link w:val="HeaderChar1"/>
    <w:rsid w:val="001D40DA"/>
    <w:pPr>
      <w:tabs>
        <w:tab w:val="center" w:pos="4153"/>
        <w:tab w:val="right" w:pos="8306"/>
      </w:tabs>
    </w:pPr>
    <w:rPr>
      <w:lang w:eastAsia="bg-BG"/>
    </w:rPr>
  </w:style>
  <w:style w:type="paragraph" w:styleId="BodyText3">
    <w:name w:val="Body Text 3"/>
    <w:basedOn w:val="Normal"/>
    <w:link w:val="BodyText3Char"/>
    <w:rsid w:val="00262391"/>
    <w:pPr>
      <w:spacing w:after="120"/>
    </w:pPr>
    <w:rPr>
      <w:sz w:val="16"/>
      <w:szCs w:val="16"/>
    </w:rPr>
  </w:style>
  <w:style w:type="paragraph" w:styleId="Footer">
    <w:name w:val="footer"/>
    <w:basedOn w:val="Normal"/>
    <w:link w:val="FooterChar"/>
    <w:uiPriority w:val="99"/>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link w:val="BodyTextIndent2Char"/>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link w:val="EndnoteTextChar"/>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nhideWhenUsed/>
    <w:rsid w:val="00231385"/>
    <w:rPr>
      <w:strike w:val="0"/>
      <w:dstrike w:val="0"/>
      <w:color w:val="004A8F"/>
      <w:u w:val="none"/>
      <w:effect w:val="none"/>
    </w:rPr>
  </w:style>
  <w:style w:type="paragraph" w:styleId="NormalWeb">
    <w:name w:val="Normal (Web)"/>
    <w:basedOn w:val="Normal"/>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Ha"/>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 w:type="character" w:customStyle="1" w:styleId="HeaderChar2Char">
    <w:name w:val="Header Char2 Char"/>
    <w:aliases w:val="Header Char1 Char1 Char,Header Char Char Char1 Char,Header Char1 Char Char Char Char,Header Char Char Char Char Char Char,Header Char Char1 Char,Header Char1 Char Char1 Char,Header Char Char Char Char1 Char"/>
    <w:basedOn w:val="DefaultParagraphFont"/>
    <w:rsid w:val="005F1F3A"/>
    <w:rPr>
      <w:rFonts w:ascii="Arial" w:hAnsi="Arial"/>
      <w:sz w:val="24"/>
      <w:lang w:val="en-AU" w:eastAsia="en-US"/>
    </w:rPr>
  </w:style>
  <w:style w:type="paragraph" w:customStyle="1" w:styleId="1">
    <w:name w:val="1"/>
    <w:basedOn w:val="Normal"/>
    <w:semiHidden/>
    <w:rsid w:val="008969AB"/>
    <w:pPr>
      <w:tabs>
        <w:tab w:val="left" w:pos="709"/>
      </w:tabs>
    </w:pPr>
    <w:rPr>
      <w:rFonts w:ascii="Futura Bk" w:hAnsi="Futura Bk"/>
      <w:lang w:val="pl-PL" w:eastAsia="pl-PL"/>
    </w:rPr>
  </w:style>
  <w:style w:type="paragraph" w:customStyle="1" w:styleId="CharCharCharChar1CharCharCharCharCharCharCharCharChar">
    <w:name w:val="Char Char Char Char1 Char Char Char Char Char Char Char Char Char"/>
    <w:basedOn w:val="Normal"/>
    <w:rsid w:val="008969AB"/>
    <w:pPr>
      <w:spacing w:after="160" w:line="240" w:lineRule="exact"/>
    </w:pPr>
    <w:rPr>
      <w:rFonts w:ascii="Tahoma" w:hAnsi="Tahoma"/>
      <w:sz w:val="20"/>
      <w:szCs w:val="20"/>
      <w:lang w:val="en-US"/>
    </w:rPr>
  </w:style>
  <w:style w:type="paragraph" w:customStyle="1" w:styleId="Char1CharCharChar">
    <w:name w:val="Char1 Char Char Char"/>
    <w:basedOn w:val="Normal"/>
    <w:semiHidden/>
    <w:rsid w:val="008969AB"/>
    <w:pPr>
      <w:tabs>
        <w:tab w:val="left" w:pos="709"/>
      </w:tabs>
    </w:pPr>
    <w:rPr>
      <w:rFonts w:ascii="Futura Bk" w:hAnsi="Futura Bk"/>
      <w:lang w:val="pl-PL" w:eastAsia="pl-PL"/>
    </w:rPr>
  </w:style>
  <w:style w:type="paragraph" w:customStyle="1" w:styleId="Char">
    <w:name w:val="Char"/>
    <w:basedOn w:val="Normal"/>
    <w:semiHidden/>
    <w:rsid w:val="008969AB"/>
    <w:pPr>
      <w:tabs>
        <w:tab w:val="left" w:pos="709"/>
      </w:tabs>
    </w:pPr>
    <w:rPr>
      <w:rFonts w:ascii="Futura Bk" w:hAnsi="Futura Bk"/>
      <w:lang w:val="pl-PL" w:eastAsia="pl-PL"/>
    </w:rPr>
  </w:style>
  <w:style w:type="paragraph" w:styleId="TOC1">
    <w:name w:val="toc 1"/>
    <w:basedOn w:val="Normal"/>
    <w:next w:val="Normal"/>
    <w:autoRedefine/>
    <w:semiHidden/>
    <w:rsid w:val="008969AB"/>
    <w:pPr>
      <w:tabs>
        <w:tab w:val="right" w:leader="dot" w:pos="9062"/>
      </w:tabs>
      <w:ind w:left="-180" w:hanging="360"/>
      <w:jc w:val="center"/>
    </w:pPr>
    <w:rPr>
      <w:b/>
      <w:noProof/>
      <w:lang w:val="en-US" w:eastAsia="bg-BG"/>
    </w:rPr>
  </w:style>
  <w:style w:type="character" w:styleId="Emphasis">
    <w:name w:val="Emphasis"/>
    <w:qFormat/>
    <w:rsid w:val="008969AB"/>
    <w:rPr>
      <w:i/>
      <w:iCs/>
    </w:rPr>
  </w:style>
  <w:style w:type="paragraph" w:customStyle="1" w:styleId="CharChar1CharCharCharCharCharChar">
    <w:name w:val="Char Char1 Char Char Char Char Char Char"/>
    <w:basedOn w:val="Normal"/>
    <w:semiHidden/>
    <w:rsid w:val="008969AB"/>
    <w:pPr>
      <w:tabs>
        <w:tab w:val="left" w:pos="709"/>
      </w:tabs>
    </w:pPr>
    <w:rPr>
      <w:rFonts w:ascii="Futura Bk" w:hAnsi="Futura Bk"/>
      <w:lang w:val="pl-PL" w:eastAsia="pl-PL"/>
    </w:rPr>
  </w:style>
  <w:style w:type="paragraph" w:styleId="Subtitle">
    <w:name w:val="Subtitle"/>
    <w:basedOn w:val="Normal"/>
    <w:next w:val="Normal"/>
    <w:link w:val="SubtitleChar"/>
    <w:qFormat/>
    <w:rsid w:val="008969AB"/>
    <w:pPr>
      <w:spacing w:after="60"/>
      <w:jc w:val="center"/>
      <w:outlineLvl w:val="1"/>
    </w:pPr>
    <w:rPr>
      <w:rFonts w:ascii="Cambria" w:hAnsi="Cambria"/>
      <w:lang w:eastAsia="bg-BG"/>
    </w:rPr>
  </w:style>
  <w:style w:type="character" w:customStyle="1" w:styleId="SubtitleChar">
    <w:name w:val="Subtitle Char"/>
    <w:basedOn w:val="DefaultParagraphFont"/>
    <w:link w:val="Subtitle"/>
    <w:rsid w:val="008969AB"/>
    <w:rPr>
      <w:rFonts w:ascii="Cambria" w:hAnsi="Cambria"/>
      <w:sz w:val="24"/>
      <w:szCs w:val="24"/>
      <w:lang w:val="bg-BG" w:eastAsia="bg-BG"/>
    </w:rPr>
  </w:style>
  <w:style w:type="character" w:customStyle="1" w:styleId="FooterChar">
    <w:name w:val="Footer Char"/>
    <w:link w:val="Footer"/>
    <w:uiPriority w:val="99"/>
    <w:rsid w:val="008969AB"/>
    <w:rPr>
      <w:sz w:val="24"/>
      <w:szCs w:val="24"/>
      <w:lang w:val="bg-BG"/>
    </w:rPr>
  </w:style>
  <w:style w:type="paragraph" w:styleId="Quote">
    <w:name w:val="Quote"/>
    <w:basedOn w:val="Normal"/>
    <w:next w:val="Normal"/>
    <w:link w:val="QuoteChar"/>
    <w:uiPriority w:val="29"/>
    <w:qFormat/>
    <w:rsid w:val="00A6525E"/>
    <w:pPr>
      <w:spacing w:before="200" w:after="160"/>
      <w:ind w:left="864" w:right="864"/>
      <w:jc w:val="center"/>
    </w:pPr>
    <w:rPr>
      <w:i/>
      <w:iCs/>
      <w:color w:val="404040" w:themeColor="text1" w:themeTint="BF"/>
      <w:lang w:eastAsia="bg-BG"/>
    </w:rPr>
  </w:style>
  <w:style w:type="character" w:customStyle="1" w:styleId="QuoteChar">
    <w:name w:val="Quote Char"/>
    <w:basedOn w:val="DefaultParagraphFont"/>
    <w:link w:val="Quote"/>
    <w:uiPriority w:val="29"/>
    <w:rsid w:val="00A6525E"/>
    <w:rPr>
      <w:i/>
      <w:iCs/>
      <w:color w:val="404040" w:themeColor="text1" w:themeTint="BF"/>
      <w:sz w:val="24"/>
      <w:szCs w:val="24"/>
      <w:lang w:val="bg-BG" w:eastAsia="bg-BG"/>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5C63FC"/>
    <w:pPr>
      <w:spacing w:after="160" w:line="240" w:lineRule="exact"/>
      <w:jc w:val="both"/>
    </w:pPr>
    <w:rPr>
      <w:sz w:val="20"/>
      <w:szCs w:val="20"/>
      <w:vertAlign w:val="superscript"/>
      <w:lang w:val="en-US"/>
    </w:rPr>
  </w:style>
  <w:style w:type="character" w:customStyle="1" w:styleId="Heading2Char">
    <w:name w:val="Heading 2 Char"/>
    <w:basedOn w:val="DefaultParagraphFont"/>
    <w:link w:val="Heading2"/>
    <w:uiPriority w:val="99"/>
    <w:rsid w:val="00581832"/>
    <w:rPr>
      <w:rFonts w:ascii="Arial" w:hAnsi="Arial" w:cs="Arial"/>
      <w:b/>
      <w:bCs/>
      <w:i/>
      <w:iCs/>
      <w:sz w:val="28"/>
      <w:szCs w:val="28"/>
      <w:lang w:val="bg-BG"/>
    </w:rPr>
  </w:style>
  <w:style w:type="character" w:customStyle="1" w:styleId="Heading3Char">
    <w:name w:val="Heading 3 Char"/>
    <w:basedOn w:val="DefaultParagraphFont"/>
    <w:link w:val="Heading3"/>
    <w:rsid w:val="00581832"/>
    <w:rPr>
      <w:rFonts w:ascii="Arial" w:hAnsi="Arial" w:cs="Arial"/>
      <w:b/>
      <w:bCs/>
      <w:sz w:val="26"/>
      <w:szCs w:val="26"/>
      <w:lang w:val="bg-BG"/>
    </w:rPr>
  </w:style>
  <w:style w:type="character" w:customStyle="1" w:styleId="BodyText3Char">
    <w:name w:val="Body Text 3 Char"/>
    <w:basedOn w:val="DefaultParagraphFont"/>
    <w:link w:val="BodyText3"/>
    <w:rsid w:val="00581832"/>
    <w:rPr>
      <w:sz w:val="16"/>
      <w:szCs w:val="16"/>
      <w:lang w:val="bg-BG"/>
    </w:rPr>
  </w:style>
  <w:style w:type="character" w:customStyle="1" w:styleId="BodyTextIndent2Char">
    <w:name w:val="Body Text Indent 2 Char"/>
    <w:basedOn w:val="DefaultParagraphFont"/>
    <w:link w:val="BodyTextIndent2"/>
    <w:rsid w:val="00581832"/>
    <w:rPr>
      <w:sz w:val="24"/>
      <w:szCs w:val="24"/>
      <w:lang w:val="bg-BG"/>
    </w:rPr>
  </w:style>
  <w:style w:type="character" w:customStyle="1" w:styleId="EndnoteTextChar">
    <w:name w:val="Endnote Text Char"/>
    <w:basedOn w:val="DefaultParagraphFont"/>
    <w:link w:val="EndnoteText"/>
    <w:semiHidden/>
    <w:rsid w:val="00581832"/>
    <w:rPr>
      <w:lang w:val="bg-BG"/>
    </w:rPr>
  </w:style>
  <w:style w:type="character" w:styleId="IntenseEmphasis">
    <w:name w:val="Intense Emphasis"/>
    <w:basedOn w:val="DefaultParagraphFont"/>
    <w:uiPriority w:val="21"/>
    <w:qFormat/>
    <w:rsid w:val="00E62C32"/>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0327938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151099104">
      <w:bodyDiv w:val="1"/>
      <w:marLeft w:val="0"/>
      <w:marRight w:val="0"/>
      <w:marTop w:val="0"/>
      <w:marBottom w:val="0"/>
      <w:divBdr>
        <w:top w:val="none" w:sz="0" w:space="0" w:color="auto"/>
        <w:left w:val="none" w:sz="0" w:space="0" w:color="auto"/>
        <w:bottom w:val="none" w:sz="0" w:space="0" w:color="auto"/>
        <w:right w:val="none" w:sz="0" w:space="0" w:color="auto"/>
      </w:divBdr>
    </w:div>
    <w:div w:id="1173839382">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284270625">
      <w:bodyDiv w:val="1"/>
      <w:marLeft w:val="0"/>
      <w:marRight w:val="0"/>
      <w:marTop w:val="0"/>
      <w:marBottom w:val="0"/>
      <w:divBdr>
        <w:top w:val="none" w:sz="0" w:space="0" w:color="auto"/>
        <w:left w:val="none" w:sz="0" w:space="0" w:color="auto"/>
        <w:bottom w:val="none" w:sz="0" w:space="0" w:color="auto"/>
        <w:right w:val="none" w:sz="0" w:space="0" w:color="auto"/>
      </w:divBdr>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36472099">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Приходи</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помощи </a:t>
            </a:r>
            <a:r>
              <a:rPr lang="bg-BG" sz="1000" b="1" i="0" u="none" strike="noStrike" baseline="0">
                <a:solidFill>
                  <a:srgbClr val="000000"/>
                </a:solidFill>
                <a:latin typeface="Times New Roman"/>
                <a:cs typeface="Times New Roman"/>
              </a:rPr>
              <a:t>и дарения </a:t>
            </a:r>
            <a:r>
              <a:rPr lang="en-US" sz="1000" b="1" i="0" u="none" strike="noStrike" baseline="0">
                <a:solidFill>
                  <a:srgbClr val="000000"/>
                </a:solidFill>
                <a:latin typeface="Times New Roman"/>
                <a:cs typeface="Times New Roman"/>
              </a:rPr>
              <a:t>по консолидираната фискална програма</a:t>
            </a:r>
          </a:p>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 </a:t>
            </a:r>
            <a:r>
              <a:rPr lang="bg-BG" sz="1000" b="1" i="0" u="none" strike="noStrike" baseline="0">
                <a:solidFill>
                  <a:srgbClr val="000000"/>
                </a:solidFill>
                <a:latin typeface="Times New Roman"/>
                <a:cs typeface="Times New Roman"/>
              </a:rPr>
              <a:t>към </a:t>
            </a:r>
            <a:r>
              <a:rPr lang="bg-BG" sz="1000" b="1" i="0" u="none" strike="noStrike" kern="1200" baseline="0">
                <a:solidFill>
                  <a:srgbClr val="000000"/>
                </a:solidFill>
                <a:latin typeface="Times New Roman"/>
                <a:cs typeface="Times New Roman"/>
              </a:rPr>
              <a:t>юни </a:t>
            </a:r>
            <a:r>
              <a:rPr lang="bg-BG" sz="1000" b="1" i="0" u="none" strike="noStrike" baseline="0">
                <a:solidFill>
                  <a:srgbClr val="000000"/>
                </a:solidFill>
                <a:latin typeface="Times New Roman"/>
                <a:cs typeface="Times New Roman"/>
              </a:rPr>
              <a:t> </a:t>
            </a:r>
            <a:r>
              <a:rPr lang="bg-BG" sz="1000" b="1" i="0" u="none" strike="noStrike" kern="1200" baseline="0">
                <a:solidFill>
                  <a:srgbClr val="000000"/>
                </a:solidFill>
                <a:latin typeface="Times New Roman"/>
                <a:cs typeface="Times New Roman"/>
              </a:rPr>
              <a:t>2025</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г. и </a:t>
            </a:r>
            <a:r>
              <a:rPr lang="en-US" sz="1000" b="1" i="0" u="none" strike="noStrike" kern="1200" baseline="0">
                <a:solidFill>
                  <a:srgbClr val="000000"/>
                </a:solidFill>
                <a:latin typeface="Times New Roman"/>
                <a:cs typeface="Times New Roman"/>
              </a:rPr>
              <a:t>202</a:t>
            </a:r>
            <a:r>
              <a:rPr lang="bg-BG" sz="1000" b="1" i="0" u="none" strike="noStrike" kern="1200" baseline="0">
                <a:solidFill>
                  <a:srgbClr val="000000"/>
                </a:solidFill>
                <a:latin typeface="Times New Roman"/>
                <a:cs typeface="Times New Roman"/>
              </a:rPr>
              <a:t>6</a:t>
            </a:r>
            <a:r>
              <a:rPr lang="en-US" sz="1000" b="1" i="0" u="none" strike="noStrike" baseline="0">
                <a:solidFill>
                  <a:srgbClr val="000000"/>
                </a:solidFill>
                <a:latin typeface="Times New Roman"/>
                <a:cs typeface="Times New Roman"/>
              </a:rPr>
              <a:t> г.</a:t>
            </a:r>
          </a:p>
        </c:rich>
      </c:tx>
      <c:layout>
        <c:manualLayout>
          <c:xMode val="edge"/>
          <c:yMode val="edge"/>
          <c:x val="0.20118264226098204"/>
          <c:y val="1.05446002923104E-3"/>
        </c:manualLayout>
      </c:layout>
      <c:overlay val="0"/>
      <c:spPr>
        <a:noFill/>
        <a:ln w="25398">
          <a:noFill/>
        </a:ln>
      </c:spPr>
    </c:title>
    <c:autoTitleDeleted val="0"/>
    <c:view3D>
      <c:rotX val="24"/>
      <c:rotY val="40"/>
      <c:depthPercent val="100"/>
      <c:rAngAx val="1"/>
    </c:view3D>
    <c:floor>
      <c:thickness val="0"/>
      <c:spPr>
        <a:solidFill>
          <a:sysClr val="window" lastClr="FFFFFF"/>
        </a:solidFill>
        <a:ln w="3175">
          <a:noFill/>
          <a:prstDash val="solid"/>
        </a:ln>
      </c:spPr>
    </c:floor>
    <c:sideWall>
      <c:thickness val="0"/>
      <c:spPr>
        <a:noFill/>
        <a:ln>
          <a:solidFill>
            <a:sysClr val="window" lastClr="FFFFFF">
              <a:lumMod val="75000"/>
            </a:sysClr>
          </a:solidFill>
        </a:ln>
      </c:spPr>
    </c:sideWall>
    <c:backWall>
      <c:thickness val="0"/>
      <c:spPr>
        <a:noFill/>
        <a:ln>
          <a:solidFill>
            <a:sysClr val="window" lastClr="FFFFFF">
              <a:lumMod val="75000"/>
            </a:sysClr>
          </a:solidFill>
        </a:ln>
      </c:spPr>
    </c:backWall>
    <c:plotArea>
      <c:layout>
        <c:manualLayout>
          <c:layoutTarget val="inner"/>
          <c:xMode val="edge"/>
          <c:yMode val="edge"/>
          <c:x val="0.25095340355182877"/>
          <c:y val="0.14577781142741791"/>
          <c:w val="0.69015203420858928"/>
          <c:h val="0.70997457994915991"/>
        </c:manualLayout>
      </c:layout>
      <c:bar3DChart>
        <c:barDir val="bar"/>
        <c:grouping val="clustered"/>
        <c:varyColors val="0"/>
        <c:ser>
          <c:idx val="1"/>
          <c:order val="0"/>
          <c:tx>
            <c:strRef>
              <c:f>data!$C$1</c:f>
              <c:strCache>
                <c:ptCount val="1"/>
                <c:pt idx="0">
                  <c:v> юни 2026 г.</c:v>
                </c:pt>
              </c:strCache>
            </c:strRef>
          </c:tx>
          <c:spPr>
            <a:pattFill prst="pct80">
              <a:fgClr>
                <a:srgbClr val="C0C0C0"/>
              </a:fgClr>
              <a:bgClr>
                <a:srgbClr val="993366"/>
              </a:bgClr>
            </a:pattFill>
            <a:ln w="12699">
              <a:solidFill>
                <a:srgbClr val="000000"/>
              </a:solidFill>
              <a:prstDash val="solid"/>
            </a:ln>
          </c:spPr>
          <c:invertIfNegative val="0"/>
          <c:dLbls>
            <c:dLbl>
              <c:idx val="0"/>
              <c:layout>
                <c:manualLayout>
                  <c:x val="1.7422379058804942E-2"/>
                  <c:y val="-9.928152920278904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2E-4FCF-915E-08EF42AA929E}"/>
                </c:ext>
              </c:extLst>
            </c:dLbl>
            <c:dLbl>
              <c:idx val="1"/>
              <c:layout>
                <c:manualLayout>
                  <c:x val="4.5585447652376834E-3"/>
                  <c:y val="-1.1458142586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2E-4FCF-915E-08EF42AA929E}"/>
                </c:ext>
              </c:extLst>
            </c:dLbl>
            <c:dLbl>
              <c:idx val="2"/>
              <c:layout>
                <c:manualLayout>
                  <c:x val="1.2604221002343161E-2"/>
                  <c:y val="2.667166604174529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2E-4FCF-915E-08EF42AA929E}"/>
                </c:ext>
              </c:extLst>
            </c:dLbl>
            <c:dLbl>
              <c:idx val="3"/>
              <c:layout>
                <c:manualLayout>
                  <c:x val="8.0929432315943375E-3"/>
                  <c:y val="-1.06609401097590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2E-4FCF-915E-08EF42AA929E}"/>
                </c:ext>
              </c:extLst>
            </c:dLbl>
            <c:dLbl>
              <c:idx val="4"/>
              <c:layout>
                <c:manualLayout>
                  <c:x val="2.3125925238610349E-2"/>
                  <c:y val="-1.8085892418365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2E-4FCF-915E-08EF42AA929E}"/>
                </c:ext>
              </c:extLst>
            </c:dLbl>
            <c:dLbl>
              <c:idx val="5"/>
              <c:layout>
                <c:manualLayout>
                  <c:xMode val="edge"/>
                  <c:yMode val="edge"/>
                  <c:x val="0.8603834908766835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2E-4FCF-915E-08EF42AA929E}"/>
                </c:ext>
              </c:extLst>
            </c:dLbl>
            <c:dLbl>
              <c:idx val="6"/>
              <c:layout>
                <c:manualLayout>
                  <c:xMode val="edge"/>
                  <c:yMode val="edge"/>
                  <c:x val="0.8603834908766835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2E-4FCF-915E-08EF42AA929E}"/>
                </c:ext>
              </c:extLst>
            </c:dLbl>
            <c:numFmt formatCode="#,##0.0" sourceLinked="0"/>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data!$C$3:$C$6</c:f>
              <c:numCache>
                <c:formatCode>#,#00.0</c:formatCode>
                <c:ptCount val="4"/>
                <c:pt idx="0">
                  <c:v>21573.826729999997</c:v>
                </c:pt>
                <c:pt idx="1">
                  <c:v>17799.133837999998</c:v>
                </c:pt>
                <c:pt idx="2">
                  <c:v>2661.6527370000003</c:v>
                </c:pt>
                <c:pt idx="3">
                  <c:v>1113.0401549999999</c:v>
                </c:pt>
              </c:numCache>
            </c:numRef>
          </c:val>
          <c:extLst>
            <c:ext xmlns:c16="http://schemas.microsoft.com/office/drawing/2014/chart" uri="{C3380CC4-5D6E-409C-BE32-E72D297353CC}">
              <c16:uniqueId val="{00000007-7C2E-4FCF-915E-08EF42AA929E}"/>
            </c:ext>
          </c:extLst>
        </c:ser>
        <c:ser>
          <c:idx val="0"/>
          <c:order val="1"/>
          <c:tx>
            <c:strRef>
              <c:f>data!$B$1</c:f>
              <c:strCache>
                <c:ptCount val="1"/>
                <c:pt idx="0">
                  <c:v> юни 2025 г.</c:v>
                </c:pt>
              </c:strCache>
            </c:strRef>
          </c:tx>
          <c:spPr>
            <a:pattFill prst="pct80">
              <a:fgClr>
                <a:srgbClr val="000000"/>
              </a:fgClr>
              <a:bgClr>
                <a:sysClr val="window" lastClr="FFFFFF"/>
              </a:bgClr>
            </a:pattFill>
            <a:ln w="12699">
              <a:solidFill>
                <a:srgbClr val="000000"/>
              </a:solidFill>
              <a:prstDash val="solid"/>
            </a:ln>
          </c:spPr>
          <c:invertIfNegative val="0"/>
          <c:dLbls>
            <c:dLbl>
              <c:idx val="0"/>
              <c:layout>
                <c:manualLayout>
                  <c:x val="1.2627753917124E-2"/>
                  <c:y val="-1.9986800341818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2E-4FCF-915E-08EF42AA929E}"/>
                </c:ext>
              </c:extLst>
            </c:dLbl>
            <c:dLbl>
              <c:idx val="1"/>
              <c:layout>
                <c:manualLayout>
                  <c:x val="1.1606385376070541E-2"/>
                  <c:y val="-3.35359061222000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C2E-4FCF-915E-08EF42AA929E}"/>
                </c:ext>
              </c:extLst>
            </c:dLbl>
            <c:dLbl>
              <c:idx val="2"/>
              <c:layout>
                <c:manualLayout>
                  <c:x val="9.1593598118849696E-3"/>
                  <c:y val="-3.13707215169536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C2E-4FCF-915E-08EF42AA929E}"/>
                </c:ext>
              </c:extLst>
            </c:dLbl>
            <c:dLbl>
              <c:idx val="3"/>
              <c:layout>
                <c:manualLayout>
                  <c:x val="1.0275897787024155E-2"/>
                  <c:y val="-2.29493535530280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C2E-4FCF-915E-08EF42AA929E}"/>
                </c:ext>
              </c:extLst>
            </c:dLbl>
            <c:dLbl>
              <c:idx val="4"/>
              <c:layout>
                <c:manualLayout>
                  <c:x val="8.090605209302942E-3"/>
                  <c:y val="-1.2366513447686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C2E-4FCF-915E-08EF42AA929E}"/>
                </c:ext>
              </c:extLst>
            </c:dLbl>
            <c:dLbl>
              <c:idx val="5"/>
              <c:layout>
                <c:manualLayout>
                  <c:xMode val="edge"/>
                  <c:yMode val="edge"/>
                  <c:x val="0.8603834908766835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C2E-4FCF-915E-08EF42AA929E}"/>
                </c:ext>
              </c:extLst>
            </c:dLbl>
            <c:dLbl>
              <c:idx val="6"/>
              <c:layout>
                <c:manualLayout>
                  <c:xMode val="edge"/>
                  <c:yMode val="edge"/>
                  <c:x val="7.1599180932872524E-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C2E-4FCF-915E-08EF42AA929E}"/>
                </c:ext>
              </c:extLst>
            </c:dLbl>
            <c:numFmt formatCode="#,##0.0" sourceLinked="0"/>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data!$B$3:$B$6</c:f>
              <c:numCache>
                <c:formatCode>#,#00.0</c:formatCode>
                <c:ptCount val="4"/>
                <c:pt idx="0">
                  <c:v>19951.903261530908</c:v>
                </c:pt>
                <c:pt idx="1">
                  <c:v>16294.336535895245</c:v>
                </c:pt>
                <c:pt idx="2">
                  <c:v>2953.6989963340375</c:v>
                </c:pt>
                <c:pt idx="3">
                  <c:v>703.86772930162647</c:v>
                </c:pt>
              </c:numCache>
            </c:numRef>
          </c:val>
          <c:extLst>
            <c:ext xmlns:c16="http://schemas.microsoft.com/office/drawing/2014/chart" uri="{C3380CC4-5D6E-409C-BE32-E72D297353CC}">
              <c16:uniqueId val="{0000000F-7C2E-4FCF-915E-08EF42AA929E}"/>
            </c:ext>
          </c:extLst>
        </c:ser>
        <c:dLbls>
          <c:showLegendKey val="0"/>
          <c:showVal val="0"/>
          <c:showCatName val="0"/>
          <c:showSerName val="0"/>
          <c:showPercent val="0"/>
          <c:showBubbleSize val="0"/>
        </c:dLbls>
        <c:gapWidth val="150"/>
        <c:gapDepth val="273"/>
        <c:shape val="cylinder"/>
        <c:axId val="292920704"/>
        <c:axId val="292926592"/>
        <c:axId val="0"/>
      </c:bar3DChart>
      <c:catAx>
        <c:axId val="292920704"/>
        <c:scaling>
          <c:orientation val="minMax"/>
        </c:scaling>
        <c:delete val="0"/>
        <c:axPos val="l"/>
        <c:numFmt formatCode="General" sourceLinked="1"/>
        <c:majorTickMark val="out"/>
        <c:minorTickMark val="none"/>
        <c:tickLblPos val="low"/>
        <c:spPr>
          <a:ln w="9524">
            <a:noFill/>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292926592"/>
        <c:crosses val="autoZero"/>
        <c:auto val="1"/>
        <c:lblAlgn val="ctr"/>
        <c:lblOffset val="100"/>
        <c:noMultiLvlLbl val="0"/>
      </c:catAx>
      <c:valAx>
        <c:axId val="292926592"/>
        <c:scaling>
          <c:orientation val="minMax"/>
        </c:scaling>
        <c:delete val="0"/>
        <c:axPos val="b"/>
        <c:majorGridlines>
          <c:spPr>
            <a:ln w="3175">
              <a:solidFill>
                <a:sysClr val="window" lastClr="FFFFFF">
                  <a:lumMod val="85000"/>
                </a:sysClr>
              </a:solidFill>
              <a:prstDash val="solid"/>
            </a:ln>
          </c:spPr>
        </c:majorGridlines>
        <c:title>
          <c:tx>
            <c:rich>
              <a:bodyPr/>
              <a:lstStyle/>
              <a:p>
                <a:pPr>
                  <a:defRPr sz="900" b="1" i="0" u="none" strike="noStrike" baseline="0">
                    <a:solidFill>
                      <a:srgbClr val="000000"/>
                    </a:solidFill>
                    <a:latin typeface="Times New Roman"/>
                    <a:ea typeface="Times New Roman"/>
                    <a:cs typeface="Times New Roman"/>
                  </a:defRPr>
                </a:pPr>
                <a:r>
                  <a:rPr lang="bg-BG"/>
                  <a:t>млн. евро</a:t>
                </a:r>
              </a:p>
            </c:rich>
          </c:tx>
          <c:layout>
            <c:manualLayout>
              <c:xMode val="edge"/>
              <c:yMode val="edge"/>
              <c:x val="0.91324272509414584"/>
              <c:y val="0.92457285581237825"/>
            </c:manualLayout>
          </c:layout>
          <c:overlay val="0"/>
          <c:spPr>
            <a:noFill/>
            <a:ln w="25398">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292920704"/>
        <c:crosses val="autoZero"/>
        <c:crossBetween val="between"/>
      </c:valAx>
      <c:spPr>
        <a:noFill/>
        <a:ln>
          <a:noFill/>
        </a:ln>
      </c:spPr>
    </c:plotArea>
    <c:legend>
      <c:legendPos val="r"/>
      <c:layout>
        <c:manualLayout>
          <c:xMode val="edge"/>
          <c:yMode val="edge"/>
          <c:x val="6.9073947278329327E-3"/>
          <c:y val="0.87270298873931074"/>
          <c:w val="0.14668503937007876"/>
          <c:h val="0.12342223351113368"/>
        </c:manualLayout>
      </c:layout>
      <c:overlay val="0"/>
      <c:spPr>
        <a:solidFill>
          <a:srgbClr val="FFFFFF"/>
        </a:solidFill>
        <a:ln w="3175">
          <a:solidFill>
            <a:srgbClr val="000000"/>
          </a:solidFill>
          <a:prstDash val="solid"/>
        </a:ln>
      </c:spPr>
      <c:txPr>
        <a:bodyPr/>
        <a:lstStyle/>
        <a:p>
          <a:pPr>
            <a:defRPr sz="69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Times New Roman"/>
                <a:ea typeface="Times New Roman"/>
                <a:cs typeface="Times New Roman"/>
              </a:defRPr>
            </a:pPr>
            <a:r>
              <a:rPr lang="bg-BG" sz="1000"/>
              <a:t>Разходи по консолидираната фискална програма </a:t>
            </a:r>
            <a:r>
              <a:rPr lang="bg-BG" sz="1000" b="1" i="0" u="none" strike="noStrike" kern="1200" baseline="0">
                <a:solidFill>
                  <a:srgbClr val="000000"/>
                </a:solidFill>
                <a:latin typeface="Times New Roman"/>
                <a:cs typeface="Times New Roman"/>
              </a:rPr>
              <a:t>към юни 2025 </a:t>
            </a:r>
            <a:r>
              <a:rPr lang="bg-BG" sz="1000"/>
              <a:t>г. и </a:t>
            </a:r>
            <a:r>
              <a:rPr lang="bg-BG" sz="1000" b="1" i="0" u="none" strike="noStrike" kern="1200" baseline="0">
                <a:solidFill>
                  <a:srgbClr val="000000"/>
                </a:solidFill>
                <a:latin typeface="Times New Roman"/>
                <a:cs typeface="Times New Roman"/>
              </a:rPr>
              <a:t>202</a:t>
            </a:r>
            <a:r>
              <a:rPr lang="en-US" sz="1000" b="1" i="0" u="none" strike="noStrike" kern="1200" baseline="0">
                <a:solidFill>
                  <a:srgbClr val="000000"/>
                </a:solidFill>
                <a:latin typeface="Times New Roman"/>
                <a:cs typeface="Times New Roman"/>
              </a:rPr>
              <a:t>6</a:t>
            </a:r>
            <a:r>
              <a:rPr lang="bg-BG" sz="1000"/>
              <a:t> г. </a:t>
            </a:r>
          </a:p>
        </c:rich>
      </c:tx>
      <c:layout>
        <c:manualLayout>
          <c:xMode val="edge"/>
          <c:yMode val="edge"/>
          <c:x val="0.16410406246389012"/>
          <c:y val="3.585301837270342E-3"/>
        </c:manualLayout>
      </c:layout>
      <c:overlay val="0"/>
      <c:spPr>
        <a:noFill/>
        <a:ln w="25399">
          <a:noFill/>
        </a:ln>
      </c:spPr>
    </c:title>
    <c:autoTitleDeleted val="0"/>
    <c:view3D>
      <c:rotX val="30"/>
      <c:hPercent val="41"/>
      <c:rotY val="40"/>
      <c:depthPercent val="100"/>
      <c:rAngAx val="1"/>
    </c:view3D>
    <c:floor>
      <c:thickness val="0"/>
      <c:spPr>
        <a:solidFill>
          <a:sysClr val="window" lastClr="FFFFFF">
            <a:lumMod val="95000"/>
          </a:sysClr>
        </a:solidFill>
        <a:ln w="3175">
          <a:noFill/>
          <a:prstDash val="solid"/>
        </a:ln>
      </c:spPr>
    </c:floor>
    <c:sideWall>
      <c:thickness val="0"/>
      <c:spPr>
        <a:solidFill>
          <a:sysClr val="window" lastClr="FFFFFF"/>
        </a:solidFill>
        <a:ln w="3175">
          <a:solidFill>
            <a:srgbClr val="FFFFFF"/>
          </a:solidFill>
          <a:prstDash val="solid"/>
        </a:ln>
      </c:spPr>
    </c:sideWall>
    <c:backWall>
      <c:thickness val="0"/>
      <c:spPr>
        <a:solidFill>
          <a:sysClr val="window" lastClr="FFFFFF"/>
        </a:solidFill>
        <a:ln w="3175">
          <a:solidFill>
            <a:srgbClr val="FFFFFF"/>
          </a:solidFill>
          <a:prstDash val="solid"/>
        </a:ln>
      </c:spPr>
    </c:backWall>
    <c:plotArea>
      <c:layout>
        <c:manualLayout>
          <c:layoutTarget val="inner"/>
          <c:xMode val="edge"/>
          <c:yMode val="edge"/>
          <c:x val="9.9884653447322863E-2"/>
          <c:y val="0.16291722759747282"/>
          <c:w val="0.89802255960123512"/>
          <c:h val="0.58336868408054166"/>
        </c:manualLayout>
      </c:layout>
      <c:bar3DChart>
        <c:barDir val="col"/>
        <c:grouping val="clustered"/>
        <c:varyColors val="0"/>
        <c:ser>
          <c:idx val="0"/>
          <c:order val="0"/>
          <c:tx>
            <c:strRef>
              <c:f>data!$B$1</c:f>
              <c:strCache>
                <c:ptCount val="1"/>
                <c:pt idx="0">
                  <c:v>юни 2025 г.</c:v>
                </c:pt>
              </c:strCache>
            </c:strRef>
          </c:tx>
          <c:spPr>
            <a:pattFill prst="pct5">
              <a:fgClr>
                <a:srgbClr val="000000"/>
              </a:fgClr>
              <a:bgClr>
                <a:sysClr val="windowText" lastClr="000000">
                  <a:lumMod val="65000"/>
                  <a:lumOff val="35000"/>
                </a:sysClr>
              </a:bgClr>
            </a:pattFill>
            <a:ln w="12700">
              <a:solidFill>
                <a:srgbClr val="000000"/>
              </a:solidFill>
              <a:prstDash val="solid"/>
            </a:ln>
          </c:spPr>
          <c:invertIfNegative val="0"/>
          <c:dLbls>
            <c:dLbl>
              <c:idx val="0"/>
              <c:layout>
                <c:manualLayout>
                  <c:x val="7.3754921259844451E-3"/>
                  <c:y val="0.177831851663703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833-4113-9A7D-E5F901AD7A56}"/>
                </c:ext>
              </c:extLst>
            </c:dLbl>
            <c:dLbl>
              <c:idx val="1"/>
              <c:layout>
                <c:manualLayout>
                  <c:x val="6.1202427821523912E-3"/>
                  <c:y val="0.16377106087545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833-4113-9A7D-E5F901AD7A56}"/>
                </c:ext>
              </c:extLst>
            </c:dLbl>
            <c:dLbl>
              <c:idx val="2"/>
              <c:layout>
                <c:manualLayout>
                  <c:x val="2.7818241469817085E-3"/>
                  <c:y val="-3.33191093048852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833-4113-9A7D-E5F901AD7A56}"/>
                </c:ext>
              </c:extLst>
            </c:dLbl>
            <c:dLbl>
              <c:idx val="3"/>
              <c:layout>
                <c:manualLayout>
                  <c:x val="1.0317257217847769E-2"/>
                  <c:y val="-2.0692236051138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833-4113-9A7D-E5F901AD7A56}"/>
                </c:ext>
              </c:extLst>
            </c:dLbl>
            <c:dLbl>
              <c:idx val="4"/>
              <c:layout>
                <c:manualLayout>
                  <c:x val="1.6023129921259843E-2"/>
                  <c:y val="-3.35477097620861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833-4113-9A7D-E5F901AD7A56}"/>
                </c:ext>
              </c:extLst>
            </c:dLbl>
            <c:dLbl>
              <c:idx val="5"/>
              <c:layout>
                <c:manualLayout>
                  <c:x val="1.8415952722890771E-2"/>
                  <c:y val="-2.63831742517596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833-4113-9A7D-E5F901AD7A56}"/>
                </c:ext>
              </c:extLst>
            </c:dLbl>
            <c:dLbl>
              <c:idx val="6"/>
              <c:layout>
                <c:manualLayout>
                  <c:xMode val="edge"/>
                  <c:yMode val="edge"/>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833-4113-9A7D-E5F901AD7A56}"/>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 тек.
и капит. трансф. за чужбина</c:v>
                </c:pt>
                <c:pt idx="3">
                  <c:v>Капиталови разходи*</c:v>
                </c:pt>
                <c:pt idx="4">
                  <c:v>Лихви</c:v>
                </c:pt>
                <c:pt idx="5">
                  <c:v>Вноска в бюджета на  ЕС</c:v>
                </c:pt>
              </c:strCache>
            </c:strRef>
          </c:cat>
          <c:val>
            <c:numRef>
              <c:f>data!$B$3:$B$8</c:f>
              <c:numCache>
                <c:formatCode>#,##0.0</c:formatCode>
                <c:ptCount val="6"/>
                <c:pt idx="0">
                  <c:v>21667.394770506642</c:v>
                </c:pt>
                <c:pt idx="1">
                  <c:v>18713.24098975883</c:v>
                </c:pt>
                <c:pt idx="2">
                  <c:v>16.210107217907488</c:v>
                </c:pt>
                <c:pt idx="3">
                  <c:v>2053.4062965595167</c:v>
                </c:pt>
                <c:pt idx="4">
                  <c:v>363.66258008109094</c:v>
                </c:pt>
                <c:pt idx="5">
                  <c:v>520.87479688930023</c:v>
                </c:pt>
              </c:numCache>
            </c:numRef>
          </c:val>
          <c:extLst>
            <c:ext xmlns:c16="http://schemas.microsoft.com/office/drawing/2014/chart" uri="{C3380CC4-5D6E-409C-BE32-E72D297353CC}">
              <c16:uniqueId val="{00000007-1833-4113-9A7D-E5F901AD7A56}"/>
            </c:ext>
          </c:extLst>
        </c:ser>
        <c:ser>
          <c:idx val="1"/>
          <c:order val="1"/>
          <c:tx>
            <c:strRef>
              <c:f>data!$C$1</c:f>
              <c:strCache>
                <c:ptCount val="1"/>
                <c:pt idx="0">
                  <c:v>юни 2026 г.</c:v>
                </c:pt>
              </c:strCache>
            </c:strRef>
          </c:tx>
          <c:spPr>
            <a:pattFill prst="pct80">
              <a:fgClr>
                <a:srgbClr val="C0C0C0"/>
              </a:fgClr>
              <a:bgClr>
                <a:sysClr val="windowText" lastClr="000000">
                  <a:lumMod val="65000"/>
                  <a:lumOff val="35000"/>
                </a:sysClr>
              </a:bgClr>
            </a:pattFill>
            <a:ln w="12700">
              <a:solidFill>
                <a:srgbClr val="000000"/>
              </a:solidFill>
              <a:prstDash val="solid"/>
            </a:ln>
          </c:spPr>
          <c:invertIfNegative val="0"/>
          <c:dLbls>
            <c:dLbl>
              <c:idx val="0"/>
              <c:layout>
                <c:manualLayout>
                  <c:x val="9.3784974991333626E-3"/>
                  <c:y val="0.177014152300729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833-4113-9A7D-E5F901AD7A56}"/>
                </c:ext>
              </c:extLst>
            </c:dLbl>
            <c:dLbl>
              <c:idx val="1"/>
              <c:layout>
                <c:manualLayout>
                  <c:x val="9.8586969081694981E-3"/>
                  <c:y val="0.175726755085846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833-4113-9A7D-E5F901AD7A56}"/>
                </c:ext>
              </c:extLst>
            </c:dLbl>
            <c:dLbl>
              <c:idx val="2"/>
              <c:layout>
                <c:manualLayout>
                  <c:x val="1.3761646981627297E-2"/>
                  <c:y val="-2.7850309033951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833-4113-9A7D-E5F901AD7A56}"/>
                </c:ext>
              </c:extLst>
            </c:dLbl>
            <c:dLbl>
              <c:idx val="3"/>
              <c:layout>
                <c:manualLayout>
                  <c:x val="1.1285428944023429E-2"/>
                  <c:y val="-1.8377202849643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833-4113-9A7D-E5F901AD7A56}"/>
                </c:ext>
              </c:extLst>
            </c:dLbl>
            <c:dLbl>
              <c:idx val="4"/>
              <c:layout>
                <c:manualLayout>
                  <c:x val="2.7460301837270402E-2"/>
                  <c:y val="-4.79061891457121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833-4113-9A7D-E5F901AD7A56}"/>
                </c:ext>
              </c:extLst>
            </c:dLbl>
            <c:dLbl>
              <c:idx val="5"/>
              <c:layout>
                <c:manualLayout>
                  <c:x val="3.0156260750382247E-2"/>
                  <c:y val="-2.8191126375121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833-4113-9A7D-E5F901AD7A56}"/>
                </c:ext>
              </c:extLst>
            </c:dLbl>
            <c:dLbl>
              <c:idx val="6"/>
              <c:layout>
                <c:manualLayout>
                  <c:xMode val="edge"/>
                  <c:yMode val="edge"/>
                  <c:x val="0.9300813008130081"/>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833-4113-9A7D-E5F901AD7A56}"/>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 тек.
и капит. трансф. за чужбина</c:v>
                </c:pt>
                <c:pt idx="3">
                  <c:v>Капиталови разходи*</c:v>
                </c:pt>
                <c:pt idx="4">
                  <c:v>Лихви</c:v>
                </c:pt>
                <c:pt idx="5">
                  <c:v>Вноска в бюджета на  ЕС</c:v>
                </c:pt>
              </c:strCache>
            </c:strRef>
          </c:cat>
          <c:val>
            <c:numRef>
              <c:f>data!$C$3:$C$8</c:f>
              <c:numCache>
                <c:formatCode>#,##0.0</c:formatCode>
                <c:ptCount val="6"/>
                <c:pt idx="0">
                  <c:v>23990.036662000002</c:v>
                </c:pt>
                <c:pt idx="1">
                  <c:v>20508.812987000001</c:v>
                </c:pt>
                <c:pt idx="2">
                  <c:v>15.550469</c:v>
                </c:pt>
                <c:pt idx="3" formatCode="#,##0.0_ ;\-#,##0.0\ ">
                  <c:v>2388.6696029999998</c:v>
                </c:pt>
                <c:pt idx="4">
                  <c:v>516.74015799999995</c:v>
                </c:pt>
                <c:pt idx="5">
                  <c:v>560.26344500000005</c:v>
                </c:pt>
              </c:numCache>
            </c:numRef>
          </c:val>
          <c:extLst>
            <c:ext xmlns:c16="http://schemas.microsoft.com/office/drawing/2014/chart" uri="{C3380CC4-5D6E-409C-BE32-E72D297353CC}">
              <c16:uniqueId val="{0000000F-1833-4113-9A7D-E5F901AD7A56}"/>
            </c:ext>
          </c:extLst>
        </c:ser>
        <c:dLbls>
          <c:showLegendKey val="0"/>
          <c:showVal val="0"/>
          <c:showCatName val="0"/>
          <c:showSerName val="0"/>
          <c:showPercent val="0"/>
          <c:showBubbleSize val="0"/>
        </c:dLbls>
        <c:gapWidth val="150"/>
        <c:shape val="cylinder"/>
        <c:axId val="296740736"/>
        <c:axId val="296742272"/>
        <c:axId val="0"/>
      </c:bar3DChart>
      <c:catAx>
        <c:axId val="296740736"/>
        <c:scaling>
          <c:orientation val="minMax"/>
        </c:scaling>
        <c:delete val="0"/>
        <c:axPos val="b"/>
        <c:numFmt formatCode="General" sourceLinked="1"/>
        <c:majorTickMark val="out"/>
        <c:minorTickMark val="none"/>
        <c:tickLblPos val="low"/>
        <c:spPr>
          <a:ln w="9525">
            <a:noFill/>
          </a:ln>
        </c:spPr>
        <c:txPr>
          <a:bodyPr rot="0" vert="horz"/>
          <a:lstStyle/>
          <a:p>
            <a:pPr>
              <a:defRPr sz="990" b="1" i="0" u="none" strike="noStrike" baseline="2000">
                <a:solidFill>
                  <a:srgbClr val="000000"/>
                </a:solidFill>
                <a:latin typeface="Times New Roman"/>
                <a:ea typeface="Times New Roman"/>
                <a:cs typeface="Times New Roman"/>
              </a:defRPr>
            </a:pPr>
            <a:endParaRPr lang="bg-BG"/>
          </a:p>
        </c:txPr>
        <c:crossAx val="296742272"/>
        <c:crosses val="autoZero"/>
        <c:auto val="1"/>
        <c:lblAlgn val="ctr"/>
        <c:lblOffset val="100"/>
        <c:tickMarkSkip val="1"/>
        <c:noMultiLvlLbl val="0"/>
      </c:catAx>
      <c:valAx>
        <c:axId val="296742272"/>
        <c:scaling>
          <c:orientation val="minMax"/>
        </c:scaling>
        <c:delete val="0"/>
        <c:axPos val="l"/>
        <c:majorGridlines>
          <c:spPr>
            <a:ln>
              <a:solidFill>
                <a:sysClr val="window" lastClr="FFFFFF">
                  <a:lumMod val="75000"/>
                </a:sysClr>
              </a:solidFill>
            </a:ln>
          </c:spPr>
        </c:majorGridlines>
        <c:minorGridlines>
          <c:spPr>
            <a:ln>
              <a:noFill/>
            </a:ln>
          </c:spPr>
        </c:minorGridlines>
        <c:title>
          <c:tx>
            <c:rich>
              <a:bodyPr rot="0" vert="horz"/>
              <a:lstStyle/>
              <a:p>
                <a:pPr algn="ctr">
                  <a:defRPr sz="900" b="1" i="0" u="none" strike="noStrike" baseline="0">
                    <a:solidFill>
                      <a:srgbClr val="000000"/>
                    </a:solidFill>
                    <a:latin typeface="Times New Roman"/>
                    <a:ea typeface="Times New Roman"/>
                    <a:cs typeface="Times New Roman"/>
                  </a:defRPr>
                </a:pPr>
                <a:r>
                  <a:rPr lang="bg-BG"/>
                  <a:t>млн. евро</a:t>
                </a:r>
              </a:p>
            </c:rich>
          </c:tx>
          <c:layout>
            <c:manualLayout>
              <c:xMode val="edge"/>
              <c:yMode val="edge"/>
              <c:x val="1.3654582584490938E-2"/>
              <c:y val="4.0384112502542341E-2"/>
            </c:manualLayout>
          </c:layout>
          <c:overlay val="0"/>
          <c:spPr>
            <a:noFill/>
            <a:ln w="25399">
              <a:noFill/>
            </a:ln>
          </c:spPr>
        </c:title>
        <c:numFmt formatCode="#,##0.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296740736"/>
        <c:crosses val="autoZero"/>
        <c:crossBetween val="between"/>
      </c:valAx>
      <c:spPr>
        <a:noFill/>
        <a:ln w="25399">
          <a:noFill/>
        </a:ln>
      </c:spPr>
    </c:plotArea>
    <c:legend>
      <c:legendPos val="r"/>
      <c:legendEntry>
        <c:idx val="0"/>
        <c:txPr>
          <a:bodyPr/>
          <a:lstStyle/>
          <a:p>
            <a:pPr>
              <a:defRPr sz="70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0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6.2893081761007516E-3"/>
          <c:y val="0.91250477411253827"/>
          <c:w val="0.13829049670677956"/>
          <c:h val="8.7496437945256841E-2"/>
        </c:manualLayout>
      </c:layout>
      <c:overlay val="0"/>
      <c:spPr>
        <a:solidFill>
          <a:srgbClr val="FFFFFF"/>
        </a:solidFill>
        <a:ln w="3175">
          <a:solidFill>
            <a:srgbClr val="000000"/>
          </a:solidFill>
          <a:prstDash val="solid"/>
        </a:ln>
      </c:spPr>
      <c:txPr>
        <a:bodyPr/>
        <a:lstStyle/>
        <a:p>
          <a:pPr>
            <a:defRPr sz="70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bg-BG"/>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68449451055100907"/>
        </c:manualLayout>
      </c:layout>
      <c:barChart>
        <c:barDir val="col"/>
        <c:grouping val="clustered"/>
        <c:varyColors val="0"/>
        <c:ser>
          <c:idx val="0"/>
          <c:order val="0"/>
          <c:tx>
            <c:strRef>
              <c:f>Sheet1!$B$36</c:f>
              <c:strCache>
                <c:ptCount val="1"/>
                <c:pt idx="0">
                  <c:v> юни 2025 г.</c:v>
                </c:pt>
              </c:strCache>
            </c:strRef>
          </c:tx>
          <c:spPr>
            <a:pattFill prst="pct5">
              <a:fgClr>
                <a:srgbClr val="FFFFFF"/>
              </a:fgClr>
              <a:bgClr>
                <a:srgbClr val="000000"/>
              </a:bgClr>
            </a:pattFill>
            <a:ln w="12683">
              <a:solidFill>
                <a:srgbClr val="000000"/>
              </a:solidFill>
              <a:prstDash val="solid"/>
            </a:ln>
          </c:spPr>
          <c:invertIfNegative val="0"/>
          <c:dLbls>
            <c:dLbl>
              <c:idx val="1"/>
              <c:layout>
                <c:manualLayout>
                  <c:x val="2.2760896779333104E-3"/>
                  <c:y val="4.300390905533313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87-4ED3-BBE0-CA43824C2131}"/>
                </c:ext>
              </c:extLst>
            </c:dLbl>
            <c:dLbl>
              <c:idx val="2"/>
              <c:layout>
                <c:manualLayout>
                  <c:x val="0"/>
                  <c:y val="-4.340277777777857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87-4ED3-BBE0-CA43824C2131}"/>
                </c:ext>
              </c:extLst>
            </c:dLbl>
            <c:dLbl>
              <c:idx val="3"/>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87-4ED3-BBE0-CA43824C2131}"/>
                </c:ext>
              </c:extLst>
            </c:dLbl>
            <c:dLbl>
              <c:idx val="5"/>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D87-4ED3-BBE0-CA43824C2131}"/>
                </c:ext>
              </c:extLst>
            </c:dLbl>
            <c:numFmt formatCode="#,##0.0" sourceLinked="0"/>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4700.6220622446745</c:v>
                </c:pt>
                <c:pt idx="1">
                  <c:v>2.2571179499240732</c:v>
                </c:pt>
                <c:pt idx="2">
                  <c:v>913.96810458986715</c:v>
                </c:pt>
                <c:pt idx="3">
                  <c:v>349.4506010236064</c:v>
                </c:pt>
                <c:pt idx="4">
                  <c:v>7612.5414320262998</c:v>
                </c:pt>
                <c:pt idx="5">
                  <c:v>520.87479688930023</c:v>
                </c:pt>
              </c:numCache>
            </c:numRef>
          </c:val>
          <c:extLst>
            <c:ext xmlns:c16="http://schemas.microsoft.com/office/drawing/2014/chart" uri="{C3380CC4-5D6E-409C-BE32-E72D297353CC}">
              <c16:uniqueId val="{00000004-AD87-4ED3-BBE0-CA43824C2131}"/>
            </c:ext>
          </c:extLst>
        </c:ser>
        <c:ser>
          <c:idx val="1"/>
          <c:order val="1"/>
          <c:tx>
            <c:strRef>
              <c:f>Sheet1!$C$36</c:f>
              <c:strCache>
                <c:ptCount val="1"/>
                <c:pt idx="0">
                  <c:v> юни 2026 г.</c:v>
                </c:pt>
              </c:strCache>
            </c:strRef>
          </c:tx>
          <c:spPr>
            <a:pattFill prst="smConfetti">
              <a:fgClr>
                <a:srgbClr val="333333"/>
              </a:fgClr>
              <a:bgClr>
                <a:srgbClr val="FFFFFF"/>
              </a:bgClr>
            </a:pattFill>
            <a:ln w="12683">
              <a:solidFill>
                <a:srgbClr val="000000"/>
              </a:solidFill>
              <a:prstDash val="solid"/>
            </a:ln>
          </c:spPr>
          <c:invertIfNegative val="0"/>
          <c:dLbls>
            <c:dLbl>
              <c:idx val="0"/>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87-4ED3-BBE0-CA43824C2131}"/>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87-4ED3-BBE0-CA43824C2131}"/>
                </c:ext>
              </c:extLst>
            </c:dLbl>
            <c:dLbl>
              <c:idx val="2"/>
              <c:layout>
                <c:manualLayout>
                  <c:x val="2.2504468494836203E-3"/>
                  <c:y val="-1.16011865704286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D87-4ED3-BBE0-CA43824C2131}"/>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D87-4ED3-BBE0-CA43824C2131}"/>
                </c:ext>
              </c:extLst>
            </c:dLbl>
            <c:dLbl>
              <c:idx val="4"/>
              <c:layout>
                <c:manualLayout>
                  <c:x val="2.5605112778449676E-3"/>
                  <c:y val="0.1606896966934294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D87-4ED3-BBE0-CA43824C2131}"/>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D87-4ED3-BBE0-CA43824C2131}"/>
                </c:ext>
              </c:extLst>
            </c:dLbl>
            <c:numFmt formatCode="#,##0.0" sourceLinked="0"/>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formatCode="#,##0.0">
                  <c:v>5079.9216929999993</c:v>
                </c:pt>
                <c:pt idx="1">
                  <c:v>1.8366449999999999</c:v>
                </c:pt>
                <c:pt idx="2">
                  <c:v>400.18624699999998</c:v>
                </c:pt>
                <c:pt idx="3">
                  <c:v>502.34433300000001</c:v>
                </c:pt>
                <c:pt idx="4" formatCode="#,##0.0">
                  <c:v>8166.1851549999992</c:v>
                </c:pt>
                <c:pt idx="5">
                  <c:v>560.26344500000005</c:v>
                </c:pt>
              </c:numCache>
            </c:numRef>
          </c:val>
          <c:extLst>
            <c:ext xmlns:c16="http://schemas.microsoft.com/office/drawing/2014/chart" uri="{C3380CC4-5D6E-409C-BE32-E72D297353CC}">
              <c16:uniqueId val="{0000000B-AD87-4ED3-BBE0-CA43824C2131}"/>
            </c:ext>
          </c:extLst>
        </c:ser>
        <c:dLbls>
          <c:showLegendKey val="0"/>
          <c:showVal val="0"/>
          <c:showCatName val="0"/>
          <c:showSerName val="0"/>
          <c:showPercent val="0"/>
          <c:showBubbleSize val="0"/>
        </c:dLbls>
        <c:gapWidth val="150"/>
        <c:axId val="296164736"/>
        <c:axId val="298779776"/>
      </c:barChart>
      <c:catAx>
        <c:axId val="296164736"/>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298779776"/>
        <c:crosses val="autoZero"/>
        <c:auto val="1"/>
        <c:lblAlgn val="ctr"/>
        <c:lblOffset val="100"/>
        <c:tickLblSkip val="1"/>
        <c:tickMarkSkip val="1"/>
        <c:noMultiLvlLbl val="0"/>
      </c:catAx>
      <c:valAx>
        <c:axId val="298779776"/>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евро)</a:t>
                </a:r>
              </a:p>
            </c:rich>
          </c:tx>
          <c:layout>
            <c:manualLayout>
              <c:xMode val="edge"/>
              <c:yMode val="edge"/>
              <c:x val="9.3198691529022576E-4"/>
              <c:y val="0.93341453652604278"/>
            </c:manualLayout>
          </c:layout>
          <c:overlay val="0"/>
          <c:spPr>
            <a:noFill/>
            <a:ln w="25367">
              <a:noFill/>
            </a:ln>
          </c:spPr>
        </c:title>
        <c:numFmt formatCode="#\ ##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296164736"/>
        <c:crosses val="autoZero"/>
        <c:crossBetween val="between"/>
      </c:valAx>
      <c:spPr>
        <a:solidFill>
          <a:srgbClr val="FFFFFF"/>
        </a:solidFill>
        <a:ln w="6350">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38042784974458832"/>
          <c:y val="0.91659665892376085"/>
          <c:w val="0.27736291028137611"/>
          <c:h val="8.2830786585230104E-2"/>
        </c:manualLayout>
      </c:layout>
      <c:overlay val="0"/>
      <c:spPr>
        <a:solidFill>
          <a:srgbClr val="FFFFFF"/>
        </a:solidFill>
        <a:ln w="3171">
          <a:solidFill>
            <a:sysClr val="window" lastClr="FFFFFF">
              <a:lumMod val="85000"/>
            </a:sysClr>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648CE-FB56-4CE5-8CB2-B13D23358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15569</Words>
  <Characters>82529</Characters>
  <Application>Microsoft Office Word</Application>
  <DocSecurity>0</DocSecurity>
  <Lines>687</Lines>
  <Paragraphs>195</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97903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Радина Христова</cp:lastModifiedBy>
  <cp:revision>2</cp:revision>
  <cp:lastPrinted>2026-05-05T08:11:00Z</cp:lastPrinted>
  <dcterms:created xsi:type="dcterms:W3CDTF">2026-10-07T08:16:00Z</dcterms:created>
  <dcterms:modified xsi:type="dcterms:W3CDTF">2026-10-07T08:16:00Z</dcterms:modified>
</cp:coreProperties>
</file>