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Default Extension="xlsx" ContentType="application/vnd.openxmlformats-officedocument.spreadsheetml.sheet"/>
  <Override PartName="/word/drawings/drawing1.xml" ContentType="application/vnd.openxmlformats-officedocument.drawingml.chartshapes+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theme/themeOverride3.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E15" w:rsidRPr="001A469D" w:rsidRDefault="00B14BE9" w:rsidP="008314D1">
      <w:pPr>
        <w:pStyle w:val="Title"/>
        <w:pBdr>
          <w:bottom w:val="double" w:sz="6" w:space="0" w:color="auto"/>
        </w:pBdr>
      </w:pPr>
      <w:r w:rsidRPr="001A469D">
        <w:rPr>
          <w:lang w:val="ru-RU"/>
        </w:rPr>
        <w:t xml:space="preserve"> </w:t>
      </w:r>
      <w:r w:rsidR="00063E15" w:rsidRPr="001A469D">
        <w:t>М И Н И С Т Е Р С Т В О   Н А   Ф И Н А Н С И Т Е</w:t>
      </w:r>
    </w:p>
    <w:p w:rsidR="005F7245" w:rsidRPr="001A469D" w:rsidRDefault="005F7245" w:rsidP="00063E15">
      <w:pPr>
        <w:rPr>
          <w:sz w:val="16"/>
          <w:szCs w:val="16"/>
        </w:rPr>
      </w:pPr>
    </w:p>
    <w:p w:rsidR="0019151C" w:rsidRPr="001A469D" w:rsidRDefault="0019151C" w:rsidP="0019151C"/>
    <w:p w:rsidR="00E10331" w:rsidRPr="001A469D" w:rsidRDefault="00E10331" w:rsidP="0019151C"/>
    <w:p w:rsidR="00E9260C" w:rsidRPr="001A469D" w:rsidRDefault="00E9260C" w:rsidP="009B536C">
      <w:pPr>
        <w:pStyle w:val="Heading1"/>
        <w:rPr>
          <w:sz w:val="24"/>
        </w:rPr>
      </w:pPr>
      <w:r w:rsidRPr="001A469D">
        <w:rPr>
          <w:sz w:val="24"/>
        </w:rPr>
        <w:t>ИНФОРМАЦИЯ</w:t>
      </w:r>
    </w:p>
    <w:p w:rsidR="00E9260C" w:rsidRPr="001A469D" w:rsidRDefault="00E9260C" w:rsidP="009B536C">
      <w:pPr>
        <w:jc w:val="center"/>
        <w:rPr>
          <w:b/>
          <w:bCs/>
        </w:rPr>
      </w:pPr>
      <w:r w:rsidRPr="001A469D">
        <w:rPr>
          <w:b/>
          <w:bCs/>
        </w:rPr>
        <w:t xml:space="preserve">ЗА </w:t>
      </w:r>
      <w:r w:rsidR="004E7BF8" w:rsidRPr="001A469D">
        <w:rPr>
          <w:b/>
          <w:bCs/>
        </w:rPr>
        <w:t xml:space="preserve">КАСОВОТО </w:t>
      </w:r>
      <w:r w:rsidRPr="001A469D">
        <w:rPr>
          <w:b/>
          <w:bCs/>
        </w:rPr>
        <w:t xml:space="preserve">ИЗПЪЛНЕНИЕ НА </w:t>
      </w:r>
      <w:r w:rsidR="004E7BF8" w:rsidRPr="001A469D">
        <w:rPr>
          <w:b/>
          <w:bCs/>
        </w:rPr>
        <w:t>ДЪРЖАВНИЯ</w:t>
      </w:r>
      <w:r w:rsidRPr="001A469D">
        <w:rPr>
          <w:b/>
          <w:bCs/>
        </w:rPr>
        <w:t xml:space="preserve"> БЮДЖЕТ</w:t>
      </w:r>
      <w:r w:rsidR="004E7BF8" w:rsidRPr="001A469D">
        <w:rPr>
          <w:b/>
          <w:bCs/>
        </w:rPr>
        <w:t xml:space="preserve"> И НА ОСНОВНИТЕ ПОКАЗАТЕЛИ НА КОНСОЛИДИРАНАТА ФИСКАЛНА ПРОГРАМА </w:t>
      </w:r>
    </w:p>
    <w:p w:rsidR="003F47AB" w:rsidRPr="001A469D" w:rsidRDefault="003F47AB" w:rsidP="003F47AB">
      <w:pPr>
        <w:jc w:val="center"/>
        <w:rPr>
          <w:b/>
          <w:bCs/>
        </w:rPr>
      </w:pPr>
      <w:r w:rsidRPr="001A469D">
        <w:rPr>
          <w:b/>
          <w:bCs/>
        </w:rPr>
        <w:t xml:space="preserve">ЗА </w:t>
      </w:r>
      <w:r w:rsidR="001A469D" w:rsidRPr="001A469D">
        <w:rPr>
          <w:b/>
          <w:bCs/>
        </w:rPr>
        <w:t xml:space="preserve">ПЪРВОТО ТРИМЕСЕЧИЕ НА 2026 </w:t>
      </w:r>
      <w:r w:rsidRPr="001A469D">
        <w:rPr>
          <w:b/>
          <w:bCs/>
        </w:rPr>
        <w:t>ГОДИНА</w:t>
      </w:r>
    </w:p>
    <w:p w:rsidR="00430A35" w:rsidRPr="00013834" w:rsidRDefault="00430A35" w:rsidP="003A06C5">
      <w:pPr>
        <w:rPr>
          <w:b/>
          <w:bCs/>
          <w:color w:val="0070C0"/>
        </w:rPr>
      </w:pPr>
    </w:p>
    <w:p w:rsidR="00E10331" w:rsidRPr="00013834" w:rsidRDefault="00E10331" w:rsidP="003A06C5">
      <w:pPr>
        <w:rPr>
          <w:b/>
          <w:bCs/>
          <w:color w:val="0070C0"/>
        </w:rPr>
      </w:pPr>
    </w:p>
    <w:p w:rsidR="00505CD7" w:rsidRPr="00505CD7" w:rsidRDefault="00505CD7" w:rsidP="00A07483">
      <w:pPr>
        <w:spacing w:after="210"/>
        <w:jc w:val="both"/>
        <w:rPr>
          <w:b/>
          <w:color w:val="984806" w:themeColor="accent6" w:themeShade="80"/>
          <w:u w:val="single"/>
        </w:rPr>
      </w:pPr>
    </w:p>
    <w:p w:rsidR="00320053" w:rsidRPr="00AD0F86" w:rsidRDefault="00320053" w:rsidP="00320053">
      <w:pPr>
        <w:keepNext/>
        <w:keepLines/>
        <w:spacing w:before="40"/>
        <w:jc w:val="both"/>
        <w:outlineLvl w:val="2"/>
        <w:rPr>
          <w:b/>
          <w:u w:val="single"/>
          <w:lang w:eastAsia="bg-BG"/>
        </w:rPr>
      </w:pPr>
      <w:r w:rsidRPr="00AD0F86">
        <w:rPr>
          <w:b/>
          <w:u w:val="single"/>
          <w:lang w:eastAsia="bg-BG"/>
        </w:rPr>
        <w:t>Активиране на национална клауза за дерогация за разходите за отбрана за България</w:t>
      </w:r>
    </w:p>
    <w:p w:rsidR="00320053" w:rsidRDefault="00320053" w:rsidP="00D0425D">
      <w:pPr>
        <w:spacing w:before="120"/>
        <w:jc w:val="both"/>
      </w:pPr>
      <w:r w:rsidRPr="00AD0F86">
        <w:t xml:space="preserve">На 30 април 2025 г. ЕКОФИН одобри координирано активиране на националната клауза за дерогация за 16 държави членки, включително България. Това решение позволява временно отклонение от фискалните правила на Пакта за стабилност и растеж за периода 2025–2028 г. с цел финансиране на разходи за отбрана в контекста на влошената геополитическа среда, при условие че </w:t>
      </w:r>
      <w:r w:rsidRPr="00C33BAF">
        <w:t xml:space="preserve">това не застрашава фискалната устойчивост в средносрочен план. На 8 юли </w:t>
      </w:r>
      <w:r>
        <w:t xml:space="preserve">2025 г. </w:t>
      </w:r>
      <w:r w:rsidRPr="00C33BAF">
        <w:t>бе публикувана и Препоръка на Съвета C/2025/3961</w:t>
      </w:r>
      <w:r>
        <w:t>,</w:t>
      </w:r>
      <w:r w:rsidRPr="00C33BAF">
        <w:t xml:space="preserve"> </w:t>
      </w:r>
      <w:r w:rsidRPr="00C33BAF">
        <w:rPr>
          <w:bCs/>
          <w:color w:val="000000"/>
          <w:shd w:val="clear" w:color="auto" w:fill="FFFFFF"/>
        </w:rPr>
        <w:t xml:space="preserve">с която се допуска България да се отклони от максималните темпове на растеж на нетните разходи, заложени от Съвета, съгласно Регламент (ЕС) 2024/1263 </w:t>
      </w:r>
      <w:r>
        <w:t>(а</w:t>
      </w:r>
      <w:r w:rsidRPr="00C33BAF">
        <w:t>ктивиране на националната клауза за дерогация). По силата на тази клауза временното отклонение по отношение на темповете на растеж на нетните първични</w:t>
      </w:r>
      <w:r>
        <w:t xml:space="preserve"> </w:t>
      </w:r>
      <w:r w:rsidRPr="00AD0F86">
        <w:t xml:space="preserve">разходи в рамките на одобрените параметри на дерогацията, породено от допълнителни разходи за отбрана, </w:t>
      </w:r>
      <w:r w:rsidR="00A16909">
        <w:t xml:space="preserve">може да не се разглежда като </w:t>
      </w:r>
      <w:r w:rsidRPr="00AD0F86">
        <w:t>нарушение на правилата за бюджетния дефицит и дълг.</w:t>
      </w:r>
    </w:p>
    <w:p w:rsidR="00320053" w:rsidRPr="00EF09ED" w:rsidRDefault="00320053" w:rsidP="00320053">
      <w:pPr>
        <w:rPr>
          <w:b/>
          <w:bCs/>
          <w:color w:val="0070C0"/>
          <w:sz w:val="12"/>
          <w:szCs w:val="12"/>
        </w:rPr>
      </w:pPr>
    </w:p>
    <w:p w:rsidR="00320053" w:rsidRPr="00446778" w:rsidRDefault="00320053" w:rsidP="00320053">
      <w:pPr>
        <w:keepNext/>
        <w:keepLines/>
        <w:spacing w:before="40"/>
        <w:jc w:val="both"/>
        <w:outlineLvl w:val="2"/>
        <w:rPr>
          <w:b/>
          <w:u w:val="single"/>
          <w:lang w:eastAsia="bg-BG"/>
        </w:rPr>
      </w:pPr>
      <w:bookmarkStart w:id="0" w:name="_Toc109903428"/>
      <w:r w:rsidRPr="00B5703E">
        <w:rPr>
          <w:b/>
          <w:u w:val="single"/>
          <w:lang w:eastAsia="bg-BG"/>
        </w:rPr>
        <w:t>Априлски Нотификационни таблици за дефицита и дълга на България</w:t>
      </w:r>
    </w:p>
    <w:p w:rsidR="00320053" w:rsidRPr="00C33BAF" w:rsidRDefault="00320053" w:rsidP="00320053">
      <w:pPr>
        <w:spacing w:before="120" w:after="120"/>
        <w:jc w:val="both"/>
        <w:rPr>
          <w:color w:val="000000" w:themeColor="text1"/>
        </w:rPr>
      </w:pPr>
      <w:r w:rsidRPr="00E5710B">
        <w:rPr>
          <w:color w:val="000000" w:themeColor="text1"/>
        </w:rPr>
        <w:t xml:space="preserve">Съгласно априлските Нотификационни таблици за </w:t>
      </w:r>
      <w:r w:rsidRPr="00C33BAF">
        <w:rPr>
          <w:color w:val="000000" w:themeColor="text1"/>
        </w:rPr>
        <w:t xml:space="preserve">дефицита и дълга на България салдото на сектор „Държавно управление“ за 2025 г. е отрицателно в размер на 3,5 % от БВП, при заложена целева стойност за годината дефицит в размер на 3 на сто от БВП. </w:t>
      </w:r>
      <w:r w:rsidRPr="00C33BAF">
        <w:rPr>
          <w:rFonts w:eastAsia="Calibri"/>
          <w:bCs/>
        </w:rPr>
        <w:t xml:space="preserve">Отчитайки влиянието върху разходите, респективно върху дефицита на сектор „Държавно управление“, от повишените разходи за отбрана през 2025 г. спрямо референтната година, може да се посочи, че отклонението в размера на дефицита в размер на 0,5 пр. п. спрямо референтната стойност от 3 на сто от БВП </w:t>
      </w:r>
      <w:r w:rsidR="00DB7890">
        <w:rPr>
          <w:rFonts w:eastAsia="Calibri"/>
          <w:bCs/>
        </w:rPr>
        <w:t>в П</w:t>
      </w:r>
      <w:r>
        <w:rPr>
          <w:rFonts w:eastAsia="Calibri"/>
          <w:bCs/>
        </w:rPr>
        <w:t xml:space="preserve">акта за стабилност и растеж на ЕС </w:t>
      </w:r>
      <w:r w:rsidRPr="00C33BAF">
        <w:rPr>
          <w:rFonts w:eastAsia="Calibri"/>
          <w:bCs/>
        </w:rPr>
        <w:t xml:space="preserve">може да се дължи на по-високите разходи за отбрана. Изчисленията на Министерството на финансите също така показват, че </w:t>
      </w:r>
      <w:r w:rsidRPr="00C33BAF">
        <w:t xml:space="preserve">темповете на растеж на </w:t>
      </w:r>
      <w:r w:rsidRPr="004F2A3B">
        <w:t>нетните първични разходи за 2025 г. съответстват на заложените целеви стойности</w:t>
      </w:r>
      <w:r w:rsidRPr="00C33BAF">
        <w:t xml:space="preserve"> в НСФСП и са в рамките на допустимото съгласно европейската рамка за икономическо управление.</w:t>
      </w:r>
      <w:r w:rsidRPr="00C33BAF">
        <w:rPr>
          <w:color w:val="000000" w:themeColor="text1"/>
        </w:rPr>
        <w:t xml:space="preserve"> </w:t>
      </w:r>
    </w:p>
    <w:p w:rsidR="00320053" w:rsidRPr="006B7DCB" w:rsidRDefault="00320053" w:rsidP="00320053">
      <w:pPr>
        <w:spacing w:after="120"/>
        <w:jc w:val="both"/>
        <w:rPr>
          <w:color w:val="000000" w:themeColor="text1"/>
        </w:rPr>
      </w:pPr>
      <w:r w:rsidRPr="00C33BAF">
        <w:rPr>
          <w:color w:val="000000" w:themeColor="text1"/>
        </w:rPr>
        <w:t xml:space="preserve">На база на публикуваните </w:t>
      </w:r>
      <w:r>
        <w:rPr>
          <w:color w:val="000000" w:themeColor="text1"/>
        </w:rPr>
        <w:t>от Евростат данни</w:t>
      </w:r>
      <w:r w:rsidRPr="00C33BAF">
        <w:rPr>
          <w:color w:val="000000" w:themeColor="text1"/>
        </w:rPr>
        <w:t xml:space="preserve"> за дефицита и дълга на държавите членки през 2025 г. осреднените стойности за дефицита на </w:t>
      </w:r>
      <w:r>
        <w:rPr>
          <w:color w:val="000000" w:themeColor="text1"/>
        </w:rPr>
        <w:t xml:space="preserve">27-те </w:t>
      </w:r>
      <w:r w:rsidRPr="00C33BAF">
        <w:rPr>
          <w:color w:val="000000" w:themeColor="text1"/>
        </w:rPr>
        <w:t>държави членки остават на нивата от предходната година, докато дълга отчита влошаване. Осреднената стойност на дефицита</w:t>
      </w:r>
      <w:r w:rsidRPr="001E4243">
        <w:rPr>
          <w:color w:val="000000" w:themeColor="text1"/>
        </w:rPr>
        <w:t xml:space="preserve"> за държавите</w:t>
      </w:r>
      <w:r>
        <w:rPr>
          <w:color w:val="000000" w:themeColor="text1"/>
        </w:rPr>
        <w:t xml:space="preserve"> </w:t>
      </w:r>
      <w:r w:rsidRPr="001E4243">
        <w:rPr>
          <w:color w:val="000000" w:themeColor="text1"/>
        </w:rPr>
        <w:t>членки на ЕС за 20</w:t>
      </w:r>
      <w:r>
        <w:rPr>
          <w:color w:val="000000" w:themeColor="text1"/>
        </w:rPr>
        <w:t>25</w:t>
      </w:r>
      <w:r w:rsidRPr="001E4243">
        <w:rPr>
          <w:color w:val="000000" w:themeColor="text1"/>
        </w:rPr>
        <w:t xml:space="preserve"> г. се равнява на </w:t>
      </w:r>
      <w:r w:rsidRPr="00A95BDD">
        <w:rPr>
          <w:color w:val="000000" w:themeColor="text1"/>
          <w:lang w:val="ru-RU"/>
        </w:rPr>
        <w:t>3</w:t>
      </w:r>
      <w:r>
        <w:rPr>
          <w:color w:val="000000" w:themeColor="text1"/>
          <w:lang w:val="ru-RU"/>
        </w:rPr>
        <w:t>,1</w:t>
      </w:r>
      <w:r>
        <w:rPr>
          <w:color w:val="000000" w:themeColor="text1"/>
        </w:rPr>
        <w:t> % от БВП при</w:t>
      </w:r>
      <w:r w:rsidRPr="001E4243">
        <w:rPr>
          <w:color w:val="000000" w:themeColor="text1"/>
        </w:rPr>
        <w:t xml:space="preserve"> </w:t>
      </w:r>
      <w:r>
        <w:rPr>
          <w:color w:val="000000" w:themeColor="text1"/>
        </w:rPr>
        <w:t>отчетен дефицит в размер на 3,1 </w:t>
      </w:r>
      <w:r w:rsidRPr="001E4243">
        <w:rPr>
          <w:color w:val="000000" w:themeColor="text1"/>
        </w:rPr>
        <w:t>% от БВП за 20</w:t>
      </w:r>
      <w:r>
        <w:rPr>
          <w:color w:val="000000" w:themeColor="text1"/>
        </w:rPr>
        <w:t>24</w:t>
      </w:r>
      <w:r w:rsidRPr="001E4243">
        <w:rPr>
          <w:color w:val="000000" w:themeColor="text1"/>
        </w:rPr>
        <w:t xml:space="preserve"> г.</w:t>
      </w:r>
      <w:r>
        <w:rPr>
          <w:color w:val="000000" w:themeColor="text1"/>
        </w:rPr>
        <w:t xml:space="preserve"> За страните от еврозоната осреднената стойност на дефицита на сектор „Държавно управление“ за </w:t>
      </w:r>
      <w:r w:rsidRPr="006B7DCB">
        <w:rPr>
          <w:color w:val="000000" w:themeColor="text1"/>
        </w:rPr>
        <w:t>202</w:t>
      </w:r>
      <w:r>
        <w:rPr>
          <w:color w:val="000000" w:themeColor="text1"/>
        </w:rPr>
        <w:t>5</w:t>
      </w:r>
      <w:r w:rsidRPr="006B7DCB">
        <w:rPr>
          <w:color w:val="000000" w:themeColor="text1"/>
        </w:rPr>
        <w:t xml:space="preserve"> г. възлиза на </w:t>
      </w:r>
      <w:r>
        <w:rPr>
          <w:color w:val="000000" w:themeColor="text1"/>
        </w:rPr>
        <w:t>2,9</w:t>
      </w:r>
      <w:r w:rsidRPr="006B7DCB">
        <w:rPr>
          <w:color w:val="000000" w:themeColor="text1"/>
        </w:rPr>
        <w:t xml:space="preserve"> % от БВП</w:t>
      </w:r>
      <w:r>
        <w:rPr>
          <w:color w:val="000000" w:themeColor="text1"/>
        </w:rPr>
        <w:t>, минимално подобрение спрямо отчетения дефицит в размер на</w:t>
      </w:r>
      <w:r w:rsidRPr="006B7DCB">
        <w:rPr>
          <w:color w:val="000000" w:themeColor="text1"/>
        </w:rPr>
        <w:t xml:space="preserve"> </w:t>
      </w:r>
      <w:r>
        <w:rPr>
          <w:color w:val="000000" w:themeColor="text1"/>
        </w:rPr>
        <w:t>3,0</w:t>
      </w:r>
      <w:r w:rsidRPr="006B7DCB">
        <w:rPr>
          <w:color w:val="000000" w:themeColor="text1"/>
        </w:rPr>
        <w:t xml:space="preserve"> % от БВП за 202</w:t>
      </w:r>
      <w:r>
        <w:rPr>
          <w:color w:val="000000" w:themeColor="text1"/>
        </w:rPr>
        <w:t>4</w:t>
      </w:r>
      <w:r w:rsidRPr="006B7DCB">
        <w:rPr>
          <w:color w:val="000000" w:themeColor="text1"/>
        </w:rPr>
        <w:t xml:space="preserve"> г. </w:t>
      </w:r>
    </w:p>
    <w:p w:rsidR="00320053" w:rsidRPr="006B7DCB" w:rsidRDefault="00320053" w:rsidP="00320053">
      <w:pPr>
        <w:spacing w:after="120"/>
        <w:jc w:val="both"/>
        <w:rPr>
          <w:color w:val="000000" w:themeColor="text1"/>
        </w:rPr>
      </w:pPr>
      <w:r w:rsidRPr="006B7DCB">
        <w:rPr>
          <w:color w:val="000000" w:themeColor="text1"/>
        </w:rPr>
        <w:t xml:space="preserve">По отношение на дълга, България е </w:t>
      </w:r>
      <w:r>
        <w:rPr>
          <w:color w:val="000000" w:themeColor="text1"/>
        </w:rPr>
        <w:t>четвърта</w:t>
      </w:r>
      <w:r w:rsidRPr="006B7DCB">
        <w:rPr>
          <w:color w:val="000000" w:themeColor="text1"/>
        </w:rPr>
        <w:t xml:space="preserve"> след Естония</w:t>
      </w:r>
      <w:r>
        <w:rPr>
          <w:color w:val="000000" w:themeColor="text1"/>
        </w:rPr>
        <w:t>, Люксембург и Дания</w:t>
      </w:r>
      <w:r w:rsidRPr="006B7DCB">
        <w:rPr>
          <w:color w:val="000000" w:themeColor="text1"/>
        </w:rPr>
        <w:t xml:space="preserve"> с най-нисък дълг на сектор „Държавно управление“ в ЕС за 202</w:t>
      </w:r>
      <w:r w:rsidR="003D70B9">
        <w:rPr>
          <w:color w:val="000000" w:themeColor="text1"/>
        </w:rPr>
        <w:t>5</w:t>
      </w:r>
      <w:r w:rsidRPr="006B7DCB">
        <w:rPr>
          <w:color w:val="000000" w:themeColor="text1"/>
        </w:rPr>
        <w:t xml:space="preserve"> г. – </w:t>
      </w:r>
      <w:r>
        <w:rPr>
          <w:color w:val="000000" w:themeColor="text1"/>
        </w:rPr>
        <w:t>29,9</w:t>
      </w:r>
      <w:r w:rsidRPr="006B7DCB">
        <w:rPr>
          <w:color w:val="000000" w:themeColor="text1"/>
        </w:rPr>
        <w:t xml:space="preserve"> % от БВП. Дванадесет държави членки надвишават референтната стойност от 60 % от БВП в Пакта за стабилност и растеж, като средно за ЕС относителният дял на показателя дълг спрямо БВП </w:t>
      </w:r>
      <w:r>
        <w:rPr>
          <w:color w:val="000000" w:themeColor="text1"/>
        </w:rPr>
        <w:t>се влошава с около 1 пр. п. до</w:t>
      </w:r>
      <w:r w:rsidRPr="006B7DCB">
        <w:rPr>
          <w:color w:val="000000" w:themeColor="text1"/>
        </w:rPr>
        <w:t xml:space="preserve"> </w:t>
      </w:r>
      <w:r>
        <w:rPr>
          <w:color w:val="000000" w:themeColor="text1"/>
        </w:rPr>
        <w:t>81,7</w:t>
      </w:r>
      <w:r w:rsidRPr="006B7DCB">
        <w:rPr>
          <w:color w:val="000000" w:themeColor="text1"/>
        </w:rPr>
        <w:t xml:space="preserve"> % от БВП. </w:t>
      </w:r>
    </w:p>
    <w:p w:rsidR="00320053" w:rsidRPr="00A11C72" w:rsidRDefault="00320053" w:rsidP="00320053">
      <w:pPr>
        <w:spacing w:after="120"/>
        <w:rPr>
          <w:b/>
          <w:bCs/>
          <w:u w:val="single"/>
        </w:rPr>
      </w:pPr>
      <w:r>
        <w:rPr>
          <w:b/>
          <w:bCs/>
          <w:u w:val="single"/>
        </w:rPr>
        <w:t>Развитие на икономическата среда</w:t>
      </w:r>
    </w:p>
    <w:p w:rsidR="00320053" w:rsidRDefault="00320053" w:rsidP="00320053">
      <w:pPr>
        <w:spacing w:before="120" w:after="120"/>
        <w:jc w:val="both"/>
      </w:pPr>
      <w:r w:rsidRPr="00065AC8">
        <w:t>През първите два месеца на 202</w:t>
      </w:r>
      <w:r w:rsidRPr="006F6DD9">
        <w:t>6</w:t>
      </w:r>
      <w:r w:rsidRPr="00065AC8">
        <w:t xml:space="preserve"> г. бе</w:t>
      </w:r>
      <w:r>
        <w:t>ше</w:t>
      </w:r>
      <w:r w:rsidR="00AF10A8">
        <w:t xml:space="preserve"> отчетено подобрение на</w:t>
      </w:r>
      <w:r w:rsidRPr="00065AC8">
        <w:t xml:space="preserve"> бизнес климата и</w:t>
      </w:r>
      <w:r>
        <w:t xml:space="preserve"> доверието на потребителите. С</w:t>
      </w:r>
      <w:r w:rsidRPr="00065AC8">
        <w:t xml:space="preserve">лед началото на </w:t>
      </w:r>
      <w:r>
        <w:t>военния конфликт</w:t>
      </w:r>
      <w:r w:rsidRPr="00065AC8">
        <w:t xml:space="preserve"> в Близкия изток очакванията </w:t>
      </w:r>
      <w:r>
        <w:t xml:space="preserve">за икономическата ситуация </w:t>
      </w:r>
      <w:r w:rsidRPr="00065AC8">
        <w:t>както на предприемачите, така и на потребителите се влошиха през март.</w:t>
      </w:r>
      <w:r>
        <w:t xml:space="preserve"> Динамиката на краткосрочните индикатори през периода януари-февруари сочи към известно забавяне на растежа на икономиката спрямо последното тримесечие на 2025 г. </w:t>
      </w:r>
      <w:r>
        <w:lastRenderedPageBreak/>
        <w:t>Промишленото производство продължи да спада като намалението достигна 9,8</w:t>
      </w:r>
      <w:r w:rsidR="007D1BFA">
        <w:t xml:space="preserve"> </w:t>
      </w:r>
      <w:r>
        <w:t>%. Растежът на търговията на дребно се забави леко до 5,7</w:t>
      </w:r>
      <w:r w:rsidR="00530216">
        <w:rPr>
          <w:lang w:val="en-US"/>
        </w:rPr>
        <w:t xml:space="preserve"> </w:t>
      </w:r>
      <w:r>
        <w:t xml:space="preserve">%, а растежът на строителната продукция бе </w:t>
      </w:r>
      <w:r w:rsidRPr="006F6DD9">
        <w:t>2</w:t>
      </w:r>
      <w:r>
        <w:t>,8</w:t>
      </w:r>
      <w:r w:rsidR="00530216">
        <w:rPr>
          <w:lang w:val="en-US"/>
        </w:rPr>
        <w:t xml:space="preserve"> </w:t>
      </w:r>
      <w:r>
        <w:t>%.</w:t>
      </w:r>
    </w:p>
    <w:p w:rsidR="00320053" w:rsidRDefault="00320053" w:rsidP="00320053">
      <w:pPr>
        <w:spacing w:before="120" w:after="120"/>
        <w:jc w:val="both"/>
      </w:pPr>
      <w:r>
        <w:t>През първите три месеца на 202</w:t>
      </w:r>
      <w:r>
        <w:rPr>
          <w:lang w:val="ru-RU"/>
        </w:rPr>
        <w:t>6</w:t>
      </w:r>
      <w:r>
        <w:t xml:space="preserve"> г. броят на регистрираните безработни в страната следва</w:t>
      </w:r>
      <w:r w:rsidR="007F00CF">
        <w:t>ше</w:t>
      </w:r>
      <w:r>
        <w:t xml:space="preserve"> динамиката, наблюдавана през предходната година. В края на март техният брой достигна 151</w:t>
      </w:r>
      <w:r w:rsidR="006A09E5">
        <w:rPr>
          <w:lang w:val="en-US"/>
        </w:rPr>
        <w:t> </w:t>
      </w:r>
      <w:r>
        <w:t>123 души, което е с 3,3</w:t>
      </w:r>
      <w:r w:rsidR="00530216">
        <w:rPr>
          <w:lang w:val="en-US"/>
        </w:rPr>
        <w:t xml:space="preserve"> </w:t>
      </w:r>
      <w:r>
        <w:t xml:space="preserve">% (5,2 хил. д.) по-малко в сравнение със същия месец на 2025 г. Недостигът на трудов ресурс остана основно затруднение за развитието на бизнеса, като през първото тримесечие на 2026 г. той </w:t>
      </w:r>
      <w:r w:rsidR="00313754">
        <w:t>б</w:t>
      </w:r>
      <w:r>
        <w:t>е най-силно изразен в промишлеността и строителството.</w:t>
      </w:r>
    </w:p>
    <w:p w:rsidR="00320053" w:rsidRDefault="00320053" w:rsidP="00320053">
      <w:pPr>
        <w:jc w:val="both"/>
        <w:rPr>
          <w:sz w:val="22"/>
          <w:szCs w:val="22"/>
        </w:rPr>
      </w:pPr>
      <w:r>
        <w:t>Годишният темп на инфлация според ХИПЦ се забави чувствително през първите два месеца на 2026 г. до 2,1</w:t>
      </w:r>
      <w:r w:rsidR="00530216">
        <w:rPr>
          <w:lang w:val="en-US"/>
        </w:rPr>
        <w:t xml:space="preserve"> </w:t>
      </w:r>
      <w:r>
        <w:t>% през февруари под действието на базов ефект при почти всички основни компоненти на индекса. Започналият конфликт в Близкия изток обаче доведе до рязко покачване на международните цени на нефта и природния газ, което се отрази в съществено поскъпване на транспортните горива. Вследствие на това инфлацията в страната започна да се ускорява - до 2,8</w:t>
      </w:r>
      <w:r w:rsidR="00422BB2">
        <w:t> </w:t>
      </w:r>
      <w:r>
        <w:t>% на годишна база през март. Все още не са наблюдавани вторични ефекти по линия на повишени транспортни и производствени разходи, във връзка най-вече с преобладаващите очаквания за краткотрайност на военния конфликт. Така базисната инфлация (от общия индекс са изключени храни, енергийни стоки, алкохол и цигари) остана на ниво от 1,8</w:t>
      </w:r>
      <w:r w:rsidR="00530216">
        <w:rPr>
          <w:lang w:val="en-US"/>
        </w:rPr>
        <w:t xml:space="preserve"> </w:t>
      </w:r>
      <w:r>
        <w:t>% на годишна база.</w:t>
      </w:r>
    </w:p>
    <w:p w:rsidR="00320053" w:rsidRDefault="00320053" w:rsidP="00320053">
      <w:pPr>
        <w:spacing w:before="120" w:after="120"/>
        <w:jc w:val="both"/>
      </w:pPr>
      <w:r>
        <w:t>За първите два месеца на годината по текущата сметка на платежния баланс бе отчетен дефицит от 0,7 % от прогнозния БВП, при дефицит от 0,1 % за същия период на 2025 г. Вносът на стоки се увеличи с 4,3 %, при минимално нарастване на износа от 0,1</w:t>
      </w:r>
      <w:r w:rsidR="00FB7FEA">
        <w:t xml:space="preserve"> </w:t>
      </w:r>
      <w:r>
        <w:t>%, което доведе до увеличение на отрицателното салд</w:t>
      </w:r>
      <w:r w:rsidR="008D7E4C">
        <w:t>о по търговския баланс с 0</w:t>
      </w:r>
      <w:r w:rsidR="00FB7FEA">
        <w:t>,</w:t>
      </w:r>
      <w:r w:rsidR="008D7E4C">
        <w:t xml:space="preserve">2 пр. </w:t>
      </w:r>
      <w:r>
        <w:t>п. Водеща и при двата търговски потока бе търговията със страни извън ЕС. Балансът на първичния доход се влоши по-съществено, с 0</w:t>
      </w:r>
      <w:r w:rsidR="00FB7FEA">
        <w:t>,</w:t>
      </w:r>
      <w:r w:rsidR="008D7E4C">
        <w:t>5 пр. </w:t>
      </w:r>
      <w:r>
        <w:t>п., и беше основният двигател за нарастване на дефицита по текущата сметка, поради по-голямо изплащане на инвестиционен доход към нерезиденти (свързан с преки чуждестранни инвестиции). Излишъците при услугите и при вторичния доход бяха без значителна промяна в отношение спрямо БВП спрямо началото на 2025 г. През първите два месеца на годината входящите преки чуждестранни инвестиции почти се удвоиха, достигайки 874,9 млн. евро или 0,7</w:t>
      </w:r>
      <w:r w:rsidR="00FB7FEA">
        <w:t> </w:t>
      </w:r>
      <w:r>
        <w:t>% от прогнозния БВП.</w:t>
      </w:r>
    </w:p>
    <w:p w:rsidR="00320053" w:rsidRPr="00B1390C" w:rsidRDefault="00320053" w:rsidP="00320053">
      <w:pPr>
        <w:spacing w:after="120"/>
        <w:jc w:val="both"/>
      </w:pPr>
      <w:r w:rsidRPr="007B5A2A">
        <w:t>Търсенето на заемни ресурси от частния сектор се запази високо и през първото тримесечие на 2026 г. Темпът на нарастване на кредита за частния сектор възлезе на 15,8 % в края на март, спрямо 15,4 % в края на 2025 г. Кредитите за нефинансови предприятия към края на март се увеличиха с 11,8 %, ускорявайки се спрямо края на предходната година, когато постигнаха ръст от 10,1 %. Водещ принос имаха редовните кредити, чи</w:t>
      </w:r>
      <w:r w:rsidR="00D74108">
        <w:t>й</w:t>
      </w:r>
      <w:r w:rsidRPr="007B5A2A">
        <w:t>то ръст достигна 16,3 %. След като се забавяше през цялата 2025 г., корпоративният овърдрафт запази тази тенденция и през първото тримесечие и в края на март нарасна с</w:t>
      </w:r>
      <w:r>
        <w:t>ъс</w:t>
      </w:r>
      <w:r w:rsidRPr="007B5A2A">
        <w:t xml:space="preserve"> 7,1 % при 9,5 % в края на декември. Кредитите за домакинства нараснаха с 20,8 % на годишна база, при 21,1 % в края на 2025 г. Кредитите за покупка на жилища се забавяха последователно през първите три месеца и ръстът им се понижи до 27,5 % спрямо 28,2</w:t>
      </w:r>
      <w:r>
        <w:rPr>
          <w:lang w:val="en-US"/>
        </w:rPr>
        <w:t> </w:t>
      </w:r>
      <w:r w:rsidRPr="007B5A2A">
        <w:t>% в края на четвъртото тримесечие на предходната година. От своя страна потребителските кредити се забавиха минимално от 13,3 % до 13,2 % за същия период. Въпреки лекото забавяне, все още силното търсене на кредити за покупка на жилище продължи да бъде подкрепяно от рекордно ниските номинални лихвени проценти, растежа на доходите и продължаващия ръст на цените на жилищата.</w:t>
      </w:r>
    </w:p>
    <w:p w:rsidR="00320053" w:rsidRPr="005D051A" w:rsidRDefault="00320053" w:rsidP="00320053">
      <w:pPr>
        <w:keepNext/>
        <w:keepLines/>
        <w:spacing w:before="40"/>
        <w:jc w:val="both"/>
        <w:outlineLvl w:val="2"/>
        <w:rPr>
          <w:b/>
          <w:u w:val="single"/>
          <w:lang w:eastAsia="bg-BG"/>
        </w:rPr>
      </w:pPr>
      <w:r w:rsidRPr="005D051A">
        <w:rPr>
          <w:b/>
          <w:u w:val="single"/>
          <w:lang w:eastAsia="bg-BG"/>
        </w:rPr>
        <w:t>Основни акценти във връзка с текущото наблюдение на изпълнението на консолидираната фискална програма за първото тримесечие на 202</w:t>
      </w:r>
      <w:r>
        <w:rPr>
          <w:b/>
          <w:u w:val="single"/>
          <w:lang w:eastAsia="bg-BG"/>
        </w:rPr>
        <w:t>6</w:t>
      </w:r>
      <w:r w:rsidRPr="005D051A">
        <w:rPr>
          <w:b/>
          <w:u w:val="single"/>
          <w:lang w:eastAsia="bg-BG"/>
        </w:rPr>
        <w:t xml:space="preserve"> г.</w:t>
      </w:r>
    </w:p>
    <w:p w:rsidR="00320053" w:rsidRDefault="00320053" w:rsidP="006E4332">
      <w:pPr>
        <w:pStyle w:val="BodyText"/>
        <w:spacing w:before="120"/>
      </w:pPr>
      <w:r>
        <w:rPr>
          <w:color w:val="000000" w:themeColor="text1"/>
        </w:rPr>
        <w:t>При липсата на приет от Народното събрание Закон за държавния бюджет за настоящата година</w:t>
      </w:r>
      <w:r w:rsidRPr="00817AEB">
        <w:rPr>
          <w:color w:val="000000" w:themeColor="text1"/>
        </w:rPr>
        <w:t xml:space="preserve"> до приемането </w:t>
      </w:r>
      <w:r>
        <w:rPr>
          <w:color w:val="000000" w:themeColor="text1"/>
        </w:rPr>
        <w:t>му</w:t>
      </w:r>
      <w:r w:rsidRPr="00817AEB">
        <w:rPr>
          <w:color w:val="000000" w:themeColor="text1"/>
        </w:rPr>
        <w:t xml:space="preserve"> </w:t>
      </w:r>
      <w:r>
        <w:rPr>
          <w:color w:val="000000" w:themeColor="text1"/>
        </w:rPr>
        <w:t>се налага да бъде прилагана разпоредбата</w:t>
      </w:r>
      <w:r w:rsidRPr="00817AEB">
        <w:rPr>
          <w:color w:val="000000" w:themeColor="text1"/>
        </w:rPr>
        <w:t xml:space="preserve"> на чл. 87 </w:t>
      </w:r>
      <w:r>
        <w:rPr>
          <w:color w:val="000000" w:themeColor="text1"/>
        </w:rPr>
        <w:t>на Закона за публичните финанси,</w:t>
      </w:r>
      <w:r w:rsidRPr="00817AEB">
        <w:rPr>
          <w:color w:val="000000" w:themeColor="text1"/>
        </w:rPr>
        <w:t xml:space="preserve"> съответно разпоредбите на </w:t>
      </w:r>
      <w:r>
        <w:t xml:space="preserve">Закона за събиране на приходи и извършване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 (ЗСПИР през 2026 г.). </w:t>
      </w:r>
    </w:p>
    <w:p w:rsidR="00320053" w:rsidRPr="00BC618B" w:rsidRDefault="00320053" w:rsidP="00320053">
      <w:pPr>
        <w:pStyle w:val="BodyText"/>
        <w:rPr>
          <w:sz w:val="8"/>
          <w:szCs w:val="8"/>
        </w:rPr>
      </w:pPr>
    </w:p>
    <w:p w:rsidR="00320053" w:rsidRPr="00BC618B" w:rsidRDefault="00320053" w:rsidP="00320053">
      <w:pPr>
        <w:pStyle w:val="BodyText"/>
        <w:rPr>
          <w:sz w:val="12"/>
          <w:szCs w:val="12"/>
        </w:rPr>
      </w:pPr>
    </w:p>
    <w:p w:rsidR="00320053" w:rsidRDefault="00135E72" w:rsidP="00320053">
      <w:pPr>
        <w:pStyle w:val="BodyText"/>
        <w:rPr>
          <w:color w:val="000000" w:themeColor="text1"/>
        </w:rPr>
      </w:pPr>
      <w:r w:rsidRPr="008D2DE5">
        <w:rPr>
          <w:color w:val="000000" w:themeColor="text1"/>
        </w:rPr>
        <w:lastRenderedPageBreak/>
        <w:t xml:space="preserve">При текущото изпълнение на бюджета съществуват две условия, с които изпълнението на бюджета </w:t>
      </w:r>
      <w:r>
        <w:rPr>
          <w:color w:val="000000" w:themeColor="text1"/>
        </w:rPr>
        <w:t>в началото на годината</w:t>
      </w:r>
      <w:r w:rsidRPr="008D2DE5">
        <w:rPr>
          <w:color w:val="000000" w:themeColor="text1"/>
        </w:rPr>
        <w:t xml:space="preserve"> се съобраз</w:t>
      </w:r>
      <w:r>
        <w:rPr>
          <w:color w:val="000000" w:themeColor="text1"/>
        </w:rPr>
        <w:t>ява</w:t>
      </w:r>
      <w:r w:rsidRPr="008D2DE5">
        <w:rPr>
          <w:color w:val="000000" w:themeColor="text1"/>
        </w:rPr>
        <w:t xml:space="preserve"> и които предопределят изпреварващия ръст на разходите</w:t>
      </w:r>
      <w:r w:rsidR="00320053" w:rsidRPr="008D2DE5">
        <w:rPr>
          <w:color w:val="000000" w:themeColor="text1"/>
        </w:rPr>
        <w:t xml:space="preserve">: </w:t>
      </w:r>
    </w:p>
    <w:p w:rsidR="00135E72" w:rsidRDefault="00135E72" w:rsidP="00135E72">
      <w:pPr>
        <w:pStyle w:val="BodyText"/>
        <w:numPr>
          <w:ilvl w:val="0"/>
          <w:numId w:val="36"/>
        </w:numPr>
        <w:rPr>
          <w:color w:val="000000" w:themeColor="text1"/>
        </w:rPr>
      </w:pPr>
      <w:r w:rsidRPr="008D2DE5">
        <w:rPr>
          <w:color w:val="000000" w:themeColor="text1"/>
        </w:rPr>
        <w:t xml:space="preserve">Първото условие е, че финансирането на разходите </w:t>
      </w:r>
      <w:r>
        <w:rPr>
          <w:color w:val="000000" w:themeColor="text1"/>
        </w:rPr>
        <w:t xml:space="preserve">следва </w:t>
      </w:r>
      <w:r w:rsidRPr="008D2DE5">
        <w:rPr>
          <w:color w:val="000000" w:themeColor="text1"/>
        </w:rPr>
        <w:t>да бъд</w:t>
      </w:r>
      <w:r>
        <w:rPr>
          <w:color w:val="000000" w:themeColor="text1"/>
        </w:rPr>
        <w:t>е</w:t>
      </w:r>
      <w:r w:rsidRPr="008D2DE5">
        <w:rPr>
          <w:color w:val="000000" w:themeColor="text1"/>
        </w:rPr>
        <w:t xml:space="preserve"> до размера им за същия период на предходната година</w:t>
      </w:r>
      <w:r>
        <w:rPr>
          <w:color w:val="000000" w:themeColor="text1"/>
        </w:rPr>
        <w:t>, но при отчитане на влезли в сила актове</w:t>
      </w:r>
      <w:r w:rsidRPr="008D2DE5">
        <w:rPr>
          <w:color w:val="000000" w:themeColor="text1"/>
        </w:rPr>
        <w:t xml:space="preserve"> на Народното събрание и </w:t>
      </w:r>
      <w:r>
        <w:rPr>
          <w:color w:val="000000" w:themeColor="text1"/>
        </w:rPr>
        <w:t>М</w:t>
      </w:r>
      <w:r w:rsidRPr="008D2DE5">
        <w:rPr>
          <w:color w:val="000000" w:themeColor="text1"/>
        </w:rPr>
        <w:t>инистерския съвет</w:t>
      </w:r>
      <w:r w:rsidRPr="001A11D5">
        <w:rPr>
          <w:color w:val="000000" w:themeColor="text1"/>
        </w:rPr>
        <w:t xml:space="preserve"> </w:t>
      </w:r>
      <w:r>
        <w:rPr>
          <w:color w:val="000000" w:themeColor="text1"/>
        </w:rPr>
        <w:t xml:space="preserve">в съответствие с </w:t>
      </w:r>
      <w:r w:rsidRPr="008D2DE5">
        <w:rPr>
          <w:color w:val="000000" w:themeColor="text1"/>
        </w:rPr>
        <w:t>изискванията на чл. 87, ал. 1 на ЗПФ. Това на практика обективно не дава възможност разходите и трансферите по държавния бюджет</w:t>
      </w:r>
      <w:r>
        <w:rPr>
          <w:color w:val="000000" w:themeColor="text1"/>
        </w:rPr>
        <w:t xml:space="preserve"> да са на нивото от предходната година</w:t>
      </w:r>
      <w:r w:rsidRPr="008D2DE5">
        <w:rPr>
          <w:color w:val="000000" w:themeColor="text1"/>
        </w:rPr>
        <w:t>. Както е известно, политиката по доходите, заложена в ЗДБРБ за 2025 г.</w:t>
      </w:r>
      <w:r>
        <w:rPr>
          <w:color w:val="000000" w:themeColor="text1"/>
        </w:rPr>
        <w:t>,</w:t>
      </w:r>
      <w:r w:rsidRPr="008D2DE5">
        <w:rPr>
          <w:color w:val="000000" w:themeColor="text1"/>
        </w:rPr>
        <w:t xml:space="preserve"> започна да се прилага след месец април 2025 г. поради късното приемане на ЗДБРБ за 2025 г. Увеличените възнаграждения продължават да се прилагат през първото тримесечие на 2026 г., но не са се прилагали през периода януари</w:t>
      </w:r>
      <w:r>
        <w:rPr>
          <w:color w:val="000000" w:themeColor="text1"/>
        </w:rPr>
        <w:t>-март 2025 </w:t>
      </w:r>
      <w:r w:rsidRPr="008D2DE5">
        <w:rPr>
          <w:color w:val="000000" w:themeColor="text1"/>
        </w:rPr>
        <w:t>г. Допълнително върху разходите за персонал влияние оказва и увеличението на възнагражденията в бюджетния сектор от януари 2026 г. с натрупаната инфлация за 2025</w:t>
      </w:r>
      <w:r>
        <w:rPr>
          <w:color w:val="000000" w:themeColor="text1"/>
          <w:lang w:val="en-US"/>
        </w:rPr>
        <w:t> </w:t>
      </w:r>
      <w:r w:rsidRPr="008D2DE5">
        <w:rPr>
          <w:color w:val="000000" w:themeColor="text1"/>
        </w:rPr>
        <w:t>г., одобрено със ЗСПИР през 2026 г., увеличеният размер на минималната работна заплата от началото на 2026 г. и други. Аналогична е и ситуацията с индексацията на пенсиите по т.</w:t>
      </w:r>
      <w:r>
        <w:rPr>
          <w:color w:val="000000" w:themeColor="text1"/>
        </w:rPr>
        <w:t xml:space="preserve"> </w:t>
      </w:r>
      <w:r w:rsidRPr="008D2DE5">
        <w:rPr>
          <w:color w:val="000000" w:themeColor="text1"/>
        </w:rPr>
        <w:t>н. „швейцарско правило“</w:t>
      </w:r>
      <w:r>
        <w:rPr>
          <w:color w:val="000000" w:themeColor="text1"/>
        </w:rPr>
        <w:t>,</w:t>
      </w:r>
      <w:r w:rsidRPr="008D2DE5">
        <w:rPr>
          <w:color w:val="000000" w:themeColor="text1"/>
        </w:rPr>
        <w:t xml:space="preserve"> заложена в КСО, която се извършва през месец юли на всяка календарна година. През 2025 г. пенсиите бяха индексирани от 1 юли средно с 8,6 на сто, като увеличените размери се прилагат и за периода януари-юни 2026 г.</w:t>
      </w:r>
      <w:r>
        <w:rPr>
          <w:color w:val="000000" w:themeColor="text1"/>
        </w:rPr>
        <w:t>,</w:t>
      </w:r>
      <w:r w:rsidRPr="008D2DE5">
        <w:rPr>
          <w:color w:val="000000" w:themeColor="text1"/>
        </w:rPr>
        <w:t xml:space="preserve"> но не са се прилагали през първото полугодие на 2025 г. Предвид изложеното, разходите за персонал и трансферите за други бюджети през първото тримесечие на 2026 г. при действието на влезли в сила нормативни актове значително надвишават размерите им за същия период на предходната година. </w:t>
      </w:r>
    </w:p>
    <w:p w:rsidR="00320053" w:rsidRPr="001D6BFD" w:rsidRDefault="00135E72" w:rsidP="00135E72">
      <w:pPr>
        <w:pStyle w:val="BodyText"/>
        <w:numPr>
          <w:ilvl w:val="0"/>
          <w:numId w:val="36"/>
        </w:numPr>
        <w:rPr>
          <w:color w:val="000000" w:themeColor="text1"/>
          <w:sz w:val="8"/>
          <w:szCs w:val="8"/>
        </w:rPr>
      </w:pPr>
      <w:r w:rsidRPr="001D6BFD">
        <w:rPr>
          <w:color w:val="000000" w:themeColor="text1"/>
        </w:rPr>
        <w:t>Второто условие е, че през 2026 г. приключва изпълнението на инвестициите и проектите по Националния план за възстановяване и устойчивост. Прогнозите показват, че до края на срока на допустимост на разходите по НПВУ (31 август 2026 г. съгласно Регламент (ЕС) 241/2021) предстоят безпрецедентни по размер разходи по проектите. Анализът показва, че за периода януари-август 2026 г. прогнозният размер на разходите по НПВУ е над 4</w:t>
      </w:r>
      <w:r>
        <w:rPr>
          <w:color w:val="000000" w:themeColor="text1"/>
        </w:rPr>
        <w:t> </w:t>
      </w:r>
      <w:r w:rsidRPr="001D6BFD">
        <w:rPr>
          <w:color w:val="000000" w:themeColor="text1"/>
        </w:rPr>
        <w:t>млрд. евро, което е повече от отчетените общо за предходните три години. Струпването на такива значителни по размер разходи по НПВУ ще продължи да влияе върху разходите до края на срока на допустимост, съответно припадащото се национално съфинансиране с трансфер от държавния бюджет значително надвишава нивата от 2025 г. Върху разходите</w:t>
      </w:r>
      <w:r>
        <w:rPr>
          <w:color w:val="000000" w:themeColor="text1"/>
        </w:rPr>
        <w:t xml:space="preserve"> по КФП</w:t>
      </w:r>
      <w:r w:rsidRPr="001D6BFD">
        <w:rPr>
          <w:color w:val="000000" w:themeColor="text1"/>
        </w:rPr>
        <w:t xml:space="preserve"> влияние оказват и разходите по Инвестиционната програма за общински проекти</w:t>
      </w:r>
      <w:r>
        <w:rPr>
          <w:color w:val="000000" w:themeColor="text1"/>
        </w:rPr>
        <w:t>, одобрени със ЗСПИР през 2026 г</w:t>
      </w:r>
      <w:r w:rsidR="00320053">
        <w:rPr>
          <w:color w:val="000000" w:themeColor="text1"/>
        </w:rPr>
        <w:t>.</w:t>
      </w:r>
      <w:r w:rsidR="00320053">
        <w:rPr>
          <w:color w:val="000000" w:themeColor="text1"/>
          <w:sz w:val="8"/>
          <w:szCs w:val="8"/>
        </w:rPr>
        <w:t>.</w:t>
      </w:r>
    </w:p>
    <w:p w:rsidR="00320053" w:rsidRPr="008D2DE5" w:rsidRDefault="00320053" w:rsidP="00320053">
      <w:pPr>
        <w:pStyle w:val="BodyText"/>
        <w:rPr>
          <w:color w:val="000000" w:themeColor="text1"/>
          <w:sz w:val="12"/>
          <w:szCs w:val="12"/>
        </w:rPr>
      </w:pPr>
    </w:p>
    <w:p w:rsidR="00320053" w:rsidRDefault="00320053" w:rsidP="00320053">
      <w:pPr>
        <w:pStyle w:val="BodyText"/>
        <w:rPr>
          <w:color w:val="000000" w:themeColor="text1"/>
        </w:rPr>
      </w:pPr>
      <w:bookmarkStart w:id="1" w:name="_GoBack"/>
      <w:bookmarkEnd w:id="1"/>
      <w:r w:rsidRPr="008D2DE5">
        <w:rPr>
          <w:color w:val="000000" w:themeColor="text1"/>
        </w:rPr>
        <w:t>Анализът на данните за изпълнението на консолидираната фискална програма към края на тримесечието показва, че разходите устойчиво нарастват и темпът им на нарастване изпреварва темпа на нарастване на приходите. Вследствие на това, при отчитане на посочените по-горе обстоятелства, за първите три месеца на настоящата година по КФП се формира дефицит, който е в размер на 1,5 млрд. евро (1,2</w:t>
      </w:r>
      <w:r w:rsidR="00B45E61">
        <w:rPr>
          <w:color w:val="000000" w:themeColor="text1"/>
        </w:rPr>
        <w:t xml:space="preserve"> </w:t>
      </w:r>
      <w:r w:rsidRPr="008D2DE5">
        <w:rPr>
          <w:color w:val="000000" w:themeColor="text1"/>
        </w:rPr>
        <w:t>% от прогнозния БВП). Съпоставено със същия период на предходната година, когато е отчетен дефицит по КФП в размер на 1,0 млрд. евро (0,8</w:t>
      </w:r>
      <w:r w:rsidR="00B45E61">
        <w:rPr>
          <w:color w:val="000000" w:themeColor="text1"/>
        </w:rPr>
        <w:t xml:space="preserve"> </w:t>
      </w:r>
      <w:r w:rsidRPr="008D2DE5">
        <w:rPr>
          <w:color w:val="000000" w:themeColor="text1"/>
        </w:rPr>
        <w:t>% от БВП), дефицитът по КФП през първото тримесечие на 2026 г. се разширява с</w:t>
      </w:r>
      <w:r w:rsidR="009810B3">
        <w:rPr>
          <w:color w:val="000000" w:themeColor="text1"/>
        </w:rPr>
        <w:t xml:space="preserve"> 0,54 млрд. евро или 0,4 пр. п.</w:t>
      </w:r>
      <w:r w:rsidRPr="008D2DE5">
        <w:rPr>
          <w:color w:val="000000" w:themeColor="text1"/>
        </w:rPr>
        <w:t xml:space="preserve"> като относителен дял в БВП.  Прогнозите са, че тези тенденции ще се запазят и през следващите  месец</w:t>
      </w:r>
      <w:r>
        <w:rPr>
          <w:color w:val="000000" w:themeColor="text1"/>
        </w:rPr>
        <w:t>и</w:t>
      </w:r>
      <w:r w:rsidRPr="008D2DE5">
        <w:rPr>
          <w:color w:val="000000" w:themeColor="text1"/>
        </w:rPr>
        <w:t>, като натиск</w:t>
      </w:r>
      <w:r w:rsidR="00BC728F">
        <w:rPr>
          <w:color w:val="000000" w:themeColor="text1"/>
        </w:rPr>
        <w:t>ът</w:t>
      </w:r>
      <w:r w:rsidRPr="008D2DE5">
        <w:rPr>
          <w:color w:val="000000" w:themeColor="text1"/>
        </w:rPr>
        <w:t xml:space="preserve"> върху разходите от нарастващите плащания по НПВУ ще се засилва допълнително в последните месеци на допустимост на разходите за инвестиции по плана.</w:t>
      </w:r>
    </w:p>
    <w:p w:rsidR="00320053" w:rsidRDefault="00320053" w:rsidP="00320053">
      <w:pPr>
        <w:pStyle w:val="BodyText"/>
        <w:rPr>
          <w:color w:val="000000" w:themeColor="text1"/>
          <w:sz w:val="12"/>
          <w:szCs w:val="12"/>
        </w:rPr>
      </w:pPr>
    </w:p>
    <w:p w:rsidR="00320053" w:rsidRDefault="00320053" w:rsidP="00320053">
      <w:pPr>
        <w:pStyle w:val="BodyText"/>
        <w:rPr>
          <w:color w:val="000000" w:themeColor="text1"/>
        </w:rPr>
      </w:pPr>
      <w:r w:rsidRPr="00807E53">
        <w:rPr>
          <w:color w:val="000000" w:themeColor="text1"/>
        </w:rPr>
        <w:t>Видно от изложеното</w:t>
      </w:r>
      <w:r>
        <w:rPr>
          <w:color w:val="000000" w:themeColor="text1"/>
        </w:rPr>
        <w:t xml:space="preserve">, основните предизвикателства, които влияят силно изразено върху изпълнението на бюджета през настоящата година са свързани с необходимостта от мерки за овладяване нарастването на националните разходи и полагането на максимални усилия за изпълнение на етапите и целите и реализиране в определените срокове на инвестициите по НПВУ. </w:t>
      </w:r>
    </w:p>
    <w:p w:rsidR="00320053" w:rsidRPr="008248D0" w:rsidRDefault="00320053" w:rsidP="00320053">
      <w:pPr>
        <w:pStyle w:val="BodyText"/>
        <w:rPr>
          <w:color w:val="000000" w:themeColor="text1"/>
          <w:sz w:val="12"/>
          <w:szCs w:val="12"/>
        </w:rPr>
      </w:pPr>
    </w:p>
    <w:p w:rsidR="00320053" w:rsidRDefault="00320053" w:rsidP="00320053">
      <w:pPr>
        <w:pStyle w:val="BodyText"/>
        <w:rPr>
          <w:color w:val="000000" w:themeColor="text1"/>
        </w:rPr>
      </w:pPr>
      <w:r>
        <w:rPr>
          <w:color w:val="000000" w:themeColor="text1"/>
        </w:rPr>
        <w:t>По отношение на разходите, финансирани от националния бюджет</w:t>
      </w:r>
      <w:r w:rsidR="00626D7D">
        <w:rPr>
          <w:color w:val="000000" w:themeColor="text1"/>
        </w:rPr>
        <w:t>,</w:t>
      </w:r>
      <w:r>
        <w:rPr>
          <w:color w:val="000000" w:themeColor="text1"/>
        </w:rPr>
        <w:t xml:space="preserve"> натиск</w:t>
      </w:r>
      <w:r w:rsidR="008D0028">
        <w:rPr>
          <w:color w:val="000000" w:themeColor="text1"/>
        </w:rPr>
        <w:t>ът</w:t>
      </w:r>
      <w:r>
        <w:rPr>
          <w:color w:val="000000" w:themeColor="text1"/>
        </w:rPr>
        <w:t xml:space="preserve"> на текущите разходи, в т.</w:t>
      </w:r>
      <w:r w:rsidR="008D0028">
        <w:rPr>
          <w:color w:val="000000" w:themeColor="text1"/>
        </w:rPr>
        <w:t xml:space="preserve"> </w:t>
      </w:r>
      <w:r>
        <w:rPr>
          <w:color w:val="000000" w:themeColor="text1"/>
        </w:rPr>
        <w:t>ч. разходи за персонал, социални разходи и други се засилва значително през последните години. За това допринася и недобрата фискална практика за въвеждане на автоматични механизми за определяне на възнагражденията в много от бюджетните системи, както и липсата на мерки за намаляване на натиска върху бюджета от пенсионната система, където разходите за пенсии, финансирани не за сметка на приходи от осигурителни вноски, а за сметка на държавния бюджет нараства. Тези дисбаланси водят до изпреварващ темп на нарастване на разходите, докато приходната база, произтичаща от прилаганата без съществени изменения през последните повече от 15 години данъчна система, не може да компенсира изцяло това нарастване и това води до формирането на бюджетен дефицит.</w:t>
      </w:r>
    </w:p>
    <w:p w:rsidR="00320053" w:rsidRPr="008248D0" w:rsidRDefault="00320053" w:rsidP="00320053">
      <w:pPr>
        <w:pStyle w:val="BodyText"/>
        <w:rPr>
          <w:color w:val="000000" w:themeColor="text1"/>
          <w:sz w:val="12"/>
          <w:szCs w:val="12"/>
        </w:rPr>
      </w:pPr>
    </w:p>
    <w:p w:rsidR="00320053" w:rsidRPr="00807E53" w:rsidRDefault="00320053" w:rsidP="00320053">
      <w:pPr>
        <w:pStyle w:val="BodyText"/>
        <w:rPr>
          <w:color w:val="000000" w:themeColor="text1"/>
        </w:rPr>
      </w:pPr>
      <w:r>
        <w:rPr>
          <w:color w:val="000000" w:themeColor="text1"/>
        </w:rPr>
        <w:t xml:space="preserve">По отношение финалния етап по изпълнението на националните ангажименти по НПВУ се полагат усилия за </w:t>
      </w:r>
      <w:r w:rsidRPr="00807E53">
        <w:rPr>
          <w:color w:val="000000" w:themeColor="text1"/>
        </w:rPr>
        <w:t>ускоряване на работата по изпълнението на плана, като четвъртото искане за плащане по НПВУ в размер на 0,9 млрд. евро бе изпратено към ЕК в началото на април. Това означава, че плащането по него</w:t>
      </w:r>
      <w:r>
        <w:rPr>
          <w:color w:val="000000" w:themeColor="text1"/>
        </w:rPr>
        <w:t>,</w:t>
      </w:r>
      <w:r w:rsidRPr="00807E53">
        <w:rPr>
          <w:color w:val="000000" w:themeColor="text1"/>
        </w:rPr>
        <w:t xml:space="preserve"> </w:t>
      </w:r>
      <w:r>
        <w:rPr>
          <w:color w:val="000000" w:themeColor="text1"/>
        </w:rPr>
        <w:t xml:space="preserve">при равни други условия, </w:t>
      </w:r>
      <w:r w:rsidRPr="00807E53">
        <w:rPr>
          <w:color w:val="000000" w:themeColor="text1"/>
        </w:rPr>
        <w:t xml:space="preserve">може да бъде предоставено на България </w:t>
      </w:r>
      <w:r>
        <w:rPr>
          <w:color w:val="000000" w:themeColor="text1"/>
        </w:rPr>
        <w:t xml:space="preserve">през </w:t>
      </w:r>
      <w:r w:rsidRPr="00807E53">
        <w:rPr>
          <w:color w:val="000000" w:themeColor="text1"/>
        </w:rPr>
        <w:t>месец ю</w:t>
      </w:r>
      <w:r>
        <w:rPr>
          <w:color w:val="000000" w:themeColor="text1"/>
        </w:rPr>
        <w:t>л</w:t>
      </w:r>
      <w:r w:rsidRPr="00807E53">
        <w:rPr>
          <w:color w:val="000000" w:themeColor="text1"/>
        </w:rPr>
        <w:t>и. Петото искане за плащане в размер на 1,6 млрд. евро се очаква да бъде изпратено към ЕК до края на месец септември 2026 г., съответно средствата от ЕК могат да се очакват в края на годината. Очертаните проблеми налагат необходимост от осигуряване на изпреварващо национално финансиране, тъй като ако същото не бъде осигурено, това ще доведе до невъзможност за разплащане на инвестициите през 2026 година. Това на свой ред ще компрометира изпълнението на съответните етапи или цели от ПВУ, което ще означава загуба на европейски средства. Не на последно място това ще окаже изключително негативен ефект и върху възложителите, които вече са поели ангажименти. От изложеното е видно, че се налага националният бюджет да префинансира тези значителни по размер плащания, което съответно ще ангажира значителна част от наличните средства на разположение във фискалния резерв.</w:t>
      </w:r>
    </w:p>
    <w:p w:rsidR="00320053" w:rsidRPr="000E6CBC" w:rsidRDefault="00320053" w:rsidP="00320053">
      <w:pPr>
        <w:pStyle w:val="BodyText"/>
        <w:rPr>
          <w:color w:val="000000" w:themeColor="text1"/>
          <w:sz w:val="12"/>
          <w:szCs w:val="12"/>
        </w:rPr>
      </w:pPr>
    </w:p>
    <w:p w:rsidR="00320053" w:rsidRPr="008D2DE5" w:rsidRDefault="00320053" w:rsidP="00320053">
      <w:pPr>
        <w:pStyle w:val="BodyText"/>
        <w:rPr>
          <w:color w:val="000000" w:themeColor="text1"/>
        </w:rPr>
      </w:pPr>
      <w:r w:rsidRPr="00807E53">
        <w:rPr>
          <w:color w:val="000000" w:themeColor="text1"/>
        </w:rPr>
        <w:t>Разпоредбите на ЗСПИР и ЗПФ не уреждат възможността да се осигури ресурс, с който националният бюджет да префинансира предстоящите значителни плащания през 2026 г. по НПВУ. Това налага да се предприемат действия за законодателна промяна, която да даде възможност за поемане на държавен дълг за целите на авансово финансиране на предстоящите плащания по НПВУ. За да се преодолеят тези предизвикателства и за минимизиране на ликвидните рискове при ритмично финансиране и максимално ускоряване на изпълнението на дейностите/инвестициите по НПВУ е изключително важно Народното събрание да подкрепи законодателна мярка, която да урежда този въпрос.</w:t>
      </w:r>
    </w:p>
    <w:bookmarkEnd w:id="0"/>
    <w:p w:rsidR="00375929" w:rsidRPr="00D8538C" w:rsidRDefault="00375929" w:rsidP="00375929">
      <w:pPr>
        <w:keepNext/>
        <w:keepLines/>
        <w:spacing w:before="240"/>
        <w:jc w:val="both"/>
        <w:outlineLvl w:val="2"/>
        <w:rPr>
          <w:b/>
          <w:u w:val="single"/>
          <w:lang w:eastAsia="bg-BG"/>
        </w:rPr>
      </w:pPr>
      <w:r w:rsidRPr="00D8538C">
        <w:rPr>
          <w:b/>
          <w:u w:val="single"/>
          <w:lang w:eastAsia="bg-BG"/>
        </w:rPr>
        <w:t xml:space="preserve">Фискални предизвикателства </w:t>
      </w:r>
    </w:p>
    <w:p w:rsidR="00375929" w:rsidRPr="00D8538C" w:rsidRDefault="00375929" w:rsidP="00375929">
      <w:pPr>
        <w:pStyle w:val="BodyText"/>
        <w:rPr>
          <w:color w:val="000000" w:themeColor="text1"/>
          <w:sz w:val="12"/>
          <w:szCs w:val="12"/>
        </w:rPr>
      </w:pPr>
    </w:p>
    <w:p w:rsidR="00375929" w:rsidRPr="00D8538C" w:rsidRDefault="00375929" w:rsidP="00375929">
      <w:pPr>
        <w:pStyle w:val="BodyText"/>
        <w:rPr>
          <w:color w:val="000000" w:themeColor="text1"/>
        </w:rPr>
      </w:pPr>
      <w:r w:rsidRPr="00D8538C">
        <w:rPr>
          <w:color w:val="000000" w:themeColor="text1"/>
        </w:rPr>
        <w:t>От изложеното по-горе е видно, че основно предизвикателство през настоящата година е успешното и в срок изпълнение на инвестициите и проектите по НПВУ, заедно с което в ускорен порядък трябва да бъдат завършени и реформите, заложени в плана. Това изисква безпрецедентна мобилизация, както на бюджетни ресурси, така и на експертиза и капацитет при управлението на проектите. Въпреки сериозното ускоряване при финансирането на разходите по програмните и фондовете на ЕС за първото тримесечие през следващите месеци предстои да бъде извършена огромна по обем работа, с оглед максимално усвояване на алокираните за България средства по плана. Прогнозите сочат, че през месеците от юни до август включително изпълнението на инвестициите и проектите по НПВУ може да постави под сериозен натиск ликвидната позиция на страната, като тези рискове изискват своевременни действия. От друга страна струпването на такава огромна по обем работа по изпълнението на НПВУ представлява потенциален риск за неспазване на срока за допустимост на разходите, което също може да постави под натиск националния бюджет в средносрочен хоризонт.</w:t>
      </w:r>
    </w:p>
    <w:p w:rsidR="00375929" w:rsidRPr="00D8538C" w:rsidRDefault="00375929" w:rsidP="00375929">
      <w:pPr>
        <w:pStyle w:val="BodyText"/>
        <w:rPr>
          <w:color w:val="000000" w:themeColor="text1"/>
          <w:sz w:val="12"/>
          <w:szCs w:val="12"/>
        </w:rPr>
      </w:pPr>
    </w:p>
    <w:p w:rsidR="00375929" w:rsidRPr="00D8538C" w:rsidRDefault="00375929" w:rsidP="00375929">
      <w:pPr>
        <w:pStyle w:val="BodyText"/>
        <w:rPr>
          <w:color w:val="000000" w:themeColor="text1"/>
        </w:rPr>
      </w:pPr>
      <w:r w:rsidRPr="00D8538C">
        <w:rPr>
          <w:color w:val="000000" w:themeColor="text1"/>
        </w:rPr>
        <w:t>Сериозен натиск върху разходите продължава да оказва и въведеното обвързване на възнагражденията в редица бюджетни сектори със средната работна заплата, както и определянето на размера на минималната работна заплата отново чрез формула, включваща средната работна заплата в страната. Тези т.</w:t>
      </w:r>
      <w:r w:rsidR="00866836" w:rsidRPr="00D8538C">
        <w:rPr>
          <w:color w:val="000000" w:themeColor="text1"/>
        </w:rPr>
        <w:t xml:space="preserve"> </w:t>
      </w:r>
      <w:r w:rsidRPr="00D8538C">
        <w:rPr>
          <w:color w:val="000000" w:themeColor="text1"/>
        </w:rPr>
        <w:t>н. „автоматизми“</w:t>
      </w:r>
      <w:r w:rsidR="00AD1CD5">
        <w:rPr>
          <w:color w:val="000000" w:themeColor="text1"/>
        </w:rPr>
        <w:t>,</w:t>
      </w:r>
      <w:r w:rsidRPr="00D8538C">
        <w:rPr>
          <w:color w:val="000000" w:themeColor="text1"/>
        </w:rPr>
        <w:t xml:space="preserve"> от една страна</w:t>
      </w:r>
      <w:r w:rsidR="00AD1CD5">
        <w:rPr>
          <w:color w:val="000000" w:themeColor="text1"/>
        </w:rPr>
        <w:t>,</w:t>
      </w:r>
      <w:r w:rsidRPr="00D8538C">
        <w:rPr>
          <w:color w:val="000000" w:themeColor="text1"/>
        </w:rPr>
        <w:t xml:space="preserve"> доведоха до сериозни  диспропорции между възнагражденията в отделните бюджетни системи, като заедно с това действат демотивиращо на заетите, тъй като постигнатите резултати нямат голямо влияние върху размера на възнагражденията, а от друга, поставят под сериозен натиск разходната част на бюджета, което може да застраши устойчивостта на публичните финанси при настоящата данъчна система. Тези предизвикателства изискват сериозен анализ на действащото законодателство по отношение на определянето на възнагражденията в бюджетния сектор, на база на който да бъдат идентифицирани мерки и реформи, които да премахнат автоматизмите, да намалят диспропорциите и да ограничат натиска върху разходите в средносрочен хоризонт.</w:t>
      </w:r>
    </w:p>
    <w:p w:rsidR="00375929" w:rsidRPr="00D8538C" w:rsidRDefault="00375929" w:rsidP="00375929">
      <w:pPr>
        <w:pStyle w:val="BodyText"/>
        <w:rPr>
          <w:color w:val="000000" w:themeColor="text1"/>
          <w:sz w:val="12"/>
          <w:szCs w:val="12"/>
        </w:rPr>
      </w:pPr>
    </w:p>
    <w:p w:rsidR="00375929" w:rsidRPr="00877D0C" w:rsidRDefault="00375929" w:rsidP="00375929">
      <w:pPr>
        <w:pStyle w:val="BodyText"/>
        <w:rPr>
          <w:color w:val="000000" w:themeColor="text1"/>
        </w:rPr>
      </w:pPr>
      <w:r w:rsidRPr="00D8538C">
        <w:rPr>
          <w:color w:val="000000" w:themeColor="text1"/>
        </w:rPr>
        <w:t xml:space="preserve"> Друго сериозно предизвикателство представляват проектите по Инвестиционната програма за общински проекти със срок на изпълнение и въвеждане в експлоатация до 30 юни 2027 г. Одобрените до сега проекти, включени в Приложение 3 към чл. 113 на ЗДБРБ за 2025 г. също изискват сериозен ресурс, като данните показват, че отново се очаква концентриране на значителни разходи през 2026 г. и 2027 г., предвид срока за приключване на проектите.</w:t>
      </w:r>
      <w:r>
        <w:rPr>
          <w:color w:val="000000" w:themeColor="text1"/>
        </w:rPr>
        <w:t xml:space="preserve"> </w:t>
      </w:r>
    </w:p>
    <w:p w:rsidR="00375929" w:rsidRPr="00013834" w:rsidRDefault="00375929" w:rsidP="009F73A1">
      <w:pPr>
        <w:pStyle w:val="ListParagraph"/>
        <w:spacing w:line="240" w:lineRule="auto"/>
        <w:ind w:left="714" w:firstLine="0"/>
        <w:rPr>
          <w:rFonts w:ascii="Times New Roman" w:hAnsi="Times New Roman"/>
          <w:color w:val="0070C0"/>
        </w:rPr>
      </w:pPr>
    </w:p>
    <w:p w:rsidR="005D7577" w:rsidRPr="00013834" w:rsidRDefault="00A07483" w:rsidP="00A07483">
      <w:pPr>
        <w:rPr>
          <w:color w:val="0070C0"/>
        </w:rPr>
      </w:pPr>
      <w:r w:rsidRPr="00013834">
        <w:rPr>
          <w:color w:val="0070C0"/>
        </w:rPr>
        <w:br w:type="page"/>
      </w:r>
    </w:p>
    <w:p w:rsidR="008969AB" w:rsidRPr="00800FB7" w:rsidRDefault="008969AB" w:rsidP="00800FB7">
      <w:pPr>
        <w:pStyle w:val="Heading1"/>
        <w:numPr>
          <w:ilvl w:val="0"/>
          <w:numId w:val="8"/>
        </w:numPr>
        <w:spacing w:before="360"/>
        <w:ind w:right="-108"/>
        <w:jc w:val="both"/>
        <w:rPr>
          <w:sz w:val="24"/>
        </w:rPr>
      </w:pPr>
      <w:r w:rsidRPr="00800FB7">
        <w:rPr>
          <w:sz w:val="24"/>
        </w:rPr>
        <w:t>Основни показатели по консолидираната фискална програма</w:t>
      </w:r>
      <w:r w:rsidRPr="00800FB7">
        <w:rPr>
          <w:rStyle w:val="FootnoteReference"/>
          <w:sz w:val="24"/>
        </w:rPr>
        <w:footnoteReference w:id="2"/>
      </w:r>
      <w:r w:rsidRPr="00800FB7">
        <w:rPr>
          <w:sz w:val="24"/>
        </w:rPr>
        <w:t xml:space="preserve"> за </w:t>
      </w:r>
      <w:r w:rsidR="00800FB7" w:rsidRPr="00800FB7">
        <w:rPr>
          <w:sz w:val="24"/>
        </w:rPr>
        <w:t>първото тримесечие на 2026 г.</w:t>
      </w:r>
    </w:p>
    <w:p w:rsidR="00C35EB3" w:rsidRPr="00013834" w:rsidRDefault="00C35EB3" w:rsidP="00C35EB3">
      <w:pPr>
        <w:jc w:val="both"/>
        <w:rPr>
          <w:color w:val="0070C0"/>
        </w:rPr>
      </w:pPr>
      <w:bookmarkStart w:id="2" w:name="_MON_1608125583"/>
      <w:bookmarkStart w:id="3" w:name="_MON_1608125674"/>
      <w:bookmarkStart w:id="4" w:name="_MON_1608126274"/>
      <w:bookmarkStart w:id="5" w:name="_MON_1608124882"/>
      <w:bookmarkStart w:id="6" w:name="_MON_1608126650"/>
      <w:bookmarkStart w:id="7" w:name="_MON_1608126890"/>
      <w:bookmarkStart w:id="8" w:name="_MON_1608126952"/>
      <w:bookmarkStart w:id="9" w:name="_MON_1608127244"/>
      <w:bookmarkStart w:id="10" w:name="_MON_1608124980"/>
      <w:bookmarkStart w:id="11" w:name="_MON_1608125062"/>
      <w:bookmarkStart w:id="12" w:name="_MON_1608125088"/>
      <w:bookmarkStart w:id="13" w:name="_MON_1608125406"/>
      <w:bookmarkStart w:id="14" w:name="_MON_1609599545"/>
      <w:bookmarkStart w:id="15" w:name="_MON_1609599605"/>
      <w:bookmarkStart w:id="16" w:name="_MON_160812542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851E4E" w:rsidRPr="007C2C2B" w:rsidRDefault="00851E4E" w:rsidP="00851E4E">
      <w:pPr>
        <w:jc w:val="both"/>
      </w:pPr>
      <w:r w:rsidRPr="007C2C2B">
        <w:t>Изпълнението на основните показатели по консолидираната фискална програма за първото тримесечие на 2026 г. е представено в следната таблица:</w:t>
      </w:r>
    </w:p>
    <w:p w:rsidR="00851E4E" w:rsidRPr="00013834" w:rsidRDefault="00851E4E" w:rsidP="00851E4E">
      <w:pPr>
        <w:jc w:val="both"/>
        <w:rPr>
          <w:color w:val="0070C0"/>
          <w:sz w:val="4"/>
          <w:szCs w:val="4"/>
        </w:rPr>
      </w:pPr>
    </w:p>
    <w:p w:rsidR="00B57F17" w:rsidRPr="00D55C10" w:rsidRDefault="00B57F17" w:rsidP="00B57F17">
      <w:pPr>
        <w:spacing w:before="120"/>
        <w:rPr>
          <w:b/>
          <w:i/>
          <w:sz w:val="22"/>
          <w:szCs w:val="22"/>
        </w:rPr>
      </w:pPr>
      <w:r w:rsidRPr="00D55C10">
        <w:rPr>
          <w:b/>
          <w:i/>
          <w:sz w:val="22"/>
          <w:szCs w:val="22"/>
        </w:rPr>
        <w:t>Таблица</w:t>
      </w:r>
      <w:r w:rsidRPr="00D55C10">
        <w:rPr>
          <w:b/>
          <w:i/>
          <w:sz w:val="22"/>
          <w:szCs w:val="22"/>
          <w:vertAlign w:val="superscript"/>
        </w:rPr>
        <w:footnoteReference w:id="3"/>
      </w:r>
      <w:r w:rsidRPr="00D55C10">
        <w:rPr>
          <w:b/>
          <w:i/>
          <w:sz w:val="22"/>
          <w:szCs w:val="22"/>
        </w:rPr>
        <w:t xml:space="preserve"> №1</w:t>
      </w:r>
      <w:r w:rsidRPr="00D55C10">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t xml:space="preserve">        </w:t>
      </w:r>
      <w:r w:rsidRPr="002733BD">
        <w:rPr>
          <w:b/>
          <w:bCs/>
          <w:sz w:val="20"/>
          <w:szCs w:val="20"/>
          <w:lang w:val="en-GB"/>
        </w:rPr>
        <w:t>(млн. евро)</w:t>
      </w:r>
    </w:p>
    <w:tbl>
      <w:tblPr>
        <w:tblW w:w="10146" w:type="dxa"/>
        <w:tblInd w:w="98" w:type="dxa"/>
        <w:tblLook w:val="04A0" w:firstRow="1" w:lastRow="0" w:firstColumn="1" w:lastColumn="0" w:noHBand="0" w:noVBand="1"/>
      </w:tblPr>
      <w:tblGrid>
        <w:gridCol w:w="4003"/>
        <w:gridCol w:w="1286"/>
        <w:gridCol w:w="1227"/>
        <w:gridCol w:w="1222"/>
        <w:gridCol w:w="1199"/>
        <w:gridCol w:w="1209"/>
      </w:tblGrid>
      <w:tr w:rsidR="00851E4E" w:rsidRPr="0052781D" w:rsidTr="00483B4A">
        <w:trPr>
          <w:trHeight w:val="265"/>
        </w:trPr>
        <w:tc>
          <w:tcPr>
            <w:tcW w:w="4003" w:type="dxa"/>
            <w:vMerge w:val="restart"/>
            <w:tcBorders>
              <w:top w:val="single" w:sz="8" w:space="0" w:color="auto"/>
              <w:left w:val="single" w:sz="8" w:space="0" w:color="auto"/>
              <w:bottom w:val="single" w:sz="4" w:space="0" w:color="000000"/>
              <w:right w:val="nil"/>
            </w:tcBorders>
            <w:shd w:val="clear" w:color="000000" w:fill="D9D9D9"/>
            <w:noWrap/>
            <w:vAlign w:val="bottom"/>
            <w:hideMark/>
          </w:tcPr>
          <w:p w:rsidR="00851E4E" w:rsidRPr="00B5580F" w:rsidRDefault="00851E4E" w:rsidP="00483B4A">
            <w:pPr>
              <w:jc w:val="center"/>
              <w:rPr>
                <w:b/>
                <w:bCs/>
                <w:sz w:val="18"/>
                <w:szCs w:val="18"/>
              </w:rPr>
            </w:pPr>
            <w:r w:rsidRPr="00B5580F">
              <w:rPr>
                <w:b/>
                <w:bCs/>
                <w:sz w:val="18"/>
                <w:szCs w:val="18"/>
              </w:rPr>
              <w:t>ПОКАЗАТЕЛ</w:t>
            </w:r>
          </w:p>
        </w:tc>
        <w:tc>
          <w:tcPr>
            <w:tcW w:w="1286" w:type="dxa"/>
            <w:tcBorders>
              <w:top w:val="single" w:sz="8" w:space="0" w:color="auto"/>
              <w:left w:val="single" w:sz="4" w:space="0" w:color="auto"/>
              <w:bottom w:val="nil"/>
              <w:right w:val="single" w:sz="4" w:space="0" w:color="auto"/>
            </w:tcBorders>
            <w:shd w:val="clear" w:color="000000" w:fill="D9D9D9"/>
            <w:noWrap/>
            <w:vAlign w:val="bottom"/>
            <w:hideMark/>
          </w:tcPr>
          <w:p w:rsidR="00851E4E" w:rsidRPr="005C32A6" w:rsidRDefault="00851E4E" w:rsidP="00483B4A">
            <w:pPr>
              <w:jc w:val="center"/>
              <w:rPr>
                <w:b/>
                <w:bCs/>
                <w:sz w:val="18"/>
                <w:szCs w:val="18"/>
                <w:highlight w:val="yellow"/>
              </w:rPr>
            </w:pPr>
            <w:r w:rsidRPr="005C32A6">
              <w:rPr>
                <w:b/>
                <w:bCs/>
                <w:sz w:val="18"/>
                <w:szCs w:val="18"/>
              </w:rPr>
              <w:t>Отчет към 31.03.202</w:t>
            </w:r>
            <w:r>
              <w:rPr>
                <w:b/>
                <w:bCs/>
                <w:sz w:val="18"/>
                <w:szCs w:val="18"/>
              </w:rPr>
              <w:t>5</w:t>
            </w:r>
            <w:r w:rsidRPr="005C32A6">
              <w:rPr>
                <w:b/>
                <w:bCs/>
                <w:sz w:val="18"/>
                <w:szCs w:val="18"/>
              </w:rPr>
              <w:t xml:space="preserve"> г.</w:t>
            </w:r>
          </w:p>
        </w:tc>
        <w:tc>
          <w:tcPr>
            <w:tcW w:w="3648" w:type="dxa"/>
            <w:gridSpan w:val="3"/>
            <w:tcBorders>
              <w:top w:val="single" w:sz="8" w:space="0" w:color="auto"/>
              <w:left w:val="nil"/>
              <w:bottom w:val="single" w:sz="4" w:space="0" w:color="auto"/>
              <w:right w:val="single" w:sz="4" w:space="0" w:color="auto"/>
            </w:tcBorders>
            <w:shd w:val="clear" w:color="000000" w:fill="D9D9D9"/>
            <w:noWrap/>
            <w:vAlign w:val="center"/>
            <w:hideMark/>
          </w:tcPr>
          <w:p w:rsidR="00851E4E" w:rsidRPr="00DD6E6C" w:rsidRDefault="00851E4E" w:rsidP="00483B4A">
            <w:pPr>
              <w:jc w:val="center"/>
              <w:rPr>
                <w:b/>
                <w:bCs/>
                <w:sz w:val="18"/>
                <w:szCs w:val="18"/>
              </w:rPr>
            </w:pPr>
            <w:r w:rsidRPr="00DD6E6C">
              <w:rPr>
                <w:b/>
                <w:bCs/>
                <w:sz w:val="18"/>
                <w:szCs w:val="18"/>
              </w:rPr>
              <w:t>Отчет към 31.03.20</w:t>
            </w:r>
            <w:r w:rsidRPr="00DD6E6C">
              <w:rPr>
                <w:b/>
                <w:bCs/>
                <w:sz w:val="18"/>
                <w:szCs w:val="18"/>
                <w:lang w:val="en-US"/>
              </w:rPr>
              <w:t>2</w:t>
            </w:r>
            <w:r w:rsidRPr="00DD6E6C">
              <w:rPr>
                <w:b/>
                <w:bCs/>
                <w:sz w:val="18"/>
                <w:szCs w:val="18"/>
              </w:rPr>
              <w:t>6 г.</w:t>
            </w:r>
          </w:p>
        </w:tc>
        <w:tc>
          <w:tcPr>
            <w:tcW w:w="1209" w:type="dxa"/>
            <w:tcBorders>
              <w:top w:val="single" w:sz="8" w:space="0" w:color="auto"/>
              <w:left w:val="nil"/>
              <w:bottom w:val="nil"/>
              <w:right w:val="single" w:sz="8" w:space="0" w:color="auto"/>
            </w:tcBorders>
            <w:shd w:val="clear" w:color="000000" w:fill="D9D9D9"/>
            <w:noWrap/>
            <w:vAlign w:val="bottom"/>
            <w:hideMark/>
          </w:tcPr>
          <w:p w:rsidR="00851E4E" w:rsidRPr="0052781D" w:rsidRDefault="00851E4E" w:rsidP="00483B4A">
            <w:pPr>
              <w:jc w:val="center"/>
              <w:rPr>
                <w:b/>
                <w:bCs/>
                <w:sz w:val="18"/>
                <w:szCs w:val="18"/>
              </w:rPr>
            </w:pPr>
            <w:r w:rsidRPr="0052781D">
              <w:rPr>
                <w:b/>
                <w:bCs/>
                <w:sz w:val="18"/>
                <w:szCs w:val="18"/>
              </w:rPr>
              <w:t>Изпълнение</w:t>
            </w:r>
          </w:p>
        </w:tc>
      </w:tr>
      <w:tr w:rsidR="00851E4E" w:rsidRPr="0052781D" w:rsidTr="00483B4A">
        <w:trPr>
          <w:trHeight w:val="250"/>
        </w:trPr>
        <w:tc>
          <w:tcPr>
            <w:tcW w:w="4003" w:type="dxa"/>
            <w:vMerge/>
            <w:tcBorders>
              <w:top w:val="single" w:sz="8" w:space="0" w:color="auto"/>
              <w:left w:val="single" w:sz="8" w:space="0" w:color="auto"/>
              <w:bottom w:val="single" w:sz="4" w:space="0" w:color="000000"/>
              <w:right w:val="nil"/>
            </w:tcBorders>
            <w:vAlign w:val="center"/>
            <w:hideMark/>
          </w:tcPr>
          <w:p w:rsidR="00851E4E" w:rsidRPr="00B5580F" w:rsidRDefault="00851E4E" w:rsidP="00483B4A">
            <w:pPr>
              <w:rPr>
                <w:b/>
                <w:bCs/>
                <w:sz w:val="18"/>
                <w:szCs w:val="18"/>
              </w:rPr>
            </w:pPr>
          </w:p>
        </w:tc>
        <w:tc>
          <w:tcPr>
            <w:tcW w:w="1286" w:type="dxa"/>
            <w:tcBorders>
              <w:top w:val="nil"/>
              <w:left w:val="single" w:sz="4" w:space="0" w:color="auto"/>
              <w:bottom w:val="single" w:sz="4" w:space="0" w:color="auto"/>
              <w:right w:val="single" w:sz="4" w:space="0" w:color="auto"/>
            </w:tcBorders>
            <w:shd w:val="clear" w:color="000000" w:fill="D9D9D9"/>
            <w:noWrap/>
            <w:vAlign w:val="bottom"/>
            <w:hideMark/>
          </w:tcPr>
          <w:p w:rsidR="00851E4E" w:rsidRPr="00BB6EB8" w:rsidRDefault="00851E4E" w:rsidP="00483B4A">
            <w:pPr>
              <w:jc w:val="center"/>
              <w:rPr>
                <w:b/>
                <w:bCs/>
                <w:sz w:val="18"/>
                <w:szCs w:val="18"/>
              </w:rPr>
            </w:pPr>
            <w:r w:rsidRPr="00BB6EB8">
              <w:rPr>
                <w:b/>
                <w:bCs/>
                <w:sz w:val="18"/>
                <w:szCs w:val="18"/>
              </w:rPr>
              <w:t xml:space="preserve"> КФП</w:t>
            </w:r>
          </w:p>
        </w:tc>
        <w:tc>
          <w:tcPr>
            <w:tcW w:w="1227" w:type="dxa"/>
            <w:tcBorders>
              <w:top w:val="nil"/>
              <w:left w:val="nil"/>
              <w:bottom w:val="single" w:sz="4" w:space="0" w:color="auto"/>
              <w:right w:val="single" w:sz="4" w:space="0" w:color="auto"/>
            </w:tcBorders>
            <w:shd w:val="clear" w:color="000000" w:fill="D9D9D9"/>
            <w:noWrap/>
            <w:vAlign w:val="bottom"/>
            <w:hideMark/>
          </w:tcPr>
          <w:p w:rsidR="00851E4E" w:rsidRPr="00DD6E6C" w:rsidRDefault="00851E4E" w:rsidP="00483B4A">
            <w:pPr>
              <w:jc w:val="center"/>
              <w:rPr>
                <w:b/>
                <w:bCs/>
                <w:sz w:val="18"/>
                <w:szCs w:val="18"/>
              </w:rPr>
            </w:pPr>
            <w:r w:rsidRPr="00DD6E6C">
              <w:rPr>
                <w:b/>
                <w:bCs/>
                <w:sz w:val="18"/>
                <w:szCs w:val="18"/>
              </w:rPr>
              <w:t xml:space="preserve"> КФП</w:t>
            </w:r>
          </w:p>
        </w:tc>
        <w:tc>
          <w:tcPr>
            <w:tcW w:w="1222" w:type="dxa"/>
            <w:tcBorders>
              <w:top w:val="nil"/>
              <w:left w:val="nil"/>
              <w:bottom w:val="single" w:sz="4" w:space="0" w:color="auto"/>
              <w:right w:val="single" w:sz="4" w:space="0" w:color="auto"/>
            </w:tcBorders>
            <w:shd w:val="clear" w:color="000000" w:fill="D9D9D9"/>
            <w:noWrap/>
            <w:vAlign w:val="bottom"/>
            <w:hideMark/>
          </w:tcPr>
          <w:p w:rsidR="00851E4E" w:rsidRPr="00DD6E6C" w:rsidRDefault="00851E4E" w:rsidP="00483B4A">
            <w:pPr>
              <w:jc w:val="center"/>
              <w:rPr>
                <w:b/>
                <w:bCs/>
                <w:sz w:val="18"/>
                <w:szCs w:val="18"/>
              </w:rPr>
            </w:pPr>
            <w:r w:rsidRPr="00DD6E6C">
              <w:rPr>
                <w:b/>
                <w:bCs/>
                <w:sz w:val="18"/>
                <w:szCs w:val="18"/>
              </w:rPr>
              <w:t>Национален бюджет</w:t>
            </w:r>
          </w:p>
        </w:tc>
        <w:tc>
          <w:tcPr>
            <w:tcW w:w="1199" w:type="dxa"/>
            <w:tcBorders>
              <w:top w:val="nil"/>
              <w:left w:val="nil"/>
              <w:bottom w:val="single" w:sz="4" w:space="0" w:color="auto"/>
              <w:right w:val="single" w:sz="4" w:space="0" w:color="auto"/>
            </w:tcBorders>
            <w:shd w:val="clear" w:color="000000" w:fill="D9D9D9"/>
            <w:noWrap/>
            <w:vAlign w:val="bottom"/>
            <w:hideMark/>
          </w:tcPr>
          <w:p w:rsidR="00851E4E" w:rsidRPr="00DD6E6C" w:rsidRDefault="00851E4E" w:rsidP="00483B4A">
            <w:pPr>
              <w:jc w:val="center"/>
              <w:rPr>
                <w:b/>
                <w:bCs/>
                <w:sz w:val="18"/>
                <w:szCs w:val="18"/>
              </w:rPr>
            </w:pPr>
            <w:r w:rsidRPr="00DD6E6C">
              <w:rPr>
                <w:b/>
                <w:bCs/>
                <w:sz w:val="18"/>
                <w:szCs w:val="18"/>
              </w:rPr>
              <w:t>Европейски средства</w:t>
            </w:r>
          </w:p>
        </w:tc>
        <w:tc>
          <w:tcPr>
            <w:tcW w:w="1209" w:type="dxa"/>
            <w:tcBorders>
              <w:top w:val="nil"/>
              <w:left w:val="nil"/>
              <w:bottom w:val="single" w:sz="4" w:space="0" w:color="auto"/>
              <w:right w:val="single" w:sz="8" w:space="0" w:color="auto"/>
            </w:tcBorders>
            <w:shd w:val="clear" w:color="000000" w:fill="D9D9D9"/>
            <w:noWrap/>
            <w:vAlign w:val="bottom"/>
            <w:hideMark/>
          </w:tcPr>
          <w:p w:rsidR="00851E4E" w:rsidRPr="0052781D" w:rsidRDefault="00851E4E" w:rsidP="00483B4A">
            <w:pPr>
              <w:jc w:val="center"/>
              <w:rPr>
                <w:b/>
                <w:bCs/>
                <w:sz w:val="18"/>
                <w:szCs w:val="18"/>
              </w:rPr>
            </w:pPr>
            <w:r w:rsidRPr="0052781D">
              <w:rPr>
                <w:b/>
                <w:bCs/>
                <w:sz w:val="18"/>
                <w:szCs w:val="18"/>
              </w:rPr>
              <w:t>спрямо 2025 г.</w:t>
            </w:r>
          </w:p>
        </w:tc>
      </w:tr>
      <w:tr w:rsidR="00851E4E" w:rsidRPr="0052781D" w:rsidTr="00483B4A">
        <w:trPr>
          <w:trHeight w:val="265"/>
        </w:trPr>
        <w:tc>
          <w:tcPr>
            <w:tcW w:w="4003" w:type="dxa"/>
            <w:tcBorders>
              <w:top w:val="nil"/>
              <w:left w:val="single" w:sz="8" w:space="0" w:color="auto"/>
              <w:bottom w:val="single" w:sz="8" w:space="0" w:color="auto"/>
              <w:right w:val="nil"/>
            </w:tcBorders>
            <w:shd w:val="clear" w:color="000000" w:fill="D9D9D9"/>
            <w:noWrap/>
            <w:vAlign w:val="bottom"/>
            <w:hideMark/>
          </w:tcPr>
          <w:p w:rsidR="00851E4E" w:rsidRPr="00B5580F" w:rsidRDefault="00851E4E" w:rsidP="00483B4A">
            <w:pPr>
              <w:jc w:val="center"/>
              <w:rPr>
                <w:sz w:val="18"/>
                <w:szCs w:val="18"/>
              </w:rPr>
            </w:pPr>
            <w:r w:rsidRPr="00B5580F">
              <w:rPr>
                <w:sz w:val="18"/>
                <w:szCs w:val="18"/>
              </w:rPr>
              <w:t>к.1</w:t>
            </w:r>
          </w:p>
        </w:tc>
        <w:tc>
          <w:tcPr>
            <w:tcW w:w="1286" w:type="dxa"/>
            <w:tcBorders>
              <w:top w:val="nil"/>
              <w:left w:val="single" w:sz="4" w:space="0" w:color="auto"/>
              <w:bottom w:val="single" w:sz="8" w:space="0" w:color="auto"/>
              <w:right w:val="single" w:sz="4" w:space="0" w:color="auto"/>
            </w:tcBorders>
            <w:shd w:val="clear" w:color="000000" w:fill="D9D9D9"/>
            <w:noWrap/>
            <w:vAlign w:val="bottom"/>
            <w:hideMark/>
          </w:tcPr>
          <w:p w:rsidR="00851E4E" w:rsidRPr="005550E1" w:rsidRDefault="00851E4E" w:rsidP="00483B4A">
            <w:pPr>
              <w:jc w:val="center"/>
              <w:rPr>
                <w:bCs/>
                <w:sz w:val="18"/>
                <w:szCs w:val="18"/>
              </w:rPr>
            </w:pPr>
            <w:r w:rsidRPr="005550E1">
              <w:rPr>
                <w:bCs/>
                <w:sz w:val="18"/>
                <w:szCs w:val="18"/>
              </w:rPr>
              <w:t>к.2</w:t>
            </w:r>
          </w:p>
        </w:tc>
        <w:tc>
          <w:tcPr>
            <w:tcW w:w="1227" w:type="dxa"/>
            <w:tcBorders>
              <w:top w:val="nil"/>
              <w:left w:val="nil"/>
              <w:bottom w:val="single" w:sz="8" w:space="0" w:color="auto"/>
              <w:right w:val="single" w:sz="4" w:space="0" w:color="auto"/>
            </w:tcBorders>
            <w:shd w:val="clear" w:color="000000" w:fill="D9D9D9"/>
            <w:noWrap/>
            <w:vAlign w:val="bottom"/>
            <w:hideMark/>
          </w:tcPr>
          <w:p w:rsidR="00851E4E" w:rsidRPr="00DD6E6C" w:rsidRDefault="00851E4E" w:rsidP="00483B4A">
            <w:pPr>
              <w:jc w:val="center"/>
              <w:rPr>
                <w:sz w:val="18"/>
                <w:szCs w:val="18"/>
              </w:rPr>
            </w:pPr>
            <w:r w:rsidRPr="00DD6E6C">
              <w:rPr>
                <w:sz w:val="18"/>
                <w:szCs w:val="18"/>
              </w:rPr>
              <w:t>к.3=к.4+к.5</w:t>
            </w:r>
          </w:p>
        </w:tc>
        <w:tc>
          <w:tcPr>
            <w:tcW w:w="1222" w:type="dxa"/>
            <w:tcBorders>
              <w:top w:val="nil"/>
              <w:left w:val="nil"/>
              <w:bottom w:val="single" w:sz="8" w:space="0" w:color="auto"/>
              <w:right w:val="single" w:sz="4" w:space="0" w:color="auto"/>
            </w:tcBorders>
            <w:shd w:val="clear" w:color="000000" w:fill="D9D9D9"/>
            <w:noWrap/>
            <w:vAlign w:val="bottom"/>
            <w:hideMark/>
          </w:tcPr>
          <w:p w:rsidR="00851E4E" w:rsidRPr="00DD6E6C" w:rsidRDefault="00851E4E" w:rsidP="00483B4A">
            <w:pPr>
              <w:jc w:val="center"/>
              <w:rPr>
                <w:sz w:val="18"/>
                <w:szCs w:val="18"/>
              </w:rPr>
            </w:pPr>
            <w:r w:rsidRPr="00DD6E6C">
              <w:rPr>
                <w:sz w:val="18"/>
                <w:szCs w:val="18"/>
              </w:rPr>
              <w:t>к.4</w:t>
            </w:r>
          </w:p>
        </w:tc>
        <w:tc>
          <w:tcPr>
            <w:tcW w:w="1199" w:type="dxa"/>
            <w:tcBorders>
              <w:top w:val="nil"/>
              <w:left w:val="nil"/>
              <w:bottom w:val="single" w:sz="8" w:space="0" w:color="auto"/>
              <w:right w:val="single" w:sz="4" w:space="0" w:color="auto"/>
            </w:tcBorders>
            <w:shd w:val="clear" w:color="000000" w:fill="D9D9D9"/>
            <w:noWrap/>
            <w:vAlign w:val="bottom"/>
            <w:hideMark/>
          </w:tcPr>
          <w:p w:rsidR="00851E4E" w:rsidRPr="00DD6E6C" w:rsidRDefault="00851E4E" w:rsidP="00483B4A">
            <w:pPr>
              <w:jc w:val="center"/>
              <w:rPr>
                <w:sz w:val="18"/>
                <w:szCs w:val="18"/>
              </w:rPr>
            </w:pPr>
            <w:r w:rsidRPr="00DD6E6C">
              <w:rPr>
                <w:sz w:val="18"/>
                <w:szCs w:val="18"/>
              </w:rPr>
              <w:t>к.5</w:t>
            </w:r>
          </w:p>
        </w:tc>
        <w:tc>
          <w:tcPr>
            <w:tcW w:w="1209" w:type="dxa"/>
            <w:tcBorders>
              <w:top w:val="nil"/>
              <w:left w:val="nil"/>
              <w:bottom w:val="single" w:sz="8" w:space="0" w:color="auto"/>
              <w:right w:val="single" w:sz="8" w:space="0" w:color="auto"/>
            </w:tcBorders>
            <w:shd w:val="clear" w:color="000000" w:fill="D9D9D9"/>
            <w:noWrap/>
            <w:vAlign w:val="bottom"/>
            <w:hideMark/>
          </w:tcPr>
          <w:p w:rsidR="00851E4E" w:rsidRPr="0052781D" w:rsidRDefault="00851E4E" w:rsidP="00483B4A">
            <w:pPr>
              <w:jc w:val="center"/>
              <w:rPr>
                <w:b/>
                <w:bCs/>
                <w:sz w:val="18"/>
                <w:szCs w:val="18"/>
              </w:rPr>
            </w:pPr>
            <w:r w:rsidRPr="0052781D">
              <w:rPr>
                <w:b/>
                <w:bCs/>
                <w:sz w:val="18"/>
                <w:szCs w:val="18"/>
              </w:rPr>
              <w:t>к.6=к.3:к.2</w:t>
            </w:r>
          </w:p>
        </w:tc>
      </w:tr>
      <w:tr w:rsidR="00851E4E" w:rsidRPr="0052781D" w:rsidTr="00483B4A">
        <w:trPr>
          <w:trHeight w:val="250"/>
        </w:trPr>
        <w:tc>
          <w:tcPr>
            <w:tcW w:w="4003" w:type="dxa"/>
            <w:tcBorders>
              <w:top w:val="single" w:sz="8" w:space="0" w:color="auto"/>
              <w:left w:val="single" w:sz="8" w:space="0" w:color="auto"/>
              <w:bottom w:val="nil"/>
              <w:right w:val="single" w:sz="4" w:space="0" w:color="auto"/>
            </w:tcBorders>
            <w:shd w:val="clear" w:color="auto" w:fill="auto"/>
            <w:noWrap/>
            <w:vAlign w:val="bottom"/>
            <w:hideMark/>
          </w:tcPr>
          <w:p w:rsidR="00851E4E" w:rsidRPr="00B5580F" w:rsidRDefault="00851E4E" w:rsidP="00483B4A">
            <w:pPr>
              <w:rPr>
                <w:b/>
                <w:bCs/>
                <w:sz w:val="18"/>
                <w:szCs w:val="18"/>
              </w:rPr>
            </w:pPr>
            <w:r w:rsidRPr="00B5580F">
              <w:rPr>
                <w:b/>
                <w:bCs/>
                <w:sz w:val="18"/>
                <w:szCs w:val="18"/>
              </w:rPr>
              <w:t>ПРИХОДИ, ПОМОЩИ И ДАРЕНИЯ</w:t>
            </w:r>
          </w:p>
        </w:tc>
        <w:tc>
          <w:tcPr>
            <w:tcW w:w="1286" w:type="dxa"/>
            <w:tcBorders>
              <w:top w:val="nil"/>
              <w:left w:val="nil"/>
              <w:bottom w:val="nil"/>
              <w:right w:val="nil"/>
            </w:tcBorders>
            <w:shd w:val="clear" w:color="auto" w:fill="auto"/>
            <w:noWrap/>
            <w:vAlign w:val="bottom"/>
            <w:hideMark/>
          </w:tcPr>
          <w:p w:rsidR="00851E4E" w:rsidRDefault="00851E4E" w:rsidP="00483B4A">
            <w:pPr>
              <w:jc w:val="right"/>
              <w:rPr>
                <w:b/>
                <w:bCs/>
                <w:sz w:val="18"/>
                <w:szCs w:val="18"/>
              </w:rPr>
            </w:pPr>
            <w:r>
              <w:rPr>
                <w:b/>
                <w:bCs/>
                <w:sz w:val="18"/>
                <w:szCs w:val="18"/>
              </w:rPr>
              <w:t>8 607,3</w:t>
            </w:r>
          </w:p>
        </w:tc>
        <w:tc>
          <w:tcPr>
            <w:tcW w:w="1227" w:type="dxa"/>
            <w:tcBorders>
              <w:top w:val="nil"/>
              <w:left w:val="nil"/>
              <w:bottom w:val="nil"/>
              <w:right w:val="nil"/>
            </w:tcBorders>
            <w:shd w:val="clear" w:color="auto" w:fill="auto"/>
            <w:noWrap/>
            <w:vAlign w:val="bottom"/>
            <w:hideMark/>
          </w:tcPr>
          <w:p w:rsidR="00851E4E" w:rsidRDefault="00851E4E" w:rsidP="00483B4A">
            <w:pPr>
              <w:jc w:val="right"/>
              <w:rPr>
                <w:b/>
                <w:bCs/>
                <w:sz w:val="18"/>
                <w:szCs w:val="18"/>
              </w:rPr>
            </w:pPr>
            <w:r>
              <w:rPr>
                <w:b/>
                <w:bCs/>
                <w:sz w:val="18"/>
                <w:szCs w:val="18"/>
              </w:rPr>
              <w:t>10 038,4</w:t>
            </w:r>
          </w:p>
        </w:tc>
        <w:tc>
          <w:tcPr>
            <w:tcW w:w="1222" w:type="dxa"/>
            <w:tcBorders>
              <w:top w:val="nil"/>
              <w:left w:val="nil"/>
              <w:bottom w:val="nil"/>
              <w:right w:val="nil"/>
            </w:tcBorders>
            <w:shd w:val="clear" w:color="auto" w:fill="auto"/>
            <w:noWrap/>
            <w:vAlign w:val="bottom"/>
            <w:hideMark/>
          </w:tcPr>
          <w:p w:rsidR="00851E4E" w:rsidRDefault="00851E4E" w:rsidP="00483B4A">
            <w:pPr>
              <w:jc w:val="right"/>
              <w:rPr>
                <w:b/>
                <w:bCs/>
                <w:sz w:val="18"/>
                <w:szCs w:val="18"/>
              </w:rPr>
            </w:pPr>
            <w:r>
              <w:rPr>
                <w:b/>
                <w:bCs/>
                <w:sz w:val="18"/>
                <w:szCs w:val="18"/>
              </w:rPr>
              <w:t>9 274,6</w:t>
            </w:r>
          </w:p>
        </w:tc>
        <w:tc>
          <w:tcPr>
            <w:tcW w:w="1199" w:type="dxa"/>
            <w:tcBorders>
              <w:top w:val="nil"/>
              <w:left w:val="nil"/>
              <w:bottom w:val="nil"/>
              <w:right w:val="nil"/>
            </w:tcBorders>
            <w:shd w:val="clear" w:color="auto" w:fill="auto"/>
            <w:noWrap/>
            <w:vAlign w:val="bottom"/>
            <w:hideMark/>
          </w:tcPr>
          <w:p w:rsidR="00851E4E" w:rsidRDefault="00851E4E" w:rsidP="00483B4A">
            <w:pPr>
              <w:jc w:val="right"/>
              <w:rPr>
                <w:b/>
                <w:bCs/>
                <w:sz w:val="18"/>
                <w:szCs w:val="18"/>
              </w:rPr>
            </w:pPr>
            <w:r>
              <w:rPr>
                <w:b/>
                <w:bCs/>
                <w:sz w:val="18"/>
                <w:szCs w:val="18"/>
              </w:rPr>
              <w:t>763,8</w:t>
            </w:r>
          </w:p>
        </w:tc>
        <w:tc>
          <w:tcPr>
            <w:tcW w:w="1209" w:type="dxa"/>
            <w:tcBorders>
              <w:top w:val="nil"/>
              <w:left w:val="nil"/>
              <w:bottom w:val="nil"/>
              <w:right w:val="single" w:sz="4" w:space="0" w:color="auto"/>
            </w:tcBorders>
            <w:shd w:val="clear" w:color="auto" w:fill="auto"/>
            <w:noWrap/>
            <w:vAlign w:val="bottom"/>
            <w:hideMark/>
          </w:tcPr>
          <w:p w:rsidR="00851E4E" w:rsidRDefault="00851E4E" w:rsidP="00483B4A">
            <w:pPr>
              <w:jc w:val="right"/>
              <w:rPr>
                <w:b/>
                <w:bCs/>
                <w:sz w:val="18"/>
                <w:szCs w:val="18"/>
              </w:rPr>
            </w:pPr>
            <w:r>
              <w:rPr>
                <w:b/>
                <w:bCs/>
                <w:sz w:val="18"/>
                <w:szCs w:val="18"/>
              </w:rPr>
              <w:t>116,6%</w:t>
            </w:r>
          </w:p>
        </w:tc>
      </w:tr>
      <w:tr w:rsidR="00851E4E" w:rsidRPr="0052781D" w:rsidTr="00483B4A">
        <w:trPr>
          <w:trHeight w:val="250"/>
        </w:trPr>
        <w:tc>
          <w:tcPr>
            <w:tcW w:w="4003" w:type="dxa"/>
            <w:tcBorders>
              <w:top w:val="nil"/>
              <w:left w:val="single" w:sz="8" w:space="0" w:color="auto"/>
              <w:bottom w:val="nil"/>
              <w:right w:val="single" w:sz="4" w:space="0" w:color="auto"/>
            </w:tcBorders>
            <w:shd w:val="clear" w:color="auto" w:fill="auto"/>
            <w:noWrap/>
            <w:vAlign w:val="bottom"/>
            <w:hideMark/>
          </w:tcPr>
          <w:p w:rsidR="00851E4E" w:rsidRPr="00B5580F" w:rsidRDefault="00851E4E" w:rsidP="00483B4A">
            <w:pPr>
              <w:rPr>
                <w:sz w:val="18"/>
                <w:szCs w:val="18"/>
              </w:rPr>
            </w:pPr>
            <w:r w:rsidRPr="00B5580F">
              <w:rPr>
                <w:sz w:val="18"/>
                <w:szCs w:val="18"/>
              </w:rPr>
              <w:t xml:space="preserve">  Данъчни приходи</w:t>
            </w:r>
          </w:p>
        </w:tc>
        <w:tc>
          <w:tcPr>
            <w:tcW w:w="1286" w:type="dxa"/>
            <w:tcBorders>
              <w:top w:val="nil"/>
              <w:left w:val="nil"/>
              <w:bottom w:val="nil"/>
              <w:right w:val="nil"/>
            </w:tcBorders>
            <w:shd w:val="clear" w:color="auto" w:fill="auto"/>
            <w:noWrap/>
            <w:vAlign w:val="bottom"/>
            <w:hideMark/>
          </w:tcPr>
          <w:p w:rsidR="00851E4E" w:rsidRDefault="00851E4E" w:rsidP="00483B4A">
            <w:pPr>
              <w:jc w:val="right"/>
              <w:rPr>
                <w:sz w:val="18"/>
                <w:szCs w:val="18"/>
              </w:rPr>
            </w:pPr>
            <w:r>
              <w:rPr>
                <w:sz w:val="18"/>
                <w:szCs w:val="18"/>
              </w:rPr>
              <w:t>6 967,1</w:t>
            </w:r>
          </w:p>
        </w:tc>
        <w:tc>
          <w:tcPr>
            <w:tcW w:w="1227" w:type="dxa"/>
            <w:tcBorders>
              <w:top w:val="nil"/>
              <w:left w:val="nil"/>
              <w:bottom w:val="nil"/>
              <w:right w:val="nil"/>
            </w:tcBorders>
            <w:shd w:val="clear" w:color="auto" w:fill="auto"/>
            <w:noWrap/>
            <w:vAlign w:val="bottom"/>
            <w:hideMark/>
          </w:tcPr>
          <w:p w:rsidR="00851E4E" w:rsidRDefault="00851E4E" w:rsidP="00483B4A">
            <w:pPr>
              <w:jc w:val="right"/>
              <w:rPr>
                <w:sz w:val="18"/>
                <w:szCs w:val="18"/>
              </w:rPr>
            </w:pPr>
            <w:r>
              <w:rPr>
                <w:sz w:val="18"/>
                <w:szCs w:val="18"/>
              </w:rPr>
              <w:t>7 995,5</w:t>
            </w:r>
          </w:p>
        </w:tc>
        <w:tc>
          <w:tcPr>
            <w:tcW w:w="1222" w:type="dxa"/>
            <w:tcBorders>
              <w:top w:val="nil"/>
              <w:left w:val="nil"/>
              <w:bottom w:val="nil"/>
              <w:right w:val="nil"/>
            </w:tcBorders>
            <w:shd w:val="clear" w:color="auto" w:fill="auto"/>
            <w:noWrap/>
            <w:vAlign w:val="bottom"/>
            <w:hideMark/>
          </w:tcPr>
          <w:p w:rsidR="00851E4E" w:rsidRDefault="00851E4E" w:rsidP="00483B4A">
            <w:pPr>
              <w:jc w:val="right"/>
              <w:rPr>
                <w:sz w:val="18"/>
                <w:szCs w:val="18"/>
              </w:rPr>
            </w:pPr>
            <w:r>
              <w:rPr>
                <w:sz w:val="18"/>
                <w:szCs w:val="18"/>
              </w:rPr>
              <w:t>7 995,5</w:t>
            </w:r>
          </w:p>
        </w:tc>
        <w:tc>
          <w:tcPr>
            <w:tcW w:w="1199" w:type="dxa"/>
            <w:tcBorders>
              <w:top w:val="nil"/>
              <w:left w:val="nil"/>
              <w:bottom w:val="nil"/>
              <w:right w:val="nil"/>
            </w:tcBorders>
            <w:shd w:val="clear" w:color="auto" w:fill="auto"/>
            <w:noWrap/>
            <w:vAlign w:val="bottom"/>
            <w:hideMark/>
          </w:tcPr>
          <w:p w:rsidR="00851E4E" w:rsidRDefault="00851E4E" w:rsidP="00483B4A">
            <w:pPr>
              <w:jc w:val="right"/>
              <w:rPr>
                <w:sz w:val="18"/>
                <w:szCs w:val="18"/>
              </w:rPr>
            </w:pPr>
          </w:p>
        </w:tc>
        <w:tc>
          <w:tcPr>
            <w:tcW w:w="1209" w:type="dxa"/>
            <w:tcBorders>
              <w:top w:val="nil"/>
              <w:left w:val="nil"/>
              <w:bottom w:val="nil"/>
              <w:right w:val="single" w:sz="4" w:space="0" w:color="auto"/>
            </w:tcBorders>
            <w:shd w:val="clear" w:color="auto" w:fill="auto"/>
            <w:noWrap/>
            <w:vAlign w:val="bottom"/>
            <w:hideMark/>
          </w:tcPr>
          <w:p w:rsidR="00851E4E" w:rsidRDefault="00851E4E" w:rsidP="00483B4A">
            <w:pPr>
              <w:jc w:val="right"/>
              <w:rPr>
                <w:sz w:val="18"/>
                <w:szCs w:val="18"/>
              </w:rPr>
            </w:pPr>
            <w:r>
              <w:rPr>
                <w:sz w:val="18"/>
                <w:szCs w:val="18"/>
              </w:rPr>
              <w:t>114,8%</w:t>
            </w:r>
          </w:p>
        </w:tc>
      </w:tr>
      <w:tr w:rsidR="00851E4E" w:rsidRPr="0052781D" w:rsidTr="00483B4A">
        <w:trPr>
          <w:trHeight w:val="250"/>
        </w:trPr>
        <w:tc>
          <w:tcPr>
            <w:tcW w:w="4003" w:type="dxa"/>
            <w:tcBorders>
              <w:top w:val="nil"/>
              <w:left w:val="single" w:sz="8" w:space="0" w:color="auto"/>
              <w:bottom w:val="nil"/>
              <w:right w:val="single" w:sz="4" w:space="0" w:color="auto"/>
            </w:tcBorders>
            <w:shd w:val="clear" w:color="auto" w:fill="auto"/>
            <w:noWrap/>
            <w:vAlign w:val="bottom"/>
            <w:hideMark/>
          </w:tcPr>
          <w:p w:rsidR="00851E4E" w:rsidRPr="00B5580F" w:rsidRDefault="00851E4E" w:rsidP="00483B4A">
            <w:pPr>
              <w:rPr>
                <w:sz w:val="18"/>
                <w:szCs w:val="18"/>
              </w:rPr>
            </w:pPr>
            <w:r w:rsidRPr="00B5580F">
              <w:rPr>
                <w:sz w:val="18"/>
                <w:szCs w:val="18"/>
              </w:rPr>
              <w:t xml:space="preserve">  Неданъчни приходи</w:t>
            </w:r>
          </w:p>
        </w:tc>
        <w:tc>
          <w:tcPr>
            <w:tcW w:w="1286" w:type="dxa"/>
            <w:tcBorders>
              <w:top w:val="nil"/>
              <w:left w:val="nil"/>
              <w:bottom w:val="nil"/>
              <w:right w:val="nil"/>
            </w:tcBorders>
            <w:shd w:val="clear" w:color="auto" w:fill="auto"/>
            <w:noWrap/>
            <w:vAlign w:val="bottom"/>
            <w:hideMark/>
          </w:tcPr>
          <w:p w:rsidR="00851E4E" w:rsidRDefault="00851E4E" w:rsidP="00483B4A">
            <w:pPr>
              <w:jc w:val="right"/>
              <w:rPr>
                <w:sz w:val="18"/>
                <w:szCs w:val="18"/>
              </w:rPr>
            </w:pPr>
            <w:r>
              <w:rPr>
                <w:sz w:val="18"/>
                <w:szCs w:val="18"/>
              </w:rPr>
              <w:t>1 257,3</w:t>
            </w:r>
          </w:p>
        </w:tc>
        <w:tc>
          <w:tcPr>
            <w:tcW w:w="1227" w:type="dxa"/>
            <w:tcBorders>
              <w:top w:val="nil"/>
              <w:left w:val="nil"/>
              <w:bottom w:val="nil"/>
              <w:right w:val="nil"/>
            </w:tcBorders>
            <w:shd w:val="clear" w:color="auto" w:fill="auto"/>
            <w:noWrap/>
            <w:vAlign w:val="bottom"/>
            <w:hideMark/>
          </w:tcPr>
          <w:p w:rsidR="00851E4E" w:rsidRDefault="00851E4E" w:rsidP="00483B4A">
            <w:pPr>
              <w:jc w:val="right"/>
              <w:rPr>
                <w:sz w:val="18"/>
                <w:szCs w:val="18"/>
              </w:rPr>
            </w:pPr>
            <w:r>
              <w:rPr>
                <w:sz w:val="18"/>
                <w:szCs w:val="18"/>
              </w:rPr>
              <w:t>1 230,8</w:t>
            </w:r>
          </w:p>
        </w:tc>
        <w:tc>
          <w:tcPr>
            <w:tcW w:w="1222" w:type="dxa"/>
            <w:tcBorders>
              <w:top w:val="nil"/>
              <w:left w:val="nil"/>
              <w:bottom w:val="nil"/>
              <w:right w:val="nil"/>
            </w:tcBorders>
            <w:shd w:val="clear" w:color="auto" w:fill="auto"/>
            <w:noWrap/>
            <w:vAlign w:val="bottom"/>
            <w:hideMark/>
          </w:tcPr>
          <w:p w:rsidR="00851E4E" w:rsidRDefault="00851E4E" w:rsidP="00483B4A">
            <w:pPr>
              <w:jc w:val="right"/>
              <w:rPr>
                <w:sz w:val="18"/>
                <w:szCs w:val="18"/>
              </w:rPr>
            </w:pPr>
            <w:r>
              <w:rPr>
                <w:sz w:val="18"/>
                <w:szCs w:val="18"/>
              </w:rPr>
              <w:t>1 230,9</w:t>
            </w:r>
          </w:p>
        </w:tc>
        <w:tc>
          <w:tcPr>
            <w:tcW w:w="1199" w:type="dxa"/>
            <w:tcBorders>
              <w:top w:val="nil"/>
              <w:left w:val="nil"/>
              <w:bottom w:val="nil"/>
              <w:right w:val="nil"/>
            </w:tcBorders>
            <w:shd w:val="clear" w:color="auto" w:fill="auto"/>
            <w:noWrap/>
            <w:vAlign w:val="bottom"/>
            <w:hideMark/>
          </w:tcPr>
          <w:p w:rsidR="00851E4E" w:rsidRDefault="00851E4E" w:rsidP="00483B4A">
            <w:pPr>
              <w:jc w:val="right"/>
              <w:rPr>
                <w:sz w:val="18"/>
                <w:szCs w:val="18"/>
              </w:rPr>
            </w:pPr>
            <w:r>
              <w:rPr>
                <w:sz w:val="18"/>
                <w:szCs w:val="18"/>
              </w:rPr>
              <w:t>-0,1</w:t>
            </w:r>
          </w:p>
        </w:tc>
        <w:tc>
          <w:tcPr>
            <w:tcW w:w="1209" w:type="dxa"/>
            <w:tcBorders>
              <w:top w:val="nil"/>
              <w:left w:val="nil"/>
              <w:bottom w:val="nil"/>
              <w:right w:val="single" w:sz="4" w:space="0" w:color="auto"/>
            </w:tcBorders>
            <w:shd w:val="clear" w:color="auto" w:fill="auto"/>
            <w:noWrap/>
            <w:vAlign w:val="bottom"/>
            <w:hideMark/>
          </w:tcPr>
          <w:p w:rsidR="00851E4E" w:rsidRDefault="00851E4E" w:rsidP="00483B4A">
            <w:pPr>
              <w:jc w:val="right"/>
              <w:rPr>
                <w:sz w:val="18"/>
                <w:szCs w:val="18"/>
              </w:rPr>
            </w:pPr>
            <w:r>
              <w:rPr>
                <w:sz w:val="18"/>
                <w:szCs w:val="18"/>
              </w:rPr>
              <w:t>97,9%</w:t>
            </w:r>
          </w:p>
        </w:tc>
      </w:tr>
      <w:tr w:rsidR="00851E4E" w:rsidRPr="0052781D" w:rsidTr="00483B4A">
        <w:trPr>
          <w:trHeight w:val="250"/>
        </w:trPr>
        <w:tc>
          <w:tcPr>
            <w:tcW w:w="4003" w:type="dxa"/>
            <w:tcBorders>
              <w:top w:val="nil"/>
              <w:left w:val="single" w:sz="8" w:space="0" w:color="auto"/>
              <w:bottom w:val="single" w:sz="4" w:space="0" w:color="auto"/>
              <w:right w:val="single" w:sz="4" w:space="0" w:color="auto"/>
            </w:tcBorders>
            <w:shd w:val="clear" w:color="auto" w:fill="auto"/>
            <w:noWrap/>
            <w:vAlign w:val="bottom"/>
            <w:hideMark/>
          </w:tcPr>
          <w:p w:rsidR="00851E4E" w:rsidRPr="00B5580F" w:rsidRDefault="00851E4E" w:rsidP="00483B4A">
            <w:pPr>
              <w:rPr>
                <w:sz w:val="18"/>
                <w:szCs w:val="18"/>
              </w:rPr>
            </w:pPr>
            <w:r w:rsidRPr="00B5580F">
              <w:rPr>
                <w:sz w:val="18"/>
                <w:szCs w:val="18"/>
              </w:rPr>
              <w:t xml:space="preserve">  Помощи и дарения</w:t>
            </w:r>
          </w:p>
        </w:tc>
        <w:tc>
          <w:tcPr>
            <w:tcW w:w="1286" w:type="dxa"/>
            <w:tcBorders>
              <w:top w:val="nil"/>
              <w:left w:val="nil"/>
              <w:bottom w:val="nil"/>
              <w:right w:val="nil"/>
            </w:tcBorders>
            <w:shd w:val="clear" w:color="auto" w:fill="auto"/>
            <w:noWrap/>
            <w:vAlign w:val="bottom"/>
            <w:hideMark/>
          </w:tcPr>
          <w:p w:rsidR="00851E4E" w:rsidRDefault="00851E4E" w:rsidP="00483B4A">
            <w:pPr>
              <w:jc w:val="right"/>
              <w:rPr>
                <w:sz w:val="18"/>
                <w:szCs w:val="18"/>
              </w:rPr>
            </w:pPr>
            <w:r>
              <w:rPr>
                <w:sz w:val="18"/>
                <w:szCs w:val="18"/>
              </w:rPr>
              <w:t>383,0</w:t>
            </w:r>
          </w:p>
        </w:tc>
        <w:tc>
          <w:tcPr>
            <w:tcW w:w="1227" w:type="dxa"/>
            <w:tcBorders>
              <w:top w:val="nil"/>
              <w:left w:val="nil"/>
              <w:bottom w:val="nil"/>
              <w:right w:val="nil"/>
            </w:tcBorders>
            <w:shd w:val="clear" w:color="auto" w:fill="auto"/>
            <w:noWrap/>
            <w:vAlign w:val="bottom"/>
            <w:hideMark/>
          </w:tcPr>
          <w:p w:rsidR="00851E4E" w:rsidRDefault="00851E4E" w:rsidP="00483B4A">
            <w:pPr>
              <w:jc w:val="right"/>
              <w:rPr>
                <w:sz w:val="18"/>
                <w:szCs w:val="18"/>
              </w:rPr>
            </w:pPr>
            <w:r>
              <w:rPr>
                <w:sz w:val="18"/>
                <w:szCs w:val="18"/>
              </w:rPr>
              <w:t>812,1</w:t>
            </w:r>
          </w:p>
        </w:tc>
        <w:tc>
          <w:tcPr>
            <w:tcW w:w="1222" w:type="dxa"/>
            <w:tcBorders>
              <w:top w:val="nil"/>
              <w:left w:val="nil"/>
              <w:bottom w:val="nil"/>
              <w:right w:val="nil"/>
            </w:tcBorders>
            <w:shd w:val="clear" w:color="auto" w:fill="auto"/>
            <w:noWrap/>
            <w:vAlign w:val="bottom"/>
            <w:hideMark/>
          </w:tcPr>
          <w:p w:rsidR="00851E4E" w:rsidRDefault="00851E4E" w:rsidP="00483B4A">
            <w:pPr>
              <w:jc w:val="right"/>
              <w:rPr>
                <w:sz w:val="18"/>
                <w:szCs w:val="18"/>
              </w:rPr>
            </w:pPr>
            <w:r>
              <w:rPr>
                <w:sz w:val="18"/>
                <w:szCs w:val="18"/>
              </w:rPr>
              <w:t>48,2</w:t>
            </w:r>
          </w:p>
        </w:tc>
        <w:tc>
          <w:tcPr>
            <w:tcW w:w="1199" w:type="dxa"/>
            <w:tcBorders>
              <w:top w:val="nil"/>
              <w:left w:val="nil"/>
              <w:bottom w:val="nil"/>
              <w:right w:val="nil"/>
            </w:tcBorders>
            <w:shd w:val="clear" w:color="auto" w:fill="auto"/>
            <w:noWrap/>
            <w:vAlign w:val="bottom"/>
            <w:hideMark/>
          </w:tcPr>
          <w:p w:rsidR="00851E4E" w:rsidRDefault="00851E4E" w:rsidP="00483B4A">
            <w:pPr>
              <w:jc w:val="right"/>
              <w:rPr>
                <w:sz w:val="18"/>
                <w:szCs w:val="18"/>
              </w:rPr>
            </w:pPr>
            <w:r>
              <w:rPr>
                <w:sz w:val="18"/>
                <w:szCs w:val="18"/>
              </w:rPr>
              <w:t>763,9</w:t>
            </w:r>
          </w:p>
        </w:tc>
        <w:tc>
          <w:tcPr>
            <w:tcW w:w="1209" w:type="dxa"/>
            <w:tcBorders>
              <w:top w:val="nil"/>
              <w:left w:val="nil"/>
              <w:bottom w:val="nil"/>
              <w:right w:val="single" w:sz="4" w:space="0" w:color="auto"/>
            </w:tcBorders>
            <w:shd w:val="clear" w:color="auto" w:fill="auto"/>
            <w:noWrap/>
            <w:vAlign w:val="bottom"/>
            <w:hideMark/>
          </w:tcPr>
          <w:p w:rsidR="00851E4E" w:rsidRDefault="00851E4E" w:rsidP="00483B4A">
            <w:pPr>
              <w:jc w:val="right"/>
              <w:rPr>
                <w:sz w:val="18"/>
                <w:szCs w:val="18"/>
              </w:rPr>
            </w:pPr>
            <w:r>
              <w:rPr>
                <w:sz w:val="18"/>
                <w:szCs w:val="18"/>
              </w:rPr>
              <w:t>212,1%</w:t>
            </w:r>
          </w:p>
        </w:tc>
      </w:tr>
      <w:tr w:rsidR="00851E4E" w:rsidRPr="0052781D" w:rsidTr="00483B4A">
        <w:trPr>
          <w:trHeight w:val="472"/>
        </w:trPr>
        <w:tc>
          <w:tcPr>
            <w:tcW w:w="4003" w:type="dxa"/>
            <w:tcBorders>
              <w:top w:val="single" w:sz="4" w:space="0" w:color="auto"/>
              <w:left w:val="single" w:sz="8" w:space="0" w:color="auto"/>
              <w:bottom w:val="nil"/>
              <w:right w:val="single" w:sz="4" w:space="0" w:color="auto"/>
            </w:tcBorders>
            <w:shd w:val="clear" w:color="auto" w:fill="auto"/>
            <w:vAlign w:val="bottom"/>
            <w:hideMark/>
          </w:tcPr>
          <w:p w:rsidR="00851E4E" w:rsidRPr="00B5580F" w:rsidRDefault="00851E4E" w:rsidP="00483B4A">
            <w:pPr>
              <w:rPr>
                <w:b/>
                <w:bCs/>
                <w:sz w:val="18"/>
                <w:szCs w:val="18"/>
              </w:rPr>
            </w:pPr>
            <w:r w:rsidRPr="00B5580F">
              <w:rPr>
                <w:b/>
                <w:bCs/>
                <w:sz w:val="18"/>
                <w:szCs w:val="18"/>
              </w:rPr>
              <w:t>РАЗХОДИ И ВНОСКА ЗА ОБЩИЯ БЮДЖЕТ НА ЕС</w:t>
            </w:r>
          </w:p>
        </w:tc>
        <w:tc>
          <w:tcPr>
            <w:tcW w:w="1286" w:type="dxa"/>
            <w:tcBorders>
              <w:top w:val="single" w:sz="4" w:space="0" w:color="auto"/>
              <w:left w:val="single" w:sz="4" w:space="0" w:color="auto"/>
              <w:bottom w:val="nil"/>
              <w:right w:val="nil"/>
            </w:tcBorders>
            <w:shd w:val="clear" w:color="auto" w:fill="auto"/>
            <w:noWrap/>
            <w:vAlign w:val="bottom"/>
            <w:hideMark/>
          </w:tcPr>
          <w:p w:rsidR="00851E4E" w:rsidRDefault="00851E4E" w:rsidP="00483B4A">
            <w:pPr>
              <w:jc w:val="right"/>
              <w:rPr>
                <w:b/>
                <w:bCs/>
                <w:sz w:val="18"/>
                <w:szCs w:val="18"/>
              </w:rPr>
            </w:pPr>
            <w:r>
              <w:rPr>
                <w:b/>
                <w:bCs/>
                <w:sz w:val="18"/>
                <w:szCs w:val="18"/>
              </w:rPr>
              <w:t>9 593,2</w:t>
            </w:r>
          </w:p>
        </w:tc>
        <w:tc>
          <w:tcPr>
            <w:tcW w:w="1227" w:type="dxa"/>
            <w:tcBorders>
              <w:top w:val="single" w:sz="4" w:space="0" w:color="auto"/>
              <w:left w:val="nil"/>
              <w:bottom w:val="nil"/>
              <w:right w:val="nil"/>
            </w:tcBorders>
            <w:shd w:val="clear" w:color="auto" w:fill="auto"/>
            <w:noWrap/>
            <w:vAlign w:val="bottom"/>
            <w:hideMark/>
          </w:tcPr>
          <w:p w:rsidR="00851E4E" w:rsidRDefault="00851E4E" w:rsidP="00483B4A">
            <w:pPr>
              <w:jc w:val="right"/>
              <w:rPr>
                <w:b/>
                <w:bCs/>
                <w:sz w:val="18"/>
                <w:szCs w:val="18"/>
              </w:rPr>
            </w:pPr>
            <w:r>
              <w:rPr>
                <w:b/>
                <w:bCs/>
                <w:sz w:val="18"/>
                <w:szCs w:val="18"/>
              </w:rPr>
              <w:t>11 567,3</w:t>
            </w:r>
          </w:p>
        </w:tc>
        <w:tc>
          <w:tcPr>
            <w:tcW w:w="1222" w:type="dxa"/>
            <w:tcBorders>
              <w:top w:val="single" w:sz="4" w:space="0" w:color="auto"/>
              <w:left w:val="nil"/>
              <w:bottom w:val="nil"/>
              <w:right w:val="nil"/>
            </w:tcBorders>
            <w:shd w:val="clear" w:color="auto" w:fill="auto"/>
            <w:noWrap/>
            <w:vAlign w:val="bottom"/>
            <w:hideMark/>
          </w:tcPr>
          <w:p w:rsidR="00851E4E" w:rsidRDefault="00851E4E" w:rsidP="00483B4A">
            <w:pPr>
              <w:jc w:val="right"/>
              <w:rPr>
                <w:b/>
                <w:bCs/>
                <w:sz w:val="18"/>
                <w:szCs w:val="18"/>
              </w:rPr>
            </w:pPr>
            <w:r>
              <w:rPr>
                <w:b/>
                <w:bCs/>
                <w:sz w:val="18"/>
                <w:szCs w:val="18"/>
              </w:rPr>
              <w:t>10 780,1</w:t>
            </w:r>
          </w:p>
        </w:tc>
        <w:tc>
          <w:tcPr>
            <w:tcW w:w="1199" w:type="dxa"/>
            <w:tcBorders>
              <w:top w:val="single" w:sz="4" w:space="0" w:color="auto"/>
              <w:left w:val="nil"/>
              <w:bottom w:val="nil"/>
              <w:right w:val="nil"/>
            </w:tcBorders>
            <w:shd w:val="clear" w:color="auto" w:fill="auto"/>
            <w:noWrap/>
            <w:vAlign w:val="bottom"/>
            <w:hideMark/>
          </w:tcPr>
          <w:p w:rsidR="00851E4E" w:rsidRDefault="00851E4E" w:rsidP="00483B4A">
            <w:pPr>
              <w:jc w:val="right"/>
              <w:rPr>
                <w:b/>
                <w:bCs/>
                <w:sz w:val="18"/>
                <w:szCs w:val="18"/>
              </w:rPr>
            </w:pPr>
            <w:r>
              <w:rPr>
                <w:b/>
                <w:bCs/>
                <w:sz w:val="18"/>
                <w:szCs w:val="18"/>
              </w:rPr>
              <w:t>787,2</w:t>
            </w:r>
          </w:p>
        </w:tc>
        <w:tc>
          <w:tcPr>
            <w:tcW w:w="1209" w:type="dxa"/>
            <w:tcBorders>
              <w:top w:val="single" w:sz="4" w:space="0" w:color="auto"/>
              <w:left w:val="nil"/>
              <w:bottom w:val="nil"/>
              <w:right w:val="single" w:sz="8" w:space="0" w:color="auto"/>
            </w:tcBorders>
            <w:shd w:val="clear" w:color="auto" w:fill="auto"/>
            <w:noWrap/>
            <w:vAlign w:val="bottom"/>
            <w:hideMark/>
          </w:tcPr>
          <w:p w:rsidR="00851E4E" w:rsidRDefault="00851E4E" w:rsidP="00483B4A">
            <w:pPr>
              <w:jc w:val="right"/>
              <w:rPr>
                <w:b/>
                <w:bCs/>
                <w:sz w:val="18"/>
                <w:szCs w:val="18"/>
              </w:rPr>
            </w:pPr>
            <w:r>
              <w:rPr>
                <w:b/>
                <w:bCs/>
                <w:sz w:val="18"/>
                <w:szCs w:val="18"/>
              </w:rPr>
              <w:t>120,6%</w:t>
            </w:r>
          </w:p>
        </w:tc>
      </w:tr>
      <w:tr w:rsidR="00851E4E" w:rsidRPr="0052781D" w:rsidTr="00483B4A">
        <w:trPr>
          <w:trHeight w:val="250"/>
        </w:trPr>
        <w:tc>
          <w:tcPr>
            <w:tcW w:w="4003" w:type="dxa"/>
            <w:tcBorders>
              <w:top w:val="nil"/>
              <w:left w:val="single" w:sz="8" w:space="0" w:color="auto"/>
              <w:bottom w:val="nil"/>
              <w:right w:val="single" w:sz="4" w:space="0" w:color="auto"/>
            </w:tcBorders>
            <w:shd w:val="clear" w:color="auto" w:fill="auto"/>
            <w:noWrap/>
            <w:vAlign w:val="bottom"/>
            <w:hideMark/>
          </w:tcPr>
          <w:p w:rsidR="00851E4E" w:rsidRPr="00B5580F" w:rsidRDefault="00851E4E" w:rsidP="00483B4A">
            <w:pPr>
              <w:rPr>
                <w:sz w:val="18"/>
                <w:szCs w:val="18"/>
              </w:rPr>
            </w:pPr>
            <w:r w:rsidRPr="00B5580F">
              <w:rPr>
                <w:sz w:val="18"/>
                <w:szCs w:val="18"/>
              </w:rPr>
              <w:t xml:space="preserve">  Нелихвени</w:t>
            </w:r>
          </w:p>
        </w:tc>
        <w:tc>
          <w:tcPr>
            <w:tcW w:w="1286" w:type="dxa"/>
            <w:tcBorders>
              <w:top w:val="nil"/>
              <w:left w:val="single" w:sz="4" w:space="0" w:color="auto"/>
              <w:bottom w:val="nil"/>
              <w:right w:val="nil"/>
            </w:tcBorders>
            <w:shd w:val="clear" w:color="auto" w:fill="auto"/>
            <w:noWrap/>
            <w:vAlign w:val="bottom"/>
            <w:hideMark/>
          </w:tcPr>
          <w:p w:rsidR="00851E4E" w:rsidRDefault="00851E4E" w:rsidP="00483B4A">
            <w:pPr>
              <w:jc w:val="right"/>
              <w:rPr>
                <w:sz w:val="18"/>
                <w:szCs w:val="18"/>
              </w:rPr>
            </w:pPr>
            <w:r>
              <w:rPr>
                <w:sz w:val="18"/>
                <w:szCs w:val="18"/>
              </w:rPr>
              <w:t>9 123,2</w:t>
            </w:r>
          </w:p>
        </w:tc>
        <w:tc>
          <w:tcPr>
            <w:tcW w:w="1227" w:type="dxa"/>
            <w:tcBorders>
              <w:top w:val="nil"/>
              <w:left w:val="nil"/>
              <w:bottom w:val="nil"/>
              <w:right w:val="nil"/>
            </w:tcBorders>
            <w:shd w:val="clear" w:color="auto" w:fill="auto"/>
            <w:noWrap/>
            <w:vAlign w:val="bottom"/>
            <w:hideMark/>
          </w:tcPr>
          <w:p w:rsidR="00851E4E" w:rsidRDefault="00851E4E" w:rsidP="00483B4A">
            <w:pPr>
              <w:jc w:val="right"/>
              <w:rPr>
                <w:sz w:val="18"/>
                <w:szCs w:val="18"/>
              </w:rPr>
            </w:pPr>
            <w:r>
              <w:rPr>
                <w:sz w:val="18"/>
                <w:szCs w:val="18"/>
              </w:rPr>
              <w:t>11 081,5</w:t>
            </w:r>
          </w:p>
        </w:tc>
        <w:tc>
          <w:tcPr>
            <w:tcW w:w="1222" w:type="dxa"/>
            <w:tcBorders>
              <w:top w:val="nil"/>
              <w:left w:val="nil"/>
              <w:bottom w:val="nil"/>
              <w:right w:val="nil"/>
            </w:tcBorders>
            <w:shd w:val="clear" w:color="auto" w:fill="auto"/>
            <w:noWrap/>
            <w:vAlign w:val="bottom"/>
            <w:hideMark/>
          </w:tcPr>
          <w:p w:rsidR="00851E4E" w:rsidRDefault="00851E4E" w:rsidP="00483B4A">
            <w:pPr>
              <w:jc w:val="right"/>
              <w:rPr>
                <w:sz w:val="18"/>
                <w:szCs w:val="18"/>
              </w:rPr>
            </w:pPr>
            <w:r>
              <w:rPr>
                <w:sz w:val="18"/>
                <w:szCs w:val="18"/>
              </w:rPr>
              <w:t>10 294,3</w:t>
            </w:r>
          </w:p>
        </w:tc>
        <w:tc>
          <w:tcPr>
            <w:tcW w:w="1199" w:type="dxa"/>
            <w:tcBorders>
              <w:top w:val="nil"/>
              <w:left w:val="nil"/>
              <w:bottom w:val="nil"/>
              <w:right w:val="nil"/>
            </w:tcBorders>
            <w:shd w:val="clear" w:color="auto" w:fill="auto"/>
            <w:noWrap/>
            <w:vAlign w:val="bottom"/>
            <w:hideMark/>
          </w:tcPr>
          <w:p w:rsidR="00851E4E" w:rsidRDefault="00851E4E" w:rsidP="00483B4A">
            <w:pPr>
              <w:jc w:val="right"/>
              <w:rPr>
                <w:sz w:val="18"/>
                <w:szCs w:val="18"/>
              </w:rPr>
            </w:pPr>
            <w:r>
              <w:rPr>
                <w:sz w:val="18"/>
                <w:szCs w:val="18"/>
              </w:rPr>
              <w:t>787,2</w:t>
            </w:r>
          </w:p>
        </w:tc>
        <w:tc>
          <w:tcPr>
            <w:tcW w:w="1209" w:type="dxa"/>
            <w:tcBorders>
              <w:top w:val="nil"/>
              <w:left w:val="nil"/>
              <w:bottom w:val="nil"/>
              <w:right w:val="single" w:sz="8" w:space="0" w:color="auto"/>
            </w:tcBorders>
            <w:shd w:val="clear" w:color="auto" w:fill="auto"/>
            <w:noWrap/>
            <w:vAlign w:val="bottom"/>
            <w:hideMark/>
          </w:tcPr>
          <w:p w:rsidR="00851E4E" w:rsidRDefault="00851E4E" w:rsidP="00483B4A">
            <w:pPr>
              <w:jc w:val="right"/>
              <w:rPr>
                <w:sz w:val="18"/>
                <w:szCs w:val="18"/>
              </w:rPr>
            </w:pPr>
            <w:r>
              <w:rPr>
                <w:sz w:val="18"/>
                <w:szCs w:val="18"/>
              </w:rPr>
              <w:t>121,5%</w:t>
            </w:r>
          </w:p>
        </w:tc>
      </w:tr>
      <w:tr w:rsidR="00851E4E" w:rsidRPr="0052781D" w:rsidTr="00483B4A">
        <w:trPr>
          <w:trHeight w:val="250"/>
        </w:trPr>
        <w:tc>
          <w:tcPr>
            <w:tcW w:w="4003" w:type="dxa"/>
            <w:tcBorders>
              <w:top w:val="nil"/>
              <w:left w:val="single" w:sz="8" w:space="0" w:color="auto"/>
              <w:bottom w:val="nil"/>
              <w:right w:val="single" w:sz="4" w:space="0" w:color="auto"/>
            </w:tcBorders>
            <w:shd w:val="clear" w:color="auto" w:fill="auto"/>
            <w:noWrap/>
            <w:vAlign w:val="bottom"/>
            <w:hideMark/>
          </w:tcPr>
          <w:p w:rsidR="00851E4E" w:rsidRPr="00B5580F" w:rsidRDefault="00851E4E" w:rsidP="00483B4A">
            <w:pPr>
              <w:rPr>
                <w:sz w:val="18"/>
                <w:szCs w:val="18"/>
              </w:rPr>
            </w:pPr>
            <w:r w:rsidRPr="00B5580F">
              <w:rPr>
                <w:sz w:val="18"/>
                <w:szCs w:val="18"/>
              </w:rPr>
              <w:t xml:space="preserve">    Текущи</w:t>
            </w:r>
          </w:p>
        </w:tc>
        <w:tc>
          <w:tcPr>
            <w:tcW w:w="1286" w:type="dxa"/>
            <w:tcBorders>
              <w:top w:val="nil"/>
              <w:left w:val="single" w:sz="4" w:space="0" w:color="auto"/>
              <w:bottom w:val="nil"/>
              <w:right w:val="nil"/>
            </w:tcBorders>
            <w:shd w:val="clear" w:color="auto" w:fill="auto"/>
            <w:noWrap/>
            <w:vAlign w:val="bottom"/>
            <w:hideMark/>
          </w:tcPr>
          <w:p w:rsidR="00851E4E" w:rsidRDefault="00851E4E" w:rsidP="00483B4A">
            <w:pPr>
              <w:jc w:val="right"/>
              <w:rPr>
                <w:sz w:val="18"/>
                <w:szCs w:val="18"/>
              </w:rPr>
            </w:pPr>
            <w:r>
              <w:rPr>
                <w:sz w:val="18"/>
                <w:szCs w:val="18"/>
              </w:rPr>
              <w:t>8 594,5</w:t>
            </w:r>
          </w:p>
        </w:tc>
        <w:tc>
          <w:tcPr>
            <w:tcW w:w="1227" w:type="dxa"/>
            <w:tcBorders>
              <w:top w:val="nil"/>
              <w:left w:val="nil"/>
              <w:bottom w:val="nil"/>
              <w:right w:val="nil"/>
            </w:tcBorders>
            <w:shd w:val="clear" w:color="auto" w:fill="auto"/>
            <w:noWrap/>
            <w:vAlign w:val="bottom"/>
            <w:hideMark/>
          </w:tcPr>
          <w:p w:rsidR="00851E4E" w:rsidRDefault="00851E4E" w:rsidP="00483B4A">
            <w:pPr>
              <w:jc w:val="right"/>
              <w:rPr>
                <w:sz w:val="18"/>
                <w:szCs w:val="18"/>
              </w:rPr>
            </w:pPr>
            <w:r>
              <w:rPr>
                <w:sz w:val="18"/>
                <w:szCs w:val="18"/>
              </w:rPr>
              <w:t>10 016,8</w:t>
            </w:r>
          </w:p>
        </w:tc>
        <w:tc>
          <w:tcPr>
            <w:tcW w:w="1222" w:type="dxa"/>
            <w:tcBorders>
              <w:top w:val="nil"/>
              <w:left w:val="nil"/>
              <w:bottom w:val="nil"/>
              <w:right w:val="nil"/>
            </w:tcBorders>
            <w:shd w:val="clear" w:color="auto" w:fill="auto"/>
            <w:noWrap/>
            <w:vAlign w:val="bottom"/>
            <w:hideMark/>
          </w:tcPr>
          <w:p w:rsidR="00851E4E" w:rsidRDefault="00851E4E" w:rsidP="00483B4A">
            <w:pPr>
              <w:jc w:val="right"/>
              <w:rPr>
                <w:sz w:val="18"/>
                <w:szCs w:val="18"/>
              </w:rPr>
            </w:pPr>
            <w:r>
              <w:rPr>
                <w:sz w:val="18"/>
                <w:szCs w:val="18"/>
              </w:rPr>
              <w:t>9 729,1</w:t>
            </w:r>
          </w:p>
        </w:tc>
        <w:tc>
          <w:tcPr>
            <w:tcW w:w="1199" w:type="dxa"/>
            <w:tcBorders>
              <w:top w:val="nil"/>
              <w:left w:val="nil"/>
              <w:bottom w:val="nil"/>
              <w:right w:val="nil"/>
            </w:tcBorders>
            <w:shd w:val="clear" w:color="auto" w:fill="auto"/>
            <w:noWrap/>
            <w:vAlign w:val="bottom"/>
            <w:hideMark/>
          </w:tcPr>
          <w:p w:rsidR="00851E4E" w:rsidRDefault="00851E4E" w:rsidP="00483B4A">
            <w:pPr>
              <w:jc w:val="right"/>
              <w:rPr>
                <w:sz w:val="18"/>
                <w:szCs w:val="18"/>
              </w:rPr>
            </w:pPr>
            <w:r>
              <w:rPr>
                <w:sz w:val="18"/>
                <w:szCs w:val="18"/>
              </w:rPr>
              <w:t>287,7</w:t>
            </w:r>
          </w:p>
        </w:tc>
        <w:tc>
          <w:tcPr>
            <w:tcW w:w="1209" w:type="dxa"/>
            <w:tcBorders>
              <w:top w:val="nil"/>
              <w:left w:val="nil"/>
              <w:bottom w:val="nil"/>
              <w:right w:val="single" w:sz="8" w:space="0" w:color="auto"/>
            </w:tcBorders>
            <w:shd w:val="clear" w:color="auto" w:fill="auto"/>
            <w:noWrap/>
            <w:vAlign w:val="bottom"/>
            <w:hideMark/>
          </w:tcPr>
          <w:p w:rsidR="00851E4E" w:rsidRDefault="00851E4E" w:rsidP="00483B4A">
            <w:pPr>
              <w:jc w:val="right"/>
              <w:rPr>
                <w:sz w:val="18"/>
                <w:szCs w:val="18"/>
              </w:rPr>
            </w:pPr>
            <w:r>
              <w:rPr>
                <w:sz w:val="18"/>
                <w:szCs w:val="18"/>
              </w:rPr>
              <w:t>116,5%</w:t>
            </w:r>
          </w:p>
        </w:tc>
      </w:tr>
      <w:tr w:rsidR="00851E4E" w:rsidRPr="0052781D" w:rsidTr="00483B4A">
        <w:trPr>
          <w:trHeight w:val="250"/>
        </w:trPr>
        <w:tc>
          <w:tcPr>
            <w:tcW w:w="4003" w:type="dxa"/>
            <w:tcBorders>
              <w:top w:val="nil"/>
              <w:left w:val="single" w:sz="8" w:space="0" w:color="auto"/>
              <w:bottom w:val="nil"/>
              <w:right w:val="single" w:sz="4" w:space="0" w:color="auto"/>
            </w:tcBorders>
            <w:shd w:val="clear" w:color="auto" w:fill="auto"/>
            <w:noWrap/>
            <w:vAlign w:val="bottom"/>
          </w:tcPr>
          <w:p w:rsidR="00851E4E" w:rsidRPr="00B5580F" w:rsidRDefault="00851E4E" w:rsidP="00483B4A">
            <w:pPr>
              <w:rPr>
                <w:sz w:val="18"/>
                <w:szCs w:val="18"/>
              </w:rPr>
            </w:pPr>
            <w:r w:rsidRPr="00B5580F">
              <w:rPr>
                <w:sz w:val="18"/>
                <w:szCs w:val="18"/>
              </w:rPr>
              <w:t xml:space="preserve">    Капиталови</w:t>
            </w:r>
          </w:p>
        </w:tc>
        <w:tc>
          <w:tcPr>
            <w:tcW w:w="1286" w:type="dxa"/>
            <w:tcBorders>
              <w:top w:val="nil"/>
              <w:left w:val="nil"/>
              <w:bottom w:val="nil"/>
              <w:right w:val="nil"/>
            </w:tcBorders>
            <w:shd w:val="clear" w:color="auto" w:fill="auto"/>
            <w:noWrap/>
            <w:vAlign w:val="bottom"/>
          </w:tcPr>
          <w:p w:rsidR="00851E4E" w:rsidRDefault="00851E4E" w:rsidP="00483B4A">
            <w:pPr>
              <w:jc w:val="right"/>
              <w:rPr>
                <w:sz w:val="18"/>
                <w:szCs w:val="18"/>
              </w:rPr>
            </w:pPr>
            <w:r>
              <w:rPr>
                <w:sz w:val="18"/>
                <w:szCs w:val="18"/>
              </w:rPr>
              <w:t>520,2</w:t>
            </w:r>
          </w:p>
        </w:tc>
        <w:tc>
          <w:tcPr>
            <w:tcW w:w="1227" w:type="dxa"/>
            <w:tcBorders>
              <w:top w:val="nil"/>
              <w:left w:val="nil"/>
              <w:bottom w:val="nil"/>
              <w:right w:val="nil"/>
            </w:tcBorders>
            <w:shd w:val="clear" w:color="000000" w:fill="FFFFFF"/>
            <w:noWrap/>
            <w:vAlign w:val="bottom"/>
          </w:tcPr>
          <w:p w:rsidR="00851E4E" w:rsidRDefault="00851E4E" w:rsidP="00483B4A">
            <w:pPr>
              <w:jc w:val="right"/>
              <w:rPr>
                <w:sz w:val="18"/>
                <w:szCs w:val="18"/>
              </w:rPr>
            </w:pPr>
            <w:r>
              <w:rPr>
                <w:sz w:val="18"/>
                <w:szCs w:val="18"/>
              </w:rPr>
              <w:t>1 053,1</w:t>
            </w:r>
          </w:p>
        </w:tc>
        <w:tc>
          <w:tcPr>
            <w:tcW w:w="1222" w:type="dxa"/>
            <w:tcBorders>
              <w:top w:val="nil"/>
              <w:left w:val="nil"/>
              <w:bottom w:val="nil"/>
              <w:right w:val="nil"/>
            </w:tcBorders>
            <w:shd w:val="clear" w:color="auto" w:fill="auto"/>
            <w:noWrap/>
            <w:vAlign w:val="bottom"/>
          </w:tcPr>
          <w:p w:rsidR="00851E4E" w:rsidRDefault="00851E4E" w:rsidP="00483B4A">
            <w:pPr>
              <w:jc w:val="right"/>
              <w:rPr>
                <w:sz w:val="18"/>
                <w:szCs w:val="18"/>
              </w:rPr>
            </w:pPr>
            <w:r>
              <w:rPr>
                <w:sz w:val="18"/>
                <w:szCs w:val="18"/>
              </w:rPr>
              <w:t>564,6</w:t>
            </w:r>
          </w:p>
        </w:tc>
        <w:tc>
          <w:tcPr>
            <w:tcW w:w="1199" w:type="dxa"/>
            <w:tcBorders>
              <w:top w:val="nil"/>
              <w:left w:val="nil"/>
              <w:bottom w:val="nil"/>
              <w:right w:val="nil"/>
            </w:tcBorders>
            <w:shd w:val="clear" w:color="auto" w:fill="auto"/>
            <w:noWrap/>
            <w:vAlign w:val="bottom"/>
          </w:tcPr>
          <w:p w:rsidR="00851E4E" w:rsidRDefault="00851E4E" w:rsidP="00483B4A">
            <w:pPr>
              <w:jc w:val="right"/>
              <w:rPr>
                <w:sz w:val="18"/>
                <w:szCs w:val="18"/>
              </w:rPr>
            </w:pPr>
            <w:r>
              <w:rPr>
                <w:sz w:val="18"/>
                <w:szCs w:val="18"/>
              </w:rPr>
              <w:t>488,5</w:t>
            </w:r>
          </w:p>
        </w:tc>
        <w:tc>
          <w:tcPr>
            <w:tcW w:w="1209" w:type="dxa"/>
            <w:tcBorders>
              <w:top w:val="nil"/>
              <w:left w:val="nil"/>
              <w:bottom w:val="nil"/>
              <w:right w:val="single" w:sz="4" w:space="0" w:color="auto"/>
            </w:tcBorders>
            <w:shd w:val="clear" w:color="000000" w:fill="FFFFFF"/>
            <w:noWrap/>
            <w:vAlign w:val="bottom"/>
          </w:tcPr>
          <w:p w:rsidR="00851E4E" w:rsidRDefault="00851E4E" w:rsidP="00483B4A">
            <w:pPr>
              <w:jc w:val="right"/>
              <w:rPr>
                <w:sz w:val="18"/>
                <w:szCs w:val="18"/>
              </w:rPr>
            </w:pPr>
            <w:r>
              <w:rPr>
                <w:sz w:val="18"/>
                <w:szCs w:val="18"/>
              </w:rPr>
              <w:t>202,4%</w:t>
            </w:r>
          </w:p>
        </w:tc>
      </w:tr>
      <w:tr w:rsidR="00851E4E" w:rsidRPr="0052781D" w:rsidTr="00483B4A">
        <w:trPr>
          <w:trHeight w:val="250"/>
        </w:trPr>
        <w:tc>
          <w:tcPr>
            <w:tcW w:w="4003" w:type="dxa"/>
            <w:tcBorders>
              <w:top w:val="nil"/>
              <w:left w:val="single" w:sz="8" w:space="0" w:color="auto"/>
              <w:bottom w:val="nil"/>
              <w:right w:val="single" w:sz="4" w:space="0" w:color="auto"/>
            </w:tcBorders>
            <w:shd w:val="clear" w:color="auto" w:fill="auto"/>
            <w:noWrap/>
            <w:vAlign w:val="bottom"/>
          </w:tcPr>
          <w:p w:rsidR="00851E4E" w:rsidRPr="00B5580F" w:rsidRDefault="00851E4E" w:rsidP="00483B4A">
            <w:pPr>
              <w:rPr>
                <w:sz w:val="18"/>
                <w:szCs w:val="18"/>
              </w:rPr>
            </w:pPr>
            <w:r w:rsidRPr="00B5580F">
              <w:rPr>
                <w:sz w:val="18"/>
                <w:szCs w:val="18"/>
              </w:rPr>
              <w:t xml:space="preserve">           в т.ч. нетен прираст на държавния резерв</w:t>
            </w:r>
          </w:p>
        </w:tc>
        <w:tc>
          <w:tcPr>
            <w:tcW w:w="1286" w:type="dxa"/>
            <w:tcBorders>
              <w:top w:val="nil"/>
              <w:left w:val="nil"/>
              <w:bottom w:val="nil"/>
              <w:right w:val="nil"/>
            </w:tcBorders>
            <w:shd w:val="clear" w:color="auto" w:fill="auto"/>
            <w:noWrap/>
            <w:vAlign w:val="bottom"/>
          </w:tcPr>
          <w:p w:rsidR="00851E4E" w:rsidRDefault="00851E4E" w:rsidP="00483B4A">
            <w:pPr>
              <w:jc w:val="right"/>
              <w:rPr>
                <w:sz w:val="18"/>
                <w:szCs w:val="18"/>
              </w:rPr>
            </w:pPr>
            <w:r>
              <w:rPr>
                <w:sz w:val="18"/>
                <w:szCs w:val="18"/>
              </w:rPr>
              <w:t>2,2</w:t>
            </w:r>
          </w:p>
        </w:tc>
        <w:tc>
          <w:tcPr>
            <w:tcW w:w="1227" w:type="dxa"/>
            <w:tcBorders>
              <w:top w:val="nil"/>
              <w:left w:val="nil"/>
              <w:bottom w:val="nil"/>
              <w:right w:val="nil"/>
            </w:tcBorders>
            <w:shd w:val="clear" w:color="000000" w:fill="FFFFFF"/>
            <w:noWrap/>
            <w:vAlign w:val="bottom"/>
          </w:tcPr>
          <w:p w:rsidR="00851E4E" w:rsidRDefault="00851E4E" w:rsidP="00483B4A">
            <w:pPr>
              <w:jc w:val="right"/>
              <w:rPr>
                <w:sz w:val="18"/>
                <w:szCs w:val="18"/>
              </w:rPr>
            </w:pPr>
            <w:r>
              <w:rPr>
                <w:sz w:val="18"/>
                <w:szCs w:val="18"/>
              </w:rPr>
              <w:t>-0,02</w:t>
            </w:r>
          </w:p>
        </w:tc>
        <w:tc>
          <w:tcPr>
            <w:tcW w:w="1222" w:type="dxa"/>
            <w:tcBorders>
              <w:top w:val="nil"/>
              <w:left w:val="nil"/>
              <w:bottom w:val="nil"/>
              <w:right w:val="nil"/>
            </w:tcBorders>
            <w:shd w:val="clear" w:color="auto" w:fill="auto"/>
            <w:noWrap/>
            <w:vAlign w:val="bottom"/>
          </w:tcPr>
          <w:p w:rsidR="00851E4E" w:rsidRDefault="00851E4E" w:rsidP="00483B4A">
            <w:pPr>
              <w:jc w:val="right"/>
              <w:rPr>
                <w:sz w:val="18"/>
                <w:szCs w:val="18"/>
              </w:rPr>
            </w:pPr>
            <w:r>
              <w:rPr>
                <w:sz w:val="18"/>
                <w:szCs w:val="18"/>
              </w:rPr>
              <w:t>-0,02</w:t>
            </w:r>
          </w:p>
        </w:tc>
        <w:tc>
          <w:tcPr>
            <w:tcW w:w="1199" w:type="dxa"/>
            <w:tcBorders>
              <w:top w:val="nil"/>
              <w:left w:val="nil"/>
              <w:bottom w:val="nil"/>
              <w:right w:val="nil"/>
            </w:tcBorders>
            <w:shd w:val="clear" w:color="auto" w:fill="auto"/>
            <w:noWrap/>
            <w:vAlign w:val="bottom"/>
          </w:tcPr>
          <w:p w:rsidR="00851E4E" w:rsidRDefault="00851E4E" w:rsidP="00483B4A">
            <w:pPr>
              <w:jc w:val="right"/>
              <w:rPr>
                <w:sz w:val="18"/>
                <w:szCs w:val="18"/>
              </w:rPr>
            </w:pPr>
          </w:p>
        </w:tc>
        <w:tc>
          <w:tcPr>
            <w:tcW w:w="1209" w:type="dxa"/>
            <w:tcBorders>
              <w:top w:val="nil"/>
              <w:left w:val="nil"/>
              <w:bottom w:val="nil"/>
              <w:right w:val="single" w:sz="4" w:space="0" w:color="auto"/>
            </w:tcBorders>
            <w:shd w:val="clear" w:color="000000" w:fill="FFFFFF"/>
            <w:noWrap/>
            <w:vAlign w:val="bottom"/>
          </w:tcPr>
          <w:p w:rsidR="00851E4E" w:rsidRDefault="00851E4E" w:rsidP="00483B4A">
            <w:pPr>
              <w:jc w:val="right"/>
              <w:rPr>
                <w:sz w:val="18"/>
                <w:szCs w:val="18"/>
              </w:rPr>
            </w:pPr>
          </w:p>
        </w:tc>
      </w:tr>
      <w:tr w:rsidR="00851E4E" w:rsidRPr="0052781D" w:rsidTr="00483B4A">
        <w:trPr>
          <w:trHeight w:val="250"/>
        </w:trPr>
        <w:tc>
          <w:tcPr>
            <w:tcW w:w="4003" w:type="dxa"/>
            <w:tcBorders>
              <w:top w:val="nil"/>
              <w:left w:val="single" w:sz="8" w:space="0" w:color="auto"/>
              <w:bottom w:val="nil"/>
              <w:right w:val="single" w:sz="4" w:space="0" w:color="auto"/>
            </w:tcBorders>
            <w:shd w:val="clear" w:color="auto" w:fill="auto"/>
            <w:noWrap/>
            <w:vAlign w:val="bottom"/>
          </w:tcPr>
          <w:p w:rsidR="00851E4E" w:rsidRPr="00B5580F" w:rsidRDefault="00851E4E" w:rsidP="00483B4A">
            <w:pPr>
              <w:rPr>
                <w:sz w:val="18"/>
                <w:szCs w:val="18"/>
              </w:rPr>
            </w:pPr>
            <w:r w:rsidRPr="00B5580F">
              <w:rPr>
                <w:sz w:val="18"/>
                <w:szCs w:val="18"/>
              </w:rPr>
              <w:t xml:space="preserve">    Предоставени тек. и капит. трансфери за чужбина</w:t>
            </w:r>
          </w:p>
        </w:tc>
        <w:tc>
          <w:tcPr>
            <w:tcW w:w="1286" w:type="dxa"/>
            <w:tcBorders>
              <w:top w:val="nil"/>
              <w:left w:val="nil"/>
              <w:bottom w:val="nil"/>
              <w:right w:val="nil"/>
            </w:tcBorders>
            <w:shd w:val="clear" w:color="auto" w:fill="auto"/>
            <w:noWrap/>
            <w:vAlign w:val="bottom"/>
          </w:tcPr>
          <w:p w:rsidR="00851E4E" w:rsidRDefault="00851E4E" w:rsidP="00483B4A">
            <w:pPr>
              <w:jc w:val="right"/>
              <w:rPr>
                <w:sz w:val="18"/>
                <w:szCs w:val="18"/>
              </w:rPr>
            </w:pPr>
            <w:r>
              <w:rPr>
                <w:sz w:val="18"/>
                <w:szCs w:val="18"/>
              </w:rPr>
              <w:t>8,5</w:t>
            </w:r>
          </w:p>
        </w:tc>
        <w:tc>
          <w:tcPr>
            <w:tcW w:w="1227" w:type="dxa"/>
            <w:tcBorders>
              <w:top w:val="nil"/>
              <w:left w:val="nil"/>
              <w:bottom w:val="nil"/>
              <w:right w:val="nil"/>
            </w:tcBorders>
            <w:shd w:val="clear" w:color="000000" w:fill="FFFFFF"/>
            <w:noWrap/>
            <w:vAlign w:val="bottom"/>
          </w:tcPr>
          <w:p w:rsidR="00851E4E" w:rsidRDefault="00851E4E" w:rsidP="00483B4A">
            <w:pPr>
              <w:jc w:val="right"/>
              <w:rPr>
                <w:sz w:val="18"/>
                <w:szCs w:val="18"/>
              </w:rPr>
            </w:pPr>
            <w:r>
              <w:rPr>
                <w:sz w:val="18"/>
                <w:szCs w:val="18"/>
              </w:rPr>
              <w:t>11,6</w:t>
            </w:r>
          </w:p>
        </w:tc>
        <w:tc>
          <w:tcPr>
            <w:tcW w:w="1222" w:type="dxa"/>
            <w:tcBorders>
              <w:top w:val="nil"/>
              <w:left w:val="nil"/>
              <w:bottom w:val="nil"/>
              <w:right w:val="nil"/>
            </w:tcBorders>
            <w:shd w:val="clear" w:color="auto" w:fill="auto"/>
            <w:noWrap/>
            <w:vAlign w:val="bottom"/>
          </w:tcPr>
          <w:p w:rsidR="00851E4E" w:rsidRDefault="00851E4E" w:rsidP="00483B4A">
            <w:pPr>
              <w:jc w:val="right"/>
              <w:rPr>
                <w:sz w:val="18"/>
                <w:szCs w:val="18"/>
              </w:rPr>
            </w:pPr>
            <w:r>
              <w:rPr>
                <w:sz w:val="18"/>
                <w:szCs w:val="18"/>
              </w:rPr>
              <w:t>0,5</w:t>
            </w:r>
          </w:p>
        </w:tc>
        <w:tc>
          <w:tcPr>
            <w:tcW w:w="1199" w:type="dxa"/>
            <w:tcBorders>
              <w:top w:val="nil"/>
              <w:left w:val="nil"/>
              <w:bottom w:val="nil"/>
              <w:right w:val="nil"/>
            </w:tcBorders>
            <w:shd w:val="clear" w:color="auto" w:fill="auto"/>
            <w:noWrap/>
            <w:vAlign w:val="bottom"/>
          </w:tcPr>
          <w:p w:rsidR="00851E4E" w:rsidRDefault="00851E4E" w:rsidP="00483B4A">
            <w:pPr>
              <w:jc w:val="right"/>
              <w:rPr>
                <w:sz w:val="18"/>
                <w:szCs w:val="18"/>
              </w:rPr>
            </w:pPr>
            <w:r>
              <w:rPr>
                <w:sz w:val="18"/>
                <w:szCs w:val="18"/>
              </w:rPr>
              <w:t>11,1</w:t>
            </w:r>
          </w:p>
        </w:tc>
        <w:tc>
          <w:tcPr>
            <w:tcW w:w="1209" w:type="dxa"/>
            <w:tcBorders>
              <w:top w:val="nil"/>
              <w:left w:val="nil"/>
              <w:bottom w:val="nil"/>
              <w:right w:val="single" w:sz="4" w:space="0" w:color="auto"/>
            </w:tcBorders>
            <w:shd w:val="clear" w:color="000000" w:fill="FFFFFF"/>
            <w:noWrap/>
            <w:vAlign w:val="bottom"/>
          </w:tcPr>
          <w:p w:rsidR="00851E4E" w:rsidRDefault="00851E4E" w:rsidP="00483B4A">
            <w:pPr>
              <w:jc w:val="right"/>
              <w:rPr>
                <w:sz w:val="18"/>
                <w:szCs w:val="18"/>
              </w:rPr>
            </w:pPr>
            <w:r>
              <w:rPr>
                <w:sz w:val="18"/>
                <w:szCs w:val="18"/>
              </w:rPr>
              <w:t>137,1%</w:t>
            </w:r>
          </w:p>
        </w:tc>
      </w:tr>
      <w:tr w:rsidR="00851E4E" w:rsidRPr="0052781D" w:rsidTr="00483B4A">
        <w:trPr>
          <w:trHeight w:val="250"/>
        </w:trPr>
        <w:tc>
          <w:tcPr>
            <w:tcW w:w="4003" w:type="dxa"/>
            <w:tcBorders>
              <w:top w:val="nil"/>
              <w:left w:val="single" w:sz="8" w:space="0" w:color="auto"/>
              <w:bottom w:val="nil"/>
              <w:right w:val="single" w:sz="4" w:space="0" w:color="auto"/>
            </w:tcBorders>
            <w:shd w:val="clear" w:color="auto" w:fill="auto"/>
            <w:noWrap/>
            <w:vAlign w:val="bottom"/>
            <w:hideMark/>
          </w:tcPr>
          <w:p w:rsidR="00851E4E" w:rsidRPr="00B5580F" w:rsidRDefault="00851E4E" w:rsidP="00483B4A">
            <w:pPr>
              <w:rPr>
                <w:sz w:val="18"/>
                <w:szCs w:val="18"/>
              </w:rPr>
            </w:pPr>
            <w:r w:rsidRPr="00B5580F">
              <w:rPr>
                <w:sz w:val="18"/>
                <w:szCs w:val="18"/>
              </w:rPr>
              <w:t xml:space="preserve">  Лихвени</w:t>
            </w:r>
          </w:p>
        </w:tc>
        <w:tc>
          <w:tcPr>
            <w:tcW w:w="1286" w:type="dxa"/>
            <w:tcBorders>
              <w:top w:val="nil"/>
              <w:left w:val="single" w:sz="4" w:space="0" w:color="auto"/>
              <w:bottom w:val="nil"/>
              <w:right w:val="nil"/>
            </w:tcBorders>
            <w:shd w:val="clear" w:color="auto" w:fill="auto"/>
            <w:noWrap/>
            <w:vAlign w:val="bottom"/>
            <w:hideMark/>
          </w:tcPr>
          <w:p w:rsidR="00851E4E" w:rsidRDefault="00851E4E" w:rsidP="00483B4A">
            <w:pPr>
              <w:jc w:val="right"/>
              <w:rPr>
                <w:sz w:val="18"/>
                <w:szCs w:val="18"/>
              </w:rPr>
            </w:pPr>
            <w:r>
              <w:rPr>
                <w:sz w:val="18"/>
                <w:szCs w:val="18"/>
              </w:rPr>
              <w:t>210,2</w:t>
            </w:r>
          </w:p>
        </w:tc>
        <w:tc>
          <w:tcPr>
            <w:tcW w:w="1227" w:type="dxa"/>
            <w:tcBorders>
              <w:top w:val="nil"/>
              <w:left w:val="nil"/>
              <w:bottom w:val="nil"/>
              <w:right w:val="nil"/>
            </w:tcBorders>
            <w:shd w:val="clear" w:color="auto" w:fill="auto"/>
            <w:noWrap/>
            <w:vAlign w:val="bottom"/>
            <w:hideMark/>
          </w:tcPr>
          <w:p w:rsidR="00851E4E" w:rsidRDefault="00851E4E" w:rsidP="00483B4A">
            <w:pPr>
              <w:jc w:val="right"/>
              <w:rPr>
                <w:sz w:val="18"/>
                <w:szCs w:val="18"/>
              </w:rPr>
            </w:pPr>
            <w:r>
              <w:rPr>
                <w:sz w:val="18"/>
                <w:szCs w:val="18"/>
              </w:rPr>
              <w:t>226,3</w:t>
            </w:r>
          </w:p>
        </w:tc>
        <w:tc>
          <w:tcPr>
            <w:tcW w:w="1222" w:type="dxa"/>
            <w:tcBorders>
              <w:top w:val="nil"/>
              <w:left w:val="nil"/>
              <w:bottom w:val="nil"/>
              <w:right w:val="nil"/>
            </w:tcBorders>
            <w:shd w:val="clear" w:color="auto" w:fill="auto"/>
            <w:noWrap/>
            <w:vAlign w:val="bottom"/>
            <w:hideMark/>
          </w:tcPr>
          <w:p w:rsidR="00851E4E" w:rsidRDefault="00851E4E" w:rsidP="00483B4A">
            <w:pPr>
              <w:jc w:val="right"/>
              <w:rPr>
                <w:sz w:val="18"/>
                <w:szCs w:val="18"/>
              </w:rPr>
            </w:pPr>
            <w:r>
              <w:rPr>
                <w:sz w:val="18"/>
                <w:szCs w:val="18"/>
              </w:rPr>
              <w:t>226,3</w:t>
            </w:r>
          </w:p>
        </w:tc>
        <w:tc>
          <w:tcPr>
            <w:tcW w:w="1199" w:type="dxa"/>
            <w:tcBorders>
              <w:top w:val="nil"/>
              <w:left w:val="nil"/>
              <w:bottom w:val="nil"/>
              <w:right w:val="nil"/>
            </w:tcBorders>
            <w:shd w:val="clear" w:color="auto" w:fill="auto"/>
            <w:noWrap/>
            <w:vAlign w:val="bottom"/>
          </w:tcPr>
          <w:p w:rsidR="00851E4E" w:rsidRDefault="00851E4E" w:rsidP="00483B4A">
            <w:pPr>
              <w:jc w:val="right"/>
              <w:rPr>
                <w:sz w:val="18"/>
                <w:szCs w:val="18"/>
              </w:rPr>
            </w:pPr>
          </w:p>
        </w:tc>
        <w:tc>
          <w:tcPr>
            <w:tcW w:w="1209" w:type="dxa"/>
            <w:tcBorders>
              <w:top w:val="nil"/>
              <w:left w:val="nil"/>
              <w:bottom w:val="nil"/>
              <w:right w:val="single" w:sz="8" w:space="0" w:color="auto"/>
            </w:tcBorders>
            <w:shd w:val="clear" w:color="auto" w:fill="auto"/>
            <w:noWrap/>
            <w:vAlign w:val="bottom"/>
            <w:hideMark/>
          </w:tcPr>
          <w:p w:rsidR="00851E4E" w:rsidRDefault="00851E4E" w:rsidP="00483B4A">
            <w:pPr>
              <w:jc w:val="right"/>
              <w:rPr>
                <w:sz w:val="18"/>
                <w:szCs w:val="18"/>
              </w:rPr>
            </w:pPr>
            <w:r>
              <w:rPr>
                <w:sz w:val="18"/>
                <w:szCs w:val="18"/>
              </w:rPr>
              <w:t>107,7%</w:t>
            </w:r>
          </w:p>
        </w:tc>
      </w:tr>
      <w:tr w:rsidR="00851E4E" w:rsidRPr="0052781D" w:rsidTr="00483B4A">
        <w:trPr>
          <w:trHeight w:val="250"/>
        </w:trPr>
        <w:tc>
          <w:tcPr>
            <w:tcW w:w="4003" w:type="dxa"/>
            <w:tcBorders>
              <w:top w:val="nil"/>
              <w:left w:val="single" w:sz="8" w:space="0" w:color="auto"/>
              <w:bottom w:val="single" w:sz="4" w:space="0" w:color="auto"/>
              <w:right w:val="single" w:sz="4" w:space="0" w:color="auto"/>
            </w:tcBorders>
            <w:shd w:val="clear" w:color="auto" w:fill="auto"/>
            <w:noWrap/>
            <w:vAlign w:val="bottom"/>
          </w:tcPr>
          <w:p w:rsidR="00851E4E" w:rsidRPr="00134765" w:rsidRDefault="00851E4E" w:rsidP="00483B4A">
            <w:pPr>
              <w:rPr>
                <w:sz w:val="18"/>
                <w:szCs w:val="18"/>
              </w:rPr>
            </w:pPr>
            <w:r w:rsidRPr="00134765">
              <w:rPr>
                <w:sz w:val="18"/>
                <w:szCs w:val="18"/>
                <w:lang w:val="ru-RU"/>
              </w:rPr>
              <w:t xml:space="preserve">  </w:t>
            </w:r>
            <w:r w:rsidRPr="00134765">
              <w:rPr>
                <w:sz w:val="18"/>
                <w:szCs w:val="18"/>
              </w:rPr>
              <w:t>Резерв за неотложни и непредвидени разходи</w:t>
            </w:r>
            <w:r>
              <w:rPr>
                <w:rStyle w:val="FootnoteReference"/>
                <w:sz w:val="18"/>
                <w:szCs w:val="18"/>
              </w:rPr>
              <w:footnoteReference w:id="4"/>
            </w:r>
          </w:p>
        </w:tc>
        <w:tc>
          <w:tcPr>
            <w:tcW w:w="1286" w:type="dxa"/>
            <w:tcBorders>
              <w:top w:val="nil"/>
              <w:left w:val="single" w:sz="4" w:space="0" w:color="auto"/>
              <w:bottom w:val="single" w:sz="4" w:space="0" w:color="auto"/>
              <w:right w:val="nil"/>
            </w:tcBorders>
            <w:shd w:val="clear" w:color="auto" w:fill="auto"/>
            <w:noWrap/>
            <w:vAlign w:val="bottom"/>
          </w:tcPr>
          <w:p w:rsidR="00851E4E" w:rsidRDefault="00851E4E" w:rsidP="00483B4A">
            <w:pPr>
              <w:jc w:val="right"/>
              <w:rPr>
                <w:sz w:val="18"/>
                <w:szCs w:val="18"/>
              </w:rPr>
            </w:pPr>
          </w:p>
        </w:tc>
        <w:tc>
          <w:tcPr>
            <w:tcW w:w="1227" w:type="dxa"/>
            <w:tcBorders>
              <w:top w:val="nil"/>
              <w:left w:val="nil"/>
              <w:bottom w:val="single" w:sz="4" w:space="0" w:color="auto"/>
              <w:right w:val="nil"/>
            </w:tcBorders>
            <w:shd w:val="clear" w:color="auto" w:fill="auto"/>
            <w:noWrap/>
            <w:vAlign w:val="bottom"/>
          </w:tcPr>
          <w:p w:rsidR="00851E4E" w:rsidRDefault="00851E4E" w:rsidP="00483B4A">
            <w:pPr>
              <w:jc w:val="right"/>
              <w:rPr>
                <w:sz w:val="18"/>
                <w:szCs w:val="18"/>
              </w:rPr>
            </w:pPr>
          </w:p>
        </w:tc>
        <w:tc>
          <w:tcPr>
            <w:tcW w:w="1222" w:type="dxa"/>
            <w:tcBorders>
              <w:top w:val="nil"/>
              <w:left w:val="nil"/>
              <w:bottom w:val="single" w:sz="4" w:space="0" w:color="auto"/>
              <w:right w:val="nil"/>
            </w:tcBorders>
            <w:shd w:val="clear" w:color="auto" w:fill="auto"/>
            <w:noWrap/>
            <w:vAlign w:val="bottom"/>
          </w:tcPr>
          <w:p w:rsidR="00851E4E" w:rsidRDefault="00851E4E" w:rsidP="00483B4A">
            <w:pPr>
              <w:jc w:val="right"/>
              <w:rPr>
                <w:sz w:val="18"/>
                <w:szCs w:val="18"/>
              </w:rPr>
            </w:pPr>
          </w:p>
        </w:tc>
        <w:tc>
          <w:tcPr>
            <w:tcW w:w="1199" w:type="dxa"/>
            <w:tcBorders>
              <w:top w:val="nil"/>
              <w:left w:val="nil"/>
              <w:bottom w:val="single" w:sz="4" w:space="0" w:color="auto"/>
              <w:right w:val="nil"/>
            </w:tcBorders>
            <w:shd w:val="clear" w:color="auto" w:fill="auto"/>
            <w:noWrap/>
            <w:vAlign w:val="bottom"/>
          </w:tcPr>
          <w:p w:rsidR="00851E4E" w:rsidRDefault="00851E4E" w:rsidP="00483B4A">
            <w:pPr>
              <w:rPr>
                <w:sz w:val="20"/>
                <w:szCs w:val="20"/>
              </w:rPr>
            </w:pPr>
          </w:p>
        </w:tc>
        <w:tc>
          <w:tcPr>
            <w:tcW w:w="1209" w:type="dxa"/>
            <w:tcBorders>
              <w:top w:val="nil"/>
              <w:left w:val="nil"/>
              <w:bottom w:val="single" w:sz="4" w:space="0" w:color="auto"/>
              <w:right w:val="single" w:sz="8" w:space="0" w:color="auto"/>
            </w:tcBorders>
            <w:shd w:val="clear" w:color="auto" w:fill="auto"/>
            <w:noWrap/>
            <w:vAlign w:val="bottom"/>
          </w:tcPr>
          <w:p w:rsidR="00851E4E" w:rsidRDefault="00851E4E" w:rsidP="00483B4A">
            <w:pPr>
              <w:rPr>
                <w:sz w:val="18"/>
                <w:szCs w:val="18"/>
              </w:rPr>
            </w:pPr>
            <w:r>
              <w:rPr>
                <w:sz w:val="18"/>
                <w:szCs w:val="18"/>
              </w:rPr>
              <w:t> </w:t>
            </w:r>
          </w:p>
        </w:tc>
      </w:tr>
      <w:tr w:rsidR="00851E4E" w:rsidRPr="0052781D" w:rsidTr="00483B4A">
        <w:trPr>
          <w:trHeight w:val="250"/>
        </w:trPr>
        <w:tc>
          <w:tcPr>
            <w:tcW w:w="4003" w:type="dxa"/>
            <w:tcBorders>
              <w:top w:val="nil"/>
              <w:left w:val="single" w:sz="8" w:space="0" w:color="auto"/>
              <w:bottom w:val="single" w:sz="4" w:space="0" w:color="auto"/>
              <w:right w:val="single" w:sz="4" w:space="0" w:color="auto"/>
            </w:tcBorders>
            <w:shd w:val="clear" w:color="auto" w:fill="auto"/>
            <w:noWrap/>
            <w:vAlign w:val="bottom"/>
          </w:tcPr>
          <w:p w:rsidR="00851E4E" w:rsidRPr="00B5580F" w:rsidRDefault="00851E4E" w:rsidP="00483B4A">
            <w:pPr>
              <w:rPr>
                <w:sz w:val="18"/>
                <w:szCs w:val="18"/>
              </w:rPr>
            </w:pPr>
            <w:r w:rsidRPr="00B5580F">
              <w:rPr>
                <w:sz w:val="18"/>
                <w:szCs w:val="18"/>
              </w:rPr>
              <w:t xml:space="preserve">  Вноска за общия бюджет на ЕС</w:t>
            </w:r>
          </w:p>
        </w:tc>
        <w:tc>
          <w:tcPr>
            <w:tcW w:w="1286" w:type="dxa"/>
            <w:tcBorders>
              <w:top w:val="nil"/>
              <w:left w:val="single" w:sz="4" w:space="0" w:color="auto"/>
              <w:bottom w:val="single" w:sz="4" w:space="0" w:color="auto"/>
              <w:right w:val="nil"/>
            </w:tcBorders>
            <w:shd w:val="clear" w:color="auto" w:fill="auto"/>
            <w:noWrap/>
            <w:vAlign w:val="bottom"/>
          </w:tcPr>
          <w:p w:rsidR="00851E4E" w:rsidRDefault="00851E4E" w:rsidP="00483B4A">
            <w:pPr>
              <w:jc w:val="right"/>
              <w:rPr>
                <w:sz w:val="18"/>
                <w:szCs w:val="18"/>
              </w:rPr>
            </w:pPr>
            <w:r>
              <w:rPr>
                <w:sz w:val="18"/>
                <w:szCs w:val="18"/>
              </w:rPr>
              <w:t>259,9</w:t>
            </w:r>
          </w:p>
        </w:tc>
        <w:tc>
          <w:tcPr>
            <w:tcW w:w="1227" w:type="dxa"/>
            <w:tcBorders>
              <w:top w:val="single" w:sz="4" w:space="0" w:color="auto"/>
              <w:left w:val="nil"/>
              <w:bottom w:val="single" w:sz="4" w:space="0" w:color="auto"/>
              <w:right w:val="nil"/>
            </w:tcBorders>
            <w:shd w:val="clear" w:color="auto" w:fill="auto"/>
            <w:noWrap/>
            <w:vAlign w:val="bottom"/>
          </w:tcPr>
          <w:p w:rsidR="00851E4E" w:rsidRDefault="00851E4E" w:rsidP="00483B4A">
            <w:pPr>
              <w:jc w:val="right"/>
              <w:rPr>
                <w:sz w:val="18"/>
                <w:szCs w:val="18"/>
              </w:rPr>
            </w:pPr>
            <w:r>
              <w:rPr>
                <w:sz w:val="18"/>
                <w:szCs w:val="18"/>
              </w:rPr>
              <w:t>259,5</w:t>
            </w:r>
          </w:p>
        </w:tc>
        <w:tc>
          <w:tcPr>
            <w:tcW w:w="1222" w:type="dxa"/>
            <w:tcBorders>
              <w:top w:val="single" w:sz="4" w:space="0" w:color="auto"/>
              <w:left w:val="nil"/>
              <w:bottom w:val="single" w:sz="4" w:space="0" w:color="auto"/>
              <w:right w:val="nil"/>
            </w:tcBorders>
            <w:shd w:val="clear" w:color="auto" w:fill="auto"/>
            <w:noWrap/>
            <w:vAlign w:val="bottom"/>
          </w:tcPr>
          <w:p w:rsidR="00851E4E" w:rsidRDefault="00851E4E" w:rsidP="00483B4A">
            <w:pPr>
              <w:jc w:val="right"/>
              <w:rPr>
                <w:sz w:val="18"/>
                <w:szCs w:val="18"/>
              </w:rPr>
            </w:pPr>
            <w:r>
              <w:rPr>
                <w:sz w:val="18"/>
                <w:szCs w:val="18"/>
              </w:rPr>
              <w:t>259,5</w:t>
            </w:r>
          </w:p>
        </w:tc>
        <w:tc>
          <w:tcPr>
            <w:tcW w:w="1199" w:type="dxa"/>
            <w:tcBorders>
              <w:top w:val="single" w:sz="4" w:space="0" w:color="auto"/>
              <w:left w:val="nil"/>
              <w:bottom w:val="single" w:sz="4" w:space="0" w:color="auto"/>
              <w:right w:val="nil"/>
            </w:tcBorders>
            <w:shd w:val="clear" w:color="auto" w:fill="auto"/>
            <w:noWrap/>
            <w:vAlign w:val="bottom"/>
          </w:tcPr>
          <w:p w:rsidR="00851E4E" w:rsidRDefault="00851E4E" w:rsidP="00483B4A">
            <w:pPr>
              <w:rPr>
                <w:sz w:val="18"/>
                <w:szCs w:val="18"/>
              </w:rPr>
            </w:pPr>
            <w:r>
              <w:rPr>
                <w:sz w:val="18"/>
                <w:szCs w:val="18"/>
              </w:rPr>
              <w:t> </w:t>
            </w:r>
          </w:p>
        </w:tc>
        <w:tc>
          <w:tcPr>
            <w:tcW w:w="1209" w:type="dxa"/>
            <w:tcBorders>
              <w:top w:val="nil"/>
              <w:left w:val="nil"/>
              <w:bottom w:val="single" w:sz="4" w:space="0" w:color="auto"/>
              <w:right w:val="single" w:sz="8" w:space="0" w:color="auto"/>
            </w:tcBorders>
            <w:shd w:val="clear" w:color="auto" w:fill="auto"/>
            <w:noWrap/>
            <w:vAlign w:val="bottom"/>
          </w:tcPr>
          <w:p w:rsidR="00851E4E" w:rsidRDefault="00851E4E" w:rsidP="00483B4A">
            <w:pPr>
              <w:jc w:val="right"/>
              <w:rPr>
                <w:sz w:val="18"/>
                <w:szCs w:val="18"/>
              </w:rPr>
            </w:pPr>
            <w:r>
              <w:rPr>
                <w:sz w:val="18"/>
                <w:szCs w:val="18"/>
              </w:rPr>
              <w:t>99,9%</w:t>
            </w:r>
          </w:p>
        </w:tc>
      </w:tr>
      <w:tr w:rsidR="00851E4E" w:rsidRPr="0052781D" w:rsidTr="00483B4A">
        <w:trPr>
          <w:trHeight w:val="250"/>
        </w:trPr>
        <w:tc>
          <w:tcPr>
            <w:tcW w:w="4003" w:type="dxa"/>
            <w:tcBorders>
              <w:top w:val="nil"/>
              <w:left w:val="single" w:sz="8" w:space="0" w:color="auto"/>
              <w:bottom w:val="single" w:sz="4" w:space="0" w:color="auto"/>
              <w:right w:val="single" w:sz="4" w:space="0" w:color="auto"/>
            </w:tcBorders>
            <w:shd w:val="clear" w:color="auto" w:fill="auto"/>
            <w:noWrap/>
            <w:vAlign w:val="bottom"/>
            <w:hideMark/>
          </w:tcPr>
          <w:p w:rsidR="00851E4E" w:rsidRPr="00B5580F" w:rsidRDefault="00851E4E" w:rsidP="00483B4A">
            <w:pPr>
              <w:rPr>
                <w:sz w:val="18"/>
                <w:szCs w:val="18"/>
              </w:rPr>
            </w:pPr>
            <w:r w:rsidRPr="00B5580F">
              <w:rPr>
                <w:sz w:val="18"/>
                <w:szCs w:val="18"/>
              </w:rPr>
              <w:t>Трансфери</w:t>
            </w:r>
            <w:r w:rsidRPr="00B5580F">
              <w:rPr>
                <w:sz w:val="18"/>
                <w:szCs w:val="18"/>
                <w:lang w:val="en-US"/>
              </w:rPr>
              <w:t xml:space="preserve"> </w:t>
            </w:r>
            <w:r w:rsidRPr="00B5580F">
              <w:rPr>
                <w:sz w:val="18"/>
                <w:szCs w:val="18"/>
              </w:rPr>
              <w:t>-</w:t>
            </w:r>
            <w:r w:rsidRPr="00B5580F">
              <w:rPr>
                <w:sz w:val="18"/>
                <w:szCs w:val="18"/>
                <w:lang w:val="en-US"/>
              </w:rPr>
              <w:t xml:space="preserve"> </w:t>
            </w:r>
            <w:r w:rsidRPr="00B5580F">
              <w:rPr>
                <w:sz w:val="18"/>
                <w:szCs w:val="18"/>
              </w:rPr>
              <w:t>нето</w:t>
            </w:r>
          </w:p>
        </w:tc>
        <w:tc>
          <w:tcPr>
            <w:tcW w:w="1286" w:type="dxa"/>
            <w:tcBorders>
              <w:top w:val="single" w:sz="4" w:space="0" w:color="auto"/>
              <w:left w:val="single" w:sz="4" w:space="0" w:color="auto"/>
              <w:bottom w:val="single" w:sz="4" w:space="0" w:color="auto"/>
              <w:right w:val="nil"/>
            </w:tcBorders>
            <w:shd w:val="clear" w:color="auto" w:fill="auto"/>
            <w:noWrap/>
            <w:vAlign w:val="bottom"/>
            <w:hideMark/>
          </w:tcPr>
          <w:p w:rsidR="00851E4E" w:rsidRDefault="00851E4E" w:rsidP="00483B4A">
            <w:pPr>
              <w:rPr>
                <w:color w:val="0070C0"/>
                <w:sz w:val="18"/>
                <w:szCs w:val="18"/>
              </w:rPr>
            </w:pPr>
            <w:r>
              <w:rPr>
                <w:color w:val="0070C0"/>
                <w:sz w:val="18"/>
                <w:szCs w:val="18"/>
              </w:rPr>
              <w:t> </w:t>
            </w:r>
          </w:p>
        </w:tc>
        <w:tc>
          <w:tcPr>
            <w:tcW w:w="1227" w:type="dxa"/>
            <w:tcBorders>
              <w:top w:val="nil"/>
              <w:left w:val="nil"/>
              <w:bottom w:val="single" w:sz="4" w:space="0" w:color="auto"/>
              <w:right w:val="nil"/>
            </w:tcBorders>
            <w:shd w:val="clear" w:color="auto" w:fill="auto"/>
            <w:noWrap/>
            <w:vAlign w:val="bottom"/>
            <w:hideMark/>
          </w:tcPr>
          <w:p w:rsidR="00851E4E" w:rsidRDefault="00851E4E" w:rsidP="00483B4A">
            <w:pPr>
              <w:rPr>
                <w:color w:val="0070C0"/>
                <w:sz w:val="18"/>
                <w:szCs w:val="18"/>
              </w:rPr>
            </w:pPr>
            <w:r>
              <w:rPr>
                <w:color w:val="0070C0"/>
                <w:sz w:val="18"/>
                <w:szCs w:val="18"/>
              </w:rPr>
              <w:t> </w:t>
            </w:r>
          </w:p>
        </w:tc>
        <w:tc>
          <w:tcPr>
            <w:tcW w:w="1222" w:type="dxa"/>
            <w:tcBorders>
              <w:top w:val="nil"/>
              <w:left w:val="nil"/>
              <w:bottom w:val="single" w:sz="4" w:space="0" w:color="auto"/>
              <w:right w:val="nil"/>
            </w:tcBorders>
            <w:shd w:val="clear" w:color="auto" w:fill="auto"/>
            <w:noWrap/>
            <w:vAlign w:val="bottom"/>
            <w:hideMark/>
          </w:tcPr>
          <w:p w:rsidR="00851E4E" w:rsidRDefault="00851E4E" w:rsidP="00483B4A">
            <w:pPr>
              <w:jc w:val="right"/>
              <w:rPr>
                <w:sz w:val="18"/>
                <w:szCs w:val="18"/>
              </w:rPr>
            </w:pPr>
            <w:r>
              <w:rPr>
                <w:sz w:val="18"/>
                <w:szCs w:val="18"/>
              </w:rPr>
              <w:t>-181,7</w:t>
            </w:r>
          </w:p>
        </w:tc>
        <w:tc>
          <w:tcPr>
            <w:tcW w:w="1199" w:type="dxa"/>
            <w:tcBorders>
              <w:top w:val="nil"/>
              <w:left w:val="nil"/>
              <w:bottom w:val="single" w:sz="4" w:space="0" w:color="auto"/>
              <w:right w:val="nil"/>
            </w:tcBorders>
            <w:shd w:val="clear" w:color="auto" w:fill="auto"/>
            <w:noWrap/>
            <w:vAlign w:val="bottom"/>
          </w:tcPr>
          <w:p w:rsidR="00851E4E" w:rsidRDefault="00851E4E" w:rsidP="00483B4A">
            <w:pPr>
              <w:jc w:val="right"/>
              <w:rPr>
                <w:sz w:val="18"/>
                <w:szCs w:val="18"/>
              </w:rPr>
            </w:pPr>
            <w:r>
              <w:rPr>
                <w:sz w:val="18"/>
                <w:szCs w:val="18"/>
              </w:rPr>
              <w:t>181,7</w:t>
            </w:r>
          </w:p>
        </w:tc>
        <w:tc>
          <w:tcPr>
            <w:tcW w:w="1209" w:type="dxa"/>
            <w:tcBorders>
              <w:top w:val="nil"/>
              <w:left w:val="nil"/>
              <w:bottom w:val="single" w:sz="4" w:space="0" w:color="auto"/>
              <w:right w:val="single" w:sz="8" w:space="0" w:color="auto"/>
            </w:tcBorders>
            <w:shd w:val="clear" w:color="auto" w:fill="auto"/>
            <w:noWrap/>
            <w:vAlign w:val="bottom"/>
            <w:hideMark/>
          </w:tcPr>
          <w:p w:rsidR="00851E4E" w:rsidRDefault="00851E4E" w:rsidP="00483B4A">
            <w:pPr>
              <w:rPr>
                <w:sz w:val="18"/>
                <w:szCs w:val="18"/>
              </w:rPr>
            </w:pPr>
            <w:r>
              <w:rPr>
                <w:sz w:val="18"/>
                <w:szCs w:val="18"/>
              </w:rPr>
              <w:t> </w:t>
            </w:r>
          </w:p>
        </w:tc>
      </w:tr>
      <w:tr w:rsidR="00851E4E" w:rsidRPr="00013834" w:rsidTr="00483B4A">
        <w:trPr>
          <w:trHeight w:val="250"/>
        </w:trPr>
        <w:tc>
          <w:tcPr>
            <w:tcW w:w="400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851E4E" w:rsidRPr="00B5580F" w:rsidRDefault="00851E4E" w:rsidP="00483B4A">
            <w:pPr>
              <w:rPr>
                <w:sz w:val="18"/>
                <w:szCs w:val="18"/>
              </w:rPr>
            </w:pPr>
            <w:r w:rsidRPr="00B5580F">
              <w:rPr>
                <w:b/>
                <w:bCs/>
                <w:sz w:val="18"/>
                <w:szCs w:val="18"/>
              </w:rPr>
              <w:t>БЮДЖЕТНО САЛДО</w:t>
            </w:r>
          </w:p>
        </w:tc>
        <w:tc>
          <w:tcPr>
            <w:tcW w:w="1286" w:type="dxa"/>
            <w:tcBorders>
              <w:top w:val="nil"/>
              <w:left w:val="single" w:sz="4" w:space="0" w:color="auto"/>
              <w:bottom w:val="single" w:sz="8" w:space="0" w:color="auto"/>
              <w:right w:val="nil"/>
            </w:tcBorders>
            <w:shd w:val="clear" w:color="auto" w:fill="auto"/>
            <w:noWrap/>
            <w:vAlign w:val="bottom"/>
            <w:hideMark/>
          </w:tcPr>
          <w:p w:rsidR="00851E4E" w:rsidRDefault="00851E4E" w:rsidP="00483B4A">
            <w:pPr>
              <w:jc w:val="right"/>
              <w:rPr>
                <w:b/>
                <w:bCs/>
                <w:sz w:val="18"/>
                <w:szCs w:val="18"/>
              </w:rPr>
            </w:pPr>
            <w:r>
              <w:rPr>
                <w:b/>
                <w:bCs/>
                <w:sz w:val="18"/>
                <w:szCs w:val="18"/>
              </w:rPr>
              <w:t>-985,9</w:t>
            </w:r>
          </w:p>
        </w:tc>
        <w:tc>
          <w:tcPr>
            <w:tcW w:w="1227" w:type="dxa"/>
            <w:tcBorders>
              <w:top w:val="nil"/>
              <w:left w:val="nil"/>
              <w:bottom w:val="single" w:sz="8" w:space="0" w:color="auto"/>
              <w:right w:val="nil"/>
            </w:tcBorders>
            <w:shd w:val="clear" w:color="auto" w:fill="auto"/>
            <w:noWrap/>
            <w:vAlign w:val="bottom"/>
            <w:hideMark/>
          </w:tcPr>
          <w:p w:rsidR="00851E4E" w:rsidRDefault="00851E4E" w:rsidP="00483B4A">
            <w:pPr>
              <w:jc w:val="right"/>
              <w:rPr>
                <w:b/>
                <w:bCs/>
                <w:sz w:val="18"/>
                <w:szCs w:val="18"/>
              </w:rPr>
            </w:pPr>
            <w:r>
              <w:rPr>
                <w:b/>
                <w:bCs/>
                <w:sz w:val="18"/>
                <w:szCs w:val="18"/>
              </w:rPr>
              <w:t>-1 528,9</w:t>
            </w:r>
          </w:p>
        </w:tc>
        <w:tc>
          <w:tcPr>
            <w:tcW w:w="1222" w:type="dxa"/>
            <w:tcBorders>
              <w:top w:val="nil"/>
              <w:left w:val="nil"/>
              <w:bottom w:val="single" w:sz="8" w:space="0" w:color="auto"/>
              <w:right w:val="nil"/>
            </w:tcBorders>
            <w:shd w:val="clear" w:color="auto" w:fill="auto"/>
            <w:noWrap/>
            <w:vAlign w:val="bottom"/>
            <w:hideMark/>
          </w:tcPr>
          <w:p w:rsidR="00851E4E" w:rsidRDefault="00851E4E" w:rsidP="00483B4A">
            <w:pPr>
              <w:jc w:val="right"/>
              <w:rPr>
                <w:b/>
                <w:bCs/>
                <w:sz w:val="18"/>
                <w:szCs w:val="18"/>
              </w:rPr>
            </w:pPr>
            <w:r>
              <w:rPr>
                <w:b/>
                <w:bCs/>
                <w:sz w:val="18"/>
                <w:szCs w:val="18"/>
              </w:rPr>
              <w:t>-1 687,3</w:t>
            </w:r>
          </w:p>
        </w:tc>
        <w:tc>
          <w:tcPr>
            <w:tcW w:w="1199" w:type="dxa"/>
            <w:tcBorders>
              <w:top w:val="nil"/>
              <w:left w:val="nil"/>
              <w:bottom w:val="single" w:sz="8" w:space="0" w:color="auto"/>
              <w:right w:val="nil"/>
            </w:tcBorders>
            <w:shd w:val="clear" w:color="auto" w:fill="auto"/>
            <w:noWrap/>
            <w:vAlign w:val="bottom"/>
            <w:hideMark/>
          </w:tcPr>
          <w:p w:rsidR="00851E4E" w:rsidRDefault="00851E4E" w:rsidP="00483B4A">
            <w:pPr>
              <w:jc w:val="right"/>
              <w:rPr>
                <w:b/>
                <w:bCs/>
                <w:sz w:val="18"/>
                <w:szCs w:val="18"/>
              </w:rPr>
            </w:pPr>
            <w:r>
              <w:rPr>
                <w:b/>
                <w:bCs/>
                <w:sz w:val="18"/>
                <w:szCs w:val="18"/>
              </w:rPr>
              <w:t>158,4</w:t>
            </w:r>
          </w:p>
        </w:tc>
        <w:tc>
          <w:tcPr>
            <w:tcW w:w="1209" w:type="dxa"/>
            <w:tcBorders>
              <w:top w:val="nil"/>
              <w:left w:val="nil"/>
              <w:bottom w:val="single" w:sz="8" w:space="0" w:color="auto"/>
              <w:right w:val="single" w:sz="8" w:space="0" w:color="auto"/>
            </w:tcBorders>
            <w:shd w:val="clear" w:color="auto" w:fill="auto"/>
            <w:noWrap/>
            <w:vAlign w:val="bottom"/>
            <w:hideMark/>
          </w:tcPr>
          <w:p w:rsidR="00851E4E" w:rsidRDefault="00851E4E" w:rsidP="00483B4A">
            <w:pPr>
              <w:jc w:val="right"/>
              <w:rPr>
                <w:b/>
                <w:bCs/>
                <w:sz w:val="18"/>
                <w:szCs w:val="18"/>
              </w:rPr>
            </w:pPr>
          </w:p>
        </w:tc>
      </w:tr>
    </w:tbl>
    <w:p w:rsidR="00851E4E" w:rsidRPr="00013834" w:rsidRDefault="00851E4E" w:rsidP="00851E4E">
      <w:pPr>
        <w:spacing w:before="120"/>
        <w:rPr>
          <w:b/>
          <w:i/>
          <w:color w:val="0070C0"/>
          <w:sz w:val="22"/>
          <w:szCs w:val="22"/>
        </w:rPr>
      </w:pPr>
    </w:p>
    <w:p w:rsidR="00851E4E" w:rsidRPr="00013834" w:rsidRDefault="00851E4E" w:rsidP="00851E4E">
      <w:pPr>
        <w:numPr>
          <w:ilvl w:val="1"/>
          <w:numId w:val="9"/>
        </w:numPr>
        <w:tabs>
          <w:tab w:val="num" w:pos="426"/>
        </w:tabs>
        <w:ind w:left="0" w:firstLine="0"/>
        <w:jc w:val="both"/>
        <w:rPr>
          <w:rFonts w:eastAsia="Calibri"/>
          <w:color w:val="0070C0"/>
        </w:rPr>
      </w:pPr>
      <w:r w:rsidRPr="00EF5BAA">
        <w:rPr>
          <w:b/>
        </w:rPr>
        <w:t>Приходите, помощите и даренията по консолидираната фискална програма</w:t>
      </w:r>
      <w:r w:rsidRPr="00EF5BAA">
        <w:t xml:space="preserve"> (КФП) за </w:t>
      </w:r>
      <w:r w:rsidRPr="00697F3E">
        <w:t>първото тримесечие на 2026 г.</w:t>
      </w:r>
      <w:r>
        <w:t xml:space="preserve"> </w:t>
      </w:r>
      <w:r w:rsidRPr="00EF5BAA">
        <w:rPr>
          <w:bCs/>
        </w:rPr>
        <w:t xml:space="preserve">са в размер на </w:t>
      </w:r>
      <w:r w:rsidRPr="00EF5BAA">
        <w:rPr>
          <w:b/>
          <w:bCs/>
        </w:rPr>
        <w:t>10 038,4</w:t>
      </w:r>
      <w:r w:rsidRPr="00EF5BAA">
        <w:rPr>
          <w:b/>
          <w:bCs/>
          <w:lang w:val="en-US"/>
        </w:rPr>
        <w:t xml:space="preserve"> </w:t>
      </w:r>
      <w:r w:rsidRPr="00EF5BAA">
        <w:rPr>
          <w:b/>
          <w:bCs/>
        </w:rPr>
        <w:t>млн. </w:t>
      </w:r>
      <w:r w:rsidRPr="00D07634">
        <w:rPr>
          <w:rFonts w:eastAsia="Calibri"/>
          <w:b/>
        </w:rPr>
        <w:t>евро</w:t>
      </w:r>
      <w:r w:rsidRPr="00D07634">
        <w:rPr>
          <w:b/>
          <w:bCs/>
        </w:rPr>
        <w:t>.</w:t>
      </w:r>
      <w:r w:rsidRPr="00EF5BAA">
        <w:rPr>
          <w:b/>
          <w:bCs/>
          <w:lang w:val="en-US"/>
        </w:rPr>
        <w:t xml:space="preserve"> </w:t>
      </w:r>
      <w:r w:rsidRPr="00EF5BAA">
        <w:rPr>
          <w:rFonts w:eastAsia="Calibri"/>
        </w:rPr>
        <w:t xml:space="preserve">Постъпленията </w:t>
      </w:r>
      <w:r w:rsidRPr="009E40CB">
        <w:rPr>
          <w:rFonts w:eastAsia="Calibri"/>
        </w:rPr>
        <w:t>нарастват с 16,6</w:t>
      </w:r>
      <w:r>
        <w:rPr>
          <w:rFonts w:eastAsia="Calibri"/>
        </w:rPr>
        <w:t> </w:t>
      </w:r>
      <w:r w:rsidRPr="009E40CB">
        <w:rPr>
          <w:rFonts w:eastAsia="Calibri"/>
        </w:rPr>
        <w:t>% (1 431,1</w:t>
      </w:r>
      <w:r w:rsidR="0079786D">
        <w:rPr>
          <w:rFonts w:eastAsia="Calibri"/>
        </w:rPr>
        <w:t xml:space="preserve"> </w:t>
      </w:r>
      <w:r w:rsidRPr="009E40CB">
        <w:rPr>
          <w:rFonts w:eastAsia="Calibri"/>
        </w:rPr>
        <w:t xml:space="preserve">млн. евро) спрямо същия период на 2025 г., като данъчно-осигурителните  приходи </w:t>
      </w:r>
      <w:r w:rsidRPr="00E65F42">
        <w:rPr>
          <w:rFonts w:eastAsia="Calibri"/>
        </w:rPr>
        <w:t>нарастват номинално с 14,8 % (1 028,4 млн. евро), неданъчните приходи са близки по размер, а постъпленията в частта на помощите и даренията са повече с 429,2 млн. евро</w:t>
      </w:r>
      <w:r w:rsidRPr="00013834">
        <w:rPr>
          <w:color w:val="0070C0"/>
        </w:rPr>
        <w:t>.</w:t>
      </w:r>
    </w:p>
    <w:p w:rsidR="00851E4E" w:rsidRPr="00A04E6C" w:rsidRDefault="00851E4E" w:rsidP="00851E4E">
      <w:pPr>
        <w:spacing w:before="120" w:after="120"/>
        <w:jc w:val="both"/>
        <w:rPr>
          <w:rFonts w:eastAsia="Calibri"/>
        </w:rPr>
      </w:pPr>
      <w:r w:rsidRPr="00A04E6C">
        <w:rPr>
          <w:b/>
          <w:i/>
        </w:rPr>
        <w:t>Данъчните постъпления</w:t>
      </w:r>
      <w:r w:rsidRPr="00A04E6C">
        <w:t xml:space="preserve"> (вкл. приходите от осигурителни вноски) са в размер на </w:t>
      </w:r>
      <w:r w:rsidRPr="00A04E6C">
        <w:rPr>
          <w:b/>
          <w:bCs/>
          <w:i/>
          <w:lang w:val="ru-RU"/>
        </w:rPr>
        <w:t xml:space="preserve">7 995,5 </w:t>
      </w:r>
      <w:r w:rsidRPr="00A04E6C">
        <w:rPr>
          <w:b/>
          <w:i/>
        </w:rPr>
        <w:t xml:space="preserve">млн. евро </w:t>
      </w:r>
      <w:r w:rsidRPr="00A04E6C">
        <w:t>и формират 79,6 % от общите постъпления по КФП за периода.</w:t>
      </w:r>
    </w:p>
    <w:p w:rsidR="00851E4E" w:rsidRPr="00013834" w:rsidRDefault="00851E4E" w:rsidP="00851E4E">
      <w:pPr>
        <w:spacing w:before="120"/>
        <w:jc w:val="both"/>
        <w:rPr>
          <w:rFonts w:eastAsia="Calibri"/>
          <w:bCs/>
          <w:iCs/>
          <w:color w:val="0070C0"/>
        </w:rPr>
      </w:pPr>
      <w:r w:rsidRPr="00465CA7">
        <w:t xml:space="preserve">Приходите в частта на </w:t>
      </w:r>
      <w:r w:rsidRPr="00465CA7">
        <w:rPr>
          <w:b/>
          <w:i/>
        </w:rPr>
        <w:t>преките данъци</w:t>
      </w:r>
      <w:r w:rsidRPr="00465CA7">
        <w:rPr>
          <w:i/>
        </w:rPr>
        <w:t xml:space="preserve"> </w:t>
      </w:r>
      <w:r w:rsidRPr="00465CA7">
        <w:t xml:space="preserve">възлизат на 1 156,6 млн. евро, което представлява ръст от </w:t>
      </w:r>
      <w:r w:rsidRPr="001B4E12">
        <w:t xml:space="preserve">211,3 </w:t>
      </w:r>
      <w:r w:rsidRPr="001B4E12">
        <w:rPr>
          <w:rFonts w:eastAsia="Calibri"/>
        </w:rPr>
        <w:t xml:space="preserve">млн. евро </w:t>
      </w:r>
      <w:r w:rsidRPr="001B4E12">
        <w:rPr>
          <w:rFonts w:eastAsia="Calibri"/>
          <w:lang w:val="en-US"/>
        </w:rPr>
        <w:t>(</w:t>
      </w:r>
      <w:r w:rsidRPr="001B4E12">
        <w:rPr>
          <w:rFonts w:eastAsia="Calibri"/>
        </w:rPr>
        <w:t>22,4</w:t>
      </w:r>
      <w:r w:rsidRPr="001B4E12">
        <w:rPr>
          <w:rFonts w:eastAsia="Calibri"/>
          <w:lang w:val="en-US"/>
        </w:rPr>
        <w:t xml:space="preserve"> %)</w:t>
      </w:r>
      <w:r w:rsidRPr="001B4E12">
        <w:rPr>
          <w:rFonts w:eastAsia="Calibri"/>
        </w:rPr>
        <w:t xml:space="preserve"> </w:t>
      </w:r>
      <w:r w:rsidRPr="001B4E12">
        <w:rPr>
          <w:rFonts w:eastAsia="Calibri"/>
          <w:lang w:val="ru-RU"/>
        </w:rPr>
        <w:t xml:space="preserve">спрямо </w:t>
      </w:r>
      <w:r w:rsidRPr="001B4E12">
        <w:t xml:space="preserve">отчетените към март 2025 г. Приходите от </w:t>
      </w:r>
      <w:r w:rsidRPr="001B4E12">
        <w:rPr>
          <w:b/>
          <w:i/>
        </w:rPr>
        <w:t>косвени данъци</w:t>
      </w:r>
      <w:r w:rsidRPr="001B4E12">
        <w:t xml:space="preserve"> са в размер на 3 701,2 </w:t>
      </w:r>
      <w:r w:rsidRPr="001B4E12">
        <w:rPr>
          <w:rFonts w:eastAsia="Calibri"/>
          <w:bCs/>
          <w:iCs/>
        </w:rPr>
        <w:t>млн. евро</w:t>
      </w:r>
      <w:r w:rsidRPr="001B4E12">
        <w:rPr>
          <w:rFonts w:eastAsia="Calibri"/>
        </w:rPr>
        <w:t xml:space="preserve">, което представлява </w:t>
      </w:r>
      <w:r w:rsidRPr="001B4E12">
        <w:t xml:space="preserve">ръст от 445,9 млн. евро </w:t>
      </w:r>
      <w:r w:rsidRPr="001B4E12">
        <w:rPr>
          <w:lang w:val="en-US"/>
        </w:rPr>
        <w:t>(</w:t>
      </w:r>
      <w:r w:rsidRPr="001B4E12">
        <w:t>13,7 %</w:t>
      </w:r>
      <w:r w:rsidRPr="001B4E12">
        <w:rPr>
          <w:lang w:val="en-US"/>
        </w:rPr>
        <w:t>)</w:t>
      </w:r>
      <w:r w:rsidRPr="001B4E12">
        <w:t xml:space="preserve"> спрямо </w:t>
      </w:r>
      <w:r w:rsidRPr="00847C84">
        <w:t xml:space="preserve">отчетените към март 2025 г. Постъпленията от </w:t>
      </w:r>
      <w:r w:rsidRPr="00847C84">
        <w:rPr>
          <w:b/>
          <w:i/>
        </w:rPr>
        <w:t>други данъци</w:t>
      </w:r>
      <w:r w:rsidRPr="00847C84">
        <w:t xml:space="preserve"> (включват други данъци по ЗКПО, имуществени и др. данъци) са в размер на 379,0 млн. евро, което представлява намаление </w:t>
      </w:r>
      <w:r w:rsidRPr="00D3092E">
        <w:t xml:space="preserve">спрямо отчетените към март 2025 г. с 20,6 млн. евро </w:t>
      </w:r>
      <w:r w:rsidRPr="00D3092E">
        <w:rPr>
          <w:lang w:val="ru-RU"/>
        </w:rPr>
        <w:t>(</w:t>
      </w:r>
      <w:r w:rsidRPr="00D3092E">
        <w:t>5,2</w:t>
      </w:r>
      <w:r w:rsidRPr="00D3092E">
        <w:rPr>
          <w:lang w:val="ru-RU"/>
        </w:rPr>
        <w:t> %).</w:t>
      </w:r>
      <w:r w:rsidRPr="00D3092E">
        <w:t xml:space="preserve"> Приходите от </w:t>
      </w:r>
      <w:r w:rsidRPr="00D3092E">
        <w:rPr>
          <w:b/>
          <w:i/>
        </w:rPr>
        <w:t>социални и здравноосигурителни вноски</w:t>
      </w:r>
      <w:r w:rsidRPr="00D3092E">
        <w:rPr>
          <w:b/>
        </w:rPr>
        <w:t xml:space="preserve"> </w:t>
      </w:r>
      <w:r w:rsidRPr="00D3092E">
        <w:t xml:space="preserve">са в размер на 2 758,7 млн. евро, </w:t>
      </w:r>
      <w:r w:rsidRPr="00D3092E">
        <w:rPr>
          <w:rFonts w:eastAsia="Calibri"/>
          <w:bCs/>
          <w:iCs/>
        </w:rPr>
        <w:t>което представлява ръст от 391,8</w:t>
      </w:r>
      <w:r>
        <w:rPr>
          <w:rFonts w:eastAsia="Calibri"/>
          <w:bCs/>
          <w:iCs/>
        </w:rPr>
        <w:t> </w:t>
      </w:r>
      <w:r w:rsidRPr="00D3092E">
        <w:rPr>
          <w:rFonts w:eastAsia="Calibri"/>
          <w:bCs/>
          <w:iCs/>
        </w:rPr>
        <w:t>млн. евро (16,6 %) спрямо отчетените към март 2025 г</w:t>
      </w:r>
      <w:r w:rsidRPr="00013834">
        <w:rPr>
          <w:rFonts w:eastAsia="Calibri"/>
          <w:bCs/>
          <w:iCs/>
          <w:color w:val="0070C0"/>
        </w:rPr>
        <w:t>.</w:t>
      </w:r>
    </w:p>
    <w:p w:rsidR="00851E4E" w:rsidRPr="00013834" w:rsidRDefault="00851E4E" w:rsidP="00851E4E">
      <w:pPr>
        <w:spacing w:before="120"/>
        <w:jc w:val="both"/>
        <w:rPr>
          <w:color w:val="0070C0"/>
        </w:rPr>
      </w:pPr>
      <w:r w:rsidRPr="00BE7E57">
        <w:rPr>
          <w:b/>
          <w:bCs/>
          <w:i/>
          <w:iCs/>
        </w:rPr>
        <w:t>Неданъчните приходи</w:t>
      </w:r>
      <w:r w:rsidRPr="00BE7E57">
        <w:rPr>
          <w:b/>
          <w:bCs/>
          <w:iCs/>
        </w:rPr>
        <w:t xml:space="preserve"> </w:t>
      </w:r>
      <w:r w:rsidRPr="00BE7E57">
        <w:t xml:space="preserve">са в размер на </w:t>
      </w:r>
      <w:r w:rsidRPr="00BE7E57">
        <w:rPr>
          <w:b/>
          <w:i/>
        </w:rPr>
        <w:t>1 230,8</w:t>
      </w:r>
      <w:r>
        <w:rPr>
          <w:b/>
          <w:i/>
        </w:rPr>
        <w:t xml:space="preserve"> </w:t>
      </w:r>
      <w:r w:rsidRPr="00BE7E57">
        <w:rPr>
          <w:b/>
          <w:bCs/>
          <w:i/>
        </w:rPr>
        <w:t xml:space="preserve">млн. евро, </w:t>
      </w:r>
      <w:r w:rsidRPr="00BE7E57">
        <w:rPr>
          <w:rFonts w:eastAsia="Calibri"/>
          <w:bCs/>
        </w:rPr>
        <w:t xml:space="preserve">което представлява </w:t>
      </w:r>
      <w:r w:rsidRPr="00BE7E57">
        <w:rPr>
          <w:rFonts w:eastAsia="Calibri"/>
        </w:rPr>
        <w:t>спад с 26,5 млн. евро, 2,1 % спрямо същия период на</w:t>
      </w:r>
      <w:r w:rsidRPr="00BE7E57">
        <w:t xml:space="preserve"> 2025 г</w:t>
      </w:r>
      <w:r w:rsidRPr="00BE7E57">
        <w:rPr>
          <w:rStyle w:val="QuoteChar"/>
        </w:rPr>
        <w:t>.</w:t>
      </w:r>
      <w:r w:rsidRPr="00BE7E57">
        <w:rPr>
          <w:rStyle w:val="QuoteChar"/>
          <w:rFonts w:eastAsia="Calibri"/>
        </w:rPr>
        <w:t xml:space="preserve"> </w:t>
      </w:r>
      <w:r w:rsidRPr="00D128D8">
        <w:rPr>
          <w:rFonts w:eastAsia="Calibri"/>
          <w:bCs/>
        </w:rPr>
        <w:t xml:space="preserve">Тези приходи </w:t>
      </w:r>
      <w:r w:rsidRPr="00BE7E57">
        <w:rPr>
          <w:rFonts w:eastAsia="Calibri"/>
          <w:bCs/>
        </w:rPr>
        <w:t>се формират основно от приходи от държавни, общински и съдебни такси, приходи и доходи от собственост, приходи от концесии, приходи от продажба на квоти за емисии на парникови газове и други</w:t>
      </w:r>
      <w:r w:rsidRPr="00013834">
        <w:rPr>
          <w:rFonts w:eastAsia="Calibri"/>
          <w:color w:val="0070C0"/>
        </w:rPr>
        <w:t>.</w:t>
      </w:r>
      <w:r w:rsidRPr="00013834">
        <w:rPr>
          <w:color w:val="0070C0"/>
        </w:rPr>
        <w:t xml:space="preserve"> </w:t>
      </w:r>
    </w:p>
    <w:p w:rsidR="00851E4E" w:rsidRPr="007A4A59" w:rsidRDefault="00851E4E" w:rsidP="00851E4E">
      <w:pPr>
        <w:spacing w:before="120" w:after="120"/>
        <w:jc w:val="both"/>
      </w:pPr>
      <w:r w:rsidRPr="007A4A59">
        <w:t xml:space="preserve">Постъпленията от </w:t>
      </w:r>
      <w:r w:rsidRPr="007A4A59">
        <w:rPr>
          <w:b/>
          <w:i/>
        </w:rPr>
        <w:t>помощи</w:t>
      </w:r>
      <w:r w:rsidRPr="007A4A59">
        <w:t xml:space="preserve"> </w:t>
      </w:r>
      <w:r w:rsidRPr="007A4A59">
        <w:rPr>
          <w:b/>
          <w:i/>
        </w:rPr>
        <w:t xml:space="preserve">и дарения </w:t>
      </w:r>
      <w:r w:rsidRPr="007A4A59">
        <w:t xml:space="preserve">от страната и чужбина (основно помощи от фондовете на ЕС) към март 2026 г. са в размер на </w:t>
      </w:r>
      <w:r w:rsidRPr="007A4A59">
        <w:rPr>
          <w:b/>
          <w:i/>
        </w:rPr>
        <w:t>812,1 млн. евро</w:t>
      </w:r>
      <w:r w:rsidRPr="007A4A59">
        <w:t>.</w:t>
      </w:r>
    </w:p>
    <w:p w:rsidR="00851E4E" w:rsidRPr="00013834" w:rsidRDefault="00851E4E" w:rsidP="00851E4E">
      <w:pPr>
        <w:spacing w:before="120" w:after="120"/>
        <w:jc w:val="both"/>
        <w:rPr>
          <w:color w:val="0070C0"/>
        </w:rPr>
      </w:pPr>
    </w:p>
    <w:p w:rsidR="00851E4E" w:rsidRPr="00971955" w:rsidRDefault="00851E4E" w:rsidP="00851E4E">
      <w:pPr>
        <w:jc w:val="both"/>
        <w:rPr>
          <w:rFonts w:eastAsia="Calibri"/>
          <w:b/>
          <w:color w:val="0070C0"/>
        </w:rPr>
      </w:pPr>
      <w:r w:rsidRPr="00971955">
        <w:rPr>
          <w:rFonts w:eastAsia="Calibri"/>
          <w:noProof/>
          <w:color w:val="0070C0"/>
          <w:lang w:eastAsia="bg-BG"/>
        </w:rPr>
        <w:drawing>
          <wp:inline distT="0" distB="0" distL="0" distR="0" wp14:anchorId="06FE565D" wp14:editId="6643D858">
            <wp:extent cx="5695950" cy="2828925"/>
            <wp:effectExtent l="0" t="0" r="0" b="9525"/>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51E4E" w:rsidRPr="00971955" w:rsidRDefault="00851E4E" w:rsidP="00851E4E">
      <w:pPr>
        <w:jc w:val="both"/>
        <w:rPr>
          <w:rFonts w:eastAsia="Calibri"/>
          <w:b/>
          <w:color w:val="0070C0"/>
        </w:rPr>
      </w:pPr>
    </w:p>
    <w:p w:rsidR="00851E4E" w:rsidRPr="00E932CE" w:rsidRDefault="00851E4E" w:rsidP="00851E4E">
      <w:pPr>
        <w:jc w:val="both"/>
        <w:rPr>
          <w:rFonts w:eastAsia="Calibri"/>
          <w:lang w:val="ru-RU"/>
        </w:rPr>
      </w:pPr>
      <w:r w:rsidRPr="00F31C15">
        <w:rPr>
          <w:rFonts w:eastAsia="Calibri"/>
          <w:b/>
        </w:rPr>
        <w:t>Разходите</w:t>
      </w:r>
      <w:r w:rsidRPr="00F31C15">
        <w:rPr>
          <w:rFonts w:eastAsia="Calibri"/>
        </w:rPr>
        <w:t xml:space="preserve"> по КФП (вкл. вноската в бюджета на ЕС) към март 2026 г. </w:t>
      </w:r>
      <w:r w:rsidRPr="00F31C15">
        <w:rPr>
          <w:rFonts w:eastAsia="Calibri"/>
          <w:lang w:val="ru-RU"/>
        </w:rPr>
        <w:t xml:space="preserve">възлизат на </w:t>
      </w:r>
      <w:r w:rsidRPr="00F31C15">
        <w:rPr>
          <w:rFonts w:eastAsia="Calibri"/>
          <w:b/>
          <w:lang w:val="ru-RU"/>
        </w:rPr>
        <w:t>11 567,3 млн. евро.</w:t>
      </w:r>
      <w:r w:rsidRPr="00F31C15">
        <w:rPr>
          <w:rFonts w:eastAsia="Calibri"/>
          <w:lang w:val="ru-RU"/>
        </w:rPr>
        <w:t xml:space="preserve"> За сравнение, разходите по КФП към март  на 2025 г. бяха в размер на 9 593,2 млн. евро или ръст на </w:t>
      </w:r>
      <w:r w:rsidRPr="00C33EE2">
        <w:rPr>
          <w:rFonts w:eastAsia="Calibri"/>
          <w:lang w:val="ru-RU"/>
        </w:rPr>
        <w:t>разходите към март 2026 г. от 1 974,1 млн. евро (20,6 %). Нарастване на разходите има основно при социалните и здравноосигурителните плащания, включително разходите за пенсии, както и при разходите за персонал, капиталовите разходи и други. Причините за наблюдавания ръст на разходите са, от една страна, базов ефект в разходите за пен</w:t>
      </w:r>
      <w:r w:rsidR="00B873C9">
        <w:rPr>
          <w:rFonts w:eastAsia="Calibri"/>
          <w:lang w:val="ru-RU"/>
        </w:rPr>
        <w:t xml:space="preserve">сии след тяхната индексация от </w:t>
      </w:r>
      <w:r w:rsidRPr="00C33EE2">
        <w:rPr>
          <w:rFonts w:eastAsia="Calibri"/>
          <w:lang w:val="ru-RU"/>
        </w:rPr>
        <w:t>1 юли 2025 г. с 8,6 на сто. От друга страна, ЗДБРБ за 2025 г. бе обнародван в държавен вестник в края на месец март 2025 г., като политиката по доходите</w:t>
      </w:r>
      <w:r w:rsidR="00A06447">
        <w:rPr>
          <w:rFonts w:eastAsia="Calibri"/>
          <w:lang w:val="ru-RU"/>
        </w:rPr>
        <w:t>,</w:t>
      </w:r>
      <w:r w:rsidRPr="00C33EE2">
        <w:rPr>
          <w:rFonts w:eastAsia="Calibri"/>
          <w:lang w:val="ru-RU"/>
        </w:rPr>
        <w:t xml:space="preserve"> заложена в него не </w:t>
      </w:r>
      <w:r w:rsidR="00A06447">
        <w:rPr>
          <w:rFonts w:eastAsia="Calibri"/>
          <w:lang w:val="ru-RU"/>
        </w:rPr>
        <w:t>бе</w:t>
      </w:r>
      <w:r w:rsidRPr="00C33EE2">
        <w:rPr>
          <w:rFonts w:eastAsia="Calibri"/>
          <w:lang w:val="ru-RU"/>
        </w:rPr>
        <w:t xml:space="preserve"> прилага</w:t>
      </w:r>
      <w:r w:rsidR="00A06447">
        <w:rPr>
          <w:rFonts w:eastAsia="Calibri"/>
          <w:lang w:val="ru-RU"/>
        </w:rPr>
        <w:t>н</w:t>
      </w:r>
      <w:r w:rsidRPr="00C33EE2">
        <w:rPr>
          <w:rFonts w:eastAsia="Calibri"/>
          <w:lang w:val="ru-RU"/>
        </w:rPr>
        <w:t xml:space="preserve">а до влизането му в сила. След приемането на закона, заложеното увеличение на възнагражденията бе приложено след месец април, считано от януари 2025 г., поради което за месеците януари-март 2025 г. възнагражденията са по-ниски от определените им размери по действащото към началото на 2026 г. законодателство. Върху разходите за персонал влияние </w:t>
      </w:r>
      <w:r w:rsidRPr="00E932CE">
        <w:rPr>
          <w:rFonts w:eastAsia="Calibri"/>
          <w:lang w:val="ru-RU"/>
        </w:rPr>
        <w:t xml:space="preserve">оказват и увеличението на минималната работна заплата от януари 2026 г., както и допълнителното увеличение на възнагражденията с размера на натрупаната инфлация за 2025 г., считано от януари 2026 г. Не на последно място капиталовите разходи също отчитат значителен ръст, което се дължи на разплатените средства по Общинската инвестиционна програма и изпълнението на инвестициите и проектите по Националния план за възстановяване и устойчивост. </w:t>
      </w:r>
    </w:p>
    <w:p w:rsidR="00851E4E" w:rsidRPr="00971955" w:rsidRDefault="00851E4E" w:rsidP="00851E4E">
      <w:pPr>
        <w:spacing w:before="120"/>
        <w:jc w:val="both"/>
        <w:rPr>
          <w:color w:val="0070C0"/>
        </w:rPr>
      </w:pPr>
      <w:r w:rsidRPr="00E932CE">
        <w:rPr>
          <w:b/>
          <w:i/>
        </w:rPr>
        <w:t>Нелихвените разходи</w:t>
      </w:r>
      <w:r w:rsidRPr="00E932CE">
        <w:t xml:space="preserve"> към март 2026 г. са в размер на 11 081,5 млн. евро</w:t>
      </w:r>
      <w:r w:rsidRPr="00E932CE">
        <w:rPr>
          <w:rFonts w:eastAsia="Calibri"/>
          <w:bCs/>
        </w:rPr>
        <w:t>, което представлява ръст</w:t>
      </w:r>
      <w:r w:rsidRPr="00E7139F">
        <w:rPr>
          <w:rFonts w:eastAsia="Calibri"/>
          <w:bCs/>
        </w:rPr>
        <w:t xml:space="preserve"> </w:t>
      </w:r>
      <w:r w:rsidRPr="005D7F63">
        <w:rPr>
          <w:rFonts w:eastAsia="Calibri"/>
          <w:bCs/>
        </w:rPr>
        <w:t>от 1 958,3</w:t>
      </w:r>
      <w:r w:rsidRPr="005D7F63">
        <w:rPr>
          <w:rFonts w:eastAsia="Calibri"/>
          <w:bCs/>
          <w:lang w:val="en-US"/>
        </w:rPr>
        <w:t xml:space="preserve"> </w:t>
      </w:r>
      <w:r w:rsidRPr="005D7F63">
        <w:rPr>
          <w:rFonts w:eastAsia="Calibri"/>
          <w:bCs/>
        </w:rPr>
        <w:t xml:space="preserve">млн. евро (21,5 %) спрямо отчетените към март 2025 г. </w:t>
      </w:r>
      <w:r w:rsidRPr="005D7F63">
        <w:rPr>
          <w:rFonts w:eastAsia="Calibri"/>
          <w:bCs/>
          <w:i/>
        </w:rPr>
        <w:t>Текущите нелихвени разходи</w:t>
      </w:r>
      <w:r w:rsidRPr="005D7F63">
        <w:rPr>
          <w:rFonts w:eastAsia="Calibri"/>
          <w:bCs/>
        </w:rPr>
        <w:t xml:space="preserve"> са </w:t>
      </w:r>
      <w:r w:rsidRPr="00AB5F0E">
        <w:rPr>
          <w:rFonts w:eastAsia="Calibri"/>
          <w:bCs/>
        </w:rPr>
        <w:t xml:space="preserve">в размер на 10 016,8 млн. евро. </w:t>
      </w:r>
      <w:r w:rsidRPr="00AB5F0E">
        <w:rPr>
          <w:rFonts w:eastAsia="Calibri"/>
          <w:bCs/>
          <w:i/>
        </w:rPr>
        <w:t>Капиталовите разходи</w:t>
      </w:r>
      <w:r w:rsidRPr="00AB5F0E">
        <w:rPr>
          <w:rFonts w:eastAsia="Calibri"/>
          <w:bCs/>
        </w:rPr>
        <w:t xml:space="preserve"> (вкл. нетния прираст на държавния резерв) възлизат на 1 053,1 млн. евро. </w:t>
      </w:r>
      <w:r w:rsidRPr="00AB5F0E">
        <w:rPr>
          <w:rFonts w:eastAsia="Calibri"/>
          <w:bCs/>
          <w:i/>
        </w:rPr>
        <w:t>Предоставените текущи и капиталови трансфери за чужбина</w:t>
      </w:r>
      <w:r w:rsidRPr="00AB5F0E">
        <w:rPr>
          <w:rFonts w:eastAsia="Calibri"/>
          <w:bCs/>
        </w:rPr>
        <w:t xml:space="preserve"> са в размер на 11,6 млн. евро. </w:t>
      </w:r>
      <w:r w:rsidRPr="00AB5F0E">
        <w:rPr>
          <w:rFonts w:eastAsia="Calibri"/>
          <w:b/>
          <w:bCs/>
          <w:i/>
        </w:rPr>
        <w:t>Лихвените плащания</w:t>
      </w:r>
      <w:r w:rsidRPr="00AB5F0E">
        <w:rPr>
          <w:rFonts w:eastAsia="Calibri"/>
          <w:bCs/>
        </w:rPr>
        <w:t xml:space="preserve"> са в размер на 226,3 млн. евро (ръст от 16,1</w:t>
      </w:r>
      <w:r>
        <w:rPr>
          <w:rFonts w:eastAsia="Calibri"/>
          <w:bCs/>
        </w:rPr>
        <w:t> </w:t>
      </w:r>
      <w:r w:rsidRPr="00AB5F0E">
        <w:rPr>
          <w:rFonts w:eastAsia="Calibri"/>
          <w:bCs/>
        </w:rPr>
        <w:t>млн. евро спрямо същия период на 2025 г.</w:t>
      </w:r>
      <w:r w:rsidRPr="00AB5F0E">
        <w:rPr>
          <w:rFonts w:eastAsia="Calibri"/>
          <w:bCs/>
          <w:lang w:val="ru-RU"/>
        </w:rPr>
        <w:t>)</w:t>
      </w:r>
      <w:r w:rsidRPr="00AB5F0E">
        <w:t>.</w:t>
      </w:r>
    </w:p>
    <w:p w:rsidR="00851E4E" w:rsidRPr="00200515" w:rsidRDefault="00851E4E" w:rsidP="00851E4E">
      <w:pPr>
        <w:spacing w:before="120"/>
        <w:jc w:val="both"/>
      </w:pPr>
      <w:r w:rsidRPr="00200515">
        <w:t>Разходите по КФП по основните разходни групи към март 2025 г. и 2026 г. са представени на следната графика:</w:t>
      </w:r>
    </w:p>
    <w:p w:rsidR="00851E4E" w:rsidRPr="00971955" w:rsidRDefault="00851E4E" w:rsidP="00851E4E">
      <w:pPr>
        <w:spacing w:before="120"/>
        <w:jc w:val="both"/>
        <w:rPr>
          <w:color w:val="0070C0"/>
        </w:rPr>
      </w:pPr>
      <w:r w:rsidRPr="00971955">
        <w:rPr>
          <w:noProof/>
          <w:color w:val="0070C0"/>
          <w:lang w:eastAsia="bg-BG"/>
        </w:rPr>
        <w:drawing>
          <wp:inline distT="0" distB="0" distL="0" distR="0" wp14:anchorId="53CF8867" wp14:editId="5BB0A87D">
            <wp:extent cx="6042660" cy="3097530"/>
            <wp:effectExtent l="0" t="0" r="15240" b="7620"/>
            <wp:docPr id="5" name="Char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51E4E" w:rsidRPr="00791A40" w:rsidRDefault="00851E4E" w:rsidP="00851E4E">
      <w:pPr>
        <w:spacing w:before="120" w:after="240"/>
        <w:jc w:val="both"/>
        <w:rPr>
          <w:sz w:val="14"/>
          <w:szCs w:val="14"/>
        </w:rPr>
      </w:pPr>
      <w:bookmarkStart w:id="17" w:name="_MON_1549378791"/>
      <w:bookmarkStart w:id="18" w:name="_MON_1522508435"/>
      <w:bookmarkStart w:id="19" w:name="_MON_1522508500"/>
      <w:bookmarkStart w:id="20" w:name="_MON_1522508578"/>
      <w:bookmarkStart w:id="21" w:name="_MON_1522508396"/>
      <w:bookmarkStart w:id="22" w:name="_MON_1562166431"/>
      <w:bookmarkStart w:id="23" w:name="_MON_1562166533"/>
      <w:bookmarkStart w:id="24" w:name="_MON_1562166556"/>
      <w:bookmarkStart w:id="25" w:name="_MON_1562166578"/>
      <w:bookmarkStart w:id="26" w:name="_MON_1522569336"/>
      <w:bookmarkStart w:id="27" w:name="_MON_1541257307"/>
      <w:bookmarkStart w:id="28" w:name="_MON_1541257332"/>
      <w:bookmarkStart w:id="29" w:name="_MON_1522569451"/>
      <w:bookmarkStart w:id="30" w:name="_MON_1522569507"/>
      <w:bookmarkStart w:id="31" w:name="_MON_1549376308"/>
      <w:bookmarkStart w:id="32" w:name="_MON_1549378514"/>
      <w:bookmarkStart w:id="33" w:name="_MON_1549378678"/>
      <w:bookmarkStart w:id="34" w:name="_MON_1549378721"/>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791A40">
        <w:rPr>
          <w:sz w:val="18"/>
          <w:szCs w:val="14"/>
          <w:lang w:val="ru-RU"/>
        </w:rPr>
        <w:t xml:space="preserve">*  </w:t>
      </w:r>
      <w:r w:rsidRPr="00791A40">
        <w:rPr>
          <w:sz w:val="18"/>
          <w:szCs w:val="14"/>
        </w:rPr>
        <w:t>Вкл. нетния прираст на държавния резерв</w:t>
      </w:r>
    </w:p>
    <w:p w:rsidR="00851E4E" w:rsidRPr="00013834" w:rsidRDefault="00851E4E" w:rsidP="00851E4E">
      <w:pPr>
        <w:spacing w:before="120" w:after="120"/>
        <w:jc w:val="both"/>
        <w:rPr>
          <w:color w:val="0070C0"/>
          <w:sz w:val="14"/>
          <w:szCs w:val="14"/>
        </w:rPr>
      </w:pPr>
    </w:p>
    <w:p w:rsidR="00851E4E" w:rsidRPr="008C3B05" w:rsidRDefault="00851E4E" w:rsidP="00851E4E">
      <w:pPr>
        <w:pStyle w:val="ListParagraph"/>
        <w:numPr>
          <w:ilvl w:val="0"/>
          <w:numId w:val="18"/>
        </w:numPr>
        <w:tabs>
          <w:tab w:val="left" w:pos="426"/>
        </w:tabs>
        <w:spacing w:before="120" w:line="240" w:lineRule="auto"/>
        <w:ind w:left="0" w:firstLine="0"/>
        <w:contextualSpacing w:val="0"/>
        <w:rPr>
          <w:rFonts w:ascii="Times New Roman" w:hAnsi="Times New Roman"/>
        </w:rPr>
      </w:pPr>
      <w:r w:rsidRPr="001C3933">
        <w:rPr>
          <w:rFonts w:ascii="Times New Roman" w:hAnsi="Times New Roman"/>
          <w:b/>
        </w:rPr>
        <w:t>Вноската на Република България в общия бюджет на ЕС</w:t>
      </w:r>
      <w:r w:rsidRPr="001C3933">
        <w:rPr>
          <w:rFonts w:ascii="Times New Roman" w:hAnsi="Times New Roman"/>
        </w:rPr>
        <w:t xml:space="preserve">, изплатена </w:t>
      </w:r>
      <w:r w:rsidRPr="001C3933">
        <w:rPr>
          <w:rFonts w:ascii="Times New Roman" w:eastAsia="Calibri" w:hAnsi="Times New Roman"/>
          <w:bCs/>
        </w:rPr>
        <w:t xml:space="preserve">към 31.03.2026 г. от централния бюджет, възлиза на </w:t>
      </w:r>
      <w:r w:rsidRPr="001C3933">
        <w:rPr>
          <w:rFonts w:ascii="Times New Roman" w:eastAsia="Calibri" w:hAnsi="Times New Roman"/>
          <w:b/>
          <w:bCs/>
          <w:lang w:val="ru-RU"/>
        </w:rPr>
        <w:t xml:space="preserve">259,5 </w:t>
      </w:r>
      <w:r w:rsidRPr="001C3933">
        <w:rPr>
          <w:rFonts w:ascii="Times New Roman" w:eastAsia="Calibri" w:hAnsi="Times New Roman"/>
          <w:b/>
          <w:bCs/>
        </w:rPr>
        <w:t>млн. евро.</w:t>
      </w:r>
      <w:r w:rsidRPr="001C3933">
        <w:rPr>
          <w:rFonts w:ascii="Times New Roman" w:hAnsi="Times New Roman"/>
          <w:bCs/>
        </w:rPr>
        <w:t xml:space="preserve">, което е в изпълнение на действащото към </w:t>
      </w:r>
      <w:r w:rsidRPr="008C3B05">
        <w:rPr>
          <w:rFonts w:ascii="Times New Roman" w:hAnsi="Times New Roman"/>
          <w:bCs/>
        </w:rPr>
        <w:t>момента законодателство в областта на собствените ресурси на ЕС</w:t>
      </w:r>
      <w:r w:rsidRPr="008C3B05">
        <w:rPr>
          <w:rFonts w:ascii="Times New Roman" w:hAnsi="Times New Roman"/>
        </w:rPr>
        <w:t xml:space="preserve">. </w:t>
      </w:r>
    </w:p>
    <w:p w:rsidR="00851E4E" w:rsidRPr="008C3B05" w:rsidRDefault="00851E4E" w:rsidP="00851E4E">
      <w:pPr>
        <w:pStyle w:val="ListParagraph"/>
        <w:numPr>
          <w:ilvl w:val="0"/>
          <w:numId w:val="18"/>
        </w:numPr>
        <w:tabs>
          <w:tab w:val="left" w:pos="426"/>
        </w:tabs>
        <w:autoSpaceDE w:val="0"/>
        <w:autoSpaceDN w:val="0"/>
        <w:adjustRightInd w:val="0"/>
        <w:spacing w:line="240" w:lineRule="auto"/>
        <w:ind w:left="0" w:firstLine="0"/>
        <w:rPr>
          <w:rFonts w:ascii="Times New Roman" w:hAnsi="Times New Roman"/>
        </w:rPr>
      </w:pPr>
      <w:r w:rsidRPr="008C3B05">
        <w:rPr>
          <w:rFonts w:ascii="Times New Roman" w:hAnsi="Times New Roman"/>
          <w:b/>
        </w:rPr>
        <w:t xml:space="preserve">Бюджетното салдо </w:t>
      </w:r>
      <w:r w:rsidRPr="008C3B05">
        <w:rPr>
          <w:rFonts w:ascii="Times New Roman" w:hAnsi="Times New Roman"/>
          <w:bCs/>
        </w:rPr>
        <w:t xml:space="preserve">по консолидираната фискална програма към март 2026 г. е </w:t>
      </w:r>
      <w:r w:rsidRPr="008C3B05">
        <w:rPr>
          <w:rFonts w:ascii="Times New Roman" w:hAnsi="Times New Roman"/>
          <w:b/>
          <w:bCs/>
        </w:rPr>
        <w:t>отрицателно</w:t>
      </w:r>
      <w:r w:rsidRPr="008C3B05">
        <w:rPr>
          <w:rFonts w:ascii="Times New Roman" w:hAnsi="Times New Roman"/>
          <w:bCs/>
        </w:rPr>
        <w:t xml:space="preserve"> в размер на </w:t>
      </w:r>
      <w:r w:rsidRPr="008C3B05">
        <w:rPr>
          <w:rFonts w:ascii="Times New Roman" w:hAnsi="Times New Roman"/>
          <w:b/>
          <w:bCs/>
        </w:rPr>
        <w:t>1 528,9 млн. евро</w:t>
      </w:r>
      <w:r w:rsidRPr="008C3B05">
        <w:rPr>
          <w:rFonts w:ascii="Times New Roman" w:hAnsi="Times New Roman"/>
          <w:bCs/>
        </w:rPr>
        <w:t xml:space="preserve"> (1,2 % от прогнозния БВП).</w:t>
      </w:r>
    </w:p>
    <w:p w:rsidR="00851E4E" w:rsidRPr="00851E4E" w:rsidRDefault="00851E4E" w:rsidP="00851E4E">
      <w:pPr>
        <w:numPr>
          <w:ilvl w:val="0"/>
          <w:numId w:val="7"/>
        </w:numPr>
        <w:tabs>
          <w:tab w:val="num" w:pos="0"/>
          <w:tab w:val="left" w:pos="426"/>
          <w:tab w:val="left" w:pos="720"/>
        </w:tabs>
        <w:spacing w:before="120" w:after="60"/>
        <w:ind w:left="0" w:firstLine="0"/>
        <w:jc w:val="both"/>
        <w:rPr>
          <w:sz w:val="22"/>
        </w:rPr>
      </w:pPr>
      <w:r w:rsidRPr="005F0A9D">
        <w:rPr>
          <w:b/>
          <w:szCs w:val="28"/>
        </w:rPr>
        <w:t>Общият размер</w:t>
      </w:r>
      <w:r w:rsidRPr="005F0A9D">
        <w:rPr>
          <w:bCs/>
          <w:sz w:val="22"/>
        </w:rPr>
        <w:t xml:space="preserve"> </w:t>
      </w:r>
      <w:r w:rsidRPr="005F0A9D">
        <w:rPr>
          <w:b/>
          <w:bCs/>
          <w:szCs w:val="28"/>
        </w:rPr>
        <w:t>на касовите постъпления от ЕС</w:t>
      </w:r>
      <w:r w:rsidRPr="005F0A9D">
        <w:rPr>
          <w:bCs/>
          <w:szCs w:val="28"/>
        </w:rPr>
        <w:t xml:space="preserve"> (от Структурните и Кохезионния фондове, от</w:t>
      </w:r>
      <w:r w:rsidRPr="005F0A9D">
        <w:rPr>
          <w:szCs w:val="28"/>
        </w:rPr>
        <w:t xml:space="preserve"> ЕЗФРСР и ЕФМДР</w:t>
      </w:r>
      <w:r w:rsidRPr="005F0A9D">
        <w:rPr>
          <w:bCs/>
          <w:szCs w:val="28"/>
        </w:rPr>
        <w:t xml:space="preserve">, от средства за директни плащания към земеделските производители и плащания по пазарни мерки и др.) за първото тримесечие на </w:t>
      </w:r>
      <w:r w:rsidRPr="005F0A9D">
        <w:t>2026 </w:t>
      </w:r>
      <w:r w:rsidRPr="005F0A9D">
        <w:rPr>
          <w:bCs/>
          <w:szCs w:val="28"/>
        </w:rPr>
        <w:t xml:space="preserve"> г. е </w:t>
      </w:r>
      <w:r w:rsidRPr="005F0A9D">
        <w:rPr>
          <w:b/>
          <w:bCs/>
          <w:szCs w:val="28"/>
          <w:lang w:val="ru-RU"/>
        </w:rPr>
        <w:t>1 182,4</w:t>
      </w:r>
      <w:r w:rsidRPr="005F0A9D">
        <w:rPr>
          <w:b/>
          <w:bCs/>
          <w:szCs w:val="28"/>
        </w:rPr>
        <w:t xml:space="preserve"> млн. </w:t>
      </w:r>
      <w:r w:rsidR="00024D9E" w:rsidRPr="008C3B05">
        <w:rPr>
          <w:b/>
          <w:bCs/>
        </w:rPr>
        <w:t>евро</w:t>
      </w:r>
      <w:r w:rsidRPr="005F0A9D">
        <w:rPr>
          <w:b/>
          <w:bCs/>
        </w:rPr>
        <w:t>.</w:t>
      </w:r>
      <w:r w:rsidRPr="005F0A9D">
        <w:rPr>
          <w:b/>
        </w:rPr>
        <w:t xml:space="preserve"> </w:t>
      </w:r>
      <w:r w:rsidRPr="005F0A9D">
        <w:rPr>
          <w:b/>
          <w:bCs/>
        </w:rPr>
        <w:t xml:space="preserve">Нетните постъпления от ЕС към 31.03.2026 г.  </w:t>
      </w:r>
      <w:r w:rsidRPr="005F0A9D">
        <w:rPr>
          <w:bCs/>
        </w:rPr>
        <w:t>(касови постъпления от ЕС, намалени с</w:t>
      </w:r>
      <w:r w:rsidRPr="005F0A9D">
        <w:rPr>
          <w:bCs/>
          <w:szCs w:val="28"/>
        </w:rPr>
        <w:t xml:space="preserve"> вноската в общия </w:t>
      </w:r>
      <w:r w:rsidRPr="00851E4E">
        <w:rPr>
          <w:bCs/>
          <w:szCs w:val="28"/>
        </w:rPr>
        <w:t xml:space="preserve">бюджет на ЕС) са положителни в размер на </w:t>
      </w:r>
      <w:r w:rsidRPr="00851E4E">
        <w:rPr>
          <w:b/>
          <w:bCs/>
          <w:szCs w:val="28"/>
        </w:rPr>
        <w:t xml:space="preserve">922,9 млн. </w:t>
      </w:r>
      <w:r w:rsidR="008613E8" w:rsidRPr="008C3B05">
        <w:rPr>
          <w:b/>
          <w:bCs/>
        </w:rPr>
        <w:t>евр</w:t>
      </w:r>
      <w:r w:rsidR="008613E8" w:rsidRPr="008613E8">
        <w:rPr>
          <w:b/>
          <w:bCs/>
        </w:rPr>
        <w:t>о</w:t>
      </w:r>
      <w:r w:rsidRPr="008613E8">
        <w:rPr>
          <w:b/>
          <w:sz w:val="22"/>
        </w:rPr>
        <w:t>.</w:t>
      </w:r>
    </w:p>
    <w:p w:rsidR="00851E4E" w:rsidRPr="00851E4E" w:rsidRDefault="00851E4E" w:rsidP="00851E4E">
      <w:pPr>
        <w:pStyle w:val="ListParagraph"/>
        <w:numPr>
          <w:ilvl w:val="0"/>
          <w:numId w:val="26"/>
        </w:numPr>
        <w:tabs>
          <w:tab w:val="left" w:pos="426"/>
          <w:tab w:val="left" w:pos="567"/>
          <w:tab w:val="left" w:pos="2694"/>
        </w:tabs>
        <w:spacing w:before="120" w:line="240" w:lineRule="auto"/>
        <w:ind w:left="0" w:firstLine="0"/>
        <w:contextualSpacing w:val="0"/>
        <w:rPr>
          <w:rFonts w:ascii="Times New Roman" w:hAnsi="Times New Roman"/>
          <w:bCs/>
        </w:rPr>
      </w:pPr>
      <w:r w:rsidRPr="00851E4E">
        <w:rPr>
          <w:rFonts w:ascii="Times New Roman" w:hAnsi="Times New Roman"/>
          <w:b/>
        </w:rPr>
        <w:t>Фискалният резерв</w:t>
      </w:r>
      <w:r w:rsidRPr="00851E4E">
        <w:rPr>
          <w:rFonts w:ascii="Times New Roman" w:hAnsi="Times New Roman"/>
          <w:b/>
          <w:vertAlign w:val="superscript"/>
          <w:lang w:eastAsia="bg-BG"/>
        </w:rPr>
        <w:footnoteReference w:id="5"/>
      </w:r>
      <w:r w:rsidRPr="00851E4E">
        <w:rPr>
          <w:rFonts w:ascii="Times New Roman" w:hAnsi="Times New Roman"/>
          <w:bCs/>
          <w:lang w:eastAsia="bg-BG"/>
        </w:rPr>
        <w:t xml:space="preserve"> </w:t>
      </w:r>
      <w:r w:rsidRPr="00851E4E">
        <w:rPr>
          <w:rFonts w:ascii="Times New Roman" w:hAnsi="Times New Roman"/>
          <w:bCs/>
        </w:rPr>
        <w:t>към 31.</w:t>
      </w:r>
      <w:r w:rsidRPr="00851E4E">
        <w:rPr>
          <w:rFonts w:ascii="Times New Roman" w:hAnsi="Times New Roman"/>
          <w:bCs/>
          <w:lang w:val="en-US"/>
        </w:rPr>
        <w:t>03</w:t>
      </w:r>
      <w:r w:rsidRPr="00851E4E">
        <w:rPr>
          <w:rFonts w:ascii="Times New Roman" w:hAnsi="Times New Roman"/>
          <w:bCs/>
        </w:rPr>
        <w:t>.202</w:t>
      </w:r>
      <w:r w:rsidRPr="00851E4E">
        <w:rPr>
          <w:rFonts w:ascii="Times New Roman" w:hAnsi="Times New Roman"/>
          <w:bCs/>
          <w:lang w:val="en-US"/>
        </w:rPr>
        <w:t>6</w:t>
      </w:r>
      <w:r w:rsidRPr="00851E4E">
        <w:rPr>
          <w:rFonts w:ascii="Times New Roman" w:hAnsi="Times New Roman"/>
          <w:bCs/>
        </w:rPr>
        <w:t xml:space="preserve"> г. е</w:t>
      </w:r>
      <w:r w:rsidRPr="00851E4E">
        <w:rPr>
          <w:rFonts w:ascii="Times New Roman" w:hAnsi="Times New Roman"/>
          <w:b/>
          <w:bCs/>
        </w:rPr>
        <w:t xml:space="preserve"> 5 855,6 млн. евро</w:t>
      </w:r>
      <w:r w:rsidRPr="00851E4E">
        <w:rPr>
          <w:rFonts w:ascii="Times New Roman" w:hAnsi="Times New Roman"/>
          <w:bCs/>
        </w:rPr>
        <w:t xml:space="preserve">, в т. ч. 5 399,7 млн. евро депозити на фискалния резерв в БНБ и банки и 455,9 млн. евро вземания от фондовете на Европейския съюз за сертифицирани разходи, аванси и други. </w:t>
      </w:r>
      <w:r w:rsidRPr="00851E4E">
        <w:rPr>
          <w:rFonts w:ascii="Times New Roman" w:hAnsi="Times New Roman"/>
          <w:bCs/>
        </w:rPr>
        <w:br w:type="page"/>
      </w:r>
    </w:p>
    <w:p w:rsidR="00CB0A55" w:rsidRDefault="007B0121" w:rsidP="007B0121">
      <w:pPr>
        <w:pStyle w:val="ListParagraph"/>
        <w:numPr>
          <w:ilvl w:val="0"/>
          <w:numId w:val="8"/>
        </w:numPr>
        <w:spacing w:after="240" w:line="240" w:lineRule="auto"/>
        <w:contextualSpacing w:val="0"/>
        <w:rPr>
          <w:rFonts w:ascii="Times New Roman" w:hAnsi="Times New Roman"/>
          <w:b/>
          <w:bCs/>
          <w:szCs w:val="24"/>
        </w:rPr>
      </w:pPr>
      <w:r w:rsidRPr="007B0121">
        <w:rPr>
          <w:rFonts w:ascii="Times New Roman" w:hAnsi="Times New Roman"/>
          <w:b/>
          <w:szCs w:val="24"/>
          <w:lang w:eastAsia="bg-BG"/>
        </w:rPr>
        <w:t>Промени в данъчното законодателство за 2026 г.</w:t>
      </w:r>
    </w:p>
    <w:p w:rsidR="005C7A94" w:rsidRPr="005C7A94" w:rsidRDefault="005C7A94" w:rsidP="005C7A94">
      <w:pPr>
        <w:widowControl w:val="0"/>
        <w:suppressAutoHyphens/>
        <w:spacing w:after="120"/>
        <w:ind w:right="-284" w:firstLine="709"/>
        <w:jc w:val="both"/>
        <w:outlineLvl w:val="0"/>
        <w:rPr>
          <w:b/>
        </w:rPr>
      </w:pPr>
      <w:r w:rsidRPr="005C7A94">
        <w:rPr>
          <w:b/>
          <w:u w:val="single"/>
        </w:rPr>
        <w:t>По Закона за корпоративното подоходно облагане (ЗКПО)</w:t>
      </w:r>
    </w:p>
    <w:p w:rsidR="005C7A94" w:rsidRPr="005C7A94" w:rsidRDefault="005C7A94" w:rsidP="005C7A94">
      <w:pPr>
        <w:widowControl w:val="0"/>
        <w:numPr>
          <w:ilvl w:val="0"/>
          <w:numId w:val="27"/>
        </w:numPr>
        <w:suppressAutoHyphens/>
        <w:ind w:left="641" w:right="-284" w:hanging="357"/>
        <w:jc w:val="both"/>
        <w:outlineLvl w:val="0"/>
        <w:rPr>
          <w:b/>
          <w:i/>
        </w:rPr>
      </w:pPr>
      <w:r w:rsidRPr="005C7A94">
        <w:rPr>
          <w:b/>
          <w:i/>
        </w:rPr>
        <w:t>Въвеждане на по-благоприятен режим за амортизиране за данъчни цели на електрически автомобили</w:t>
      </w:r>
    </w:p>
    <w:p w:rsidR="005C7A94" w:rsidRPr="005C7A94" w:rsidRDefault="005C7A94" w:rsidP="005C7A94">
      <w:pPr>
        <w:widowControl w:val="0"/>
        <w:suppressAutoHyphens/>
        <w:spacing w:after="120"/>
        <w:ind w:left="283" w:right="-284"/>
        <w:jc w:val="both"/>
        <w:outlineLvl w:val="0"/>
        <w:rPr>
          <w:b/>
        </w:rPr>
      </w:pPr>
      <w:r w:rsidRPr="005C7A94">
        <w:t xml:space="preserve">Във връзка с изпълнението на Националния план за възстановяване и устойчивост (НПВУ), Реформа 5 „Електрическа мобилност“, Компонент 8 „Транспорт“, и по-конкретно Цел 178 от Решението за изпълнение на Съвета на Европейския съюз (CID Annex), </w:t>
      </w:r>
      <w:r w:rsidRPr="005C7A94">
        <w:rPr>
          <w:lang w:eastAsia="bg-BG"/>
        </w:rPr>
        <w:t>в ЗКПО са направени  промени (обн. ДВ, бр. 30 от 27.03.2026 г.)</w:t>
      </w:r>
      <w:r w:rsidRPr="005C7A94">
        <w:t>, предоставящи възможност за по-благоприятен режим за амортизиране за данъчни цели на електрически автомобили, като годишната данъчна амортизационна норма се увеличава от 25 на сто на 50 на сто. Чрез мярката се насърчава придобиването и ползването на електромобили с цел намаляване на въглеродните емисии от транспорта чрез преминаване към електрическа мобилност. С оглед на последното изменение на НПВУ и постигнатата договореност с Европейската комисия годишната данъчна амортизационна норма следва да влезе в сила от 1 януари 2026 г. за електрически автомобили, които са придобити на или след тази дата.</w:t>
      </w:r>
    </w:p>
    <w:p w:rsidR="005C7A94" w:rsidRPr="005C7A94" w:rsidRDefault="005C7A94" w:rsidP="005C7A94">
      <w:pPr>
        <w:widowControl w:val="0"/>
        <w:numPr>
          <w:ilvl w:val="0"/>
          <w:numId w:val="27"/>
        </w:numPr>
        <w:suppressAutoHyphens/>
        <w:ind w:left="641" w:right="-284" w:hanging="357"/>
        <w:jc w:val="both"/>
        <w:outlineLvl w:val="0"/>
        <w:rPr>
          <w:b/>
        </w:rPr>
      </w:pPr>
      <w:r w:rsidRPr="005C7A94">
        <w:rPr>
          <w:b/>
          <w:i/>
        </w:rPr>
        <w:t>Въвеждане на данъчно облекчение при извършване на научноизследователска и развойна дейност (НИРД)</w:t>
      </w:r>
    </w:p>
    <w:p w:rsidR="005C7A94" w:rsidRPr="005C7A94" w:rsidRDefault="005C7A94" w:rsidP="005C7A94">
      <w:pPr>
        <w:widowControl w:val="0"/>
        <w:suppressAutoHyphens/>
        <w:spacing w:after="120"/>
        <w:ind w:left="284" w:right="-284"/>
        <w:jc w:val="both"/>
        <w:outlineLvl w:val="0"/>
      </w:pPr>
      <w:r w:rsidRPr="005C7A94">
        <w:t>В ЗКПО е въведено данъчно облекчение при извършване на научноизследователска и развойна дейност (обн. ДВ, бр. 30 от 27.03.2026 г.), при което на данъчно задължените лица, извършващи НИРД, ще бъдат признати за данъчни цели допълнително 25 на сто от разходите им за НИРД, в годината на отчитането им, когато са изпълнени определени условия. В случай</w:t>
      </w:r>
      <w:r w:rsidRPr="005C7A94">
        <w:rPr>
          <w:lang w:val="en-US"/>
        </w:rPr>
        <w:t>,</w:t>
      </w:r>
      <w:r w:rsidRPr="005C7A94">
        <w:t xml:space="preserve"> че в резултат на развойна дейност бъде формиран дълготраен нематериален актив, се предлага данъчно задълженото лице да има право да увеличи с 25 на сто разходите за развойна дейност, включени в историческата цена на този актив. Целта на данъчното облекчение е да стимулира компаниите да инвестират повече в иновации и нови технологии, което се очаква да доведе до създаването на висококвалифицирани работни места, насърчаване на предприемаческата активност и повишаване на конкурентоспособността на бизнеса. </w:t>
      </w:r>
    </w:p>
    <w:p w:rsidR="005C7A94" w:rsidRPr="005C7A94" w:rsidRDefault="005C7A94" w:rsidP="005C7A94">
      <w:pPr>
        <w:numPr>
          <w:ilvl w:val="0"/>
          <w:numId w:val="27"/>
        </w:numPr>
        <w:ind w:left="641" w:hanging="357"/>
        <w:jc w:val="both"/>
        <w:rPr>
          <w:b/>
          <w:i/>
          <w:lang w:eastAsia="bg-BG"/>
        </w:rPr>
      </w:pPr>
      <w:r w:rsidRPr="005C7A94">
        <w:rPr>
          <w:b/>
          <w:i/>
          <w:lang w:eastAsia="bg-BG"/>
        </w:rPr>
        <w:t>Въвеждане на освобождаване от облагане на доходите от наем или друго предоставяне за ползване на недвижимо имущество, намиращо се в страната, на организациите на вероизповеданията</w:t>
      </w:r>
    </w:p>
    <w:p w:rsidR="005C7A94" w:rsidRPr="005C7A94" w:rsidRDefault="005C7A94" w:rsidP="005C7A94">
      <w:pPr>
        <w:spacing w:after="120"/>
        <w:ind w:left="284"/>
        <w:jc w:val="both"/>
        <w:rPr>
          <w:lang w:eastAsia="bg-BG"/>
        </w:rPr>
      </w:pPr>
      <w:r w:rsidRPr="005C7A94">
        <w:rPr>
          <w:lang w:eastAsia="bg-BG"/>
        </w:rPr>
        <w:t xml:space="preserve">Целта на направената промяна </w:t>
      </w:r>
      <w:r w:rsidRPr="005C7A94">
        <w:t xml:space="preserve">(обн. ДВ, бр. 30 от 27.03.2026 г.) </w:t>
      </w:r>
      <w:r w:rsidRPr="005C7A94">
        <w:rPr>
          <w:lang w:eastAsia="bg-BG"/>
        </w:rPr>
        <w:t>е да се създаде по-благоприятен данъчен режим за организациите на вероизповеданията чрез освобождаване от облагане на доходите от наем или друго предоставяне за ползване на недвижимо имущество, включително идеални части от недвижимо имущество, намиращо се на територията на страната. По този начин ще се подкрепи дейността на вероизповеданията като институции с общественополезни функции.</w:t>
      </w:r>
    </w:p>
    <w:p w:rsidR="005C7A94" w:rsidRPr="005C7A94" w:rsidRDefault="005C7A94" w:rsidP="005C7A94">
      <w:pPr>
        <w:spacing w:after="120"/>
        <w:ind w:left="284"/>
        <w:jc w:val="both"/>
        <w:rPr>
          <w:lang w:eastAsia="bg-BG"/>
        </w:rPr>
      </w:pPr>
    </w:p>
    <w:p w:rsidR="005C7A94" w:rsidRPr="005C7A94" w:rsidRDefault="005C7A94" w:rsidP="005C7A94">
      <w:pPr>
        <w:spacing w:after="120"/>
        <w:ind w:firstLine="709"/>
        <w:jc w:val="both"/>
        <w:rPr>
          <w:b/>
        </w:rPr>
      </w:pPr>
      <w:r w:rsidRPr="005C7A94">
        <w:rPr>
          <w:b/>
          <w:u w:val="single"/>
        </w:rPr>
        <w:t>По Закона за данъците върху доходите на физически лица (ЗДДФЛ)</w:t>
      </w:r>
    </w:p>
    <w:p w:rsidR="005C7A94" w:rsidRPr="005C7A94" w:rsidRDefault="005C7A94" w:rsidP="005C7A94">
      <w:pPr>
        <w:numPr>
          <w:ilvl w:val="0"/>
          <w:numId w:val="30"/>
        </w:numPr>
        <w:tabs>
          <w:tab w:val="left" w:pos="709"/>
        </w:tabs>
        <w:ind w:left="709" w:hanging="425"/>
        <w:jc w:val="both"/>
        <w:rPr>
          <w:b/>
          <w:i/>
          <w:lang w:eastAsia="bg-BG"/>
        </w:rPr>
      </w:pPr>
      <w:r w:rsidRPr="005C7A94">
        <w:rPr>
          <w:b/>
          <w:i/>
          <w:lang w:eastAsia="bg-BG"/>
        </w:rPr>
        <w:t>Въвеждане на постоянно действащо освобождаване от данък върху капиталовите печалби за сделки с финансови инструменти и от лихви по облигации и други дългови ценни книжа, търгувани на пазарите за растеж</w:t>
      </w:r>
    </w:p>
    <w:p w:rsidR="005C7A94" w:rsidRPr="005C7A94" w:rsidRDefault="005C7A94" w:rsidP="005C7A94">
      <w:pPr>
        <w:spacing w:after="120"/>
        <w:ind w:left="284"/>
        <w:jc w:val="both"/>
        <w:rPr>
          <w:lang w:eastAsia="bg-BG"/>
        </w:rPr>
      </w:pPr>
      <w:r w:rsidRPr="005C7A94">
        <w:rPr>
          <w:lang w:eastAsia="bg-BG"/>
        </w:rPr>
        <w:t>В Закона за корпоративното подоходно облагане и в Закона за данъците върху доходите на физическите лица (обн., ДВ, бр. 113 от 23.12.2025 г.) са направени допълнения, чрез които се освобождават от облагане доходите от сделки с финансови инструменти и от лихви по облигации и други дългови ценни книжа, търгувани на пазар за растеж. Действащият до края на 2025 г. временен режим на освобождаване от данък върху капиталовите печалби създава несигурност за инвеститорите и ограничава ефективността на стимула. Превръщането на освобождаването за сделки на ВЕАМ в постоянна мярка би изравнило условията за всички участници, тъй като сделките на регулирания пазар вече се ползват от същото данъчно облекчени</w:t>
      </w:r>
      <w:r w:rsidR="008867ED">
        <w:rPr>
          <w:lang w:eastAsia="bg-BG"/>
        </w:rPr>
        <w:t>е</w:t>
      </w:r>
      <w:r w:rsidR="00B314D9">
        <w:rPr>
          <w:lang w:eastAsia="bg-BG"/>
        </w:rPr>
        <w:t>.</w:t>
      </w:r>
      <w:r w:rsidRPr="005C7A94">
        <w:rPr>
          <w:lang w:eastAsia="bg-BG"/>
        </w:rPr>
        <w:t xml:space="preserve"> Очаква се мярката да увеличи интереса на индивидуалните и институционалните инвеститори към пазарите за растеж. Това ще създаде по-благоприятна среда за компаниите, които набират капитал, и ще осигури устойчиво развитие на пазара и подобрена ликвидност.</w:t>
      </w:r>
    </w:p>
    <w:p w:rsidR="005C7A94" w:rsidRPr="005C7A94" w:rsidRDefault="005C7A94" w:rsidP="005C7A94">
      <w:pPr>
        <w:spacing w:after="120"/>
        <w:jc w:val="both"/>
        <w:rPr>
          <w:lang w:eastAsia="bg-BG"/>
        </w:rPr>
      </w:pPr>
    </w:p>
    <w:p w:rsidR="005C7A94" w:rsidRPr="005C7A94" w:rsidRDefault="005C7A94" w:rsidP="005C7A94">
      <w:pPr>
        <w:widowControl w:val="0"/>
        <w:suppressAutoHyphens/>
        <w:spacing w:after="120"/>
        <w:ind w:right="-284" w:firstLine="709"/>
        <w:jc w:val="both"/>
        <w:outlineLvl w:val="0"/>
        <w:rPr>
          <w:lang w:eastAsia="bg-BG"/>
        </w:rPr>
      </w:pPr>
      <w:r w:rsidRPr="005C7A94">
        <w:rPr>
          <w:b/>
          <w:u w:val="single"/>
        </w:rPr>
        <w:t>По Закона за данък върху добавената стойност (</w:t>
      </w:r>
      <w:r w:rsidRPr="005C7A94">
        <w:rPr>
          <w:b/>
          <w:u w:val="single"/>
          <w:lang w:eastAsia="bg-BG"/>
        </w:rPr>
        <w:t>ЗДДС)</w:t>
      </w:r>
    </w:p>
    <w:p w:rsidR="005C7A94" w:rsidRPr="005C7A94" w:rsidRDefault="005C7A94" w:rsidP="005C7A94">
      <w:pPr>
        <w:numPr>
          <w:ilvl w:val="0"/>
          <w:numId w:val="31"/>
        </w:numPr>
        <w:tabs>
          <w:tab w:val="left" w:pos="709"/>
        </w:tabs>
        <w:ind w:hanging="436"/>
        <w:jc w:val="both"/>
        <w:rPr>
          <w:b/>
          <w:i/>
          <w:lang w:eastAsia="bg-BG"/>
        </w:rPr>
      </w:pPr>
      <w:r w:rsidRPr="005C7A94">
        <w:rPr>
          <w:b/>
          <w:i/>
          <w:lang w:eastAsia="bg-BG"/>
        </w:rPr>
        <w:t>Въвеждане в ЗДДС на разпоредбите на Директива (ЕС) 2020/285 на Съвета от 18 февруари 2020 година за изменение на Директива 2006/112/ЕО относно общата система на данъка върху добавената стойност по отношение на специалния режим за малките предприятия и Регламент (ЕС) № 904/2010 относно административното сътрудничество и обмена на информация за целите на наблюдението на правилното прилагане на специалния режим за малките предприятия (Директива (ЕС) 2020/285)</w:t>
      </w:r>
    </w:p>
    <w:p w:rsidR="005C7A94" w:rsidRPr="005C7A94" w:rsidRDefault="005C7A94" w:rsidP="005C7A94">
      <w:pPr>
        <w:spacing w:after="120"/>
        <w:ind w:left="284"/>
        <w:jc w:val="both"/>
        <w:rPr>
          <w:lang w:eastAsia="bg-BG"/>
        </w:rPr>
      </w:pPr>
      <w:r w:rsidRPr="005C7A94">
        <w:rPr>
          <w:lang w:eastAsia="bg-BG"/>
        </w:rPr>
        <w:t xml:space="preserve">В изпълнение на задължението за въвеждане на Европейското право в ЗДДС са създадени  разпоредби за специални режими за малки предприятия - режим за малки предприятия в страната и режим за малки предприятия в EС. </w:t>
      </w:r>
      <w:r w:rsidRPr="005C7A94">
        <w:rPr>
          <w:u w:val="single"/>
          <w:lang w:eastAsia="bg-BG"/>
        </w:rPr>
        <w:t>Режимът за малки предприятия в страната</w:t>
      </w:r>
      <w:r w:rsidRPr="005C7A94">
        <w:rPr>
          <w:lang w:eastAsia="bg-BG"/>
        </w:rPr>
        <w:t xml:space="preserve"> ще може да се прилага от всяко данъчно задължено лице, установено на територията на страната, което извършва доставки на стоки и услуги с място на изпълнение на територията на страната и годишният оборот в страната на лицето не надвишава националния праг през календарната година. Съобразено с Директива (ЕС) 2020/285, в закона е предвидено годишният оборот, до който ще се предоставя освобождаване в страната, да не надвишава националния праг от 51 130 евро. С приетите разпоредби се гарантира, че при прилагането на националния праг не се прави разлика между установени и неустановени в страната данъчно задължени лица. </w:t>
      </w:r>
      <w:r w:rsidRPr="005C7A94">
        <w:rPr>
          <w:u w:val="single"/>
          <w:lang w:eastAsia="bg-BG"/>
        </w:rPr>
        <w:t>Режимът за малки предприятия в ЕС</w:t>
      </w:r>
      <w:r w:rsidRPr="005C7A94">
        <w:rPr>
          <w:lang w:eastAsia="bg-BG"/>
        </w:rPr>
        <w:t xml:space="preserve"> ще може да се прилага от всяко данъчно задълженото лице, установено на територията на страната, което извършва доставки на стоки и услуги с място на изпълнение на територията на друга държава членка. Приетите разпоредби позволяват на данъчно задължените лица, установени в страната, да не облагат с ДДС доставките на стоки и услуги, извършени в държави членки, в които не са установени, и да се възползват от опростени задължения, свързани с ДДС, при условие че техният годишен оборот в някоя от тези държави членки не надвишава националния праг в съответната държава членка и при условие, че годишният им оборот в Съюза не надвишава сумата от 100 000 евро. Също така промените предвиждат данъчно задължените лица, които са установени в други държави членки, да не облагат с ДДС доставките на стоки и услуги с място на изпълнение на територията на страната, когато годишният им оборот в Съюза не надвишава прага от 100 000 евро и годишният оборот в страната не надвишава националния праг от 51 130 евро.</w:t>
      </w:r>
    </w:p>
    <w:p w:rsidR="005C7A94" w:rsidRPr="005C7A94" w:rsidRDefault="005C7A94" w:rsidP="005C7A94">
      <w:pPr>
        <w:spacing w:after="120"/>
        <w:ind w:left="284"/>
        <w:jc w:val="both"/>
        <w:rPr>
          <w:lang w:eastAsia="bg-BG"/>
        </w:rPr>
      </w:pPr>
      <w:r w:rsidRPr="005C7A94">
        <w:rPr>
          <w:lang w:eastAsia="bg-BG"/>
        </w:rPr>
        <w:t>За да се избегнат несъответствията при изчисляването на годишния оборот в държава членка, който служи като отправна точка за прилагане на освобождаването, както и на годишния оборот в Съюза, в закона са уточнени елементите на оборота, които се вземат под внимание, като е определен обхватът на доставките, чиито данъчни основи се включват в годишния оборот в страната. Данъчно задължените лица, които изберат да прилагат специалните режими за малки предприятия, нямат право на данъчен кредит за получените от тях покупки на стоки и услуги, използвани за сделки, обхванати от режима за малки предприятия. В тази връзка са приети допълнения в разпоредбите, ограничаващи правото на данъчен кредит. Прилагането на режима за малки предприятия в страната се прекратява чрез доброволна регистрация или задължителна регистрация по закона. В съответствие с Директива (EС) 2020/285 е предложено данъчно задължените лица, които се възползват от освобождаването в страната, да прилагат опростени правила за отчитан</w:t>
      </w:r>
      <w:r w:rsidR="008867ED">
        <w:rPr>
          <w:lang w:eastAsia="bg-BG"/>
        </w:rPr>
        <w:t>е</w:t>
      </w:r>
      <w:r w:rsidR="002B5B1A">
        <w:rPr>
          <w:lang w:eastAsia="bg-BG"/>
        </w:rPr>
        <w:t>.</w:t>
      </w:r>
    </w:p>
    <w:p w:rsidR="005C7A94" w:rsidRPr="005C7A94" w:rsidRDefault="005C7A94" w:rsidP="005C7A94">
      <w:pPr>
        <w:spacing w:after="120"/>
        <w:ind w:left="284"/>
        <w:jc w:val="both"/>
        <w:rPr>
          <w:lang w:eastAsia="bg-BG"/>
        </w:rPr>
      </w:pPr>
      <w:r w:rsidRPr="005C7A94">
        <w:rPr>
          <w:lang w:eastAsia="bg-BG"/>
        </w:rPr>
        <w:t>Основната цел на приетите правила, е създаването на среда, благоприятстваща растежа на малките предприятия чрез намаляване на понасяната от тях административна тежест и подпомагане на създаването на фискална среда, която да улеснява растежа им и развитието на трансграничната търговия. Освен това, с новите правила се цели улесняване спазването на правилата от страна на малките предприятия и наблюдението от страна на данъчните администрации, както и намаляване на загубите на приходи, причинени от случайни търговци.</w:t>
      </w:r>
    </w:p>
    <w:p w:rsidR="005C7A94" w:rsidRPr="005C7A94" w:rsidRDefault="005C7A94" w:rsidP="005C7A94">
      <w:pPr>
        <w:numPr>
          <w:ilvl w:val="0"/>
          <w:numId w:val="31"/>
        </w:numPr>
        <w:tabs>
          <w:tab w:val="left" w:pos="709"/>
        </w:tabs>
        <w:ind w:left="709" w:hanging="425"/>
        <w:jc w:val="both"/>
        <w:rPr>
          <w:b/>
          <w:i/>
          <w:lang w:eastAsia="bg-BG"/>
        </w:rPr>
      </w:pPr>
      <w:r w:rsidRPr="005C7A94">
        <w:rPr>
          <w:b/>
          <w:i/>
          <w:lang w:eastAsia="bg-BG"/>
        </w:rPr>
        <w:t>Въвеждане на разпоредбите на Директива (ЕС) 2022/542 на Съвета oт 5 април 2022 година за изменение на директиви 2006/112/ЕО и (ЕС) 2020/285 по отношение на ставките на данъка върху добавената стойност (Директива (ЕС) 2022/542)</w:t>
      </w:r>
    </w:p>
    <w:p w:rsidR="005C7A94" w:rsidRPr="005C7A94" w:rsidRDefault="005C7A94" w:rsidP="005C7A94">
      <w:pPr>
        <w:spacing w:after="120"/>
        <w:ind w:left="284"/>
        <w:jc w:val="both"/>
        <w:rPr>
          <w:lang w:eastAsia="bg-BG"/>
        </w:rPr>
      </w:pPr>
      <w:r w:rsidRPr="005C7A94">
        <w:rPr>
          <w:lang w:eastAsia="bg-BG"/>
        </w:rPr>
        <w:t>Директива (ЕС) 2022/542 въвежда ново правило, с което се променя мястото на изпълнение на доставка на услуги по достъп и съпътстващите достъпа услуги, свързани с дейности, излъчвани на живо в интернет, или до които по друг начин е предоставен виртуален достъп. С новото правило тези услуги ще се облагат на мястото, където е установен потребителят. В тази връзка, в закона е направена промяна на определяне на мястото на изпълнение на услугите, свързани с дейности, излъчвани на живо в интернет, или до които по друг начин е предоставен виртуален достъп.</w:t>
      </w:r>
    </w:p>
    <w:p w:rsidR="005C7A94" w:rsidRPr="005C7A94" w:rsidRDefault="005C7A94" w:rsidP="00950167">
      <w:pPr>
        <w:numPr>
          <w:ilvl w:val="0"/>
          <w:numId w:val="31"/>
        </w:numPr>
        <w:tabs>
          <w:tab w:val="left" w:pos="709"/>
        </w:tabs>
        <w:ind w:hanging="436"/>
        <w:jc w:val="both"/>
        <w:rPr>
          <w:b/>
          <w:i/>
          <w:lang w:eastAsia="bg-BG"/>
        </w:rPr>
      </w:pPr>
      <w:r w:rsidRPr="005C7A94">
        <w:rPr>
          <w:b/>
          <w:i/>
          <w:lang w:eastAsia="bg-BG"/>
        </w:rPr>
        <w:t>Въвеждане на разпоредби, свързани с прилагането на Регламент (ЕС) 2023/2831 на Комисията от 13 декември 2023 година относно прилагането на членове 107 и 108 от Договора за функционирането на Европейския съюз към помощта „de minimis“ във връзка с изтичане на срока на действие на Регламент (ЕС) № 1407/2013 на Комисията от 18 декември 2013 г. относно прилагането на членове 107 и 108 от Договора за функционирането на Европейския съюз към помощта „de minimis“ (Регламент (ЕС) 2023/2831)</w:t>
      </w:r>
    </w:p>
    <w:p w:rsidR="005C7A94" w:rsidRPr="005C7A94" w:rsidRDefault="005C7A94" w:rsidP="005C7A94">
      <w:pPr>
        <w:spacing w:after="120"/>
        <w:ind w:left="284"/>
        <w:jc w:val="both"/>
        <w:rPr>
          <w:lang w:eastAsia="bg-BG"/>
        </w:rPr>
      </w:pPr>
      <w:r w:rsidRPr="005C7A94">
        <w:rPr>
          <w:lang w:eastAsia="bg-BG"/>
        </w:rPr>
        <w:t>В ЗДДС са приети изменения за привеждане в съответствие на разпоредбите, регламентиращи издаването на разрешение за прилагане на специален ред за начисляване на ДДС при внос и/или възстановяване на данък в 30-дневен срок във връзка с инвестиционни проекти, с тези на Регламент (ЕС) 2023/2831, с които ще се позволи на данъчно задължените лица да ползват помощта „de minimis“ в условията на правна сигурност. Отстранени са несъответствия между националната уредба и европейската в някои от изискванията към лицата, поискали разрешение от Министерството на финансите за прилагане на специалния ред за начисляване на ДДС при внос или за възстановяване на данъка в 30-дневен срок, и съвместимостта и натрупването на минималната помощ за инвестиционен проект с друга. Като условие за получаване на разрешение от Министерството на финансите за прилагане на специалния ред за начисляване на ДДС при внос или за възстановяване на данъка в 30-дневен срок, е прието  получените минимални помощи за период от три години преди датата на предоставяне на разрешението да не надхвърлят праг от 300 000 евро.</w:t>
      </w:r>
    </w:p>
    <w:p w:rsidR="005C7A94" w:rsidRPr="005C7A94" w:rsidRDefault="005C7A94" w:rsidP="00950167">
      <w:pPr>
        <w:numPr>
          <w:ilvl w:val="0"/>
          <w:numId w:val="31"/>
        </w:numPr>
        <w:tabs>
          <w:tab w:val="left" w:pos="709"/>
        </w:tabs>
        <w:ind w:hanging="436"/>
        <w:jc w:val="both"/>
        <w:rPr>
          <w:i/>
          <w:lang w:eastAsia="bg-BG"/>
        </w:rPr>
      </w:pPr>
      <w:r w:rsidRPr="005C7A94">
        <w:rPr>
          <w:b/>
          <w:i/>
          <w:lang w:eastAsia="bg-BG"/>
        </w:rPr>
        <w:t>Въвеждане на Решение от 29 юли 2019 г. на Съда на Европейския съюз (СЕС) по Дело 388/18, Finanzamt</w:t>
      </w:r>
    </w:p>
    <w:p w:rsidR="005C7A94" w:rsidRPr="005C7A94" w:rsidRDefault="005C7A94" w:rsidP="005C7A94">
      <w:pPr>
        <w:spacing w:after="120"/>
        <w:ind w:left="284"/>
        <w:jc w:val="both"/>
        <w:rPr>
          <w:lang w:eastAsia="bg-BG"/>
        </w:rPr>
      </w:pPr>
      <w:r w:rsidRPr="005C7A94">
        <w:rPr>
          <w:lang w:eastAsia="bg-BG"/>
        </w:rPr>
        <w:t>Съгласно решение на СЕС по Дело 388/18 данъчната основа за целите на определяне на годишния оборот, съответно на годишния праг, при доставки на стоки втора употреба и на доставки на обща туристическа услуга, извършени от данъчно задължено лице, прилагащо режимите за малки предприятия, е възнаграждението, получено от или дължимо на доставчика. С оглед на привеждане в съответствие с решението на действащата уредба в закона и данъчната практика, е прието облагаемият оборот на данъчно задължени лица, които извършват доставки на стоки втора употреба или доставки на обща туристическа услуга, вече да не се формира чрез сбор от маржовет</w:t>
      </w:r>
      <w:r w:rsidR="008867ED">
        <w:rPr>
          <w:lang w:eastAsia="bg-BG"/>
        </w:rPr>
        <w:t>е</w:t>
      </w:r>
      <w:r w:rsidR="002E18ED">
        <w:rPr>
          <w:lang w:eastAsia="bg-BG"/>
        </w:rPr>
        <w:t>.</w:t>
      </w:r>
    </w:p>
    <w:p w:rsidR="005C7A94" w:rsidRPr="005C7A94" w:rsidRDefault="005C7A94" w:rsidP="00950167">
      <w:pPr>
        <w:numPr>
          <w:ilvl w:val="0"/>
          <w:numId w:val="31"/>
        </w:numPr>
        <w:tabs>
          <w:tab w:val="left" w:pos="709"/>
        </w:tabs>
        <w:ind w:hanging="436"/>
        <w:jc w:val="both"/>
        <w:rPr>
          <w:b/>
          <w:lang w:eastAsia="bg-BG"/>
        </w:rPr>
      </w:pPr>
      <w:r w:rsidRPr="005C7A94">
        <w:rPr>
          <w:b/>
          <w:i/>
          <w:lang w:eastAsia="bg-BG"/>
        </w:rPr>
        <w:t>Въвеждане на разпоредби в ЗДДС с цел намаляване на административната тежест, контролни мерки и прецизиране на разпоредби, вкл. във връзка с възникнали затруднения при практическото прилагане на закона</w:t>
      </w:r>
    </w:p>
    <w:p w:rsidR="005C7A94" w:rsidRPr="005C7A94" w:rsidRDefault="005C7A94" w:rsidP="005C7A94">
      <w:pPr>
        <w:numPr>
          <w:ilvl w:val="0"/>
          <w:numId w:val="32"/>
        </w:numPr>
        <w:spacing w:after="120"/>
        <w:jc w:val="both"/>
        <w:rPr>
          <w:lang w:eastAsia="bg-BG"/>
        </w:rPr>
      </w:pPr>
      <w:r w:rsidRPr="005C7A94">
        <w:rPr>
          <w:lang w:eastAsia="bg-BG"/>
        </w:rPr>
        <w:t>С цел намаляване на административната тежест на лицата са приети промени, свързани с въвеждане на епизод от живота „Стартиране на бизнес“ и епизод от живота „Закриване на бизнес“, като се намалява срокът за проверка за регистрация от 14 дни на 7 дни;</w:t>
      </w:r>
    </w:p>
    <w:p w:rsidR="005C7A94" w:rsidRPr="005C7A94" w:rsidRDefault="005C7A94" w:rsidP="005C7A94">
      <w:pPr>
        <w:numPr>
          <w:ilvl w:val="0"/>
          <w:numId w:val="32"/>
        </w:numPr>
        <w:spacing w:after="120"/>
        <w:jc w:val="both"/>
        <w:rPr>
          <w:lang w:eastAsia="bg-BG"/>
        </w:rPr>
      </w:pPr>
      <w:r w:rsidRPr="005C7A94">
        <w:rPr>
          <w:lang w:eastAsia="bg-BG"/>
        </w:rPr>
        <w:t>Приети са промени в начина на заявяване пред Агенцията по вписванията за продължаване на регистрацията на лицето по ЗДДС до момента на заличаване в Търговския регистър. Така процесът ще бъде аналогичен на процеса по регистрация по ЗДДС, при който потребителят има възможност да заяви желание за регистрация по ЗДДС още в Агенцията по вписванията. С измененията се цели подобряване на качеството и бързината на предоставяните административни услуги;</w:t>
      </w:r>
    </w:p>
    <w:p w:rsidR="005C7A94" w:rsidRPr="005C7A94" w:rsidRDefault="005C7A94" w:rsidP="005C7A94">
      <w:pPr>
        <w:numPr>
          <w:ilvl w:val="0"/>
          <w:numId w:val="33"/>
        </w:numPr>
        <w:spacing w:after="120"/>
        <w:jc w:val="both"/>
        <w:rPr>
          <w:lang w:eastAsia="bg-BG"/>
        </w:rPr>
      </w:pPr>
      <w:r w:rsidRPr="005C7A94">
        <w:rPr>
          <w:lang w:eastAsia="bg-BG"/>
        </w:rPr>
        <w:t xml:space="preserve">Във връзка с навлизането на нови съвременни технологии в сферата на търговията с горива е прието при регистриране и отчитане на продажби в обекти за търговия/зареждане на течни горива чрез фискални устройства, вградени в автоматите на самообслужване, фискалният бон, регистриращ продажбата, да може да се визуализира само на дисплей, без да се издава хартиен документ; </w:t>
      </w:r>
    </w:p>
    <w:p w:rsidR="005C7A94" w:rsidRPr="005C7A94" w:rsidRDefault="005C7A94" w:rsidP="005C7A94">
      <w:pPr>
        <w:numPr>
          <w:ilvl w:val="0"/>
          <w:numId w:val="33"/>
        </w:numPr>
        <w:spacing w:after="120"/>
        <w:jc w:val="both"/>
        <w:rPr>
          <w:lang w:eastAsia="bg-BG"/>
        </w:rPr>
      </w:pPr>
      <w:r w:rsidRPr="005C7A94">
        <w:rPr>
          <w:lang w:eastAsia="bg-BG"/>
        </w:rPr>
        <w:t>По отношение на средства за измерване на разход и обем (от одобрен тип и с оцененото съответствие), включени в състава на електронната система с фискална памет (ЕСФП), както и с цел осигуряване на тяхното нормално функциониране в съответствие с метрологичните изисквания на Закона за измерванията и на Наредбата за средствата за измерване, подлежащи на метрологичен контрол, се въвежда задължение за лицата, използващи ЕСФП, да сключват писмен договор за сервизно обслужване и ремонт на средствата за измерване, включени в състава на системата.</w:t>
      </w:r>
    </w:p>
    <w:p w:rsidR="005C7A94" w:rsidRPr="005C7A94" w:rsidRDefault="005C7A94" w:rsidP="00950167">
      <w:pPr>
        <w:ind w:firstLine="709"/>
        <w:jc w:val="both"/>
        <w:rPr>
          <w:lang w:eastAsia="bg-BG"/>
        </w:rPr>
      </w:pPr>
      <w:bookmarkStart w:id="35" w:name="p46759932"/>
      <w:bookmarkEnd w:id="35"/>
      <w:r w:rsidRPr="005C7A94">
        <w:rPr>
          <w:lang w:eastAsia="bg-BG"/>
        </w:rPr>
        <w:t>До приемането на Закон за държавния бюджет на Република България за 2026 г</w:t>
      </w:r>
      <w:r w:rsidRPr="005C7A94">
        <w:rPr>
          <w:b/>
          <w:i/>
          <w:lang w:eastAsia="bg-BG"/>
        </w:rPr>
        <w:t>.</w:t>
      </w:r>
      <w:r w:rsidRPr="005C7A94">
        <w:rPr>
          <w:lang w:eastAsia="bg-BG"/>
        </w:rPr>
        <w:t xml:space="preserve"> </w:t>
      </w:r>
      <w:r w:rsidRPr="005C7A94">
        <w:rPr>
          <w:b/>
          <w:lang w:eastAsia="bg-BG"/>
        </w:rPr>
        <w:t>продължава действието на следните параметри от ЗДБРБ за 2025 г.</w:t>
      </w:r>
      <w:r w:rsidRPr="005C7A94">
        <w:rPr>
          <w:lang w:eastAsia="bg-BG"/>
        </w:rPr>
        <w:t>:</w:t>
      </w:r>
    </w:p>
    <w:p w:rsidR="005C7A94" w:rsidRPr="005C7A94" w:rsidRDefault="005C7A94" w:rsidP="00104F02">
      <w:pPr>
        <w:numPr>
          <w:ilvl w:val="0"/>
          <w:numId w:val="29"/>
        </w:numPr>
        <w:tabs>
          <w:tab w:val="left" w:pos="993"/>
        </w:tabs>
        <w:spacing w:after="120"/>
        <w:ind w:left="993" w:hanging="284"/>
        <w:jc w:val="both"/>
        <w:rPr>
          <w:lang w:eastAsia="bg-BG"/>
        </w:rPr>
      </w:pPr>
      <w:r w:rsidRPr="005C7A94">
        <w:rPr>
          <w:lang w:eastAsia="bg-BG"/>
        </w:rPr>
        <w:t>Запазва се размера на общата годишна квота за предоставяне на ваучери за храна от 1,6 млрд. лв. (818 067 009,91 евро) и общия размер на сумата, подлежаща за възстановяване на земеделските стопани от акциза за газьола - 100 млн. лв. (51 129 188,12 евро);</w:t>
      </w:r>
    </w:p>
    <w:p w:rsidR="005C7A94" w:rsidRPr="005C7A94" w:rsidRDefault="005C7A94" w:rsidP="00104F02">
      <w:pPr>
        <w:numPr>
          <w:ilvl w:val="0"/>
          <w:numId w:val="29"/>
        </w:numPr>
        <w:tabs>
          <w:tab w:val="left" w:pos="993"/>
        </w:tabs>
        <w:ind w:left="993" w:hanging="284"/>
        <w:jc w:val="both"/>
        <w:rPr>
          <w:lang w:eastAsia="bg-BG"/>
        </w:rPr>
      </w:pPr>
      <w:r w:rsidRPr="005C7A94">
        <w:rPr>
          <w:lang w:eastAsia="bg-BG"/>
        </w:rPr>
        <w:t>Ползване в увеличен размер на данъчните облекчения по чл. 22в и 22г от ЗДДФЛ (за деца и за деца с увреждания), както следва: 6 000 лв. (3 067,75 евро) годишно за едно ненавършило пълнолетие дете, 12 000 лв. (6 135,50 евро) - за две ненавършили пълнолетие деца, 18 000 лв. (9 203,25 евро) - за три и повече ненавършили пълнолетие деца и съответно, за деца с увреждания в размер на 12 000 лв. (6 135,50 евро) годишно, с възможност за авансово ползване през годината.</w:t>
      </w:r>
    </w:p>
    <w:p w:rsidR="005C7A94" w:rsidRPr="005C7A94" w:rsidRDefault="005C7A94" w:rsidP="005C7A94">
      <w:pPr>
        <w:ind w:firstLine="706"/>
        <w:jc w:val="both"/>
        <w:rPr>
          <w:lang w:eastAsia="bg-BG"/>
        </w:rPr>
      </w:pPr>
    </w:p>
    <w:p w:rsidR="005C7A94" w:rsidRPr="005C7A94" w:rsidRDefault="005C7A94" w:rsidP="005C7A94">
      <w:pPr>
        <w:spacing w:after="120"/>
        <w:ind w:right="-39" w:firstLine="720"/>
        <w:jc w:val="both"/>
        <w:rPr>
          <w:lang w:eastAsia="bg-BG"/>
        </w:rPr>
      </w:pPr>
      <w:r w:rsidRPr="005C7A94">
        <w:rPr>
          <w:b/>
          <w:lang w:eastAsia="bg-BG"/>
        </w:rPr>
        <w:t>През 2026 г. върху данъчните приходи ще оказват влияние и приетите в предходните години данъчни мерки</w:t>
      </w:r>
      <w:r w:rsidRPr="005C7A94">
        <w:rPr>
          <w:lang w:eastAsia="bg-BG"/>
        </w:rPr>
        <w:t>:</w:t>
      </w:r>
    </w:p>
    <w:p w:rsidR="005C7A94" w:rsidRPr="005C7A94" w:rsidRDefault="005C7A94" w:rsidP="0024319E">
      <w:pPr>
        <w:numPr>
          <w:ilvl w:val="0"/>
          <w:numId w:val="34"/>
        </w:numPr>
        <w:tabs>
          <w:tab w:val="left" w:pos="709"/>
        </w:tabs>
        <w:ind w:left="0" w:right="-39" w:firstLine="425"/>
        <w:jc w:val="both"/>
        <w:rPr>
          <w:lang w:eastAsia="bg-BG"/>
        </w:rPr>
      </w:pPr>
      <w:r w:rsidRPr="005C7A94">
        <w:rPr>
          <w:lang w:eastAsia="bg-BG"/>
        </w:rPr>
        <w:t xml:space="preserve">Продължава реализирането на въведеният </w:t>
      </w:r>
      <w:r w:rsidRPr="005C7A94">
        <w:rPr>
          <w:b/>
          <w:lang w:eastAsia="bg-BG"/>
        </w:rPr>
        <w:t>акцизен календар за периода 2025-2029 г.</w:t>
      </w:r>
      <w:r w:rsidRPr="005C7A94">
        <w:rPr>
          <w:lang w:eastAsia="bg-BG"/>
        </w:rPr>
        <w:t xml:space="preserve"> в ЗАДС с цел балансирано поетапно увеличаване на акцизните ставки върху тютюна и тютюневите изделия. В съответствие с приетия в закона календар акцизните ставки върху тютюна и тютюневите изделия са увеличени и от 01.01.2026 година;</w:t>
      </w:r>
    </w:p>
    <w:p w:rsidR="005C7A94" w:rsidRPr="005C7A94" w:rsidRDefault="005C7A94" w:rsidP="0024319E">
      <w:pPr>
        <w:numPr>
          <w:ilvl w:val="0"/>
          <w:numId w:val="34"/>
        </w:numPr>
        <w:ind w:left="0" w:firstLine="425"/>
        <w:jc w:val="both"/>
        <w:rPr>
          <w:lang w:eastAsia="bg-BG"/>
        </w:rPr>
      </w:pPr>
      <w:r w:rsidRPr="005C7A94">
        <w:rPr>
          <w:b/>
          <w:bCs/>
          <w:lang w:eastAsia="bg-BG"/>
        </w:rPr>
        <w:t>Ограничаване на данъчнозадължените лица от презапасяване с тютюневи изделия в случаите на влизане в сила на нови акцизни ставки.</w:t>
      </w:r>
      <w:r w:rsidRPr="005C7A94">
        <w:rPr>
          <w:bCs/>
          <w:lang w:eastAsia="bg-BG"/>
        </w:rPr>
        <w:t xml:space="preserve"> Н</w:t>
      </w:r>
      <w:r w:rsidRPr="005C7A94">
        <w:rPr>
          <w:lang w:eastAsia="bg-BG"/>
        </w:rPr>
        <w:t xml:space="preserve">аправени са изменения и допълнения в разпоредбата на чл. 64, ал. 8 и 9 от ЗАДС, с които се въвежда правна норма по отношение на ограничаването на броя на заявявани и получавани бандероли от данъчнозадължените лица. Нормативна промяна не препятства дейността на засегнатите лица, тъй като е осигурена възможност във всеки един момент икономическият оператор да може да разполага с брой необлепени бандероли, който не надвишава сумата от предадения му брой бандероли през последните три месеца, съответно през предходните шест месеца за алкохолните напитки. Редакцията на ал. 9 на чл. 64 от закона създава възможност при разполагаемост с брой бандероли под сумата на предадените за последните три/шест месеца, лицето да може да поиска и да му бъдат предоставени допълнителен брой бандероли. </w:t>
      </w:r>
    </w:p>
    <w:p w:rsidR="005C7A94" w:rsidRPr="005C7A94" w:rsidRDefault="005C7A94" w:rsidP="0024319E">
      <w:pPr>
        <w:numPr>
          <w:ilvl w:val="0"/>
          <w:numId w:val="34"/>
        </w:numPr>
        <w:tabs>
          <w:tab w:val="left" w:pos="709"/>
        </w:tabs>
        <w:ind w:left="0" w:right="-40" w:firstLine="425"/>
        <w:jc w:val="both"/>
        <w:rPr>
          <w:bCs/>
          <w:iCs/>
        </w:rPr>
      </w:pPr>
      <w:r w:rsidRPr="005C7A94">
        <w:rPr>
          <w:b/>
          <w:lang w:eastAsia="bg-BG"/>
        </w:rPr>
        <w:t xml:space="preserve">Въведено задължение за подаване на стандартен одитен файл за данъчни цели </w:t>
      </w:r>
      <w:r w:rsidRPr="005C7A94">
        <w:rPr>
          <w:lang w:eastAsia="bg-BG"/>
        </w:rPr>
        <w:t>(SAF-T)</w:t>
      </w:r>
      <w:r w:rsidRPr="005C7A94">
        <w:rPr>
          <w:b/>
          <w:lang w:eastAsia="bg-BG"/>
        </w:rPr>
        <w:t>.</w:t>
      </w:r>
      <w:r w:rsidRPr="005C7A94">
        <w:rPr>
          <w:lang w:eastAsia="bg-BG"/>
        </w:rPr>
        <w:t xml:space="preserve"> </w:t>
      </w:r>
      <w:r w:rsidRPr="005C7A94">
        <w:rPr>
          <w:b/>
          <w:lang w:eastAsia="bg-BG"/>
        </w:rPr>
        <w:t xml:space="preserve"> </w:t>
      </w:r>
      <w:r w:rsidRPr="005C7A94">
        <w:rPr>
          <w:bCs/>
          <w:iCs/>
        </w:rPr>
        <w:t xml:space="preserve">Въведеният в Данъчно-осигурителния процесуален кодекс (ДВ, обн., бр. 26 от 2025 г.) стандартен одитен файл за данъчни цели съдържа данни относно икономическата дейност и счетоводната отчетност на задълженото лице, подавани в стандартизиран формат. </w:t>
      </w:r>
      <w:r w:rsidRPr="005C7A94">
        <w:rPr>
          <w:lang w:eastAsia="bg-BG"/>
        </w:rPr>
        <w:t>От 1 януари 2026 г. стандартен одитен файл ще се подава в НАП от големите данъкоплатци на месечна база, а на следващи етапи от средни, малки и микропредприятия. Внедряването на SAF-T ще подобри спазването на данъчното законодателство и ще улесни комуникацията между данъкоплатците и данъчната администрация;</w:t>
      </w:r>
    </w:p>
    <w:p w:rsidR="005C7A94" w:rsidRPr="005C7A94" w:rsidRDefault="005C7A94" w:rsidP="0024319E">
      <w:pPr>
        <w:numPr>
          <w:ilvl w:val="0"/>
          <w:numId w:val="34"/>
        </w:numPr>
        <w:tabs>
          <w:tab w:val="left" w:pos="709"/>
        </w:tabs>
        <w:ind w:left="0" w:right="-39" w:firstLine="425"/>
        <w:jc w:val="both"/>
        <w:rPr>
          <w:bCs/>
          <w:iCs/>
        </w:rPr>
      </w:pPr>
      <w:r w:rsidRPr="005C7A94">
        <w:rPr>
          <w:b/>
          <w:bCs/>
          <w:iCs/>
        </w:rPr>
        <w:t>Засилване на фискалния контрол чрез</w:t>
      </w:r>
      <w:r w:rsidRPr="005C7A94">
        <w:rPr>
          <w:bCs/>
          <w:iCs/>
        </w:rPr>
        <w:t xml:space="preserve"> </w:t>
      </w:r>
      <w:r w:rsidRPr="005C7A94">
        <w:rPr>
          <w:b/>
          <w:bCs/>
          <w:iCs/>
        </w:rPr>
        <w:t>разширяване на списъка на стоките с висок фискален риск</w:t>
      </w:r>
      <w:r w:rsidRPr="005C7A94">
        <w:rPr>
          <w:bCs/>
          <w:iCs/>
        </w:rPr>
        <w:t>, по отношение на които се осъществява фискален контрол по ДОПК, като през 2025 г. са включени строителните материали, автомобилите и торовете (ЗМФ-237/31.03.2025 г.);</w:t>
      </w:r>
    </w:p>
    <w:p w:rsidR="005C7A94" w:rsidRPr="005C7A94" w:rsidRDefault="005C7A94" w:rsidP="0024319E">
      <w:pPr>
        <w:numPr>
          <w:ilvl w:val="0"/>
          <w:numId w:val="28"/>
        </w:numPr>
        <w:tabs>
          <w:tab w:val="left" w:pos="709"/>
        </w:tabs>
        <w:ind w:left="0" w:firstLine="425"/>
        <w:jc w:val="both"/>
        <w:rPr>
          <w:bCs/>
          <w:iCs/>
          <w:lang w:eastAsia="bg-BG"/>
        </w:rPr>
      </w:pPr>
      <w:r w:rsidRPr="005C7A94">
        <w:rPr>
          <w:b/>
          <w:lang w:eastAsia="bg-BG"/>
        </w:rPr>
        <w:t xml:space="preserve">Прилагане на </w:t>
      </w:r>
      <w:r w:rsidRPr="005C7A94">
        <w:rPr>
          <w:b/>
          <w:bCs/>
          <w:lang w:eastAsia="bg-BG"/>
        </w:rPr>
        <w:t>минимално ефективно корпоративно данъчно облагане на многонационални групи предприятия и на големи национални групи предприятия</w:t>
      </w:r>
      <w:r w:rsidRPr="005C7A94">
        <w:rPr>
          <w:b/>
          <w:bCs/>
          <w:i/>
          <w:lang w:eastAsia="bg-BG"/>
        </w:rPr>
        <w:t xml:space="preserve"> </w:t>
      </w:r>
      <w:r w:rsidRPr="005C7A94">
        <w:rPr>
          <w:lang w:eastAsia="bg-BG"/>
        </w:rPr>
        <w:t xml:space="preserve">в съответствие с Директива (ЕС) 2022/2523 на Съвета от 14 декември 2022 година за гарантиране на глобално минимално равнище на данъчно облагане на многонационалните групи от предприятия и големите национални групи в Съюза. С разпоредбите на Директива (ЕС) 2022/2523 се въвежда рамка за глобалното минимално равнище от 15 на сто на данъчно облагане на ниво ЕС на многонационална група предприятия. В страната е въведен и национален допълнителен данък, съгласно който съставните образувания на една </w:t>
      </w:r>
      <w:r w:rsidRPr="005C7A94">
        <w:rPr>
          <w:bCs/>
          <w:lang w:eastAsia="bg-BG"/>
        </w:rPr>
        <w:t>многонационална група предприятия</w:t>
      </w:r>
      <w:r w:rsidRPr="005C7A94">
        <w:rPr>
          <w:lang w:eastAsia="bg-BG"/>
        </w:rPr>
        <w:t>, които се намират в Република България,</w:t>
      </w:r>
      <w:r w:rsidRPr="005C7A94">
        <w:rPr>
          <w:bCs/>
          <w:lang w:eastAsia="bg-BG"/>
        </w:rPr>
        <w:t xml:space="preserve"> или на голяма национална група предприятия</w:t>
      </w:r>
      <w:r w:rsidRPr="005C7A94">
        <w:rPr>
          <w:lang w:eastAsia="bg-BG"/>
        </w:rPr>
        <w:t>, се предвижда да подлежат на облагане с национален допълнителен данък. В съответствие с установените срокове, се очаква през 2026 г. в бюджета да постъпят вноски за този данък;</w:t>
      </w:r>
    </w:p>
    <w:p w:rsidR="005C7A94" w:rsidRPr="005C7A94" w:rsidRDefault="005C7A94" w:rsidP="0024319E">
      <w:pPr>
        <w:numPr>
          <w:ilvl w:val="0"/>
          <w:numId w:val="28"/>
        </w:numPr>
        <w:tabs>
          <w:tab w:val="left" w:pos="709"/>
        </w:tabs>
        <w:ind w:left="0" w:firstLine="425"/>
        <w:jc w:val="both"/>
        <w:rPr>
          <w:bCs/>
          <w:iCs/>
          <w:lang w:eastAsia="bg-BG"/>
        </w:rPr>
      </w:pPr>
      <w:r w:rsidRPr="005C7A94">
        <w:rPr>
          <w:bCs/>
          <w:iCs/>
          <w:lang w:eastAsia="bg-BG"/>
        </w:rPr>
        <w:t xml:space="preserve">Прилагане на нова схема на </w:t>
      </w:r>
      <w:r w:rsidRPr="005C7A94">
        <w:rPr>
          <w:b/>
          <w:bCs/>
          <w:iCs/>
          <w:lang w:eastAsia="bg-BG"/>
        </w:rPr>
        <w:t xml:space="preserve">данъчното облекчение, представляващо държавна помощ за регионално развитие </w:t>
      </w:r>
      <w:r w:rsidRPr="005C7A94">
        <w:rPr>
          <w:bCs/>
          <w:iCs/>
          <w:lang w:eastAsia="bg-BG"/>
        </w:rPr>
        <w:t>(одобрено от ЕК в</w:t>
      </w:r>
      <w:r w:rsidRPr="005C7A94">
        <w:rPr>
          <w:b/>
          <w:bCs/>
          <w:iCs/>
          <w:lang w:eastAsia="bg-BG"/>
        </w:rPr>
        <w:t xml:space="preserve"> </w:t>
      </w:r>
      <w:r w:rsidRPr="005C7A94">
        <w:rPr>
          <w:bCs/>
          <w:iCs/>
          <w:lang w:eastAsia="bg-BG"/>
        </w:rPr>
        <w:t>съответствие с Насоките за регионална държавна помощ 2021/C 153/01), с което започна да се прилага преотстъпването на корпоративен данък съгласно чл. 184 във връзка с чл. 189 от ЗКПО</w:t>
      </w:r>
      <w:r w:rsidRPr="005C7A94">
        <w:rPr>
          <w:bCs/>
          <w:iCs/>
          <w:sz w:val="20"/>
          <w:vertAlign w:val="superscript"/>
          <w:lang w:eastAsia="bg-BG"/>
        </w:rPr>
        <w:footnoteReference w:id="6"/>
      </w:r>
      <w:r w:rsidRPr="005C7A94">
        <w:rPr>
          <w:bCs/>
          <w:iCs/>
          <w:lang w:eastAsia="bg-BG"/>
        </w:rPr>
        <w:t xml:space="preserve"> в срок до 31 декември 2027 г. Данъчната преференция се предоставя с цел да насърчи икономическата активност на МСП</w:t>
      </w:r>
      <w:r w:rsidRPr="005C7A94">
        <w:rPr>
          <w:bCs/>
          <w:iCs/>
          <w:sz w:val="20"/>
          <w:vertAlign w:val="superscript"/>
          <w:lang w:eastAsia="bg-BG"/>
        </w:rPr>
        <w:footnoteReference w:id="7"/>
      </w:r>
      <w:r w:rsidRPr="005C7A94">
        <w:rPr>
          <w:bCs/>
          <w:iCs/>
          <w:lang w:eastAsia="bg-BG"/>
        </w:rPr>
        <w:t>, като ги стимулира да инвестират в материални и нематериални активи в предприятия, намиращи се в общини с безработица, по-висока от средната за страната, като се очаква така да се запазят или увеличат нивата на заетост в тези общини;</w:t>
      </w:r>
    </w:p>
    <w:p w:rsidR="005C7A94" w:rsidRPr="005C7A94" w:rsidRDefault="005C7A94" w:rsidP="0024319E">
      <w:pPr>
        <w:numPr>
          <w:ilvl w:val="0"/>
          <w:numId w:val="28"/>
        </w:numPr>
        <w:tabs>
          <w:tab w:val="left" w:pos="709"/>
        </w:tabs>
        <w:ind w:left="0" w:firstLine="425"/>
        <w:jc w:val="both"/>
        <w:rPr>
          <w:rFonts w:eastAsia="Calibri"/>
        </w:rPr>
      </w:pPr>
      <w:r w:rsidRPr="005C7A94">
        <w:rPr>
          <w:rFonts w:eastAsia="Calibri"/>
          <w:b/>
        </w:rPr>
        <w:t xml:space="preserve">Продължаване прилагането на данъчното облекчение за извършване на производствена дейност в общини с безработица, по-висока от средната за страната в случаите на минимална помощ по чл. 188 от ЗКПО. </w:t>
      </w:r>
      <w:r w:rsidRPr="005C7A94">
        <w:rPr>
          <w:rFonts w:eastAsia="Calibri"/>
        </w:rPr>
        <w:t>Целта на мярката е да продължи да се прилага данъчното облекчение за преотстъпване на корпоративен данък по чл. 184 от ЗКПО във връзка с чл. 188 от ЗКПО под формата на минимална помощ, като средство за насърчаване на икономическата активност чрез стимул за инвестиране в материални и нематериални активи в предприятия, намиращи се в общини с безработица по-висока от средната за страната, като се очаква така да се запазят или увеличат нивата на заетост в тези общини. За продължаване прилагането на данъчното облекчение, представляващо минимална помощ са разработени текстове за минимална помощ, които са в съответствие с новия Регламент (ЕС) 2023/2831 на Комисията от 13 декември 2023 г. относно прилагането на членове 107 и 108 от Договора за функционирането на Европейския съюз към помощта de minimis (Регламент (ЕС) 2023/2831), срокът за прилагане на който е от 1 януари 2024 г. до 31 декември 2030 година.</w:t>
      </w:r>
    </w:p>
    <w:p w:rsidR="005C7A94" w:rsidRPr="005C7A94" w:rsidRDefault="005C7A94" w:rsidP="005C7A94">
      <w:pPr>
        <w:numPr>
          <w:ilvl w:val="0"/>
          <w:numId w:val="28"/>
        </w:numPr>
        <w:tabs>
          <w:tab w:val="left" w:pos="709"/>
        </w:tabs>
        <w:spacing w:after="120"/>
        <w:ind w:left="0" w:firstLine="426"/>
        <w:jc w:val="both"/>
        <w:rPr>
          <w:rFonts w:eastAsia="Calibri"/>
        </w:rPr>
      </w:pPr>
      <w:r w:rsidRPr="005C7A94">
        <w:rPr>
          <w:rFonts w:eastAsia="Calibri"/>
        </w:rPr>
        <w:t xml:space="preserve">Прилагане на </w:t>
      </w:r>
      <w:r w:rsidRPr="005C7A94">
        <w:rPr>
          <w:rFonts w:eastAsia="Calibri"/>
          <w:b/>
        </w:rPr>
        <w:t>нова схема за държавна помощ за земеделски стопани</w:t>
      </w:r>
      <w:r w:rsidRPr="005C7A94">
        <w:rPr>
          <w:rFonts w:eastAsia="Calibri"/>
        </w:rPr>
        <w:t xml:space="preserve"> във връзка с изменение на правната уредба за прилагане на държавна помощ за земеделски стопани под формата на данъчно облекчение по чл. 189б от ЗКПО и чл. 48, ал. 6 от ЗДДФЛ</w:t>
      </w:r>
      <w:r w:rsidRPr="005C7A94">
        <w:rPr>
          <w:rFonts w:eastAsia="Calibri"/>
          <w:vertAlign w:val="superscript"/>
        </w:rPr>
        <w:footnoteReference w:id="8"/>
      </w:r>
      <w:r w:rsidRPr="005C7A94">
        <w:rPr>
          <w:rFonts w:eastAsia="Calibri"/>
        </w:rPr>
        <w:t>, съобразно условията на Регламент (ЕС) № 2022/2472 на Комисията от 14 декември 2022 година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ДФЕС</w:t>
      </w:r>
      <w:r w:rsidRPr="005C7A94">
        <w:rPr>
          <w:rFonts w:eastAsia="Calibri"/>
          <w:vertAlign w:val="superscript"/>
        </w:rPr>
        <w:footnoteReference w:id="9"/>
      </w:r>
      <w:r w:rsidRPr="005C7A94">
        <w:rPr>
          <w:rFonts w:eastAsia="Calibri"/>
        </w:rPr>
        <w:t xml:space="preserve"> (Регламент (ЕС) № 2022/2472). Новият регламент за групово освобождаване в земеделието - Регламент (ЕС) № 2022/2472 се прилага от 1 януари 2023 г. до 31 декември 2029 година. Регламентът предвижда промяна в интензитета и прага за уведомяване по помощта за инвестиции в земеделски стопанства във връзка с първичното селскостопанско производство, предвид което е разработена нова схема за държавна помощ, която е в съответствие с новите правила на Регламент (ЕС) № 2022/2472 и за прилагането на която се получи одобрение от Комисията на 16.01.2024 г. под номер на помощта SA.111877.</w:t>
      </w:r>
    </w:p>
    <w:p w:rsidR="005E3200" w:rsidRDefault="005E3200">
      <w:pPr>
        <w:rPr>
          <w:rFonts w:eastAsia="Calibri"/>
        </w:rPr>
      </w:pPr>
      <w:r>
        <w:rPr>
          <w:rFonts w:eastAsia="Calibri"/>
        </w:rPr>
        <w:br w:type="page"/>
      </w:r>
    </w:p>
    <w:p w:rsidR="00C35EB3" w:rsidRPr="001C510D" w:rsidRDefault="00C35EB3" w:rsidP="001C510D">
      <w:pPr>
        <w:pStyle w:val="Heading1"/>
        <w:numPr>
          <w:ilvl w:val="0"/>
          <w:numId w:val="8"/>
        </w:numPr>
        <w:spacing w:before="360"/>
        <w:ind w:right="-108"/>
        <w:jc w:val="both"/>
        <w:rPr>
          <w:sz w:val="24"/>
        </w:rPr>
      </w:pPr>
      <w:r w:rsidRPr="001C510D">
        <w:rPr>
          <w:sz w:val="24"/>
        </w:rPr>
        <w:t>Изпълнение на държавния бюджет</w:t>
      </w:r>
      <w:r w:rsidRPr="001C510D">
        <w:rPr>
          <w:sz w:val="24"/>
          <w:vertAlign w:val="superscript"/>
          <w:lang w:eastAsia="bg-BG"/>
        </w:rPr>
        <w:footnoteReference w:id="10"/>
      </w:r>
      <w:r w:rsidRPr="001C510D">
        <w:rPr>
          <w:sz w:val="24"/>
        </w:rPr>
        <w:t xml:space="preserve"> за </w:t>
      </w:r>
      <w:r w:rsidR="001C510D" w:rsidRPr="001C510D">
        <w:rPr>
          <w:sz w:val="24"/>
        </w:rPr>
        <w:t>първото тримесечие на 2026 г.</w:t>
      </w:r>
    </w:p>
    <w:p w:rsidR="00B609F3" w:rsidRPr="002733BD" w:rsidRDefault="00B609F3" w:rsidP="00B609F3">
      <w:pPr>
        <w:tabs>
          <w:tab w:val="left" w:pos="1080"/>
        </w:tabs>
        <w:spacing w:before="120"/>
        <w:jc w:val="both"/>
        <w:rPr>
          <w:b/>
          <w:bCs/>
          <w:sz w:val="20"/>
          <w:szCs w:val="20"/>
          <w:lang w:val="ru-RU"/>
        </w:rPr>
      </w:pPr>
      <w:r w:rsidRPr="002733BD">
        <w:t>Изпълнението на основните показатели по държавния бюджет, на база месечните отчети на първостепенните разпоредители с бюджет е, както следва:</w:t>
      </w:r>
      <w:r w:rsidRPr="002733BD">
        <w:rPr>
          <w:b/>
          <w:bCs/>
          <w:sz w:val="20"/>
          <w:szCs w:val="20"/>
          <w:lang w:val="ru-RU"/>
        </w:rPr>
        <w:t xml:space="preserve">   </w:t>
      </w:r>
    </w:p>
    <w:p w:rsidR="00B609F3" w:rsidRPr="002733BD" w:rsidRDefault="00B609F3" w:rsidP="00B609F3">
      <w:pPr>
        <w:tabs>
          <w:tab w:val="left" w:pos="1080"/>
        </w:tabs>
        <w:spacing w:before="120" w:after="120"/>
        <w:jc w:val="both"/>
        <w:rPr>
          <w:b/>
          <w:bCs/>
          <w:sz w:val="20"/>
          <w:szCs w:val="20"/>
          <w:lang w:val="en-GB"/>
        </w:rPr>
      </w:pPr>
      <w:r w:rsidRPr="002733BD">
        <w:rPr>
          <w:b/>
          <w:bCs/>
          <w:sz w:val="20"/>
          <w:szCs w:val="20"/>
          <w:lang w:val="ru-RU"/>
        </w:rPr>
        <w:t xml:space="preserve">             </w:t>
      </w:r>
      <w:r w:rsidRPr="002733BD">
        <w:rPr>
          <w:b/>
          <w:bCs/>
          <w:sz w:val="20"/>
          <w:szCs w:val="20"/>
          <w:lang w:val="en-GB"/>
        </w:rPr>
        <w:t>Таблица</w:t>
      </w:r>
      <w:r w:rsidRPr="002733BD">
        <w:rPr>
          <w:vertAlign w:val="superscript"/>
          <w:lang w:val="en-GB"/>
        </w:rPr>
        <w:footnoteReference w:id="11"/>
      </w:r>
      <w:r w:rsidRPr="002733BD">
        <w:rPr>
          <w:b/>
          <w:bCs/>
          <w:sz w:val="20"/>
          <w:szCs w:val="20"/>
          <w:lang w:val="en-GB"/>
        </w:rPr>
        <w:t xml:space="preserve">  №1      </w:t>
      </w:r>
      <w:r w:rsidRPr="002733BD">
        <w:rPr>
          <w:b/>
          <w:bCs/>
          <w:sz w:val="20"/>
          <w:szCs w:val="20"/>
          <w:lang w:val="en-GB"/>
        </w:rPr>
        <w:tab/>
      </w:r>
      <w:r w:rsidRPr="002733BD">
        <w:rPr>
          <w:b/>
          <w:bCs/>
          <w:sz w:val="20"/>
          <w:szCs w:val="20"/>
          <w:lang w:val="en-GB"/>
        </w:rPr>
        <w:tab/>
        <w:t xml:space="preserve">                                  </w:t>
      </w:r>
      <w:r w:rsidRPr="002733BD">
        <w:rPr>
          <w:b/>
          <w:bCs/>
          <w:sz w:val="20"/>
          <w:szCs w:val="20"/>
        </w:rPr>
        <w:t xml:space="preserve"> </w:t>
      </w:r>
      <w:r w:rsidRPr="002733BD">
        <w:rPr>
          <w:b/>
          <w:bCs/>
          <w:sz w:val="20"/>
          <w:szCs w:val="20"/>
          <w:lang w:val="en-GB"/>
        </w:rPr>
        <w:t xml:space="preserve">       </w:t>
      </w:r>
      <w:r w:rsidRPr="002733BD">
        <w:rPr>
          <w:b/>
          <w:bCs/>
          <w:sz w:val="20"/>
          <w:szCs w:val="20"/>
          <w:lang w:val="en-GB"/>
        </w:rPr>
        <w:tab/>
      </w:r>
      <w:r w:rsidRPr="002733BD">
        <w:rPr>
          <w:b/>
          <w:bCs/>
          <w:sz w:val="20"/>
          <w:szCs w:val="20"/>
          <w:lang w:val="en-GB"/>
        </w:rPr>
        <w:tab/>
      </w:r>
      <w:r w:rsidRPr="002733BD">
        <w:rPr>
          <w:b/>
          <w:bCs/>
          <w:sz w:val="20"/>
          <w:szCs w:val="20"/>
          <w:lang w:val="en-GB"/>
        </w:rPr>
        <w:tab/>
      </w:r>
      <w:r w:rsidRPr="002733BD">
        <w:rPr>
          <w:b/>
          <w:bCs/>
          <w:sz w:val="20"/>
          <w:szCs w:val="20"/>
          <w:lang w:val="en-GB"/>
        </w:rPr>
        <w:tab/>
        <w:t>(млн. евро)</w:t>
      </w:r>
    </w:p>
    <w:tbl>
      <w:tblPr>
        <w:tblW w:w="8594" w:type="dxa"/>
        <w:jc w:val="center"/>
        <w:tblCellMar>
          <w:left w:w="70" w:type="dxa"/>
          <w:right w:w="70" w:type="dxa"/>
        </w:tblCellMar>
        <w:tblLook w:val="0000" w:firstRow="0" w:lastRow="0" w:firstColumn="0" w:lastColumn="0" w:noHBand="0" w:noVBand="0"/>
      </w:tblPr>
      <w:tblGrid>
        <w:gridCol w:w="4668"/>
        <w:gridCol w:w="1538"/>
        <w:gridCol w:w="1155"/>
        <w:gridCol w:w="1233"/>
      </w:tblGrid>
      <w:tr w:rsidR="00B609F3" w:rsidRPr="002733BD" w:rsidTr="00483B4A">
        <w:trPr>
          <w:trHeight w:val="520"/>
          <w:jc w:val="center"/>
        </w:trPr>
        <w:tc>
          <w:tcPr>
            <w:tcW w:w="4668" w:type="dxa"/>
            <w:tcBorders>
              <w:top w:val="single" w:sz="8" w:space="0" w:color="auto"/>
              <w:left w:val="single" w:sz="8" w:space="0" w:color="auto"/>
              <w:bottom w:val="nil"/>
              <w:right w:val="single" w:sz="8" w:space="0" w:color="auto"/>
            </w:tcBorders>
            <w:shd w:val="clear" w:color="auto" w:fill="auto"/>
            <w:noWrap/>
            <w:vAlign w:val="center"/>
          </w:tcPr>
          <w:p w:rsidR="00B609F3" w:rsidRPr="002733BD" w:rsidRDefault="00B609F3" w:rsidP="00483B4A">
            <w:pPr>
              <w:jc w:val="center"/>
              <w:rPr>
                <w:b/>
                <w:bCs/>
                <w:sz w:val="18"/>
                <w:szCs w:val="18"/>
                <w:lang w:eastAsia="bg-BG"/>
              </w:rPr>
            </w:pPr>
            <w:r w:rsidRPr="002733BD">
              <w:rPr>
                <w:b/>
                <w:bCs/>
                <w:sz w:val="18"/>
                <w:szCs w:val="18"/>
                <w:lang w:eastAsia="bg-BG"/>
              </w:rPr>
              <w:t>ПОКАЗАТЕЛИ</w:t>
            </w:r>
          </w:p>
        </w:tc>
        <w:tc>
          <w:tcPr>
            <w:tcW w:w="1538" w:type="dxa"/>
            <w:tcBorders>
              <w:top w:val="single" w:sz="8" w:space="0" w:color="auto"/>
              <w:left w:val="nil"/>
              <w:bottom w:val="single" w:sz="4" w:space="0" w:color="auto"/>
              <w:right w:val="nil"/>
            </w:tcBorders>
            <w:shd w:val="clear" w:color="auto" w:fill="auto"/>
            <w:vAlign w:val="center"/>
          </w:tcPr>
          <w:p w:rsidR="00B609F3" w:rsidRPr="002733BD" w:rsidRDefault="00B609F3" w:rsidP="00483B4A">
            <w:pPr>
              <w:ind w:right="237"/>
              <w:jc w:val="center"/>
              <w:rPr>
                <w:b/>
                <w:bCs/>
                <w:sz w:val="18"/>
                <w:szCs w:val="18"/>
                <w:lang w:eastAsia="bg-BG"/>
              </w:rPr>
            </w:pPr>
            <w:r w:rsidRPr="002733BD">
              <w:rPr>
                <w:b/>
                <w:bCs/>
                <w:sz w:val="18"/>
                <w:szCs w:val="18"/>
                <w:lang w:eastAsia="bg-BG"/>
              </w:rPr>
              <w:t>Отчет</w:t>
            </w:r>
          </w:p>
          <w:p w:rsidR="00B609F3" w:rsidRPr="002733BD" w:rsidRDefault="00B609F3" w:rsidP="00483B4A">
            <w:pPr>
              <w:ind w:right="237"/>
              <w:jc w:val="center"/>
              <w:rPr>
                <w:b/>
                <w:bCs/>
                <w:sz w:val="18"/>
                <w:szCs w:val="18"/>
                <w:lang w:eastAsia="bg-BG"/>
              </w:rPr>
            </w:pPr>
            <w:r w:rsidRPr="002733BD">
              <w:rPr>
                <w:b/>
                <w:bCs/>
                <w:sz w:val="18"/>
                <w:szCs w:val="18"/>
                <w:lang w:eastAsia="bg-BG"/>
              </w:rPr>
              <w:t>март 2025 г.</w:t>
            </w:r>
          </w:p>
        </w:tc>
        <w:tc>
          <w:tcPr>
            <w:tcW w:w="1155" w:type="dxa"/>
            <w:tcBorders>
              <w:top w:val="single" w:sz="8" w:space="0" w:color="auto"/>
              <w:left w:val="nil"/>
              <w:bottom w:val="single" w:sz="4" w:space="0" w:color="auto"/>
              <w:right w:val="nil"/>
            </w:tcBorders>
            <w:shd w:val="clear" w:color="auto" w:fill="auto"/>
            <w:vAlign w:val="center"/>
          </w:tcPr>
          <w:p w:rsidR="00B609F3" w:rsidRPr="002733BD" w:rsidRDefault="00B609F3" w:rsidP="00483B4A">
            <w:pPr>
              <w:jc w:val="center"/>
              <w:rPr>
                <w:b/>
                <w:bCs/>
                <w:sz w:val="18"/>
                <w:szCs w:val="18"/>
                <w:lang w:eastAsia="bg-BG"/>
              </w:rPr>
            </w:pPr>
            <w:r w:rsidRPr="002733BD">
              <w:rPr>
                <w:b/>
                <w:bCs/>
                <w:sz w:val="18"/>
                <w:szCs w:val="18"/>
                <w:lang w:eastAsia="bg-BG"/>
              </w:rPr>
              <w:t>Отчет</w:t>
            </w:r>
          </w:p>
          <w:p w:rsidR="00B609F3" w:rsidRPr="002733BD" w:rsidRDefault="00B609F3" w:rsidP="00483B4A">
            <w:pPr>
              <w:jc w:val="center"/>
              <w:rPr>
                <w:b/>
                <w:bCs/>
                <w:sz w:val="18"/>
                <w:szCs w:val="18"/>
                <w:lang w:eastAsia="bg-BG"/>
              </w:rPr>
            </w:pPr>
            <w:r w:rsidRPr="002733BD">
              <w:rPr>
                <w:b/>
                <w:bCs/>
                <w:sz w:val="18"/>
                <w:szCs w:val="18"/>
                <w:lang w:eastAsia="bg-BG"/>
              </w:rPr>
              <w:t>март 2026 г.</w:t>
            </w:r>
          </w:p>
        </w:tc>
        <w:tc>
          <w:tcPr>
            <w:tcW w:w="1233" w:type="dxa"/>
            <w:tcBorders>
              <w:top w:val="single" w:sz="8" w:space="0" w:color="auto"/>
              <w:left w:val="nil"/>
              <w:bottom w:val="single" w:sz="4" w:space="0" w:color="auto"/>
              <w:right w:val="single" w:sz="8" w:space="0" w:color="auto"/>
            </w:tcBorders>
            <w:shd w:val="clear" w:color="auto" w:fill="auto"/>
            <w:vAlign w:val="center"/>
          </w:tcPr>
          <w:p w:rsidR="00B609F3" w:rsidRPr="002733BD" w:rsidRDefault="00B609F3" w:rsidP="00483B4A">
            <w:pPr>
              <w:jc w:val="center"/>
              <w:rPr>
                <w:b/>
                <w:bCs/>
                <w:sz w:val="18"/>
                <w:szCs w:val="18"/>
                <w:lang w:eastAsia="bg-BG"/>
              </w:rPr>
            </w:pPr>
            <w:r w:rsidRPr="002733BD">
              <w:rPr>
                <w:b/>
                <w:bCs/>
                <w:sz w:val="18"/>
                <w:szCs w:val="18"/>
                <w:lang w:eastAsia="bg-BG"/>
              </w:rPr>
              <w:t xml:space="preserve">Изпълнение спрямо </w:t>
            </w:r>
          </w:p>
          <w:p w:rsidR="00B609F3" w:rsidRPr="002733BD" w:rsidRDefault="00B609F3" w:rsidP="00483B4A">
            <w:pPr>
              <w:jc w:val="center"/>
              <w:rPr>
                <w:b/>
                <w:bCs/>
                <w:sz w:val="18"/>
                <w:szCs w:val="18"/>
                <w:lang w:eastAsia="bg-BG"/>
              </w:rPr>
            </w:pPr>
            <w:r w:rsidRPr="002733BD">
              <w:rPr>
                <w:b/>
                <w:bCs/>
                <w:sz w:val="18"/>
                <w:szCs w:val="18"/>
                <w:lang w:eastAsia="bg-BG"/>
              </w:rPr>
              <w:t xml:space="preserve">    2025 г.</w:t>
            </w:r>
          </w:p>
        </w:tc>
      </w:tr>
      <w:tr w:rsidR="00B609F3" w:rsidRPr="002733BD" w:rsidTr="00483B4A">
        <w:trPr>
          <w:trHeight w:val="92"/>
          <w:jc w:val="center"/>
        </w:trPr>
        <w:tc>
          <w:tcPr>
            <w:tcW w:w="4668" w:type="dxa"/>
            <w:tcBorders>
              <w:top w:val="single" w:sz="4" w:space="0" w:color="auto"/>
              <w:left w:val="single" w:sz="8" w:space="0" w:color="auto"/>
              <w:bottom w:val="single" w:sz="4" w:space="0" w:color="auto"/>
              <w:right w:val="single" w:sz="8" w:space="0" w:color="auto"/>
            </w:tcBorders>
            <w:shd w:val="clear" w:color="auto" w:fill="auto"/>
            <w:noWrap/>
            <w:vAlign w:val="bottom"/>
          </w:tcPr>
          <w:p w:rsidR="00B609F3" w:rsidRPr="002733BD" w:rsidRDefault="00B609F3" w:rsidP="00483B4A">
            <w:pPr>
              <w:rPr>
                <w:b/>
                <w:bCs/>
                <w:sz w:val="18"/>
                <w:szCs w:val="18"/>
                <w:lang w:eastAsia="bg-BG"/>
              </w:rPr>
            </w:pPr>
            <w:r w:rsidRPr="002733BD">
              <w:rPr>
                <w:b/>
                <w:bCs/>
                <w:sz w:val="18"/>
                <w:szCs w:val="18"/>
                <w:lang w:eastAsia="bg-BG"/>
              </w:rPr>
              <w:t>Общо приходи, помощи и дарения</w:t>
            </w:r>
          </w:p>
        </w:tc>
        <w:tc>
          <w:tcPr>
            <w:tcW w:w="1538" w:type="dxa"/>
            <w:tcBorders>
              <w:top w:val="nil"/>
              <w:left w:val="nil"/>
              <w:bottom w:val="nil"/>
              <w:right w:val="nil"/>
            </w:tcBorders>
            <w:shd w:val="clear" w:color="auto" w:fill="auto"/>
            <w:noWrap/>
            <w:vAlign w:val="bottom"/>
          </w:tcPr>
          <w:p w:rsidR="00B609F3" w:rsidRPr="002733BD" w:rsidRDefault="00B609F3" w:rsidP="00483B4A">
            <w:pPr>
              <w:jc w:val="right"/>
              <w:rPr>
                <w:b/>
                <w:bCs/>
                <w:sz w:val="18"/>
                <w:szCs w:val="18"/>
                <w:lang w:eastAsia="bg-BG"/>
              </w:rPr>
            </w:pPr>
            <w:r w:rsidRPr="002733BD">
              <w:rPr>
                <w:b/>
                <w:bCs/>
                <w:sz w:val="18"/>
                <w:szCs w:val="18"/>
                <w:lang w:eastAsia="bg-BG"/>
              </w:rPr>
              <w:t>4 956,6</w:t>
            </w:r>
          </w:p>
        </w:tc>
        <w:tc>
          <w:tcPr>
            <w:tcW w:w="1155" w:type="dxa"/>
            <w:tcBorders>
              <w:top w:val="nil"/>
              <w:left w:val="nil"/>
              <w:bottom w:val="nil"/>
              <w:right w:val="nil"/>
            </w:tcBorders>
            <w:shd w:val="clear" w:color="auto" w:fill="auto"/>
            <w:noWrap/>
            <w:vAlign w:val="bottom"/>
          </w:tcPr>
          <w:p w:rsidR="00B609F3" w:rsidRPr="002733BD" w:rsidRDefault="00B609F3" w:rsidP="00483B4A">
            <w:pPr>
              <w:jc w:val="right"/>
              <w:rPr>
                <w:b/>
                <w:bCs/>
                <w:sz w:val="18"/>
                <w:szCs w:val="18"/>
                <w:lang w:eastAsia="bg-BG"/>
              </w:rPr>
            </w:pPr>
            <w:r w:rsidRPr="002733BD">
              <w:rPr>
                <w:b/>
                <w:bCs/>
                <w:sz w:val="18"/>
                <w:szCs w:val="18"/>
                <w:lang w:eastAsia="bg-BG"/>
              </w:rPr>
              <w:t>5 457,3</w:t>
            </w:r>
          </w:p>
        </w:tc>
        <w:tc>
          <w:tcPr>
            <w:tcW w:w="1233" w:type="dxa"/>
            <w:tcBorders>
              <w:top w:val="single" w:sz="4" w:space="0" w:color="auto"/>
              <w:left w:val="nil"/>
              <w:bottom w:val="single" w:sz="4" w:space="0" w:color="auto"/>
              <w:right w:val="single" w:sz="4" w:space="0" w:color="auto"/>
            </w:tcBorders>
            <w:shd w:val="clear" w:color="auto" w:fill="auto"/>
            <w:noWrap/>
            <w:vAlign w:val="bottom"/>
          </w:tcPr>
          <w:p w:rsidR="00B609F3" w:rsidRPr="002733BD" w:rsidRDefault="00B609F3" w:rsidP="00483B4A">
            <w:pPr>
              <w:jc w:val="right"/>
              <w:rPr>
                <w:b/>
                <w:bCs/>
                <w:sz w:val="18"/>
                <w:szCs w:val="18"/>
                <w:lang w:eastAsia="bg-BG"/>
              </w:rPr>
            </w:pPr>
            <w:r w:rsidRPr="002733BD">
              <w:rPr>
                <w:b/>
                <w:bCs/>
                <w:sz w:val="18"/>
                <w:szCs w:val="18"/>
                <w:lang w:eastAsia="bg-BG"/>
              </w:rPr>
              <w:t>110,1%</w:t>
            </w:r>
          </w:p>
        </w:tc>
      </w:tr>
      <w:tr w:rsidR="00B609F3" w:rsidRPr="002733BD" w:rsidTr="00483B4A">
        <w:trPr>
          <w:trHeight w:val="80"/>
          <w:jc w:val="center"/>
        </w:trPr>
        <w:tc>
          <w:tcPr>
            <w:tcW w:w="4668" w:type="dxa"/>
            <w:tcBorders>
              <w:top w:val="single" w:sz="4" w:space="0" w:color="auto"/>
              <w:left w:val="single" w:sz="8" w:space="0" w:color="auto"/>
              <w:bottom w:val="nil"/>
              <w:right w:val="single" w:sz="8" w:space="0" w:color="auto"/>
            </w:tcBorders>
            <w:shd w:val="clear" w:color="auto" w:fill="auto"/>
            <w:noWrap/>
            <w:vAlign w:val="bottom"/>
          </w:tcPr>
          <w:p w:rsidR="00B609F3" w:rsidRPr="002733BD" w:rsidRDefault="00B609F3" w:rsidP="00483B4A">
            <w:pPr>
              <w:rPr>
                <w:sz w:val="18"/>
                <w:szCs w:val="18"/>
                <w:lang w:eastAsia="bg-BG"/>
              </w:rPr>
            </w:pPr>
            <w:r w:rsidRPr="002733BD">
              <w:rPr>
                <w:sz w:val="18"/>
                <w:szCs w:val="18"/>
                <w:lang w:eastAsia="bg-BG"/>
              </w:rPr>
              <w:t xml:space="preserve">   -Данъчни приходи</w:t>
            </w:r>
          </w:p>
        </w:tc>
        <w:tc>
          <w:tcPr>
            <w:tcW w:w="1538" w:type="dxa"/>
            <w:tcBorders>
              <w:top w:val="single" w:sz="4" w:space="0" w:color="auto"/>
              <w:left w:val="nil"/>
              <w:bottom w:val="nil"/>
              <w:right w:val="nil"/>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4 217,1</w:t>
            </w:r>
          </w:p>
        </w:tc>
        <w:tc>
          <w:tcPr>
            <w:tcW w:w="1155" w:type="dxa"/>
            <w:tcBorders>
              <w:top w:val="single" w:sz="4" w:space="0" w:color="auto"/>
              <w:left w:val="nil"/>
              <w:bottom w:val="nil"/>
              <w:right w:val="nil"/>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4 873,0</w:t>
            </w:r>
          </w:p>
        </w:tc>
        <w:tc>
          <w:tcPr>
            <w:tcW w:w="1233" w:type="dxa"/>
            <w:tcBorders>
              <w:top w:val="single" w:sz="4" w:space="0" w:color="auto"/>
              <w:left w:val="nil"/>
              <w:bottom w:val="nil"/>
              <w:right w:val="single" w:sz="4" w:space="0" w:color="auto"/>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115,6%</w:t>
            </w:r>
          </w:p>
        </w:tc>
      </w:tr>
      <w:tr w:rsidR="00B609F3" w:rsidRPr="002733BD" w:rsidTr="00483B4A">
        <w:trPr>
          <w:trHeight w:val="80"/>
          <w:jc w:val="center"/>
        </w:trPr>
        <w:tc>
          <w:tcPr>
            <w:tcW w:w="4668" w:type="dxa"/>
            <w:tcBorders>
              <w:left w:val="single" w:sz="8" w:space="0" w:color="auto"/>
              <w:right w:val="single" w:sz="8" w:space="0" w:color="auto"/>
            </w:tcBorders>
            <w:shd w:val="clear" w:color="auto" w:fill="auto"/>
            <w:noWrap/>
            <w:vAlign w:val="bottom"/>
          </w:tcPr>
          <w:p w:rsidR="00B609F3" w:rsidRPr="002733BD" w:rsidRDefault="00B609F3" w:rsidP="00483B4A">
            <w:pPr>
              <w:rPr>
                <w:sz w:val="18"/>
                <w:szCs w:val="18"/>
                <w:lang w:eastAsia="bg-BG"/>
              </w:rPr>
            </w:pPr>
            <w:r w:rsidRPr="002733BD">
              <w:rPr>
                <w:sz w:val="18"/>
                <w:szCs w:val="18"/>
                <w:lang w:eastAsia="bg-BG"/>
              </w:rPr>
              <w:t xml:space="preserve">      Корпоративни данъци</w:t>
            </w:r>
          </w:p>
        </w:tc>
        <w:tc>
          <w:tcPr>
            <w:tcW w:w="1538" w:type="dxa"/>
            <w:tcBorders>
              <w:left w:val="nil"/>
              <w:bottom w:val="nil"/>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92,9</w:t>
            </w:r>
          </w:p>
        </w:tc>
        <w:tc>
          <w:tcPr>
            <w:tcW w:w="1155" w:type="dxa"/>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101,0</w:t>
            </w:r>
          </w:p>
        </w:tc>
        <w:tc>
          <w:tcPr>
            <w:tcW w:w="1233" w:type="dxa"/>
            <w:tcBorders>
              <w:right w:val="single" w:sz="4" w:space="0" w:color="auto"/>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108,7%</w:t>
            </w:r>
          </w:p>
        </w:tc>
      </w:tr>
      <w:tr w:rsidR="00B609F3" w:rsidRPr="002733BD" w:rsidTr="00483B4A">
        <w:trPr>
          <w:trHeight w:val="165"/>
          <w:jc w:val="center"/>
        </w:trPr>
        <w:tc>
          <w:tcPr>
            <w:tcW w:w="4668" w:type="dxa"/>
            <w:tcBorders>
              <w:left w:val="single" w:sz="8" w:space="0" w:color="auto"/>
              <w:right w:val="single" w:sz="8" w:space="0" w:color="auto"/>
            </w:tcBorders>
            <w:shd w:val="clear" w:color="auto" w:fill="auto"/>
            <w:noWrap/>
            <w:vAlign w:val="bottom"/>
          </w:tcPr>
          <w:p w:rsidR="00B609F3" w:rsidRPr="002733BD" w:rsidRDefault="00B609F3" w:rsidP="00483B4A">
            <w:pPr>
              <w:rPr>
                <w:sz w:val="18"/>
                <w:szCs w:val="18"/>
                <w:lang w:eastAsia="bg-BG"/>
              </w:rPr>
            </w:pPr>
            <w:r w:rsidRPr="002733BD">
              <w:rPr>
                <w:sz w:val="18"/>
                <w:szCs w:val="18"/>
                <w:lang w:eastAsia="bg-BG"/>
              </w:rPr>
              <w:t xml:space="preserve">     </w:t>
            </w:r>
            <w:r w:rsidRPr="002733BD">
              <w:rPr>
                <w:sz w:val="18"/>
                <w:szCs w:val="18"/>
                <w:lang w:val="en-US" w:eastAsia="bg-BG"/>
              </w:rPr>
              <w:t xml:space="preserve"> </w:t>
            </w:r>
            <w:r w:rsidRPr="002733BD">
              <w:rPr>
                <w:sz w:val="18"/>
                <w:szCs w:val="18"/>
                <w:lang w:eastAsia="bg-BG"/>
              </w:rPr>
              <w:t>ДДФЛ</w:t>
            </w:r>
          </w:p>
        </w:tc>
        <w:tc>
          <w:tcPr>
            <w:tcW w:w="1538" w:type="dxa"/>
            <w:tcBorders>
              <w:left w:val="nil"/>
              <w:bottom w:val="nil"/>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849,4</w:t>
            </w:r>
          </w:p>
        </w:tc>
        <w:tc>
          <w:tcPr>
            <w:tcW w:w="1155" w:type="dxa"/>
            <w:tcBorders>
              <w:top w:val="nil"/>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1 052,6</w:t>
            </w:r>
          </w:p>
        </w:tc>
        <w:tc>
          <w:tcPr>
            <w:tcW w:w="1233" w:type="dxa"/>
            <w:tcBorders>
              <w:top w:val="nil"/>
              <w:right w:val="single" w:sz="4" w:space="0" w:color="auto"/>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123,9%</w:t>
            </w:r>
          </w:p>
        </w:tc>
      </w:tr>
      <w:tr w:rsidR="00B609F3" w:rsidRPr="002733BD" w:rsidTr="00483B4A">
        <w:trPr>
          <w:trHeight w:val="165"/>
          <w:jc w:val="center"/>
        </w:trPr>
        <w:tc>
          <w:tcPr>
            <w:tcW w:w="4668" w:type="dxa"/>
            <w:tcBorders>
              <w:left w:val="single" w:sz="8" w:space="0" w:color="auto"/>
              <w:right w:val="single" w:sz="8" w:space="0" w:color="auto"/>
            </w:tcBorders>
            <w:shd w:val="clear" w:color="auto" w:fill="auto"/>
            <w:noWrap/>
            <w:vAlign w:val="bottom"/>
          </w:tcPr>
          <w:p w:rsidR="00B609F3" w:rsidRPr="002733BD" w:rsidRDefault="00B609F3" w:rsidP="00483B4A">
            <w:pPr>
              <w:rPr>
                <w:sz w:val="18"/>
                <w:szCs w:val="18"/>
                <w:lang w:eastAsia="bg-BG"/>
              </w:rPr>
            </w:pPr>
            <w:r w:rsidRPr="002733BD">
              <w:rPr>
                <w:sz w:val="18"/>
                <w:szCs w:val="18"/>
                <w:lang w:eastAsia="bg-BG"/>
              </w:rPr>
              <w:t xml:space="preserve">     </w:t>
            </w:r>
            <w:r w:rsidRPr="002733BD">
              <w:rPr>
                <w:sz w:val="18"/>
                <w:szCs w:val="18"/>
                <w:lang w:val="en-US" w:eastAsia="bg-BG"/>
              </w:rPr>
              <w:t xml:space="preserve"> </w:t>
            </w:r>
            <w:r w:rsidRPr="002733BD">
              <w:rPr>
                <w:sz w:val="18"/>
                <w:szCs w:val="18"/>
                <w:lang w:eastAsia="bg-BG"/>
              </w:rPr>
              <w:t>ДДС</w:t>
            </w:r>
          </w:p>
        </w:tc>
        <w:tc>
          <w:tcPr>
            <w:tcW w:w="1538" w:type="dxa"/>
            <w:tcBorders>
              <w:left w:val="nil"/>
              <w:bottom w:val="nil"/>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2 425,3</w:t>
            </w:r>
          </w:p>
        </w:tc>
        <w:tc>
          <w:tcPr>
            <w:tcW w:w="1155" w:type="dxa"/>
            <w:tcBorders>
              <w:top w:val="nil"/>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2 824,2</w:t>
            </w:r>
          </w:p>
        </w:tc>
        <w:tc>
          <w:tcPr>
            <w:tcW w:w="1233" w:type="dxa"/>
            <w:tcBorders>
              <w:top w:val="nil"/>
              <w:right w:val="single" w:sz="4" w:space="0" w:color="auto"/>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116,5%</w:t>
            </w:r>
          </w:p>
        </w:tc>
      </w:tr>
      <w:tr w:rsidR="00B609F3" w:rsidRPr="002733BD" w:rsidTr="00483B4A">
        <w:trPr>
          <w:trHeight w:val="165"/>
          <w:jc w:val="center"/>
        </w:trPr>
        <w:tc>
          <w:tcPr>
            <w:tcW w:w="4668" w:type="dxa"/>
            <w:tcBorders>
              <w:left w:val="single" w:sz="8" w:space="0" w:color="auto"/>
              <w:right w:val="single" w:sz="8" w:space="0" w:color="auto"/>
            </w:tcBorders>
            <w:shd w:val="clear" w:color="auto" w:fill="auto"/>
            <w:noWrap/>
            <w:vAlign w:val="bottom"/>
          </w:tcPr>
          <w:p w:rsidR="00B609F3" w:rsidRPr="002733BD" w:rsidRDefault="00B609F3" w:rsidP="00483B4A">
            <w:pPr>
              <w:rPr>
                <w:sz w:val="18"/>
                <w:szCs w:val="18"/>
                <w:lang w:eastAsia="bg-BG"/>
              </w:rPr>
            </w:pPr>
            <w:r w:rsidRPr="002733BD">
              <w:rPr>
                <w:sz w:val="18"/>
                <w:szCs w:val="18"/>
                <w:lang w:eastAsia="bg-BG"/>
              </w:rPr>
              <w:t xml:space="preserve">     </w:t>
            </w:r>
            <w:r w:rsidRPr="002733BD">
              <w:rPr>
                <w:sz w:val="18"/>
                <w:szCs w:val="18"/>
                <w:lang w:val="en-US" w:eastAsia="bg-BG"/>
              </w:rPr>
              <w:t xml:space="preserve"> </w:t>
            </w:r>
            <w:r w:rsidRPr="002733BD">
              <w:rPr>
                <w:sz w:val="18"/>
                <w:szCs w:val="18"/>
                <w:lang w:eastAsia="bg-BG"/>
              </w:rPr>
              <w:t xml:space="preserve">Акцизи </w:t>
            </w:r>
          </w:p>
        </w:tc>
        <w:tc>
          <w:tcPr>
            <w:tcW w:w="1538" w:type="dxa"/>
            <w:tcBorders>
              <w:left w:val="nil"/>
              <w:bottom w:val="nil"/>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774,2</w:t>
            </w:r>
          </w:p>
        </w:tc>
        <w:tc>
          <w:tcPr>
            <w:tcW w:w="1155" w:type="dxa"/>
            <w:tcBorders>
              <w:top w:val="nil"/>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803,6</w:t>
            </w:r>
          </w:p>
        </w:tc>
        <w:tc>
          <w:tcPr>
            <w:tcW w:w="1233" w:type="dxa"/>
            <w:tcBorders>
              <w:top w:val="nil"/>
              <w:right w:val="single" w:sz="4" w:space="0" w:color="auto"/>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103,8%</w:t>
            </w:r>
          </w:p>
        </w:tc>
      </w:tr>
      <w:tr w:rsidR="00B609F3" w:rsidRPr="002733BD" w:rsidTr="00483B4A">
        <w:trPr>
          <w:trHeight w:val="165"/>
          <w:jc w:val="center"/>
        </w:trPr>
        <w:tc>
          <w:tcPr>
            <w:tcW w:w="4668" w:type="dxa"/>
            <w:tcBorders>
              <w:left w:val="single" w:sz="8" w:space="0" w:color="auto"/>
              <w:right w:val="single" w:sz="8" w:space="0" w:color="auto"/>
            </w:tcBorders>
            <w:shd w:val="clear" w:color="auto" w:fill="auto"/>
            <w:noWrap/>
            <w:vAlign w:val="bottom"/>
          </w:tcPr>
          <w:p w:rsidR="00B609F3" w:rsidRPr="002733BD" w:rsidRDefault="00B609F3" w:rsidP="00483B4A">
            <w:pPr>
              <w:rPr>
                <w:sz w:val="18"/>
                <w:szCs w:val="18"/>
                <w:lang w:eastAsia="bg-BG"/>
              </w:rPr>
            </w:pPr>
            <w:r w:rsidRPr="002733BD">
              <w:rPr>
                <w:sz w:val="18"/>
                <w:szCs w:val="18"/>
                <w:lang w:eastAsia="bg-BG"/>
              </w:rPr>
              <w:t xml:space="preserve">      Данък в/у застрахователните премии</w:t>
            </w:r>
          </w:p>
        </w:tc>
        <w:tc>
          <w:tcPr>
            <w:tcW w:w="1538" w:type="dxa"/>
            <w:tcBorders>
              <w:left w:val="nil"/>
              <w:bottom w:val="nil"/>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8,8</w:t>
            </w:r>
          </w:p>
        </w:tc>
        <w:tc>
          <w:tcPr>
            <w:tcW w:w="1155" w:type="dxa"/>
            <w:tcBorders>
              <w:top w:val="nil"/>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9,9</w:t>
            </w:r>
          </w:p>
        </w:tc>
        <w:tc>
          <w:tcPr>
            <w:tcW w:w="1233" w:type="dxa"/>
            <w:tcBorders>
              <w:top w:val="nil"/>
              <w:right w:val="single" w:sz="4" w:space="0" w:color="auto"/>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112,6%</w:t>
            </w:r>
          </w:p>
        </w:tc>
      </w:tr>
      <w:tr w:rsidR="00B609F3" w:rsidRPr="002733BD" w:rsidTr="00483B4A">
        <w:trPr>
          <w:trHeight w:val="165"/>
          <w:jc w:val="center"/>
        </w:trPr>
        <w:tc>
          <w:tcPr>
            <w:tcW w:w="4668" w:type="dxa"/>
            <w:tcBorders>
              <w:left w:val="single" w:sz="8" w:space="0" w:color="auto"/>
              <w:right w:val="single" w:sz="8" w:space="0" w:color="auto"/>
            </w:tcBorders>
            <w:shd w:val="clear" w:color="auto" w:fill="auto"/>
            <w:noWrap/>
            <w:vAlign w:val="bottom"/>
          </w:tcPr>
          <w:p w:rsidR="00B609F3" w:rsidRPr="002733BD" w:rsidRDefault="00B609F3" w:rsidP="00483B4A">
            <w:pPr>
              <w:rPr>
                <w:sz w:val="18"/>
                <w:szCs w:val="18"/>
                <w:lang w:eastAsia="bg-BG"/>
              </w:rPr>
            </w:pPr>
            <w:r w:rsidRPr="002733BD">
              <w:rPr>
                <w:sz w:val="18"/>
                <w:szCs w:val="18"/>
                <w:lang w:eastAsia="bg-BG"/>
              </w:rPr>
              <w:t xml:space="preserve">     </w:t>
            </w:r>
            <w:r w:rsidRPr="002733BD">
              <w:rPr>
                <w:sz w:val="18"/>
                <w:szCs w:val="18"/>
                <w:lang w:val="en-US" w:eastAsia="bg-BG"/>
              </w:rPr>
              <w:t xml:space="preserve"> </w:t>
            </w:r>
            <w:r w:rsidRPr="002733BD">
              <w:rPr>
                <w:sz w:val="18"/>
                <w:szCs w:val="18"/>
                <w:lang w:eastAsia="bg-BG"/>
              </w:rPr>
              <w:t>Мита и митнически такси</w:t>
            </w:r>
          </w:p>
        </w:tc>
        <w:tc>
          <w:tcPr>
            <w:tcW w:w="1538" w:type="dxa"/>
            <w:tcBorders>
              <w:left w:val="nil"/>
              <w:bottom w:val="nil"/>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46,9</w:t>
            </w:r>
          </w:p>
        </w:tc>
        <w:tc>
          <w:tcPr>
            <w:tcW w:w="1155" w:type="dxa"/>
            <w:tcBorders>
              <w:top w:val="nil"/>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63,4</w:t>
            </w:r>
          </w:p>
        </w:tc>
        <w:tc>
          <w:tcPr>
            <w:tcW w:w="1233" w:type="dxa"/>
            <w:tcBorders>
              <w:top w:val="nil"/>
              <w:right w:val="single" w:sz="4" w:space="0" w:color="auto"/>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135,1%</w:t>
            </w:r>
          </w:p>
        </w:tc>
      </w:tr>
      <w:tr w:rsidR="00B609F3" w:rsidRPr="002733BD" w:rsidTr="00483B4A">
        <w:trPr>
          <w:trHeight w:val="165"/>
          <w:jc w:val="center"/>
        </w:trPr>
        <w:tc>
          <w:tcPr>
            <w:tcW w:w="4668" w:type="dxa"/>
            <w:tcBorders>
              <w:left w:val="single" w:sz="8" w:space="0" w:color="auto"/>
              <w:right w:val="single" w:sz="8" w:space="0" w:color="auto"/>
            </w:tcBorders>
            <w:shd w:val="clear" w:color="auto" w:fill="auto"/>
            <w:noWrap/>
            <w:vAlign w:val="bottom"/>
          </w:tcPr>
          <w:p w:rsidR="00B609F3" w:rsidRPr="002733BD" w:rsidRDefault="00B609F3" w:rsidP="00483B4A">
            <w:pPr>
              <w:rPr>
                <w:sz w:val="18"/>
                <w:szCs w:val="18"/>
                <w:lang w:eastAsia="bg-BG"/>
              </w:rPr>
            </w:pPr>
            <w:r w:rsidRPr="002733BD">
              <w:rPr>
                <w:sz w:val="18"/>
                <w:szCs w:val="18"/>
                <w:lang w:eastAsia="bg-BG"/>
              </w:rPr>
              <w:t xml:space="preserve">     </w:t>
            </w:r>
            <w:r w:rsidRPr="002733BD">
              <w:rPr>
                <w:sz w:val="18"/>
                <w:szCs w:val="18"/>
                <w:lang w:val="en-US" w:eastAsia="bg-BG"/>
              </w:rPr>
              <w:t xml:space="preserve"> </w:t>
            </w:r>
            <w:r w:rsidRPr="002733BD">
              <w:rPr>
                <w:sz w:val="18"/>
                <w:szCs w:val="18"/>
                <w:lang w:eastAsia="bg-BG"/>
              </w:rPr>
              <w:t>Други данъци</w:t>
            </w:r>
          </w:p>
        </w:tc>
        <w:tc>
          <w:tcPr>
            <w:tcW w:w="1538" w:type="dxa"/>
            <w:tcBorders>
              <w:top w:val="nil"/>
              <w:left w:val="nil"/>
              <w:bottom w:val="nil"/>
              <w:right w:val="nil"/>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19,5</w:t>
            </w:r>
          </w:p>
        </w:tc>
        <w:tc>
          <w:tcPr>
            <w:tcW w:w="1155" w:type="dxa"/>
            <w:tcBorders>
              <w:top w:val="nil"/>
              <w:left w:val="nil"/>
              <w:bottom w:val="nil"/>
              <w:right w:val="nil"/>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18,1</w:t>
            </w:r>
          </w:p>
        </w:tc>
        <w:tc>
          <w:tcPr>
            <w:tcW w:w="1233" w:type="dxa"/>
            <w:tcBorders>
              <w:top w:val="nil"/>
              <w:left w:val="nil"/>
              <w:right w:val="single" w:sz="4" w:space="0" w:color="auto"/>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93,1%</w:t>
            </w:r>
          </w:p>
        </w:tc>
      </w:tr>
      <w:tr w:rsidR="00B609F3" w:rsidRPr="002733BD" w:rsidTr="00483B4A">
        <w:trPr>
          <w:trHeight w:val="165"/>
          <w:jc w:val="center"/>
        </w:trPr>
        <w:tc>
          <w:tcPr>
            <w:tcW w:w="4668" w:type="dxa"/>
            <w:tcBorders>
              <w:left w:val="single" w:sz="8" w:space="0" w:color="auto"/>
              <w:right w:val="single" w:sz="8" w:space="0" w:color="auto"/>
            </w:tcBorders>
            <w:shd w:val="clear" w:color="auto" w:fill="auto"/>
            <w:noWrap/>
            <w:vAlign w:val="bottom"/>
          </w:tcPr>
          <w:p w:rsidR="00B609F3" w:rsidRPr="002733BD" w:rsidRDefault="00B609F3" w:rsidP="00483B4A">
            <w:pPr>
              <w:rPr>
                <w:sz w:val="18"/>
                <w:szCs w:val="18"/>
                <w:lang w:eastAsia="bg-BG"/>
              </w:rPr>
            </w:pPr>
            <w:r w:rsidRPr="002733BD">
              <w:rPr>
                <w:sz w:val="18"/>
                <w:szCs w:val="18"/>
                <w:lang w:eastAsia="bg-BG"/>
              </w:rPr>
              <w:t xml:space="preserve">   -Неданъчни приходи</w:t>
            </w:r>
          </w:p>
        </w:tc>
        <w:tc>
          <w:tcPr>
            <w:tcW w:w="1538" w:type="dxa"/>
            <w:tcBorders>
              <w:top w:val="nil"/>
              <w:left w:val="nil"/>
              <w:bottom w:val="nil"/>
              <w:right w:val="nil"/>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560,6</w:t>
            </w:r>
          </w:p>
        </w:tc>
        <w:tc>
          <w:tcPr>
            <w:tcW w:w="1155" w:type="dxa"/>
            <w:tcBorders>
              <w:top w:val="nil"/>
              <w:left w:val="nil"/>
              <w:bottom w:val="nil"/>
              <w:right w:val="nil"/>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551,0</w:t>
            </w:r>
          </w:p>
        </w:tc>
        <w:tc>
          <w:tcPr>
            <w:tcW w:w="1233" w:type="dxa"/>
            <w:tcBorders>
              <w:top w:val="nil"/>
              <w:left w:val="nil"/>
              <w:bottom w:val="nil"/>
              <w:right w:val="single" w:sz="4" w:space="0" w:color="auto"/>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98,3%</w:t>
            </w:r>
          </w:p>
        </w:tc>
      </w:tr>
      <w:tr w:rsidR="00B609F3" w:rsidRPr="002733BD" w:rsidTr="00483B4A">
        <w:trPr>
          <w:trHeight w:val="165"/>
          <w:jc w:val="center"/>
        </w:trPr>
        <w:tc>
          <w:tcPr>
            <w:tcW w:w="4668" w:type="dxa"/>
            <w:tcBorders>
              <w:left w:val="single" w:sz="8" w:space="0" w:color="auto"/>
              <w:bottom w:val="single" w:sz="4" w:space="0" w:color="auto"/>
              <w:right w:val="single" w:sz="8" w:space="0" w:color="auto"/>
            </w:tcBorders>
            <w:shd w:val="clear" w:color="auto" w:fill="auto"/>
            <w:noWrap/>
            <w:vAlign w:val="bottom"/>
          </w:tcPr>
          <w:p w:rsidR="00B609F3" w:rsidRPr="002733BD" w:rsidRDefault="00B609F3" w:rsidP="00483B4A">
            <w:pPr>
              <w:rPr>
                <w:sz w:val="18"/>
                <w:szCs w:val="18"/>
                <w:lang w:eastAsia="bg-BG"/>
              </w:rPr>
            </w:pPr>
            <w:r w:rsidRPr="002733BD">
              <w:rPr>
                <w:sz w:val="18"/>
                <w:szCs w:val="18"/>
                <w:lang w:eastAsia="bg-BG"/>
              </w:rPr>
              <w:t xml:space="preserve">   -Помощи и дарения</w:t>
            </w:r>
          </w:p>
        </w:tc>
        <w:tc>
          <w:tcPr>
            <w:tcW w:w="1538" w:type="dxa"/>
            <w:tcBorders>
              <w:top w:val="nil"/>
              <w:left w:val="nil"/>
              <w:bottom w:val="single" w:sz="4" w:space="0" w:color="auto"/>
              <w:right w:val="nil"/>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178,9</w:t>
            </w:r>
          </w:p>
        </w:tc>
        <w:tc>
          <w:tcPr>
            <w:tcW w:w="1155" w:type="dxa"/>
            <w:tcBorders>
              <w:top w:val="nil"/>
              <w:left w:val="nil"/>
              <w:bottom w:val="single" w:sz="4" w:space="0" w:color="auto"/>
              <w:right w:val="nil"/>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33,3</w:t>
            </w:r>
          </w:p>
        </w:tc>
        <w:tc>
          <w:tcPr>
            <w:tcW w:w="1233" w:type="dxa"/>
            <w:tcBorders>
              <w:top w:val="nil"/>
              <w:left w:val="nil"/>
              <w:bottom w:val="single" w:sz="4" w:space="0" w:color="auto"/>
              <w:right w:val="single" w:sz="4" w:space="0" w:color="auto"/>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18,6%</w:t>
            </w:r>
          </w:p>
        </w:tc>
      </w:tr>
      <w:tr w:rsidR="00B609F3" w:rsidRPr="002733BD" w:rsidTr="00483B4A">
        <w:trPr>
          <w:trHeight w:val="199"/>
          <w:jc w:val="center"/>
        </w:trPr>
        <w:tc>
          <w:tcPr>
            <w:tcW w:w="46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09F3" w:rsidRPr="002733BD" w:rsidRDefault="00B609F3" w:rsidP="00483B4A">
            <w:pPr>
              <w:rPr>
                <w:b/>
                <w:bCs/>
                <w:sz w:val="18"/>
                <w:szCs w:val="18"/>
                <w:lang w:eastAsia="bg-BG"/>
              </w:rPr>
            </w:pPr>
            <w:r w:rsidRPr="002733BD">
              <w:rPr>
                <w:b/>
                <w:bCs/>
                <w:sz w:val="18"/>
                <w:szCs w:val="18"/>
                <w:lang w:eastAsia="bg-BG"/>
              </w:rPr>
              <w:t xml:space="preserve"> Разходи, трансфери и вноска в бюджета на ЕС</w:t>
            </w:r>
          </w:p>
        </w:tc>
        <w:tc>
          <w:tcPr>
            <w:tcW w:w="1538" w:type="dxa"/>
            <w:tcBorders>
              <w:top w:val="single" w:sz="4" w:space="0" w:color="auto"/>
              <w:left w:val="single" w:sz="8" w:space="0" w:color="auto"/>
              <w:bottom w:val="single" w:sz="4" w:space="0" w:color="auto"/>
              <w:right w:val="nil"/>
            </w:tcBorders>
            <w:shd w:val="clear" w:color="auto" w:fill="auto"/>
            <w:noWrap/>
            <w:vAlign w:val="bottom"/>
          </w:tcPr>
          <w:p w:rsidR="00B609F3" w:rsidRPr="002733BD" w:rsidRDefault="00B609F3" w:rsidP="00483B4A">
            <w:pPr>
              <w:jc w:val="right"/>
              <w:rPr>
                <w:b/>
                <w:bCs/>
                <w:sz w:val="18"/>
                <w:szCs w:val="18"/>
                <w:lang w:eastAsia="bg-BG"/>
              </w:rPr>
            </w:pPr>
            <w:r w:rsidRPr="002733BD">
              <w:rPr>
                <w:b/>
                <w:bCs/>
                <w:sz w:val="18"/>
                <w:szCs w:val="18"/>
                <w:lang w:eastAsia="bg-BG"/>
              </w:rPr>
              <w:t>6 319,9</w:t>
            </w:r>
          </w:p>
        </w:tc>
        <w:tc>
          <w:tcPr>
            <w:tcW w:w="1155" w:type="dxa"/>
            <w:tcBorders>
              <w:top w:val="single" w:sz="4" w:space="0" w:color="auto"/>
              <w:left w:val="nil"/>
              <w:bottom w:val="single" w:sz="4" w:space="0" w:color="auto"/>
              <w:right w:val="nil"/>
            </w:tcBorders>
            <w:shd w:val="clear" w:color="auto" w:fill="auto"/>
            <w:noWrap/>
            <w:vAlign w:val="bottom"/>
          </w:tcPr>
          <w:p w:rsidR="00B609F3" w:rsidRPr="002733BD" w:rsidRDefault="00B609F3" w:rsidP="00483B4A">
            <w:pPr>
              <w:jc w:val="right"/>
              <w:rPr>
                <w:b/>
                <w:bCs/>
                <w:sz w:val="18"/>
                <w:szCs w:val="18"/>
                <w:lang w:eastAsia="bg-BG"/>
              </w:rPr>
            </w:pPr>
            <w:r w:rsidRPr="002733BD">
              <w:rPr>
                <w:b/>
                <w:bCs/>
                <w:sz w:val="18"/>
                <w:szCs w:val="18"/>
                <w:lang w:eastAsia="bg-BG"/>
              </w:rPr>
              <w:t>7 375,6</w:t>
            </w:r>
          </w:p>
        </w:tc>
        <w:tc>
          <w:tcPr>
            <w:tcW w:w="1233" w:type="dxa"/>
            <w:tcBorders>
              <w:top w:val="single" w:sz="4" w:space="0" w:color="auto"/>
              <w:left w:val="nil"/>
              <w:bottom w:val="single" w:sz="4" w:space="0" w:color="auto"/>
              <w:right w:val="single" w:sz="4" w:space="0" w:color="auto"/>
            </w:tcBorders>
            <w:shd w:val="clear" w:color="auto" w:fill="auto"/>
            <w:noWrap/>
            <w:vAlign w:val="bottom"/>
          </w:tcPr>
          <w:p w:rsidR="00B609F3" w:rsidRPr="002733BD" w:rsidRDefault="00B609F3" w:rsidP="00483B4A">
            <w:pPr>
              <w:jc w:val="right"/>
              <w:rPr>
                <w:b/>
                <w:bCs/>
                <w:sz w:val="18"/>
                <w:szCs w:val="18"/>
                <w:lang w:eastAsia="bg-BG"/>
              </w:rPr>
            </w:pPr>
            <w:r w:rsidRPr="002733BD">
              <w:rPr>
                <w:b/>
                <w:bCs/>
                <w:sz w:val="18"/>
                <w:szCs w:val="18"/>
                <w:lang w:eastAsia="bg-BG"/>
              </w:rPr>
              <w:t>116,7%</w:t>
            </w:r>
          </w:p>
        </w:tc>
      </w:tr>
      <w:tr w:rsidR="00B609F3" w:rsidRPr="002733BD" w:rsidTr="00483B4A">
        <w:trPr>
          <w:trHeight w:val="101"/>
          <w:jc w:val="center"/>
        </w:trPr>
        <w:tc>
          <w:tcPr>
            <w:tcW w:w="4668" w:type="dxa"/>
            <w:tcBorders>
              <w:top w:val="single" w:sz="4" w:space="0" w:color="auto"/>
              <w:left w:val="single" w:sz="4" w:space="0" w:color="auto"/>
              <w:bottom w:val="nil"/>
              <w:right w:val="single" w:sz="4" w:space="0" w:color="auto"/>
            </w:tcBorders>
            <w:shd w:val="clear" w:color="auto" w:fill="auto"/>
            <w:noWrap/>
            <w:vAlign w:val="bottom"/>
          </w:tcPr>
          <w:p w:rsidR="00B609F3" w:rsidRPr="002733BD" w:rsidRDefault="00B609F3" w:rsidP="00483B4A">
            <w:pPr>
              <w:rPr>
                <w:sz w:val="18"/>
                <w:szCs w:val="18"/>
                <w:lang w:eastAsia="bg-BG"/>
              </w:rPr>
            </w:pPr>
            <w:r w:rsidRPr="002733BD">
              <w:rPr>
                <w:sz w:val="18"/>
                <w:szCs w:val="18"/>
                <w:lang w:eastAsia="bg-BG"/>
              </w:rPr>
              <w:t xml:space="preserve">   -Нелихвени разходи</w:t>
            </w:r>
          </w:p>
        </w:tc>
        <w:tc>
          <w:tcPr>
            <w:tcW w:w="1538" w:type="dxa"/>
            <w:tcBorders>
              <w:top w:val="single" w:sz="4" w:space="0" w:color="auto"/>
              <w:left w:val="nil"/>
              <w:bottom w:val="nil"/>
              <w:right w:val="nil"/>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2 107,8</w:t>
            </w:r>
          </w:p>
        </w:tc>
        <w:tc>
          <w:tcPr>
            <w:tcW w:w="1155" w:type="dxa"/>
            <w:tcBorders>
              <w:top w:val="single" w:sz="4" w:space="0" w:color="auto"/>
              <w:left w:val="nil"/>
              <w:bottom w:val="nil"/>
              <w:right w:val="nil"/>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2 674,6</w:t>
            </w:r>
          </w:p>
        </w:tc>
        <w:tc>
          <w:tcPr>
            <w:tcW w:w="1233" w:type="dxa"/>
            <w:tcBorders>
              <w:top w:val="single" w:sz="4" w:space="0" w:color="auto"/>
              <w:left w:val="nil"/>
              <w:bottom w:val="nil"/>
              <w:right w:val="single" w:sz="4" w:space="0" w:color="auto"/>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126,9%</w:t>
            </w:r>
          </w:p>
        </w:tc>
      </w:tr>
      <w:tr w:rsidR="00B609F3" w:rsidRPr="002733BD" w:rsidTr="00483B4A">
        <w:trPr>
          <w:trHeight w:val="80"/>
          <w:jc w:val="center"/>
        </w:trPr>
        <w:tc>
          <w:tcPr>
            <w:tcW w:w="4668" w:type="dxa"/>
            <w:tcBorders>
              <w:top w:val="nil"/>
              <w:left w:val="single" w:sz="4" w:space="0" w:color="auto"/>
              <w:bottom w:val="nil"/>
              <w:right w:val="single" w:sz="4" w:space="0" w:color="auto"/>
            </w:tcBorders>
            <w:shd w:val="clear" w:color="auto" w:fill="auto"/>
            <w:noWrap/>
            <w:vAlign w:val="bottom"/>
          </w:tcPr>
          <w:p w:rsidR="00B609F3" w:rsidRPr="002733BD" w:rsidRDefault="00B609F3" w:rsidP="00483B4A">
            <w:pPr>
              <w:rPr>
                <w:sz w:val="18"/>
                <w:szCs w:val="18"/>
                <w:lang w:eastAsia="bg-BG"/>
              </w:rPr>
            </w:pPr>
            <w:r w:rsidRPr="002733BD">
              <w:rPr>
                <w:sz w:val="18"/>
                <w:szCs w:val="18"/>
                <w:lang w:eastAsia="bg-BG"/>
              </w:rPr>
              <w:t xml:space="preserve">      Текущи </w:t>
            </w:r>
          </w:p>
        </w:tc>
        <w:tc>
          <w:tcPr>
            <w:tcW w:w="1538" w:type="dxa"/>
            <w:tcBorders>
              <w:top w:val="nil"/>
              <w:left w:val="nil"/>
              <w:bottom w:val="nil"/>
              <w:right w:val="nil"/>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1 988,7</w:t>
            </w:r>
          </w:p>
        </w:tc>
        <w:tc>
          <w:tcPr>
            <w:tcW w:w="1155" w:type="dxa"/>
            <w:tcBorders>
              <w:top w:val="nil"/>
              <w:left w:val="nil"/>
              <w:bottom w:val="nil"/>
              <w:right w:val="nil"/>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2 487,8</w:t>
            </w:r>
          </w:p>
        </w:tc>
        <w:tc>
          <w:tcPr>
            <w:tcW w:w="1233" w:type="dxa"/>
            <w:tcBorders>
              <w:top w:val="nil"/>
              <w:left w:val="nil"/>
              <w:bottom w:val="nil"/>
              <w:right w:val="single" w:sz="4" w:space="0" w:color="auto"/>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125,1%</w:t>
            </w:r>
          </w:p>
        </w:tc>
      </w:tr>
      <w:tr w:rsidR="00B609F3" w:rsidRPr="002733BD" w:rsidTr="00483B4A">
        <w:trPr>
          <w:trHeight w:val="78"/>
          <w:jc w:val="center"/>
        </w:trPr>
        <w:tc>
          <w:tcPr>
            <w:tcW w:w="4668" w:type="dxa"/>
            <w:tcBorders>
              <w:top w:val="nil"/>
              <w:left w:val="single" w:sz="4" w:space="0" w:color="auto"/>
              <w:bottom w:val="nil"/>
              <w:right w:val="single" w:sz="4" w:space="0" w:color="auto"/>
            </w:tcBorders>
            <w:shd w:val="clear" w:color="auto" w:fill="auto"/>
            <w:noWrap/>
            <w:vAlign w:val="bottom"/>
          </w:tcPr>
          <w:p w:rsidR="00B609F3" w:rsidRPr="002733BD" w:rsidRDefault="00B609F3" w:rsidP="00483B4A">
            <w:pPr>
              <w:rPr>
                <w:sz w:val="18"/>
                <w:szCs w:val="18"/>
                <w:lang w:eastAsia="bg-BG"/>
              </w:rPr>
            </w:pPr>
            <w:r w:rsidRPr="002733BD">
              <w:rPr>
                <w:sz w:val="18"/>
                <w:szCs w:val="18"/>
                <w:lang w:eastAsia="bg-BG"/>
              </w:rPr>
              <w:t xml:space="preserve">      Предоставени тек. и капит. трансфери за чужбина</w:t>
            </w:r>
          </w:p>
        </w:tc>
        <w:tc>
          <w:tcPr>
            <w:tcW w:w="1538" w:type="dxa"/>
            <w:tcBorders>
              <w:top w:val="nil"/>
              <w:left w:val="nil"/>
              <w:bottom w:val="nil"/>
              <w:right w:val="nil"/>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0,8</w:t>
            </w:r>
          </w:p>
        </w:tc>
        <w:tc>
          <w:tcPr>
            <w:tcW w:w="1155" w:type="dxa"/>
            <w:tcBorders>
              <w:top w:val="nil"/>
              <w:left w:val="nil"/>
              <w:bottom w:val="nil"/>
              <w:right w:val="nil"/>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0,5</w:t>
            </w:r>
          </w:p>
        </w:tc>
        <w:tc>
          <w:tcPr>
            <w:tcW w:w="1233" w:type="dxa"/>
            <w:tcBorders>
              <w:top w:val="nil"/>
              <w:left w:val="nil"/>
              <w:bottom w:val="nil"/>
              <w:right w:val="single" w:sz="4" w:space="0" w:color="auto"/>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68,8%</w:t>
            </w:r>
          </w:p>
        </w:tc>
      </w:tr>
      <w:tr w:rsidR="00B609F3" w:rsidRPr="002733BD" w:rsidTr="00483B4A">
        <w:trPr>
          <w:trHeight w:val="179"/>
          <w:jc w:val="center"/>
        </w:trPr>
        <w:tc>
          <w:tcPr>
            <w:tcW w:w="4668" w:type="dxa"/>
            <w:tcBorders>
              <w:top w:val="nil"/>
              <w:left w:val="single" w:sz="4" w:space="0" w:color="auto"/>
              <w:bottom w:val="nil"/>
              <w:right w:val="single" w:sz="4" w:space="0" w:color="auto"/>
            </w:tcBorders>
            <w:shd w:val="clear" w:color="auto" w:fill="auto"/>
            <w:noWrap/>
            <w:vAlign w:val="bottom"/>
          </w:tcPr>
          <w:p w:rsidR="00B609F3" w:rsidRPr="002733BD" w:rsidRDefault="00B609F3" w:rsidP="00483B4A">
            <w:pPr>
              <w:rPr>
                <w:sz w:val="18"/>
                <w:szCs w:val="18"/>
                <w:lang w:eastAsia="bg-BG"/>
              </w:rPr>
            </w:pPr>
            <w:r w:rsidRPr="002733BD">
              <w:rPr>
                <w:sz w:val="18"/>
                <w:szCs w:val="18"/>
                <w:lang w:eastAsia="bg-BG"/>
              </w:rPr>
              <w:t xml:space="preserve">      Капиталови</w:t>
            </w:r>
          </w:p>
        </w:tc>
        <w:tc>
          <w:tcPr>
            <w:tcW w:w="1538" w:type="dxa"/>
            <w:tcBorders>
              <w:top w:val="nil"/>
              <w:left w:val="nil"/>
              <w:bottom w:val="nil"/>
              <w:right w:val="nil"/>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118,2</w:t>
            </w:r>
          </w:p>
        </w:tc>
        <w:tc>
          <w:tcPr>
            <w:tcW w:w="1155" w:type="dxa"/>
            <w:tcBorders>
              <w:top w:val="nil"/>
              <w:left w:val="nil"/>
              <w:bottom w:val="nil"/>
              <w:right w:val="nil"/>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186,3</w:t>
            </w:r>
          </w:p>
        </w:tc>
        <w:tc>
          <w:tcPr>
            <w:tcW w:w="1233" w:type="dxa"/>
            <w:tcBorders>
              <w:top w:val="nil"/>
              <w:left w:val="nil"/>
              <w:bottom w:val="nil"/>
              <w:right w:val="single" w:sz="4" w:space="0" w:color="auto"/>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157,6%</w:t>
            </w:r>
          </w:p>
        </w:tc>
      </w:tr>
      <w:tr w:rsidR="00B609F3" w:rsidRPr="002733BD" w:rsidTr="00483B4A">
        <w:trPr>
          <w:trHeight w:val="80"/>
          <w:jc w:val="center"/>
        </w:trPr>
        <w:tc>
          <w:tcPr>
            <w:tcW w:w="4668" w:type="dxa"/>
            <w:tcBorders>
              <w:top w:val="nil"/>
              <w:left w:val="single" w:sz="4" w:space="0" w:color="auto"/>
              <w:bottom w:val="nil"/>
              <w:right w:val="single" w:sz="4" w:space="0" w:color="auto"/>
            </w:tcBorders>
            <w:shd w:val="clear" w:color="auto" w:fill="auto"/>
            <w:noWrap/>
            <w:vAlign w:val="bottom"/>
          </w:tcPr>
          <w:p w:rsidR="00B609F3" w:rsidRPr="002733BD" w:rsidRDefault="00B609F3" w:rsidP="00483B4A">
            <w:pPr>
              <w:rPr>
                <w:sz w:val="18"/>
                <w:szCs w:val="18"/>
                <w:lang w:eastAsia="bg-BG"/>
              </w:rPr>
            </w:pPr>
            <w:r w:rsidRPr="002733BD">
              <w:rPr>
                <w:sz w:val="18"/>
                <w:szCs w:val="18"/>
                <w:lang w:eastAsia="bg-BG"/>
              </w:rPr>
              <w:t xml:space="preserve">   -Лихви</w:t>
            </w:r>
          </w:p>
        </w:tc>
        <w:tc>
          <w:tcPr>
            <w:tcW w:w="1538" w:type="dxa"/>
            <w:tcBorders>
              <w:top w:val="nil"/>
              <w:left w:val="nil"/>
              <w:bottom w:val="nil"/>
              <w:right w:val="nil"/>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202,8</w:t>
            </w:r>
          </w:p>
        </w:tc>
        <w:tc>
          <w:tcPr>
            <w:tcW w:w="1155" w:type="dxa"/>
            <w:tcBorders>
              <w:top w:val="nil"/>
              <w:left w:val="nil"/>
              <w:bottom w:val="nil"/>
              <w:right w:val="nil"/>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218,8</w:t>
            </w:r>
          </w:p>
        </w:tc>
        <w:tc>
          <w:tcPr>
            <w:tcW w:w="1233" w:type="dxa"/>
            <w:tcBorders>
              <w:top w:val="nil"/>
              <w:left w:val="nil"/>
              <w:bottom w:val="nil"/>
              <w:right w:val="single" w:sz="4" w:space="0" w:color="auto"/>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107,9%</w:t>
            </w:r>
          </w:p>
        </w:tc>
      </w:tr>
      <w:tr w:rsidR="00B609F3" w:rsidRPr="002733BD" w:rsidTr="00483B4A">
        <w:trPr>
          <w:trHeight w:val="80"/>
          <w:jc w:val="center"/>
        </w:trPr>
        <w:tc>
          <w:tcPr>
            <w:tcW w:w="4668" w:type="dxa"/>
            <w:tcBorders>
              <w:top w:val="nil"/>
              <w:left w:val="single" w:sz="4" w:space="0" w:color="auto"/>
              <w:bottom w:val="nil"/>
              <w:right w:val="single" w:sz="4" w:space="0" w:color="auto"/>
            </w:tcBorders>
            <w:shd w:val="clear" w:color="auto" w:fill="auto"/>
            <w:noWrap/>
            <w:vAlign w:val="bottom"/>
          </w:tcPr>
          <w:p w:rsidR="00B609F3" w:rsidRPr="002733BD" w:rsidRDefault="00B609F3" w:rsidP="00483B4A">
            <w:pPr>
              <w:rPr>
                <w:sz w:val="18"/>
                <w:szCs w:val="18"/>
                <w:lang w:eastAsia="bg-BG"/>
              </w:rPr>
            </w:pPr>
            <w:r w:rsidRPr="002733BD">
              <w:rPr>
                <w:sz w:val="18"/>
                <w:szCs w:val="18"/>
                <w:lang w:eastAsia="bg-BG"/>
              </w:rPr>
              <w:t xml:space="preserve">      По външни заеми</w:t>
            </w:r>
          </w:p>
        </w:tc>
        <w:tc>
          <w:tcPr>
            <w:tcW w:w="1538" w:type="dxa"/>
            <w:tcBorders>
              <w:top w:val="nil"/>
              <w:left w:val="nil"/>
              <w:bottom w:val="nil"/>
              <w:right w:val="nil"/>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186,0</w:t>
            </w:r>
          </w:p>
        </w:tc>
        <w:tc>
          <w:tcPr>
            <w:tcW w:w="1155" w:type="dxa"/>
            <w:tcBorders>
              <w:top w:val="nil"/>
              <w:left w:val="nil"/>
              <w:bottom w:val="nil"/>
              <w:right w:val="nil"/>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182,4</w:t>
            </w:r>
          </w:p>
        </w:tc>
        <w:tc>
          <w:tcPr>
            <w:tcW w:w="1233" w:type="dxa"/>
            <w:tcBorders>
              <w:top w:val="nil"/>
              <w:left w:val="nil"/>
              <w:bottom w:val="nil"/>
              <w:right w:val="single" w:sz="4" w:space="0" w:color="auto"/>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98,1%</w:t>
            </w:r>
          </w:p>
        </w:tc>
      </w:tr>
      <w:tr w:rsidR="00B609F3" w:rsidRPr="002733BD" w:rsidTr="00483B4A">
        <w:trPr>
          <w:trHeight w:val="60"/>
          <w:jc w:val="center"/>
        </w:trPr>
        <w:tc>
          <w:tcPr>
            <w:tcW w:w="4668" w:type="dxa"/>
            <w:tcBorders>
              <w:top w:val="nil"/>
              <w:left w:val="single" w:sz="4" w:space="0" w:color="auto"/>
              <w:bottom w:val="nil"/>
              <w:right w:val="single" w:sz="4" w:space="0" w:color="auto"/>
            </w:tcBorders>
            <w:shd w:val="clear" w:color="auto" w:fill="auto"/>
            <w:noWrap/>
            <w:vAlign w:val="bottom"/>
          </w:tcPr>
          <w:p w:rsidR="00B609F3" w:rsidRPr="002733BD" w:rsidRDefault="00B609F3" w:rsidP="00483B4A">
            <w:pPr>
              <w:rPr>
                <w:sz w:val="18"/>
                <w:szCs w:val="18"/>
                <w:lang w:eastAsia="bg-BG"/>
              </w:rPr>
            </w:pPr>
            <w:r w:rsidRPr="002733BD">
              <w:rPr>
                <w:sz w:val="18"/>
                <w:szCs w:val="18"/>
                <w:lang w:eastAsia="bg-BG"/>
              </w:rPr>
              <w:t xml:space="preserve">      По вътрешни заеми</w:t>
            </w:r>
          </w:p>
        </w:tc>
        <w:tc>
          <w:tcPr>
            <w:tcW w:w="1538" w:type="dxa"/>
            <w:tcBorders>
              <w:top w:val="nil"/>
              <w:left w:val="nil"/>
              <w:bottom w:val="nil"/>
              <w:right w:val="nil"/>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16,8</w:t>
            </w:r>
          </w:p>
        </w:tc>
        <w:tc>
          <w:tcPr>
            <w:tcW w:w="1155" w:type="dxa"/>
            <w:tcBorders>
              <w:top w:val="nil"/>
              <w:left w:val="nil"/>
              <w:bottom w:val="nil"/>
              <w:right w:val="nil"/>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36,5</w:t>
            </w:r>
          </w:p>
        </w:tc>
        <w:tc>
          <w:tcPr>
            <w:tcW w:w="1233" w:type="dxa"/>
            <w:tcBorders>
              <w:top w:val="nil"/>
              <w:left w:val="nil"/>
              <w:bottom w:val="nil"/>
              <w:right w:val="single" w:sz="4" w:space="0" w:color="auto"/>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217,0%</w:t>
            </w:r>
          </w:p>
        </w:tc>
      </w:tr>
      <w:tr w:rsidR="00B609F3" w:rsidRPr="002733BD" w:rsidTr="00483B4A">
        <w:trPr>
          <w:trHeight w:val="85"/>
          <w:jc w:val="center"/>
        </w:trPr>
        <w:tc>
          <w:tcPr>
            <w:tcW w:w="4668" w:type="dxa"/>
            <w:tcBorders>
              <w:top w:val="nil"/>
              <w:left w:val="single" w:sz="4" w:space="0" w:color="auto"/>
              <w:bottom w:val="nil"/>
              <w:right w:val="single" w:sz="4" w:space="0" w:color="auto"/>
            </w:tcBorders>
            <w:shd w:val="clear" w:color="auto" w:fill="auto"/>
            <w:noWrap/>
            <w:vAlign w:val="bottom"/>
          </w:tcPr>
          <w:p w:rsidR="00B609F3" w:rsidRPr="002733BD" w:rsidRDefault="00B609F3" w:rsidP="00483B4A">
            <w:pPr>
              <w:rPr>
                <w:sz w:val="18"/>
                <w:szCs w:val="18"/>
                <w:lang w:eastAsia="bg-BG"/>
              </w:rPr>
            </w:pPr>
            <w:r w:rsidRPr="002733BD">
              <w:rPr>
                <w:sz w:val="18"/>
                <w:szCs w:val="18"/>
                <w:lang w:eastAsia="bg-BG"/>
              </w:rPr>
              <w:t xml:space="preserve"> - Резерв за непредвидени и неотложни разходи</w:t>
            </w:r>
            <w:r w:rsidRPr="002733BD">
              <w:rPr>
                <w:sz w:val="18"/>
                <w:szCs w:val="18"/>
                <w:vertAlign w:val="superscript"/>
                <w:lang w:eastAsia="bg-BG"/>
              </w:rPr>
              <w:footnoteReference w:id="12"/>
            </w:r>
            <w:r w:rsidRPr="002733BD">
              <w:rPr>
                <w:sz w:val="18"/>
                <w:szCs w:val="18"/>
                <w:lang w:eastAsia="bg-BG"/>
              </w:rPr>
              <w:tab/>
            </w:r>
          </w:p>
        </w:tc>
        <w:tc>
          <w:tcPr>
            <w:tcW w:w="1538" w:type="dxa"/>
            <w:tcBorders>
              <w:top w:val="nil"/>
              <w:left w:val="nil"/>
              <w:bottom w:val="nil"/>
              <w:right w:val="nil"/>
            </w:tcBorders>
            <w:shd w:val="clear" w:color="auto" w:fill="auto"/>
            <w:noWrap/>
            <w:vAlign w:val="bottom"/>
          </w:tcPr>
          <w:p w:rsidR="00B609F3" w:rsidRPr="002733BD" w:rsidRDefault="00B609F3" w:rsidP="00483B4A">
            <w:pPr>
              <w:jc w:val="right"/>
              <w:rPr>
                <w:sz w:val="18"/>
                <w:szCs w:val="18"/>
                <w:lang w:eastAsia="bg-BG"/>
              </w:rPr>
            </w:pPr>
          </w:p>
        </w:tc>
        <w:tc>
          <w:tcPr>
            <w:tcW w:w="1155" w:type="dxa"/>
            <w:tcBorders>
              <w:top w:val="nil"/>
              <w:left w:val="nil"/>
              <w:bottom w:val="nil"/>
              <w:right w:val="nil"/>
            </w:tcBorders>
            <w:shd w:val="clear" w:color="auto" w:fill="auto"/>
            <w:noWrap/>
            <w:vAlign w:val="bottom"/>
          </w:tcPr>
          <w:p w:rsidR="00B609F3" w:rsidRPr="002733BD" w:rsidRDefault="00B609F3" w:rsidP="00483B4A">
            <w:pPr>
              <w:rPr>
                <w:sz w:val="20"/>
                <w:szCs w:val="20"/>
                <w:lang w:eastAsia="bg-BG"/>
              </w:rPr>
            </w:pPr>
          </w:p>
        </w:tc>
        <w:tc>
          <w:tcPr>
            <w:tcW w:w="1233" w:type="dxa"/>
            <w:tcBorders>
              <w:top w:val="nil"/>
              <w:left w:val="nil"/>
              <w:bottom w:val="nil"/>
              <w:right w:val="single" w:sz="4" w:space="0" w:color="auto"/>
            </w:tcBorders>
            <w:shd w:val="clear" w:color="auto" w:fill="auto"/>
            <w:noWrap/>
            <w:vAlign w:val="bottom"/>
          </w:tcPr>
          <w:p w:rsidR="00B609F3" w:rsidRPr="002733BD" w:rsidRDefault="00B609F3" w:rsidP="00483B4A">
            <w:pPr>
              <w:rPr>
                <w:sz w:val="20"/>
                <w:szCs w:val="20"/>
                <w:lang w:eastAsia="bg-BG"/>
              </w:rPr>
            </w:pPr>
          </w:p>
        </w:tc>
      </w:tr>
      <w:tr w:rsidR="00B609F3" w:rsidRPr="002733BD" w:rsidTr="00483B4A">
        <w:trPr>
          <w:trHeight w:val="85"/>
          <w:jc w:val="center"/>
        </w:trPr>
        <w:tc>
          <w:tcPr>
            <w:tcW w:w="4668" w:type="dxa"/>
            <w:tcBorders>
              <w:top w:val="nil"/>
              <w:left w:val="single" w:sz="4" w:space="0" w:color="auto"/>
              <w:bottom w:val="nil"/>
              <w:right w:val="single" w:sz="4" w:space="0" w:color="auto"/>
            </w:tcBorders>
            <w:shd w:val="clear" w:color="auto" w:fill="auto"/>
            <w:noWrap/>
            <w:vAlign w:val="bottom"/>
          </w:tcPr>
          <w:p w:rsidR="00B609F3" w:rsidRPr="002733BD" w:rsidRDefault="00B609F3" w:rsidP="00483B4A">
            <w:pPr>
              <w:rPr>
                <w:sz w:val="18"/>
                <w:szCs w:val="18"/>
                <w:lang w:eastAsia="bg-BG"/>
              </w:rPr>
            </w:pPr>
            <w:r w:rsidRPr="002733BD">
              <w:rPr>
                <w:sz w:val="18"/>
                <w:szCs w:val="18"/>
                <w:lang w:eastAsia="bg-BG"/>
              </w:rPr>
              <w:t xml:space="preserve"> - Трансфери за  др. бюджети – нето</w:t>
            </w:r>
          </w:p>
        </w:tc>
        <w:tc>
          <w:tcPr>
            <w:tcW w:w="1538" w:type="dxa"/>
            <w:tcBorders>
              <w:top w:val="nil"/>
              <w:left w:val="nil"/>
              <w:bottom w:val="nil"/>
              <w:right w:val="nil"/>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3 749,5</w:t>
            </w:r>
          </w:p>
        </w:tc>
        <w:tc>
          <w:tcPr>
            <w:tcW w:w="1155" w:type="dxa"/>
            <w:tcBorders>
              <w:top w:val="nil"/>
              <w:left w:val="nil"/>
              <w:bottom w:val="nil"/>
              <w:right w:val="nil"/>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4 222,7</w:t>
            </w:r>
          </w:p>
        </w:tc>
        <w:tc>
          <w:tcPr>
            <w:tcW w:w="1233" w:type="dxa"/>
            <w:tcBorders>
              <w:top w:val="nil"/>
              <w:left w:val="nil"/>
              <w:bottom w:val="nil"/>
              <w:right w:val="single" w:sz="4" w:space="0" w:color="auto"/>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112,6%</w:t>
            </w:r>
          </w:p>
        </w:tc>
      </w:tr>
      <w:tr w:rsidR="00B609F3" w:rsidRPr="002733BD" w:rsidTr="00483B4A">
        <w:trPr>
          <w:trHeight w:val="80"/>
          <w:jc w:val="center"/>
        </w:trPr>
        <w:tc>
          <w:tcPr>
            <w:tcW w:w="4668" w:type="dxa"/>
            <w:tcBorders>
              <w:top w:val="nil"/>
              <w:left w:val="single" w:sz="4" w:space="0" w:color="auto"/>
              <w:bottom w:val="single" w:sz="4" w:space="0" w:color="auto"/>
              <w:right w:val="single" w:sz="4" w:space="0" w:color="auto"/>
            </w:tcBorders>
            <w:shd w:val="clear" w:color="auto" w:fill="auto"/>
            <w:noWrap/>
            <w:vAlign w:val="bottom"/>
          </w:tcPr>
          <w:p w:rsidR="00B609F3" w:rsidRPr="002733BD" w:rsidRDefault="00B609F3" w:rsidP="00483B4A">
            <w:pPr>
              <w:rPr>
                <w:bCs/>
                <w:sz w:val="18"/>
                <w:szCs w:val="18"/>
                <w:lang w:eastAsia="bg-BG"/>
              </w:rPr>
            </w:pPr>
            <w:r w:rsidRPr="002733BD">
              <w:rPr>
                <w:bCs/>
                <w:sz w:val="18"/>
                <w:szCs w:val="18"/>
                <w:lang w:eastAsia="bg-BG"/>
              </w:rPr>
              <w:t xml:space="preserve"> - Вноска в бюджета на ЕС</w:t>
            </w:r>
          </w:p>
        </w:tc>
        <w:tc>
          <w:tcPr>
            <w:tcW w:w="1538" w:type="dxa"/>
            <w:tcBorders>
              <w:top w:val="nil"/>
              <w:left w:val="single" w:sz="8" w:space="0" w:color="auto"/>
              <w:bottom w:val="single" w:sz="4" w:space="0" w:color="auto"/>
              <w:right w:val="nil"/>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259,9</w:t>
            </w:r>
          </w:p>
        </w:tc>
        <w:tc>
          <w:tcPr>
            <w:tcW w:w="1155" w:type="dxa"/>
            <w:tcBorders>
              <w:top w:val="nil"/>
              <w:left w:val="nil"/>
              <w:bottom w:val="single" w:sz="4" w:space="0" w:color="auto"/>
              <w:right w:val="nil"/>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259,5</w:t>
            </w:r>
          </w:p>
        </w:tc>
        <w:tc>
          <w:tcPr>
            <w:tcW w:w="1233" w:type="dxa"/>
            <w:tcBorders>
              <w:top w:val="nil"/>
              <w:left w:val="nil"/>
              <w:bottom w:val="single" w:sz="4" w:space="0" w:color="auto"/>
              <w:right w:val="single" w:sz="4" w:space="0" w:color="auto"/>
            </w:tcBorders>
            <w:shd w:val="clear" w:color="auto" w:fill="auto"/>
            <w:noWrap/>
            <w:vAlign w:val="bottom"/>
          </w:tcPr>
          <w:p w:rsidR="00B609F3" w:rsidRPr="002733BD" w:rsidRDefault="00B609F3" w:rsidP="00483B4A">
            <w:pPr>
              <w:jc w:val="right"/>
              <w:rPr>
                <w:sz w:val="18"/>
                <w:szCs w:val="18"/>
                <w:lang w:eastAsia="bg-BG"/>
              </w:rPr>
            </w:pPr>
            <w:r w:rsidRPr="002733BD">
              <w:rPr>
                <w:sz w:val="18"/>
                <w:szCs w:val="18"/>
                <w:lang w:eastAsia="bg-BG"/>
              </w:rPr>
              <w:t>99,9%</w:t>
            </w:r>
          </w:p>
        </w:tc>
      </w:tr>
      <w:tr w:rsidR="00B609F3" w:rsidRPr="002733BD" w:rsidTr="00483B4A">
        <w:trPr>
          <w:trHeight w:val="50"/>
          <w:jc w:val="center"/>
        </w:trPr>
        <w:tc>
          <w:tcPr>
            <w:tcW w:w="46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09F3" w:rsidRPr="002733BD" w:rsidRDefault="00B609F3" w:rsidP="00483B4A">
            <w:pPr>
              <w:rPr>
                <w:b/>
                <w:bCs/>
                <w:sz w:val="18"/>
                <w:szCs w:val="18"/>
                <w:lang w:eastAsia="bg-BG"/>
              </w:rPr>
            </w:pPr>
            <w:r w:rsidRPr="002733BD">
              <w:rPr>
                <w:b/>
                <w:bCs/>
                <w:sz w:val="18"/>
                <w:szCs w:val="18"/>
                <w:lang w:eastAsia="bg-BG"/>
              </w:rPr>
              <w:t>Бюджетен баланс</w:t>
            </w:r>
          </w:p>
        </w:tc>
        <w:tc>
          <w:tcPr>
            <w:tcW w:w="1538" w:type="dxa"/>
            <w:tcBorders>
              <w:top w:val="nil"/>
              <w:left w:val="single" w:sz="8" w:space="0" w:color="auto"/>
              <w:bottom w:val="single" w:sz="8" w:space="0" w:color="auto"/>
              <w:right w:val="nil"/>
            </w:tcBorders>
            <w:shd w:val="clear" w:color="auto" w:fill="auto"/>
            <w:noWrap/>
            <w:vAlign w:val="bottom"/>
          </w:tcPr>
          <w:p w:rsidR="00B609F3" w:rsidRPr="002733BD" w:rsidRDefault="00B609F3" w:rsidP="00483B4A">
            <w:pPr>
              <w:jc w:val="right"/>
              <w:rPr>
                <w:b/>
                <w:bCs/>
                <w:sz w:val="18"/>
                <w:szCs w:val="18"/>
                <w:lang w:eastAsia="bg-BG"/>
              </w:rPr>
            </w:pPr>
            <w:r w:rsidRPr="002733BD">
              <w:rPr>
                <w:b/>
                <w:bCs/>
                <w:sz w:val="18"/>
                <w:szCs w:val="18"/>
                <w:lang w:eastAsia="bg-BG"/>
              </w:rPr>
              <w:t>-1 363,3</w:t>
            </w:r>
          </w:p>
        </w:tc>
        <w:tc>
          <w:tcPr>
            <w:tcW w:w="1155" w:type="dxa"/>
            <w:tcBorders>
              <w:top w:val="nil"/>
              <w:left w:val="nil"/>
              <w:bottom w:val="single" w:sz="8" w:space="0" w:color="auto"/>
              <w:right w:val="nil"/>
            </w:tcBorders>
            <w:shd w:val="clear" w:color="auto" w:fill="auto"/>
            <w:noWrap/>
            <w:vAlign w:val="bottom"/>
          </w:tcPr>
          <w:p w:rsidR="00B609F3" w:rsidRPr="002733BD" w:rsidRDefault="00B609F3" w:rsidP="00483B4A">
            <w:pPr>
              <w:jc w:val="right"/>
              <w:rPr>
                <w:b/>
                <w:bCs/>
                <w:sz w:val="18"/>
                <w:szCs w:val="18"/>
                <w:lang w:eastAsia="bg-BG"/>
              </w:rPr>
            </w:pPr>
            <w:r w:rsidRPr="002733BD">
              <w:rPr>
                <w:b/>
                <w:bCs/>
                <w:sz w:val="18"/>
                <w:szCs w:val="18"/>
                <w:lang w:eastAsia="bg-BG"/>
              </w:rPr>
              <w:t>-1 918,4</w:t>
            </w:r>
          </w:p>
        </w:tc>
        <w:tc>
          <w:tcPr>
            <w:tcW w:w="1233" w:type="dxa"/>
            <w:tcBorders>
              <w:top w:val="nil"/>
              <w:left w:val="nil"/>
              <w:bottom w:val="single" w:sz="8" w:space="0" w:color="auto"/>
              <w:right w:val="single" w:sz="4" w:space="0" w:color="auto"/>
            </w:tcBorders>
            <w:shd w:val="clear" w:color="auto" w:fill="auto"/>
            <w:noWrap/>
            <w:vAlign w:val="bottom"/>
          </w:tcPr>
          <w:p w:rsidR="00B609F3" w:rsidRPr="002733BD" w:rsidRDefault="00B609F3" w:rsidP="00483B4A">
            <w:pPr>
              <w:rPr>
                <w:b/>
                <w:bCs/>
                <w:sz w:val="18"/>
                <w:szCs w:val="18"/>
                <w:lang w:eastAsia="bg-BG"/>
              </w:rPr>
            </w:pPr>
            <w:r w:rsidRPr="002733BD">
              <w:rPr>
                <w:b/>
                <w:bCs/>
                <w:sz w:val="18"/>
                <w:szCs w:val="18"/>
                <w:lang w:eastAsia="bg-BG"/>
              </w:rPr>
              <w:t> </w:t>
            </w:r>
          </w:p>
        </w:tc>
      </w:tr>
    </w:tbl>
    <w:p w:rsidR="00B609F3" w:rsidRPr="002733BD" w:rsidRDefault="00B609F3" w:rsidP="00B609F3">
      <w:pPr>
        <w:ind w:right="-242"/>
        <w:rPr>
          <w:bCs/>
          <w:color w:val="0070C0"/>
          <w:sz w:val="6"/>
          <w:szCs w:val="6"/>
          <w:lang w:eastAsia="bg-BG"/>
        </w:rPr>
      </w:pPr>
    </w:p>
    <w:p w:rsidR="00B609F3" w:rsidRPr="002733BD" w:rsidRDefault="00B609F3" w:rsidP="00B609F3">
      <w:pPr>
        <w:spacing w:after="120"/>
        <w:jc w:val="both"/>
        <w:rPr>
          <w:b/>
          <w:color w:val="0070C0"/>
          <w:sz w:val="12"/>
        </w:rPr>
      </w:pPr>
    </w:p>
    <w:p w:rsidR="00B609F3" w:rsidRPr="002733BD" w:rsidRDefault="00B609F3" w:rsidP="00B609F3">
      <w:pPr>
        <w:numPr>
          <w:ilvl w:val="0"/>
          <w:numId w:val="2"/>
        </w:numPr>
        <w:spacing w:after="120"/>
        <w:jc w:val="both"/>
        <w:rPr>
          <w:b/>
        </w:rPr>
      </w:pPr>
      <w:r w:rsidRPr="002733BD">
        <w:rPr>
          <w:b/>
          <w:bCs/>
        </w:rPr>
        <w:t xml:space="preserve">Приходи по държавния бюджет </w:t>
      </w:r>
    </w:p>
    <w:p w:rsidR="00B609F3" w:rsidRPr="002733BD" w:rsidRDefault="00B609F3" w:rsidP="00B609F3">
      <w:pPr>
        <w:spacing w:before="120"/>
        <w:jc w:val="both"/>
        <w:rPr>
          <w:bCs/>
          <w:lang w:eastAsia="bg-BG"/>
        </w:rPr>
      </w:pPr>
      <w:r w:rsidRPr="002733BD">
        <w:rPr>
          <w:bCs/>
          <w:lang w:eastAsia="bg-BG"/>
        </w:rPr>
        <w:t>Общият размер на</w:t>
      </w:r>
      <w:r w:rsidRPr="002733BD">
        <w:rPr>
          <w:b/>
          <w:bCs/>
          <w:lang w:eastAsia="bg-BG"/>
        </w:rPr>
        <w:t xml:space="preserve"> приходите, помощите и даренията по държавния бюджет</w:t>
      </w:r>
      <w:r w:rsidRPr="002733BD">
        <w:rPr>
          <w:bCs/>
          <w:lang w:eastAsia="bg-BG"/>
        </w:rPr>
        <w:t xml:space="preserve"> към март 2026 г. е</w:t>
      </w:r>
      <w:r w:rsidRPr="002733BD">
        <w:rPr>
          <w:b/>
          <w:bCs/>
          <w:lang w:eastAsia="bg-BG"/>
        </w:rPr>
        <w:t xml:space="preserve"> </w:t>
      </w:r>
      <w:r w:rsidRPr="002733BD">
        <w:rPr>
          <w:b/>
          <w:bCs/>
          <w:lang w:val="ru-RU" w:eastAsia="bg-BG"/>
        </w:rPr>
        <w:t>5 457,3</w:t>
      </w:r>
      <w:r w:rsidRPr="002733BD">
        <w:rPr>
          <w:b/>
          <w:bCs/>
          <w:lang w:val="en-US" w:eastAsia="bg-BG"/>
        </w:rPr>
        <w:t xml:space="preserve"> </w:t>
      </w:r>
      <w:r w:rsidRPr="002733BD">
        <w:rPr>
          <w:b/>
          <w:bCs/>
          <w:lang w:eastAsia="bg-BG"/>
        </w:rPr>
        <w:t>млн. евро</w:t>
      </w:r>
      <w:r w:rsidRPr="002733BD">
        <w:rPr>
          <w:bCs/>
          <w:lang w:eastAsia="bg-BG"/>
        </w:rPr>
        <w:t xml:space="preserve">, което представлява ръст от </w:t>
      </w:r>
      <w:r w:rsidRPr="002733BD">
        <w:rPr>
          <w:bCs/>
          <w:lang w:val="ru-RU" w:eastAsia="bg-BG"/>
        </w:rPr>
        <w:t>500,7</w:t>
      </w:r>
      <w:r w:rsidRPr="002733BD">
        <w:rPr>
          <w:bCs/>
          <w:lang w:val="en-US" w:eastAsia="bg-BG"/>
        </w:rPr>
        <w:t xml:space="preserve"> </w:t>
      </w:r>
      <w:r w:rsidRPr="002733BD">
        <w:rPr>
          <w:bCs/>
          <w:lang w:eastAsia="bg-BG"/>
        </w:rPr>
        <w:t>млн. евро (10,1 %) спрямо отчетените за същия период на предходната година.</w:t>
      </w:r>
    </w:p>
    <w:p w:rsidR="00B609F3" w:rsidRPr="002733BD" w:rsidRDefault="00B609F3" w:rsidP="00B609F3">
      <w:pPr>
        <w:numPr>
          <w:ilvl w:val="0"/>
          <w:numId w:val="3"/>
        </w:numPr>
        <w:tabs>
          <w:tab w:val="num" w:pos="720"/>
        </w:tabs>
        <w:spacing w:before="120"/>
        <w:ind w:left="0" w:firstLine="181"/>
        <w:jc w:val="both"/>
        <w:rPr>
          <w:b/>
          <w:bCs/>
          <w:lang w:eastAsia="bg-BG"/>
        </w:rPr>
      </w:pPr>
      <w:r w:rsidRPr="002733BD">
        <w:rPr>
          <w:bCs/>
          <w:lang w:eastAsia="bg-BG"/>
        </w:rPr>
        <w:t xml:space="preserve"> </w:t>
      </w:r>
      <w:r w:rsidRPr="002733BD">
        <w:rPr>
          <w:b/>
          <w:bCs/>
          <w:lang w:eastAsia="bg-BG"/>
        </w:rPr>
        <w:t>Данъчни приходи</w:t>
      </w:r>
    </w:p>
    <w:p w:rsidR="00B609F3" w:rsidRPr="002733BD" w:rsidRDefault="00B609F3" w:rsidP="00B609F3">
      <w:pPr>
        <w:jc w:val="both"/>
        <w:rPr>
          <w:bCs/>
          <w:color w:val="0070C0"/>
          <w:sz w:val="4"/>
          <w:szCs w:val="4"/>
          <w:lang w:eastAsia="bg-BG"/>
        </w:rPr>
      </w:pPr>
    </w:p>
    <w:p w:rsidR="00B609F3" w:rsidRPr="002733BD" w:rsidRDefault="00B609F3" w:rsidP="00B609F3">
      <w:pPr>
        <w:jc w:val="both"/>
        <w:rPr>
          <w:b/>
          <w:bCs/>
          <w:lang w:eastAsia="bg-BG"/>
        </w:rPr>
      </w:pPr>
      <w:r w:rsidRPr="002733BD">
        <w:rPr>
          <w:bCs/>
          <w:lang w:eastAsia="bg-BG"/>
        </w:rPr>
        <w:t>Размерът на</w:t>
      </w:r>
      <w:r w:rsidRPr="002733BD">
        <w:rPr>
          <w:b/>
          <w:bCs/>
          <w:lang w:eastAsia="bg-BG"/>
        </w:rPr>
        <w:t xml:space="preserve"> данъчните постъпления по държавния бюджет</w:t>
      </w:r>
      <w:r w:rsidRPr="002733BD">
        <w:rPr>
          <w:bCs/>
          <w:lang w:eastAsia="bg-BG"/>
        </w:rPr>
        <w:t xml:space="preserve"> към март 2026 г. </w:t>
      </w:r>
      <w:r w:rsidRPr="002733BD">
        <w:rPr>
          <w:lang w:eastAsia="bg-BG"/>
        </w:rPr>
        <w:t xml:space="preserve">е </w:t>
      </w:r>
      <w:r w:rsidRPr="002733BD">
        <w:rPr>
          <w:b/>
          <w:lang w:val="ru-RU" w:eastAsia="bg-BG"/>
        </w:rPr>
        <w:t xml:space="preserve">4 873,0 </w:t>
      </w:r>
      <w:r w:rsidRPr="002733BD">
        <w:rPr>
          <w:b/>
          <w:lang w:eastAsia="bg-BG"/>
        </w:rPr>
        <w:t>млн. евро.</w:t>
      </w:r>
      <w:r w:rsidRPr="002733BD">
        <w:rPr>
          <w:lang w:eastAsia="bg-BG"/>
        </w:rPr>
        <w:t xml:space="preserve"> Сравнени с данните към март 2025 г. данъчните приходи нарастват с 655,9 млн. евро или 15,6 на сто. </w:t>
      </w:r>
    </w:p>
    <w:p w:rsidR="00B609F3" w:rsidRPr="002733BD" w:rsidRDefault="00B609F3" w:rsidP="00B609F3">
      <w:pPr>
        <w:spacing w:before="120"/>
        <w:jc w:val="both"/>
        <w:rPr>
          <w:lang w:val="ru-RU" w:eastAsia="bg-BG"/>
        </w:rPr>
      </w:pPr>
      <w:r w:rsidRPr="002733BD">
        <w:rPr>
          <w:lang w:eastAsia="bg-BG"/>
        </w:rPr>
        <w:t>Приходите в групата на</w:t>
      </w:r>
      <w:r w:rsidRPr="002733BD">
        <w:rPr>
          <w:b/>
          <w:lang w:eastAsia="bg-BG"/>
        </w:rPr>
        <w:t xml:space="preserve"> преките данъци</w:t>
      </w:r>
      <w:r w:rsidRPr="002733BD">
        <w:rPr>
          <w:lang w:eastAsia="bg-BG"/>
        </w:rPr>
        <w:t xml:space="preserve"> са в размер на</w:t>
      </w:r>
      <w:r w:rsidRPr="002733BD">
        <w:rPr>
          <w:b/>
          <w:lang w:eastAsia="bg-BG"/>
        </w:rPr>
        <w:t xml:space="preserve"> </w:t>
      </w:r>
      <w:r w:rsidRPr="002733BD">
        <w:rPr>
          <w:b/>
          <w:lang w:val="ru-RU" w:eastAsia="bg-BG"/>
        </w:rPr>
        <w:t xml:space="preserve">1 153,6 </w:t>
      </w:r>
      <w:r w:rsidRPr="002733BD">
        <w:rPr>
          <w:b/>
          <w:lang w:eastAsia="bg-BG"/>
        </w:rPr>
        <w:t>млн. евро</w:t>
      </w:r>
      <w:r w:rsidRPr="002733BD">
        <w:rPr>
          <w:lang w:eastAsia="bg-BG"/>
        </w:rPr>
        <w:t>, като съпоставени със същия период на предходната година постъпленията нарастват с 211,3 млн. евро (22,4 %). Повишението се дължи основно на по-високите постъпления от данъци върху доходите на физически лица.</w:t>
      </w:r>
    </w:p>
    <w:p w:rsidR="00B609F3" w:rsidRPr="002733BD" w:rsidRDefault="00B609F3" w:rsidP="00B609F3">
      <w:pPr>
        <w:spacing w:before="120"/>
        <w:jc w:val="both"/>
        <w:rPr>
          <w:lang w:eastAsia="bg-BG"/>
        </w:rPr>
      </w:pPr>
      <w:r w:rsidRPr="002733BD">
        <w:rPr>
          <w:lang w:eastAsia="bg-BG"/>
        </w:rPr>
        <w:t>Приходите от</w:t>
      </w:r>
      <w:r w:rsidRPr="002733BD">
        <w:rPr>
          <w:b/>
          <w:lang w:eastAsia="bg-BG"/>
        </w:rPr>
        <w:t xml:space="preserve"> </w:t>
      </w:r>
      <w:r w:rsidRPr="002733BD">
        <w:rPr>
          <w:b/>
          <w:bCs/>
          <w:i/>
          <w:lang w:eastAsia="bg-BG"/>
        </w:rPr>
        <w:t>корпоративни данъци</w:t>
      </w:r>
      <w:r w:rsidRPr="002733BD">
        <w:rPr>
          <w:lang w:eastAsia="bg-BG"/>
        </w:rPr>
        <w:t xml:space="preserve"> </w:t>
      </w:r>
      <w:r w:rsidRPr="002733BD">
        <w:rPr>
          <w:bCs/>
          <w:lang w:eastAsia="bg-BG"/>
        </w:rPr>
        <w:t>към март 2026 г.</w:t>
      </w:r>
      <w:r w:rsidRPr="002733BD">
        <w:rPr>
          <w:lang w:eastAsia="bg-BG"/>
        </w:rPr>
        <w:t xml:space="preserve"> са в размер на </w:t>
      </w:r>
      <w:r w:rsidRPr="002733BD">
        <w:rPr>
          <w:lang w:val="ru-RU" w:eastAsia="bg-BG"/>
        </w:rPr>
        <w:t xml:space="preserve">101,0 </w:t>
      </w:r>
      <w:r w:rsidRPr="002733BD">
        <w:rPr>
          <w:lang w:eastAsia="bg-BG"/>
        </w:rPr>
        <w:t xml:space="preserve">млн. евро. </w:t>
      </w:r>
    </w:p>
    <w:p w:rsidR="00B609F3" w:rsidRPr="002733BD" w:rsidRDefault="00B609F3" w:rsidP="00B609F3">
      <w:pPr>
        <w:jc w:val="both"/>
        <w:rPr>
          <w:lang w:eastAsia="bg-BG"/>
        </w:rPr>
      </w:pPr>
      <w:r w:rsidRPr="002733BD">
        <w:rPr>
          <w:lang w:eastAsia="bg-BG"/>
        </w:rPr>
        <w:t>Постъпленията от</w:t>
      </w:r>
      <w:r w:rsidRPr="002733BD">
        <w:rPr>
          <w:b/>
          <w:i/>
          <w:lang w:eastAsia="bg-BG"/>
        </w:rPr>
        <w:t xml:space="preserve"> корпоративен данък</w:t>
      </w:r>
      <w:r w:rsidRPr="002733BD">
        <w:rPr>
          <w:lang w:eastAsia="bg-BG"/>
        </w:rPr>
        <w:t xml:space="preserve"> през 2026 г. са в пряка зависимост от следните показатели:</w:t>
      </w:r>
    </w:p>
    <w:p w:rsidR="00B609F3" w:rsidRPr="002733BD" w:rsidRDefault="00B609F3" w:rsidP="00B609F3">
      <w:pPr>
        <w:numPr>
          <w:ilvl w:val="0"/>
          <w:numId w:val="22"/>
        </w:numPr>
        <w:tabs>
          <w:tab w:val="left" w:pos="900"/>
        </w:tabs>
        <w:ind w:left="0" w:firstLine="720"/>
        <w:jc w:val="both"/>
        <w:rPr>
          <w:lang w:eastAsia="bg-BG"/>
        </w:rPr>
      </w:pPr>
      <w:r w:rsidRPr="002733BD">
        <w:rPr>
          <w:lang w:eastAsia="bg-BG"/>
        </w:rPr>
        <w:t>декларирана данъчна печалба по подадените ГДД за 2025 г.;</w:t>
      </w:r>
    </w:p>
    <w:p w:rsidR="00B609F3" w:rsidRPr="002733BD" w:rsidRDefault="00B609F3" w:rsidP="00B609F3">
      <w:pPr>
        <w:numPr>
          <w:ilvl w:val="0"/>
          <w:numId w:val="22"/>
        </w:numPr>
        <w:tabs>
          <w:tab w:val="left" w:pos="900"/>
        </w:tabs>
        <w:ind w:left="0" w:firstLine="720"/>
        <w:jc w:val="both"/>
        <w:rPr>
          <w:lang w:eastAsia="bg-BG"/>
        </w:rPr>
      </w:pPr>
      <w:r w:rsidRPr="002733BD">
        <w:rPr>
          <w:lang w:eastAsia="bg-BG"/>
        </w:rPr>
        <w:t>декларирана данъчна загуба за 2025 г.;</w:t>
      </w:r>
    </w:p>
    <w:p w:rsidR="00B609F3" w:rsidRPr="002733BD" w:rsidRDefault="00B609F3" w:rsidP="00B609F3">
      <w:pPr>
        <w:numPr>
          <w:ilvl w:val="0"/>
          <w:numId w:val="22"/>
        </w:numPr>
        <w:tabs>
          <w:tab w:val="left" w:pos="900"/>
        </w:tabs>
        <w:ind w:left="0" w:firstLine="720"/>
        <w:jc w:val="both"/>
        <w:rPr>
          <w:lang w:eastAsia="bg-BG"/>
        </w:rPr>
      </w:pPr>
      <w:r w:rsidRPr="002733BD">
        <w:rPr>
          <w:lang w:eastAsia="bg-BG"/>
        </w:rPr>
        <w:t>общ размер на авансовите вноски, които данъчно задължените лица правят въз основа на прогнозната данъчна печалба за текущата година;</w:t>
      </w:r>
    </w:p>
    <w:p w:rsidR="00B609F3" w:rsidRPr="002733BD" w:rsidRDefault="00B609F3" w:rsidP="00B609F3">
      <w:pPr>
        <w:numPr>
          <w:ilvl w:val="0"/>
          <w:numId w:val="22"/>
        </w:numPr>
        <w:tabs>
          <w:tab w:val="left" w:pos="900"/>
        </w:tabs>
        <w:ind w:left="0" w:firstLine="720"/>
        <w:jc w:val="both"/>
        <w:rPr>
          <w:lang w:eastAsia="bg-BG"/>
        </w:rPr>
      </w:pPr>
      <w:r w:rsidRPr="002733BD">
        <w:rPr>
          <w:szCs w:val="16"/>
          <w:lang w:eastAsia="bg-BG"/>
        </w:rPr>
        <w:t>общ размер на разликата за внасяне по ГДД за 2025 г</w:t>
      </w:r>
      <w:r w:rsidRPr="002733BD">
        <w:rPr>
          <w:lang w:eastAsia="bg-BG"/>
        </w:rPr>
        <w:t>.;</w:t>
      </w:r>
    </w:p>
    <w:p w:rsidR="00B609F3" w:rsidRPr="002733BD" w:rsidRDefault="00B609F3" w:rsidP="00B609F3">
      <w:pPr>
        <w:numPr>
          <w:ilvl w:val="0"/>
          <w:numId w:val="22"/>
        </w:numPr>
        <w:tabs>
          <w:tab w:val="left" w:pos="900"/>
        </w:tabs>
        <w:ind w:left="0" w:firstLine="720"/>
        <w:jc w:val="both"/>
        <w:rPr>
          <w:lang w:eastAsia="bg-BG"/>
        </w:rPr>
      </w:pPr>
      <w:r w:rsidRPr="002733BD">
        <w:rPr>
          <w:lang w:eastAsia="bg-BG"/>
        </w:rPr>
        <w:t>начислените по ревизионни актове суми за корпоративен данък;</w:t>
      </w:r>
    </w:p>
    <w:p w:rsidR="00B609F3" w:rsidRPr="002733BD" w:rsidRDefault="00B609F3" w:rsidP="00B609F3">
      <w:pPr>
        <w:numPr>
          <w:ilvl w:val="0"/>
          <w:numId w:val="22"/>
        </w:numPr>
        <w:tabs>
          <w:tab w:val="left" w:pos="900"/>
        </w:tabs>
        <w:ind w:left="0" w:firstLine="720"/>
        <w:jc w:val="both"/>
        <w:rPr>
          <w:lang w:eastAsia="bg-BG"/>
        </w:rPr>
      </w:pPr>
      <w:r w:rsidRPr="002733BD">
        <w:rPr>
          <w:lang w:eastAsia="bg-BG"/>
        </w:rPr>
        <w:t>относителния дял на постигнатата събираемост при корпоративния данък.</w:t>
      </w:r>
    </w:p>
    <w:p w:rsidR="00B609F3" w:rsidRPr="002733BD" w:rsidRDefault="00B609F3" w:rsidP="00B609F3">
      <w:pPr>
        <w:spacing w:before="120"/>
        <w:jc w:val="both"/>
        <w:rPr>
          <w:lang w:eastAsia="bg-BG"/>
        </w:rPr>
      </w:pPr>
      <w:r w:rsidRPr="002733BD">
        <w:rPr>
          <w:lang w:eastAsia="bg-BG"/>
        </w:rPr>
        <w:t>Върху размера на приходите от корпоративен данък влияние оказват и прилагането на преференцията за пренасяне на данъчни загуби, както и на възможността за допълнителна еднократна корекция на годишната данъчна декларация при откриване на счетоводни или други грешки и при отразяване на коригиращи събития по смисъла на приложимите счетоводни стандарти в срок до 30 септември на текущата година.</w:t>
      </w:r>
    </w:p>
    <w:p w:rsidR="00B609F3" w:rsidRPr="002733BD" w:rsidRDefault="00B609F3" w:rsidP="00B609F3">
      <w:pPr>
        <w:spacing w:before="120"/>
        <w:jc w:val="both"/>
        <w:rPr>
          <w:color w:val="0070C0"/>
          <w:lang w:eastAsia="bg-BG"/>
        </w:rPr>
      </w:pPr>
      <w:r w:rsidRPr="002733BD">
        <w:rPr>
          <w:lang w:eastAsia="bg-BG"/>
        </w:rPr>
        <w:t xml:space="preserve">В тази група данъци са и приходите от </w:t>
      </w:r>
      <w:r w:rsidRPr="002733BD">
        <w:rPr>
          <w:b/>
          <w:i/>
          <w:lang w:eastAsia="bg-BG"/>
        </w:rPr>
        <w:t>данък върху дивидентите, ликвидационните дялове и доходите на местни и чуждестранни юридически лица</w:t>
      </w:r>
      <w:r w:rsidRPr="002733BD">
        <w:rPr>
          <w:lang w:eastAsia="bg-BG"/>
        </w:rPr>
        <w:t xml:space="preserve">, които са в размер на </w:t>
      </w:r>
      <w:r w:rsidRPr="002733BD">
        <w:rPr>
          <w:lang w:val="ru-RU" w:eastAsia="bg-BG"/>
        </w:rPr>
        <w:t xml:space="preserve">29,8 </w:t>
      </w:r>
      <w:r w:rsidRPr="002733BD">
        <w:rPr>
          <w:lang w:eastAsia="bg-BG"/>
        </w:rPr>
        <w:t>млн. евро. Постъпленията от данъци върху дивидентите, ликвидационните дялове и доходите на юридически лица зависят от състоянието на икономиката и осъществяващите се процеси по разпределение на фирмена собственост в страната.</w:t>
      </w:r>
    </w:p>
    <w:p w:rsidR="00B609F3" w:rsidRPr="002733BD" w:rsidRDefault="00B609F3" w:rsidP="00B609F3">
      <w:pPr>
        <w:spacing w:before="120" w:after="120"/>
        <w:jc w:val="both"/>
        <w:rPr>
          <w:lang w:val="ru-RU" w:eastAsia="bg-BG"/>
        </w:rPr>
      </w:pPr>
      <w:r w:rsidRPr="002733BD">
        <w:rPr>
          <w:lang w:eastAsia="bg-BG"/>
        </w:rPr>
        <w:t>Приходите от</w:t>
      </w:r>
      <w:r w:rsidRPr="002733BD">
        <w:rPr>
          <w:b/>
          <w:lang w:eastAsia="bg-BG"/>
        </w:rPr>
        <w:t xml:space="preserve"> данъци върху доходите на физически лица </w:t>
      </w:r>
      <w:r w:rsidRPr="002733BD">
        <w:rPr>
          <w:lang w:eastAsia="bg-BG"/>
        </w:rPr>
        <w:t xml:space="preserve">(ДДФЛ) са в размер на </w:t>
      </w:r>
      <w:r w:rsidRPr="002733BD">
        <w:rPr>
          <w:b/>
          <w:lang w:eastAsia="bg-BG"/>
        </w:rPr>
        <w:t xml:space="preserve">1 052,6 млн. евро </w:t>
      </w:r>
      <w:r w:rsidRPr="002733BD">
        <w:rPr>
          <w:lang w:eastAsia="bg-BG"/>
        </w:rPr>
        <w:t>и са с 203,2 млн. евро повече или 23,9 % ръст спрямо същия период на предходната година.</w:t>
      </w:r>
      <w:r w:rsidRPr="002733BD">
        <w:rPr>
          <w:lang w:val="ru-RU" w:eastAsia="bg-BG"/>
        </w:rPr>
        <w:t xml:space="preserve"> </w:t>
      </w:r>
    </w:p>
    <w:p w:rsidR="00B609F3" w:rsidRPr="002733BD" w:rsidRDefault="00B609F3" w:rsidP="00B609F3">
      <w:pPr>
        <w:spacing w:after="120"/>
        <w:jc w:val="both"/>
        <w:rPr>
          <w:color w:val="0070C0"/>
          <w:lang w:eastAsia="bg-BG"/>
        </w:rPr>
      </w:pPr>
      <w:r w:rsidRPr="002733BD">
        <w:rPr>
          <w:lang w:eastAsia="bg-BG"/>
        </w:rPr>
        <w:t>Основен фактор за размера на данъчните постъпления от ДДФЛ е развитието на  параметрите на пазара на труда. Нарастването на заетостта, спад на безработицата и ръст на заплащането на труда са предпоставки за по-високи приходи от този вид данъци</w:t>
      </w:r>
      <w:r w:rsidRPr="002733BD">
        <w:rPr>
          <w:lang w:val="en-US" w:eastAsia="bg-BG"/>
        </w:rPr>
        <w:t>.</w:t>
      </w:r>
      <w:r w:rsidRPr="002733BD">
        <w:rPr>
          <w:lang w:eastAsia="bg-BG"/>
        </w:rPr>
        <w:t xml:space="preserve"> Влияние върху размера на постъпленията от ДДФЛ оказват действащите законодателни и административни мерки в областта на трудовото, социалното и данъчното законодателство. За повишаване на тази група данъчни приходи допринасят и предприетите мерки за намаляване на недекларирания труд, мерките за повишаване на събираемостта на задължения за минали периоди и тематичните кампании за контрол, провеждани от НАП.</w:t>
      </w:r>
    </w:p>
    <w:p w:rsidR="00B609F3" w:rsidRPr="002733BD" w:rsidRDefault="00B609F3" w:rsidP="00B609F3">
      <w:pPr>
        <w:jc w:val="both"/>
        <w:rPr>
          <w:lang w:eastAsia="bg-BG"/>
        </w:rPr>
      </w:pPr>
      <w:r w:rsidRPr="002733BD">
        <w:rPr>
          <w:i/>
          <w:lang w:eastAsia="bg-BG"/>
        </w:rPr>
        <w:t>По трудови правоотношения</w:t>
      </w:r>
      <w:r w:rsidRPr="002733BD">
        <w:rPr>
          <w:lang w:eastAsia="bg-BG"/>
        </w:rPr>
        <w:t xml:space="preserve"> приходите от данъка </w:t>
      </w:r>
      <w:r w:rsidRPr="002733BD">
        <w:rPr>
          <w:bCs/>
          <w:lang w:eastAsia="bg-BG"/>
        </w:rPr>
        <w:t>към март 2026 г.</w:t>
      </w:r>
      <w:r w:rsidRPr="002733BD">
        <w:rPr>
          <w:lang w:eastAsia="bg-BG"/>
        </w:rPr>
        <w:t xml:space="preserve"> са 819,5 млн. евро. Тези приходи са с 94,5 млн. евро повече или 13,0 % ръст в сравнение със същия период на предходната година.</w:t>
      </w:r>
    </w:p>
    <w:p w:rsidR="00B609F3" w:rsidRPr="002733BD" w:rsidRDefault="00B609F3" w:rsidP="00B609F3">
      <w:pPr>
        <w:jc w:val="both"/>
        <w:rPr>
          <w:color w:val="0070C0"/>
          <w:lang w:eastAsia="bg-BG"/>
        </w:rPr>
      </w:pPr>
      <w:r w:rsidRPr="002733BD">
        <w:rPr>
          <w:lang w:eastAsia="bg-BG"/>
        </w:rPr>
        <w:t>Фактор за нарастване на приходите от ДДФЛ са отчетеният висок номинален ръст на средната работна заплата през 2025 г., както в частния сектор, така и в обществения сектор, в т. ч. увеличението на заплатите в сферата на образованието и на разходите за персонал в бюджетните организации с приемането на ЗДБРБ за 2025 г. и действието на редица законодателни промени и актове на Министерския съвет. При тази група данъчни приходи през 2026 г. влияние оказва увеличението от 1 януари 2026 г. (съгласно постановения механизъм в чл. 244, ал. 2 от Кодекса на труда) на минималната работна заплата за страната от 551 евро (1 077 лв.) на 620,20 евро (1 213 лв.) или с 12,6 %. Допълнителен положителен ефект има еднократната индексация на възнагражденията в размер на натрупаната към 31 декември 2025 г. годишна инфлация (5 % по данни на НСИ) в бюджетните организации на заетите на по-висока от минималната работна заплата.</w:t>
      </w:r>
    </w:p>
    <w:p w:rsidR="00B609F3" w:rsidRPr="002733BD" w:rsidRDefault="00B609F3" w:rsidP="00B609F3">
      <w:pPr>
        <w:tabs>
          <w:tab w:val="left" w:pos="0"/>
        </w:tabs>
        <w:spacing w:before="120"/>
        <w:jc w:val="both"/>
        <w:rPr>
          <w:lang w:eastAsia="bg-BG"/>
        </w:rPr>
      </w:pPr>
      <w:r w:rsidRPr="002733BD">
        <w:rPr>
          <w:lang w:eastAsia="bg-BG"/>
        </w:rPr>
        <w:t>Влияние върху приходите от трудови правоотношения в посока намаление през периода оказва ползването на облекченията за деца по чл. 22в и чл. 22г от ЗДДФЛ чрез подаване на декларация по образец при работодателя през месец декември. Очаква се ползването на облекченията за деца по чл. 22в и чл. 22г от ЗДДФЛ чрез подаване на годишната данъчна декларация за доходите, придобити през 2025 г., както и авансовото ползване при работодател за придобитите доходи през 2026 година да окаже въздействие и през следващите отчетни периоди.</w:t>
      </w:r>
    </w:p>
    <w:p w:rsidR="00B609F3" w:rsidRPr="002733BD" w:rsidRDefault="00B609F3" w:rsidP="00B609F3">
      <w:pPr>
        <w:tabs>
          <w:tab w:val="left" w:pos="0"/>
        </w:tabs>
        <w:spacing w:before="120"/>
        <w:jc w:val="both"/>
        <w:rPr>
          <w:color w:val="0070C0"/>
          <w:lang w:eastAsia="bg-BG"/>
        </w:rPr>
      </w:pPr>
      <w:r w:rsidRPr="002733BD">
        <w:rPr>
          <w:lang w:eastAsia="bg-BG"/>
        </w:rPr>
        <w:t>От</w:t>
      </w:r>
      <w:r w:rsidRPr="002733BD">
        <w:rPr>
          <w:i/>
          <w:lang w:eastAsia="bg-BG"/>
        </w:rPr>
        <w:t xml:space="preserve"> извънтрудови правоотношения</w:t>
      </w:r>
      <w:r w:rsidRPr="002733BD">
        <w:rPr>
          <w:lang w:eastAsia="bg-BG"/>
        </w:rPr>
        <w:t xml:space="preserve"> </w:t>
      </w:r>
      <w:r w:rsidRPr="002733BD">
        <w:rPr>
          <w:i/>
          <w:lang w:eastAsia="bg-BG"/>
        </w:rPr>
        <w:t>(ЕТ, свободни професии, граждански договори, годишен и авансов данък и др.)</w:t>
      </w:r>
      <w:r w:rsidRPr="002733BD">
        <w:rPr>
          <w:b/>
          <w:i/>
          <w:lang w:eastAsia="bg-BG"/>
        </w:rPr>
        <w:t xml:space="preserve"> </w:t>
      </w:r>
      <w:r w:rsidRPr="002733BD">
        <w:rPr>
          <w:lang w:eastAsia="bg-BG"/>
        </w:rPr>
        <w:t>приходите</w:t>
      </w:r>
      <w:r w:rsidRPr="002733BD">
        <w:rPr>
          <w:i/>
          <w:lang w:eastAsia="bg-BG"/>
        </w:rPr>
        <w:t xml:space="preserve"> </w:t>
      </w:r>
      <w:r w:rsidRPr="002733BD">
        <w:rPr>
          <w:lang w:eastAsia="bg-BG"/>
        </w:rPr>
        <w:t>от данъка към</w:t>
      </w:r>
      <w:r w:rsidRPr="002733BD">
        <w:rPr>
          <w:b/>
          <w:i/>
          <w:lang w:eastAsia="bg-BG"/>
        </w:rPr>
        <w:t xml:space="preserve"> </w:t>
      </w:r>
      <w:r w:rsidRPr="002733BD">
        <w:rPr>
          <w:lang w:eastAsia="bg-BG"/>
        </w:rPr>
        <w:t>31.03.2026 г. са 61,3 млн. евро. Основно влияние върху тези приходи оказват резултатите от годишните данъчни декларации по чл. 50 от ЗДДФЛ (дължим данък за довнасяне или надвнесен данък) и дължимите авансови вноски, както и плащанията за минали години и размера на възстановения и прихванат данък. По данни на НАП към 31.12.2025 г. плащанията по декларации нарастват с 18,7 % (30,3 млн. евро) спрямо края на 2024 г., авансовите вноски нарастват с 6,6 % (3,9 млн. евро), а ръстът на плащанията за минали години е 9,8 % (8,0 млн. евро). Размерът на възстановения и прихванат данък нараства на годишна база с 8,1 % (6,1 млн. евро) и влияе в посока намаление на приходите от тази група данъци. Това се дължи основно на ползването с подаването на годишните декларации на постановените в ЗДДФЛ данъчни облекчения, от които с най-голям ефект за намаляване на данъчните приходи са облекченията за деца и за деца с увреждания, и данъчното облекчение за лица с намалена работоспособност.</w:t>
      </w:r>
    </w:p>
    <w:p w:rsidR="00B609F3" w:rsidRPr="002733BD" w:rsidRDefault="00B609F3" w:rsidP="00B609F3">
      <w:pPr>
        <w:tabs>
          <w:tab w:val="left" w:pos="0"/>
        </w:tabs>
        <w:spacing w:before="120"/>
        <w:jc w:val="both"/>
        <w:rPr>
          <w:color w:val="0070C0"/>
          <w:lang w:eastAsia="bg-BG"/>
        </w:rPr>
      </w:pPr>
      <w:r w:rsidRPr="002733BD">
        <w:rPr>
          <w:i/>
          <w:lang w:eastAsia="bg-BG"/>
        </w:rPr>
        <w:t xml:space="preserve">Окончателен данък на местните и чуждестранни физически лица по чл. 37 и 38 от ЗДДФЛ </w:t>
      </w:r>
      <w:r w:rsidRPr="002733BD">
        <w:rPr>
          <w:lang w:eastAsia="bg-BG"/>
        </w:rPr>
        <w:t xml:space="preserve">и </w:t>
      </w:r>
      <w:r w:rsidRPr="002733BD">
        <w:rPr>
          <w:i/>
          <w:lang w:eastAsia="bg-BG"/>
        </w:rPr>
        <w:t>данък върху дивидентите и ликвидационните дялове на физически лица</w:t>
      </w:r>
      <w:r w:rsidRPr="002733BD">
        <w:rPr>
          <w:lang w:eastAsia="bg-BG"/>
        </w:rPr>
        <w:t xml:space="preserve"> - постъпленията от тези данъци са в размер на </w:t>
      </w:r>
      <w:r w:rsidRPr="002733BD">
        <w:rPr>
          <w:lang w:val="ru-RU" w:eastAsia="bg-BG"/>
        </w:rPr>
        <w:t xml:space="preserve">171,8 </w:t>
      </w:r>
      <w:r w:rsidRPr="002733BD">
        <w:rPr>
          <w:lang w:eastAsia="bg-BG"/>
        </w:rPr>
        <w:t>млн. евро. Към март  постъпленията са с 90,2 млн. евро повече спрямо същия период на 2025 година. Ръстът на тази група данъци се дължи, както на отчетените финансови резултати от нефинансовите предприятия през 2025 г., така и от предприетите законодателни и контролни мерки. Влияние за по-високото изпълнение на приходите от данък върху дивидентите и ликвидационните дялове на местни и чуждестранни физически и юридически лица имат предприетите контролни действия от НАП за проверка на касови наличности. Контролните действия са насочени приоритетно към лица, за които има информация за висока касова наличност, и при които има риск от наличие на сделки, сключени при условия, водещи до отклонение от данъчно облагане, наличието на скрито разпределение на печалбата по смисъла на § 1, т. 5 от ДР на ЗКПО. Скритото разпределение на печалбата се третира като дивидент, за който се внася 5 % данък върху разпределените суми. Влияние върху постъпленията от данъка върху дивидентите има и действащата разпоредба от Закона за ограничаване на плащанията в брой (чл. 3, ал. 4, т. 3), плащанията на територията на страната на дивиденти, със стойност равна на или надвишаваща 1000 лв. (511,29 евро), да се извършват само чрез превод или внасяне по платежна сметка</w:t>
      </w:r>
      <w:r w:rsidRPr="002733BD">
        <w:rPr>
          <w:color w:val="0070C0"/>
          <w:lang w:eastAsia="bg-BG"/>
        </w:rPr>
        <w:t>.</w:t>
      </w:r>
    </w:p>
    <w:p w:rsidR="00B609F3" w:rsidRPr="002733BD" w:rsidRDefault="00B609F3" w:rsidP="00B609F3">
      <w:pPr>
        <w:numPr>
          <w:ilvl w:val="0"/>
          <w:numId w:val="4"/>
        </w:numPr>
        <w:tabs>
          <w:tab w:val="clear" w:pos="1440"/>
          <w:tab w:val="num" w:pos="540"/>
        </w:tabs>
        <w:spacing w:before="120"/>
        <w:ind w:left="0" w:firstLine="181"/>
        <w:jc w:val="both"/>
        <w:rPr>
          <w:b/>
          <w:bCs/>
          <w:lang w:eastAsia="bg-BG"/>
        </w:rPr>
      </w:pPr>
      <w:r w:rsidRPr="002733BD">
        <w:rPr>
          <w:b/>
          <w:bCs/>
          <w:lang w:eastAsia="bg-BG"/>
        </w:rPr>
        <w:t>Косвени данъци</w:t>
      </w:r>
    </w:p>
    <w:p w:rsidR="00B609F3" w:rsidRPr="002733BD" w:rsidRDefault="00B609F3" w:rsidP="00B609F3">
      <w:pPr>
        <w:jc w:val="both"/>
        <w:rPr>
          <w:b/>
          <w:bCs/>
          <w:color w:val="0070C0"/>
          <w:sz w:val="4"/>
          <w:szCs w:val="4"/>
          <w:lang w:eastAsia="bg-BG"/>
        </w:rPr>
      </w:pPr>
    </w:p>
    <w:p w:rsidR="00B609F3" w:rsidRPr="002733BD" w:rsidRDefault="00B609F3" w:rsidP="00B609F3">
      <w:pPr>
        <w:spacing w:after="120"/>
        <w:jc w:val="both"/>
        <w:rPr>
          <w:lang w:eastAsia="bg-BG"/>
        </w:rPr>
      </w:pPr>
      <w:r w:rsidRPr="002733BD">
        <w:rPr>
          <w:lang w:eastAsia="bg-BG"/>
        </w:rPr>
        <w:t xml:space="preserve">Приходите от </w:t>
      </w:r>
      <w:r w:rsidRPr="002733BD">
        <w:rPr>
          <w:b/>
          <w:lang w:eastAsia="bg-BG"/>
        </w:rPr>
        <w:t>косвени данъци</w:t>
      </w:r>
      <w:r w:rsidRPr="002733BD">
        <w:rPr>
          <w:lang w:eastAsia="bg-BG"/>
        </w:rPr>
        <w:t xml:space="preserve"> </w:t>
      </w:r>
      <w:r w:rsidRPr="002733BD">
        <w:rPr>
          <w:bCs/>
          <w:lang w:eastAsia="bg-BG"/>
        </w:rPr>
        <w:t>към март 2026 г.</w:t>
      </w:r>
      <w:r w:rsidRPr="002733BD">
        <w:rPr>
          <w:lang w:eastAsia="bg-BG"/>
        </w:rPr>
        <w:t xml:space="preserve"> са в размер на </w:t>
      </w:r>
      <w:r w:rsidRPr="002733BD">
        <w:rPr>
          <w:b/>
          <w:lang w:eastAsia="bg-BG"/>
        </w:rPr>
        <w:t>3 701,2 млн. евро.</w:t>
      </w:r>
      <w:r w:rsidRPr="002733BD">
        <w:rPr>
          <w:lang w:eastAsia="bg-BG"/>
        </w:rPr>
        <w:t xml:space="preserve"> Сравнени с данните за същия период на предходната година постъпленията </w:t>
      </w:r>
      <w:r w:rsidRPr="002733BD">
        <w:rPr>
          <w:bCs/>
          <w:lang w:eastAsia="bg-BG"/>
        </w:rPr>
        <w:t>нарастват</w:t>
      </w:r>
      <w:r w:rsidRPr="002733BD">
        <w:rPr>
          <w:lang w:eastAsia="bg-BG"/>
        </w:rPr>
        <w:t xml:space="preserve"> с 445,9 млн. евро </w:t>
      </w:r>
      <w:r w:rsidRPr="002733BD">
        <w:rPr>
          <w:lang w:val="ru-RU" w:eastAsia="bg-BG"/>
        </w:rPr>
        <w:t>(</w:t>
      </w:r>
      <w:r w:rsidRPr="002733BD">
        <w:rPr>
          <w:lang w:eastAsia="bg-BG"/>
        </w:rPr>
        <w:t>13,7 %</w:t>
      </w:r>
      <w:r w:rsidRPr="002733BD">
        <w:rPr>
          <w:lang w:val="ru-RU" w:eastAsia="bg-BG"/>
        </w:rPr>
        <w:t>). Това нарастване се дължи основно на по-големите приходи от ДДС</w:t>
      </w:r>
      <w:r w:rsidRPr="002733BD">
        <w:rPr>
          <w:lang w:eastAsia="bg-BG"/>
        </w:rPr>
        <w:t>.</w:t>
      </w:r>
    </w:p>
    <w:p w:rsidR="00B609F3" w:rsidRPr="002733BD" w:rsidRDefault="00B609F3" w:rsidP="00B609F3">
      <w:pPr>
        <w:spacing w:after="120"/>
        <w:jc w:val="both"/>
        <w:rPr>
          <w:lang w:eastAsia="bg-BG"/>
        </w:rPr>
      </w:pPr>
      <w:r w:rsidRPr="002733BD">
        <w:rPr>
          <w:b/>
          <w:lang w:eastAsia="bg-BG"/>
        </w:rPr>
        <w:t>Приходите от ДДС</w:t>
      </w:r>
      <w:r w:rsidRPr="002733BD">
        <w:rPr>
          <w:lang w:eastAsia="bg-BG"/>
        </w:rPr>
        <w:t xml:space="preserve"> са в размер на </w:t>
      </w:r>
      <w:r w:rsidRPr="002733BD">
        <w:rPr>
          <w:b/>
          <w:lang w:eastAsia="bg-BG"/>
        </w:rPr>
        <w:t>2 824,2 млн. евро.</w:t>
      </w:r>
      <w:r w:rsidRPr="002733BD">
        <w:rPr>
          <w:lang w:eastAsia="bg-BG"/>
        </w:rPr>
        <w:t xml:space="preserve"> Съпоставени с края на март 2025 г., приходите от ДДС нарастват с 399,0 млн. евро </w:t>
      </w:r>
      <w:r w:rsidRPr="002733BD">
        <w:rPr>
          <w:lang w:val="ru-RU" w:eastAsia="bg-BG"/>
        </w:rPr>
        <w:t>(</w:t>
      </w:r>
      <w:r w:rsidRPr="002733BD">
        <w:rPr>
          <w:lang w:eastAsia="bg-BG"/>
        </w:rPr>
        <w:t>16,5 на сто</w:t>
      </w:r>
      <w:r w:rsidRPr="002733BD">
        <w:rPr>
          <w:lang w:val="ru-RU" w:eastAsia="bg-BG"/>
        </w:rPr>
        <w:t>)</w:t>
      </w:r>
      <w:r w:rsidRPr="002733BD">
        <w:rPr>
          <w:lang w:eastAsia="bg-BG"/>
        </w:rPr>
        <w:t xml:space="preserve">, в резултат основно на по-високите приходи от ДДС от сделки в страната и вътреобщностни придобивания </w:t>
      </w:r>
      <w:r w:rsidRPr="002733BD">
        <w:rPr>
          <w:lang w:val="ru-RU" w:eastAsia="bg-BG"/>
        </w:rPr>
        <w:t>(</w:t>
      </w:r>
      <w:r w:rsidRPr="002733BD">
        <w:rPr>
          <w:lang w:eastAsia="bg-BG"/>
        </w:rPr>
        <w:t>ВОП</w:t>
      </w:r>
      <w:r w:rsidRPr="002733BD">
        <w:rPr>
          <w:lang w:val="ru-RU" w:eastAsia="bg-BG"/>
        </w:rPr>
        <w:t>).</w:t>
      </w:r>
      <w:r w:rsidRPr="002733BD">
        <w:rPr>
          <w:lang w:eastAsia="bg-BG"/>
        </w:rPr>
        <w:t xml:space="preserve">  </w:t>
      </w:r>
    </w:p>
    <w:p w:rsidR="00B609F3" w:rsidRPr="002733BD" w:rsidRDefault="00B609F3" w:rsidP="00B609F3">
      <w:pPr>
        <w:spacing w:after="120"/>
        <w:contextualSpacing/>
        <w:jc w:val="both"/>
        <w:rPr>
          <w:color w:val="0070C0"/>
          <w:lang w:eastAsia="bg-BG"/>
        </w:rPr>
      </w:pPr>
      <w:r w:rsidRPr="002733BD">
        <w:rPr>
          <w:lang w:eastAsia="bg-BG"/>
        </w:rPr>
        <w:t xml:space="preserve">Нетният размер на приходите от </w:t>
      </w:r>
      <w:r w:rsidRPr="002733BD">
        <w:rPr>
          <w:i/>
          <w:lang w:eastAsia="bg-BG"/>
        </w:rPr>
        <w:t>ДДС от внос</w:t>
      </w:r>
      <w:r w:rsidRPr="002733BD">
        <w:rPr>
          <w:lang w:eastAsia="bg-BG"/>
        </w:rPr>
        <w:t xml:space="preserve"> </w:t>
      </w:r>
      <w:r w:rsidRPr="002733BD">
        <w:rPr>
          <w:bCs/>
          <w:lang w:eastAsia="bg-BG"/>
        </w:rPr>
        <w:t>към март 2026 г.</w:t>
      </w:r>
      <w:r w:rsidRPr="002733BD">
        <w:rPr>
          <w:lang w:eastAsia="bg-BG"/>
        </w:rPr>
        <w:t xml:space="preserve"> е 909,7 млн. евро. Върху постъпленията от ДДС от внос влияние оказва възможността </w:t>
      </w:r>
      <w:r w:rsidRPr="002733BD">
        <w:rPr>
          <w:iCs/>
          <w:lang w:eastAsia="bg-BG"/>
        </w:rPr>
        <w:t>за отложено начисляване на ДДС от вносител при внос на стоки от трети страни, в съответствие с разпоредбата на чл. 167а от Закона за данък върху добавената стойност.</w:t>
      </w:r>
      <w:r w:rsidRPr="002733BD">
        <w:rPr>
          <w:bCs/>
          <w:lang w:eastAsia="bg-BG"/>
        </w:rPr>
        <w:t xml:space="preserve"> </w:t>
      </w:r>
      <w:r w:rsidRPr="002733BD">
        <w:rPr>
          <w:lang w:eastAsia="bg-BG"/>
        </w:rPr>
        <w:t xml:space="preserve">Ефектът от прилагането на този режим </w:t>
      </w:r>
      <w:r w:rsidRPr="002733BD">
        <w:rPr>
          <w:bCs/>
          <w:lang w:eastAsia="bg-BG"/>
        </w:rPr>
        <w:t xml:space="preserve">е  неначислен ДДС при внос в размер на 221,6 млн. евро, което е с 15,8 млн. евро (7,7 %) повече спрямо март 2025 година. </w:t>
      </w:r>
      <w:r w:rsidRPr="002733BD">
        <w:rPr>
          <w:lang w:eastAsia="bg-BG"/>
        </w:rPr>
        <w:t>Стоките с най-значителен дял в сумата на неначисления ДДС през първите три месеца на 2026 г. са: Руди, шлаки и пепели – 136,3 млн. евро (увеличение с 21,8 млн. евро, 19,1 % ръст, отн. дял 61,5 %), Мед и изделия от мед – 50,1 млн. евро (увеличение с 11,7 млн. евро, 30,3 % ръст, отн. дял 22,6 %) и Чугун, желязо и стомана – 13,1 млн. евро (намаление с 8,5 млн. евро, 39,6 % спад, отн. дял 5,9 %). Изброените три групи стоки формират 90,0 % от неначисления ДДС за първите три месеца на 2026 година</w:t>
      </w:r>
      <w:r w:rsidRPr="002733BD">
        <w:rPr>
          <w:color w:val="0070C0"/>
          <w:lang w:eastAsia="bg-BG"/>
        </w:rPr>
        <w:t>.</w:t>
      </w:r>
    </w:p>
    <w:p w:rsidR="00B609F3" w:rsidRPr="002733BD" w:rsidRDefault="00B609F3" w:rsidP="00B609F3">
      <w:pPr>
        <w:spacing w:after="120"/>
        <w:contextualSpacing/>
        <w:jc w:val="both"/>
        <w:rPr>
          <w:bCs/>
          <w:lang w:eastAsia="bg-BG"/>
        </w:rPr>
      </w:pPr>
      <w:r w:rsidRPr="002733BD">
        <w:rPr>
          <w:lang w:eastAsia="bg-BG"/>
        </w:rPr>
        <w:t>Постъпленията от</w:t>
      </w:r>
      <w:r w:rsidRPr="002733BD">
        <w:rPr>
          <w:i/>
          <w:lang w:eastAsia="bg-BG"/>
        </w:rPr>
        <w:t xml:space="preserve"> ДДС при сделки в страната и ВОП (нето)</w:t>
      </w:r>
      <w:r w:rsidRPr="002733BD">
        <w:rPr>
          <w:lang w:eastAsia="bg-BG"/>
        </w:rPr>
        <w:t xml:space="preserve"> </w:t>
      </w:r>
      <w:r w:rsidRPr="002733BD">
        <w:rPr>
          <w:bCs/>
          <w:lang w:eastAsia="bg-BG"/>
        </w:rPr>
        <w:t>към март 2026 г.</w:t>
      </w:r>
      <w:r w:rsidRPr="002733BD">
        <w:rPr>
          <w:lang w:eastAsia="bg-BG"/>
        </w:rPr>
        <w:t xml:space="preserve"> възлизат на 1 914,5 млн. евро. Сравнени с данните за същия период на предходната година постъпленията </w:t>
      </w:r>
      <w:r w:rsidRPr="002733BD">
        <w:rPr>
          <w:bCs/>
          <w:lang w:eastAsia="bg-BG"/>
        </w:rPr>
        <w:t>нарастват с 291,1</w:t>
      </w:r>
      <w:r w:rsidR="00903548">
        <w:rPr>
          <w:bCs/>
          <w:lang w:eastAsia="bg-BG"/>
        </w:rPr>
        <w:t xml:space="preserve"> </w:t>
      </w:r>
      <w:r w:rsidRPr="002733BD">
        <w:rPr>
          <w:bCs/>
          <w:lang w:val="ru-RU" w:eastAsia="bg-BG"/>
        </w:rPr>
        <w:t>млн. евро (17,9 %).</w:t>
      </w:r>
    </w:p>
    <w:p w:rsidR="00B609F3" w:rsidRPr="002733BD" w:rsidRDefault="00B609F3" w:rsidP="00B609F3">
      <w:pPr>
        <w:tabs>
          <w:tab w:val="left" w:pos="0"/>
        </w:tabs>
        <w:ind w:right="51"/>
        <w:jc w:val="both"/>
        <w:rPr>
          <w:lang w:eastAsia="bg-BG"/>
        </w:rPr>
      </w:pPr>
      <w:r w:rsidRPr="002733BD">
        <w:rPr>
          <w:lang w:eastAsia="bg-BG"/>
        </w:rPr>
        <w:t>Ефективно внесеният ДДС по сметките на Националната агенция за приходите</w:t>
      </w:r>
      <w:r w:rsidRPr="002733BD">
        <w:rPr>
          <w:i/>
          <w:lang w:eastAsia="bg-BG"/>
        </w:rPr>
        <w:t xml:space="preserve"> </w:t>
      </w:r>
      <w:r w:rsidRPr="002733BD">
        <w:rPr>
          <w:lang w:eastAsia="bg-BG"/>
        </w:rPr>
        <w:t>се</w:t>
      </w:r>
      <w:r w:rsidRPr="002733BD">
        <w:rPr>
          <w:i/>
          <w:lang w:eastAsia="bg-BG"/>
        </w:rPr>
        <w:t xml:space="preserve"> </w:t>
      </w:r>
      <w:r w:rsidRPr="002733BD">
        <w:rPr>
          <w:lang w:eastAsia="bg-BG"/>
        </w:rPr>
        <w:t xml:space="preserve">формира от данък по справки-декларации от сделки в страната и ВОП и допълнително внесени суми, разкрити с данъчно-ревизионни актове при ревизии.   </w:t>
      </w:r>
    </w:p>
    <w:p w:rsidR="00B609F3" w:rsidRPr="002733BD" w:rsidRDefault="00B609F3" w:rsidP="00B609F3">
      <w:pPr>
        <w:tabs>
          <w:tab w:val="left" w:pos="9900"/>
        </w:tabs>
        <w:ind w:right="-28"/>
        <w:jc w:val="both"/>
        <w:rPr>
          <w:color w:val="0070C0"/>
          <w:lang w:eastAsia="bg-BG"/>
        </w:rPr>
      </w:pPr>
      <w:r w:rsidRPr="002733BD">
        <w:rPr>
          <w:lang w:eastAsia="bg-BG"/>
        </w:rPr>
        <w:t xml:space="preserve">Декларираният ДДС за възстановяване зависи от размера на износа и извършените инвестиции. Регистрираните лица по ДДС упражняват право на данъчен кредит чрез приспадане по реда на чл. 92, ал. 1 от ЗДДС или чрез ефективно възстановяване от данъчната администрация след определения срок. </w:t>
      </w:r>
      <w:r w:rsidRPr="002733BD">
        <w:rPr>
          <w:i/>
          <w:lang w:eastAsia="bg-BG"/>
        </w:rPr>
        <w:t>Приспаднатият данък</w:t>
      </w:r>
      <w:r w:rsidRPr="002733BD">
        <w:rPr>
          <w:lang w:eastAsia="bg-BG"/>
        </w:rPr>
        <w:t xml:space="preserve"> към 31.03.2026 г. е </w:t>
      </w:r>
      <w:r w:rsidRPr="002733BD">
        <w:rPr>
          <w:lang w:val="en-US" w:eastAsia="bg-BG"/>
        </w:rPr>
        <w:t>186</w:t>
      </w:r>
      <w:r w:rsidRPr="002733BD">
        <w:rPr>
          <w:lang w:eastAsia="bg-BG"/>
        </w:rPr>
        <w:t>,</w:t>
      </w:r>
      <w:r w:rsidRPr="002733BD">
        <w:rPr>
          <w:lang w:val="en-US" w:eastAsia="bg-BG"/>
        </w:rPr>
        <w:t>0</w:t>
      </w:r>
      <w:r w:rsidRPr="002733BD">
        <w:rPr>
          <w:lang w:eastAsia="bg-BG"/>
        </w:rPr>
        <w:t xml:space="preserve"> млн. евро и е с </w:t>
      </w:r>
      <w:r w:rsidRPr="002733BD">
        <w:rPr>
          <w:lang w:val="en-US" w:eastAsia="bg-BG"/>
        </w:rPr>
        <w:t>33</w:t>
      </w:r>
      <w:r w:rsidRPr="002733BD">
        <w:rPr>
          <w:lang w:eastAsia="bg-BG"/>
        </w:rPr>
        <w:t>,</w:t>
      </w:r>
      <w:r w:rsidRPr="002733BD">
        <w:rPr>
          <w:lang w:val="en-US" w:eastAsia="bg-BG"/>
        </w:rPr>
        <w:t>8</w:t>
      </w:r>
      <w:r w:rsidRPr="002733BD">
        <w:rPr>
          <w:lang w:eastAsia="bg-BG"/>
        </w:rPr>
        <w:t xml:space="preserve"> млн. евро повече в сравнение с края на март 2025 година</w:t>
      </w:r>
      <w:r w:rsidRPr="002733BD">
        <w:rPr>
          <w:lang w:val="en-US" w:eastAsia="bg-BG"/>
        </w:rPr>
        <w:t xml:space="preserve"> </w:t>
      </w:r>
      <w:r w:rsidRPr="002733BD">
        <w:rPr>
          <w:lang w:eastAsia="bg-BG"/>
        </w:rPr>
        <w:t>(</w:t>
      </w:r>
      <w:r w:rsidRPr="002733BD">
        <w:rPr>
          <w:lang w:val="en-US" w:eastAsia="bg-BG"/>
        </w:rPr>
        <w:t>22</w:t>
      </w:r>
      <w:r w:rsidRPr="002733BD">
        <w:rPr>
          <w:lang w:eastAsia="bg-BG"/>
        </w:rPr>
        <w:t>,</w:t>
      </w:r>
      <w:r w:rsidRPr="002733BD">
        <w:rPr>
          <w:lang w:val="en-US" w:eastAsia="bg-BG"/>
        </w:rPr>
        <w:t>2</w:t>
      </w:r>
      <w:r w:rsidRPr="002733BD">
        <w:rPr>
          <w:lang w:eastAsia="bg-BG"/>
        </w:rPr>
        <w:t xml:space="preserve"> % ръст). </w:t>
      </w:r>
      <w:r w:rsidRPr="002733BD">
        <w:rPr>
          <w:i/>
          <w:lang w:eastAsia="bg-BG"/>
        </w:rPr>
        <w:t>Възстановеният данък</w:t>
      </w:r>
      <w:r w:rsidRPr="002733BD">
        <w:rPr>
          <w:lang w:eastAsia="bg-BG"/>
        </w:rPr>
        <w:t xml:space="preserve"> е в размер на </w:t>
      </w:r>
      <w:r w:rsidRPr="002733BD">
        <w:rPr>
          <w:lang w:val="en-US" w:eastAsia="bg-BG"/>
        </w:rPr>
        <w:t>1 535</w:t>
      </w:r>
      <w:r w:rsidRPr="002733BD">
        <w:rPr>
          <w:lang w:eastAsia="bg-BG"/>
        </w:rPr>
        <w:t>,</w:t>
      </w:r>
      <w:r w:rsidRPr="002733BD">
        <w:rPr>
          <w:lang w:val="en-US" w:eastAsia="bg-BG"/>
        </w:rPr>
        <w:t>1</w:t>
      </w:r>
      <w:r w:rsidRPr="002733BD">
        <w:rPr>
          <w:lang w:eastAsia="bg-BG"/>
        </w:rPr>
        <w:t xml:space="preserve"> млн. евро, което е със </w:t>
      </w:r>
      <w:r w:rsidRPr="002733BD">
        <w:rPr>
          <w:lang w:val="en-US" w:eastAsia="bg-BG"/>
        </w:rPr>
        <w:t>122</w:t>
      </w:r>
      <w:r w:rsidRPr="002733BD">
        <w:rPr>
          <w:lang w:eastAsia="bg-BG"/>
        </w:rPr>
        <w:t>,</w:t>
      </w:r>
      <w:r w:rsidRPr="002733BD">
        <w:rPr>
          <w:lang w:val="en-US" w:eastAsia="bg-BG"/>
        </w:rPr>
        <w:t>4</w:t>
      </w:r>
      <w:r w:rsidRPr="002733BD">
        <w:rPr>
          <w:lang w:eastAsia="bg-BG"/>
        </w:rPr>
        <w:t xml:space="preserve"> млн. евро (</w:t>
      </w:r>
      <w:r w:rsidRPr="002733BD">
        <w:rPr>
          <w:lang w:val="en-US" w:eastAsia="bg-BG"/>
        </w:rPr>
        <w:t>8</w:t>
      </w:r>
      <w:r w:rsidRPr="002733BD">
        <w:rPr>
          <w:lang w:eastAsia="bg-BG"/>
        </w:rPr>
        <w:t>,</w:t>
      </w:r>
      <w:r w:rsidRPr="002733BD">
        <w:rPr>
          <w:lang w:val="en-US" w:eastAsia="bg-BG"/>
        </w:rPr>
        <w:t>7</w:t>
      </w:r>
      <w:r w:rsidRPr="002733BD">
        <w:rPr>
          <w:lang w:eastAsia="bg-BG"/>
        </w:rPr>
        <w:t xml:space="preserve"> % ръст)</w:t>
      </w:r>
      <w:r w:rsidRPr="002733BD">
        <w:rPr>
          <w:lang w:val="en-US" w:eastAsia="bg-BG"/>
        </w:rPr>
        <w:t xml:space="preserve"> </w:t>
      </w:r>
      <w:r w:rsidRPr="002733BD">
        <w:rPr>
          <w:lang w:eastAsia="bg-BG"/>
        </w:rPr>
        <w:t xml:space="preserve">повече възстановени суми спрямо края на март на предходната година. </w:t>
      </w:r>
      <w:r w:rsidRPr="002733BD">
        <w:rPr>
          <w:shd w:val="clear" w:color="auto" w:fill="FFFFFF"/>
          <w:lang w:eastAsia="bg-BG"/>
        </w:rPr>
        <w:t xml:space="preserve">Невъзстановеният ДДС към месец </w:t>
      </w:r>
      <w:r w:rsidRPr="002733BD">
        <w:rPr>
          <w:lang w:eastAsia="bg-BG"/>
        </w:rPr>
        <w:t>март</w:t>
      </w:r>
      <w:r w:rsidRPr="002733BD">
        <w:rPr>
          <w:shd w:val="clear" w:color="auto" w:fill="FFFFFF"/>
          <w:lang w:eastAsia="bg-BG"/>
        </w:rPr>
        <w:t xml:space="preserve"> 2026 г. е в размер на </w:t>
      </w:r>
      <w:r w:rsidRPr="002733BD">
        <w:rPr>
          <w:shd w:val="clear" w:color="auto" w:fill="FFFFFF"/>
          <w:lang w:val="en-US" w:eastAsia="bg-BG"/>
        </w:rPr>
        <w:t>27</w:t>
      </w:r>
      <w:r w:rsidRPr="002733BD">
        <w:rPr>
          <w:shd w:val="clear" w:color="auto" w:fill="FFFFFF"/>
          <w:lang w:eastAsia="bg-BG"/>
        </w:rPr>
        <w:t>,</w:t>
      </w:r>
      <w:r w:rsidRPr="002733BD">
        <w:rPr>
          <w:shd w:val="clear" w:color="auto" w:fill="FFFFFF"/>
          <w:lang w:val="en-US" w:eastAsia="bg-BG"/>
        </w:rPr>
        <w:t>9</w:t>
      </w:r>
      <w:r w:rsidRPr="002733BD">
        <w:rPr>
          <w:shd w:val="clear" w:color="auto" w:fill="FFFFFF"/>
          <w:lang w:eastAsia="bg-BG"/>
        </w:rPr>
        <w:t xml:space="preserve"> млн. евро, като е с 1</w:t>
      </w:r>
      <w:r w:rsidRPr="002733BD">
        <w:rPr>
          <w:shd w:val="clear" w:color="auto" w:fill="FFFFFF"/>
          <w:lang w:val="en-US" w:eastAsia="bg-BG"/>
        </w:rPr>
        <w:t>4</w:t>
      </w:r>
      <w:r w:rsidRPr="002733BD">
        <w:rPr>
          <w:shd w:val="clear" w:color="auto" w:fill="FFFFFF"/>
          <w:lang w:eastAsia="bg-BG"/>
        </w:rPr>
        <w:t>,</w:t>
      </w:r>
      <w:r w:rsidRPr="002733BD">
        <w:rPr>
          <w:shd w:val="clear" w:color="auto" w:fill="FFFFFF"/>
          <w:lang w:val="en-US" w:eastAsia="bg-BG"/>
        </w:rPr>
        <w:t>2</w:t>
      </w:r>
      <w:r w:rsidRPr="002733BD">
        <w:rPr>
          <w:shd w:val="clear" w:color="auto" w:fill="FFFFFF"/>
          <w:lang w:eastAsia="bg-BG"/>
        </w:rPr>
        <w:t xml:space="preserve"> млн. евро по-малко спрямо същия период на 202</w:t>
      </w:r>
      <w:r w:rsidRPr="002733BD">
        <w:rPr>
          <w:shd w:val="clear" w:color="auto" w:fill="FFFFFF"/>
          <w:lang w:val="en-US" w:eastAsia="bg-BG"/>
        </w:rPr>
        <w:t>5</w:t>
      </w:r>
      <w:r w:rsidRPr="002733BD">
        <w:rPr>
          <w:shd w:val="clear" w:color="auto" w:fill="FFFFFF"/>
          <w:lang w:eastAsia="bg-BG"/>
        </w:rPr>
        <w:t xml:space="preserve"> година</w:t>
      </w:r>
      <w:r w:rsidRPr="002733BD">
        <w:rPr>
          <w:color w:val="0070C0"/>
          <w:shd w:val="clear" w:color="auto" w:fill="FFFFFF"/>
          <w:lang w:eastAsia="bg-BG"/>
        </w:rPr>
        <w:t>.</w:t>
      </w:r>
    </w:p>
    <w:p w:rsidR="00B609F3" w:rsidRPr="002733BD" w:rsidRDefault="00B609F3" w:rsidP="00B609F3">
      <w:pPr>
        <w:spacing w:before="120" w:after="120"/>
        <w:jc w:val="both"/>
        <w:rPr>
          <w:lang w:eastAsia="bg-BG"/>
        </w:rPr>
      </w:pPr>
      <w:r w:rsidRPr="002733BD">
        <w:rPr>
          <w:b/>
          <w:lang w:eastAsia="bg-BG"/>
        </w:rPr>
        <w:t xml:space="preserve">Приходите от акцизи (нето) </w:t>
      </w:r>
      <w:r w:rsidRPr="002733BD">
        <w:rPr>
          <w:lang w:eastAsia="bg-BG"/>
        </w:rPr>
        <w:t xml:space="preserve">от внос, вътрешно производство и въведени в страната от други държави-членки на ЕС акцизни стоки са в размер на </w:t>
      </w:r>
      <w:r w:rsidRPr="002733BD">
        <w:rPr>
          <w:b/>
          <w:lang w:eastAsia="bg-BG"/>
        </w:rPr>
        <w:t>803,6 млн. евро.</w:t>
      </w:r>
      <w:r w:rsidRPr="002733BD">
        <w:rPr>
          <w:lang w:eastAsia="bg-BG"/>
        </w:rPr>
        <w:t xml:space="preserve"> Съпоставени със същия период на предходната година постъпленията от акцизи нарастват с 29,4 млн. евро (3,8 на сто). </w:t>
      </w:r>
    </w:p>
    <w:p w:rsidR="00B609F3" w:rsidRPr="002733BD" w:rsidRDefault="00B609F3" w:rsidP="00B609F3">
      <w:pPr>
        <w:spacing w:before="120" w:after="120"/>
        <w:jc w:val="both"/>
        <w:rPr>
          <w:lang w:eastAsia="bg-BG"/>
        </w:rPr>
      </w:pPr>
      <w:r w:rsidRPr="002733BD">
        <w:rPr>
          <w:lang w:eastAsia="bg-BG"/>
        </w:rPr>
        <w:t>Относителният дял на нетните постъпления от акциз по стокови групи е от: тютюн и тютюневи изделия (60,4 %); горива (34,3 %); алкохол и алкохолни напитки, вкл. бира (4,3 %) и други акцизни стоки (0,9 %). Постъпленията от акциз към март 2026 г. по основни стокови групи, са както следва:</w:t>
      </w:r>
    </w:p>
    <w:p w:rsidR="00B609F3" w:rsidRPr="002733BD" w:rsidRDefault="00B609F3" w:rsidP="00B609F3">
      <w:pPr>
        <w:numPr>
          <w:ilvl w:val="0"/>
          <w:numId w:val="12"/>
        </w:numPr>
        <w:ind w:firstLine="66"/>
        <w:jc w:val="both"/>
        <w:rPr>
          <w:i/>
          <w:lang w:eastAsia="bg-BG"/>
        </w:rPr>
      </w:pPr>
      <w:r w:rsidRPr="002733BD">
        <w:rPr>
          <w:i/>
          <w:lang w:eastAsia="bg-BG"/>
        </w:rPr>
        <w:t xml:space="preserve">акцизи от тютюн и тютюневи изделия –  485,7 млн. евро; </w:t>
      </w:r>
    </w:p>
    <w:p w:rsidR="00B609F3" w:rsidRPr="002733BD" w:rsidRDefault="00B609F3" w:rsidP="00B609F3">
      <w:pPr>
        <w:numPr>
          <w:ilvl w:val="0"/>
          <w:numId w:val="12"/>
        </w:numPr>
        <w:ind w:firstLine="66"/>
        <w:jc w:val="both"/>
        <w:rPr>
          <w:i/>
          <w:lang w:eastAsia="bg-BG"/>
        </w:rPr>
      </w:pPr>
      <w:r w:rsidRPr="002733BD">
        <w:rPr>
          <w:i/>
          <w:lang w:eastAsia="bg-BG"/>
        </w:rPr>
        <w:t xml:space="preserve">акцизи от горива – 275,7 млн. евро; </w:t>
      </w:r>
    </w:p>
    <w:p w:rsidR="00B609F3" w:rsidRPr="002733BD" w:rsidRDefault="00B609F3" w:rsidP="00B609F3">
      <w:pPr>
        <w:numPr>
          <w:ilvl w:val="0"/>
          <w:numId w:val="12"/>
        </w:numPr>
        <w:ind w:firstLine="66"/>
        <w:jc w:val="both"/>
        <w:rPr>
          <w:i/>
          <w:lang w:eastAsia="bg-BG"/>
        </w:rPr>
      </w:pPr>
      <w:r w:rsidRPr="002733BD">
        <w:rPr>
          <w:i/>
          <w:lang w:eastAsia="bg-BG"/>
        </w:rPr>
        <w:t xml:space="preserve">акцизи от алкохол и алкохолни напитки (вкл. бира) – 34,6 млн. евро; </w:t>
      </w:r>
    </w:p>
    <w:p w:rsidR="00B609F3" w:rsidRPr="002733BD" w:rsidRDefault="00B609F3" w:rsidP="00B609F3">
      <w:pPr>
        <w:numPr>
          <w:ilvl w:val="0"/>
          <w:numId w:val="12"/>
        </w:numPr>
        <w:ind w:firstLine="66"/>
        <w:jc w:val="both"/>
        <w:rPr>
          <w:i/>
          <w:lang w:eastAsia="bg-BG"/>
        </w:rPr>
      </w:pPr>
      <w:r w:rsidRPr="002733BD">
        <w:rPr>
          <w:i/>
          <w:lang w:eastAsia="bg-BG"/>
        </w:rPr>
        <w:t>приходи от ел. енергия и др. акцизни стоки – 7,6 млн. евро.</w:t>
      </w:r>
    </w:p>
    <w:p w:rsidR="00B609F3" w:rsidRPr="002733BD" w:rsidRDefault="00B609F3" w:rsidP="00B609F3">
      <w:pPr>
        <w:ind w:left="360"/>
        <w:jc w:val="both"/>
        <w:rPr>
          <w:color w:val="0070C0"/>
          <w:sz w:val="8"/>
          <w:szCs w:val="8"/>
          <w:lang w:eastAsia="bg-BG"/>
        </w:rPr>
      </w:pPr>
    </w:p>
    <w:p w:rsidR="00B609F3" w:rsidRPr="002733BD" w:rsidRDefault="00B609F3" w:rsidP="00B609F3">
      <w:pPr>
        <w:ind w:left="360"/>
        <w:jc w:val="both"/>
        <w:rPr>
          <w:color w:val="0070C0"/>
          <w:sz w:val="8"/>
          <w:szCs w:val="8"/>
          <w:lang w:eastAsia="bg-BG"/>
        </w:rPr>
      </w:pPr>
    </w:p>
    <w:p w:rsidR="00B609F3" w:rsidRPr="002733BD" w:rsidRDefault="00B609F3" w:rsidP="00B609F3">
      <w:pPr>
        <w:spacing w:after="120"/>
        <w:jc w:val="both"/>
        <w:rPr>
          <w:lang w:eastAsia="bg-BG"/>
        </w:rPr>
      </w:pPr>
      <w:r w:rsidRPr="002733BD">
        <w:rPr>
          <w:b/>
          <w:lang w:eastAsia="bg-BG"/>
        </w:rPr>
        <w:t>Приходите от данък върху застрахователните премии</w:t>
      </w:r>
      <w:r w:rsidRPr="002733BD">
        <w:rPr>
          <w:lang w:eastAsia="bg-BG"/>
        </w:rPr>
        <w:t xml:space="preserve"> са в размер на </w:t>
      </w:r>
      <w:r w:rsidRPr="002733BD">
        <w:rPr>
          <w:b/>
          <w:lang w:eastAsia="bg-BG"/>
        </w:rPr>
        <w:t>9,9 млн. евро</w:t>
      </w:r>
      <w:r w:rsidRPr="002733BD">
        <w:rPr>
          <w:lang w:eastAsia="bg-BG"/>
        </w:rPr>
        <w:t xml:space="preserve">, като в сравнение със същия период на 2025 г. отчитат ръст от 12,6 %. </w:t>
      </w:r>
    </w:p>
    <w:p w:rsidR="00B609F3" w:rsidRPr="00E32593" w:rsidRDefault="00B609F3" w:rsidP="00B609F3">
      <w:pPr>
        <w:autoSpaceDE w:val="0"/>
        <w:autoSpaceDN w:val="0"/>
        <w:adjustRightInd w:val="0"/>
        <w:spacing w:after="120"/>
        <w:jc w:val="both"/>
        <w:rPr>
          <w:rFonts w:eastAsia="Batang"/>
          <w:bCs/>
          <w:color w:val="0070C0"/>
        </w:rPr>
      </w:pPr>
      <w:r w:rsidRPr="002733BD">
        <w:rPr>
          <w:b/>
          <w:lang w:eastAsia="bg-BG"/>
        </w:rPr>
        <w:t>Постъпленията от</w:t>
      </w:r>
      <w:r w:rsidRPr="002733BD">
        <w:rPr>
          <w:lang w:eastAsia="bg-BG"/>
        </w:rPr>
        <w:t xml:space="preserve"> </w:t>
      </w:r>
      <w:r w:rsidRPr="002733BD">
        <w:rPr>
          <w:b/>
          <w:bCs/>
          <w:lang w:eastAsia="bg-BG"/>
        </w:rPr>
        <w:t xml:space="preserve">мита </w:t>
      </w:r>
      <w:r w:rsidRPr="002733BD">
        <w:rPr>
          <w:lang w:eastAsia="bg-BG"/>
        </w:rPr>
        <w:t xml:space="preserve">възлизат на </w:t>
      </w:r>
      <w:r w:rsidRPr="002733BD">
        <w:rPr>
          <w:b/>
          <w:lang w:eastAsia="bg-BG"/>
        </w:rPr>
        <w:t>63,4 млн. евро,</w:t>
      </w:r>
      <w:r w:rsidRPr="002733BD">
        <w:rPr>
          <w:lang w:eastAsia="bg-BG"/>
        </w:rPr>
        <w:t xml:space="preserve"> като заемат 1,3 % относителен дял в общия размер на данъчните приходи по държавния бюджет. В сравнение със същия период на предходната година събраните мита са с 16,5 млн. евро (35,1 %) пове</w:t>
      </w:r>
      <w:r w:rsidR="00E32593">
        <w:rPr>
          <w:lang w:eastAsia="bg-BG"/>
        </w:rPr>
        <w:t>че.</w:t>
      </w:r>
    </w:p>
    <w:p w:rsidR="00B609F3" w:rsidRPr="002733BD" w:rsidRDefault="00B609F3" w:rsidP="00B609F3">
      <w:pPr>
        <w:tabs>
          <w:tab w:val="right" w:pos="9072"/>
        </w:tabs>
        <w:spacing w:after="120"/>
        <w:jc w:val="both"/>
        <w:rPr>
          <w:color w:val="0070C0"/>
          <w:lang w:eastAsia="bg-BG"/>
        </w:rPr>
      </w:pPr>
      <w:r w:rsidRPr="002733BD">
        <w:rPr>
          <w:lang w:eastAsia="bg-BG"/>
        </w:rPr>
        <w:t>Към март 2026 г., сравнено със същия период на предходната година, при декларираните стоки, обложени със ставка на митото, различна от нула се наблюдава ръст на количествата (4,0 %), ръст на осреднената статистическа стойност за кг (47,7 %) и спад (15,6 %) на осреднената ставка на митото, приложена за облагане на внесените от трети страни стоки.</w:t>
      </w:r>
    </w:p>
    <w:p w:rsidR="00B609F3" w:rsidRPr="002733BD" w:rsidRDefault="00B609F3" w:rsidP="00B609F3">
      <w:pPr>
        <w:numPr>
          <w:ilvl w:val="0"/>
          <w:numId w:val="4"/>
        </w:numPr>
        <w:tabs>
          <w:tab w:val="clear" w:pos="1440"/>
          <w:tab w:val="num" w:pos="540"/>
        </w:tabs>
        <w:spacing w:before="240"/>
        <w:ind w:left="0" w:firstLine="181"/>
        <w:jc w:val="both"/>
        <w:rPr>
          <w:b/>
          <w:bCs/>
          <w:lang w:eastAsia="bg-BG"/>
        </w:rPr>
      </w:pPr>
      <w:r w:rsidRPr="002733BD">
        <w:rPr>
          <w:b/>
          <w:bCs/>
          <w:lang w:eastAsia="bg-BG"/>
        </w:rPr>
        <w:t>Други данъци</w:t>
      </w:r>
    </w:p>
    <w:p w:rsidR="00B609F3" w:rsidRPr="002733BD" w:rsidRDefault="00B609F3" w:rsidP="00B609F3">
      <w:pPr>
        <w:spacing w:before="120"/>
        <w:jc w:val="both"/>
        <w:rPr>
          <w:bCs/>
          <w:lang w:eastAsia="bg-BG"/>
        </w:rPr>
      </w:pPr>
      <w:r w:rsidRPr="002733BD">
        <w:rPr>
          <w:lang w:eastAsia="bg-BG"/>
        </w:rPr>
        <w:t xml:space="preserve">Постъпленията от </w:t>
      </w:r>
      <w:r w:rsidRPr="002733BD">
        <w:rPr>
          <w:b/>
          <w:lang w:eastAsia="bg-BG"/>
        </w:rPr>
        <w:t>други данъци</w:t>
      </w:r>
      <w:r w:rsidRPr="002733BD">
        <w:rPr>
          <w:lang w:eastAsia="bg-BG"/>
        </w:rPr>
        <w:t xml:space="preserve"> по държавния бюджет </w:t>
      </w:r>
      <w:r w:rsidRPr="002733BD">
        <w:rPr>
          <w:bCs/>
          <w:lang w:eastAsia="bg-BG"/>
        </w:rPr>
        <w:t>към края на март 2026</w:t>
      </w:r>
      <w:r w:rsidRPr="002733BD">
        <w:rPr>
          <w:lang w:eastAsia="bg-BG"/>
        </w:rPr>
        <w:t xml:space="preserve"> г. са в размер на </w:t>
      </w:r>
      <w:r w:rsidRPr="002733BD">
        <w:rPr>
          <w:b/>
          <w:lang w:eastAsia="bg-BG"/>
        </w:rPr>
        <w:t>18,1 млн. евро.</w:t>
      </w:r>
      <w:r w:rsidRPr="002733BD">
        <w:rPr>
          <w:bCs/>
          <w:lang w:eastAsia="bg-BG"/>
        </w:rPr>
        <w:t xml:space="preserve"> Съпоставени с данните към март 2025 г. приходите от други данъци намаляват с 1,3 млн. евро </w:t>
      </w:r>
      <w:r w:rsidRPr="002733BD">
        <w:rPr>
          <w:bCs/>
          <w:lang w:val="en-US" w:eastAsia="bg-BG"/>
        </w:rPr>
        <w:t>(</w:t>
      </w:r>
      <w:r w:rsidRPr="002733BD">
        <w:rPr>
          <w:bCs/>
          <w:lang w:eastAsia="bg-BG"/>
        </w:rPr>
        <w:t>6,9 %</w:t>
      </w:r>
      <w:r w:rsidRPr="002733BD">
        <w:rPr>
          <w:bCs/>
          <w:lang w:val="en-US" w:eastAsia="bg-BG"/>
        </w:rPr>
        <w:t>)</w:t>
      </w:r>
      <w:r w:rsidRPr="002733BD">
        <w:rPr>
          <w:bCs/>
          <w:lang w:val="ru-RU" w:eastAsia="bg-BG"/>
        </w:rPr>
        <w:t>.</w:t>
      </w:r>
      <w:r w:rsidRPr="002733BD">
        <w:rPr>
          <w:bCs/>
          <w:lang w:eastAsia="bg-BG"/>
        </w:rPr>
        <w:t xml:space="preserve"> </w:t>
      </w:r>
    </w:p>
    <w:p w:rsidR="00B609F3" w:rsidRPr="002733BD" w:rsidRDefault="00B609F3" w:rsidP="00B609F3">
      <w:pPr>
        <w:numPr>
          <w:ilvl w:val="0"/>
          <w:numId w:val="3"/>
        </w:numPr>
        <w:tabs>
          <w:tab w:val="num" w:pos="720"/>
        </w:tabs>
        <w:spacing w:before="120"/>
        <w:ind w:left="0" w:firstLine="181"/>
        <w:jc w:val="both"/>
        <w:rPr>
          <w:lang w:eastAsia="bg-BG"/>
        </w:rPr>
      </w:pPr>
      <w:r w:rsidRPr="002733BD">
        <w:rPr>
          <w:b/>
          <w:bCs/>
          <w:lang w:eastAsia="bg-BG"/>
        </w:rPr>
        <w:t>Неданъчни приходи</w:t>
      </w:r>
    </w:p>
    <w:p w:rsidR="00B609F3" w:rsidRPr="002733BD" w:rsidRDefault="00B609F3" w:rsidP="00B609F3">
      <w:pPr>
        <w:tabs>
          <w:tab w:val="left" w:pos="900"/>
        </w:tabs>
        <w:spacing w:before="120" w:after="120"/>
        <w:jc w:val="both"/>
        <w:rPr>
          <w:lang w:val="ru-RU" w:eastAsia="bg-BG"/>
        </w:rPr>
      </w:pPr>
      <w:r w:rsidRPr="002733BD">
        <w:rPr>
          <w:b/>
          <w:lang w:eastAsia="bg-BG"/>
        </w:rPr>
        <w:t>Отчетените</w:t>
      </w:r>
      <w:r w:rsidRPr="002733BD">
        <w:rPr>
          <w:b/>
          <w:bCs/>
          <w:lang w:eastAsia="bg-BG"/>
        </w:rPr>
        <w:t xml:space="preserve"> неданъчни приходи</w:t>
      </w:r>
      <w:r w:rsidRPr="002733BD">
        <w:rPr>
          <w:b/>
          <w:lang w:eastAsia="bg-BG"/>
        </w:rPr>
        <w:t xml:space="preserve"> </w:t>
      </w:r>
      <w:r w:rsidRPr="002733BD">
        <w:rPr>
          <w:lang w:eastAsia="bg-BG"/>
        </w:rPr>
        <w:t xml:space="preserve">по държавния бюджет </w:t>
      </w:r>
      <w:r w:rsidRPr="002733BD">
        <w:rPr>
          <w:bCs/>
          <w:lang w:eastAsia="bg-BG"/>
        </w:rPr>
        <w:t>към март 2026 г.</w:t>
      </w:r>
      <w:r w:rsidRPr="002733BD">
        <w:rPr>
          <w:lang w:eastAsia="bg-BG"/>
        </w:rPr>
        <w:t xml:space="preserve"> са в размер на </w:t>
      </w:r>
      <w:r w:rsidRPr="002733BD">
        <w:rPr>
          <w:b/>
          <w:lang w:val="ru-RU" w:eastAsia="bg-BG"/>
        </w:rPr>
        <w:t>551,0 </w:t>
      </w:r>
      <w:r w:rsidRPr="002733BD">
        <w:rPr>
          <w:b/>
          <w:lang w:eastAsia="bg-BG"/>
        </w:rPr>
        <w:t>млн. евро</w:t>
      </w:r>
      <w:r w:rsidRPr="002733BD">
        <w:rPr>
          <w:lang w:eastAsia="bg-BG"/>
        </w:rPr>
        <w:t xml:space="preserve"> и се формират основно от приходи от държавни такси, приходи и доходи от собственост, приходи от концесии и други неданъчни приходи</w:t>
      </w:r>
      <w:r w:rsidRPr="002733BD">
        <w:rPr>
          <w:lang w:val="ru-RU" w:eastAsia="bg-BG"/>
        </w:rPr>
        <w:t xml:space="preserve">. </w:t>
      </w:r>
    </w:p>
    <w:p w:rsidR="00B609F3" w:rsidRPr="002733BD" w:rsidRDefault="00B609F3" w:rsidP="00B609F3">
      <w:pPr>
        <w:numPr>
          <w:ilvl w:val="0"/>
          <w:numId w:val="3"/>
        </w:numPr>
        <w:tabs>
          <w:tab w:val="num" w:pos="720"/>
        </w:tabs>
        <w:ind w:left="0" w:firstLine="181"/>
        <w:jc w:val="both"/>
        <w:rPr>
          <w:b/>
          <w:bCs/>
          <w:lang w:eastAsia="bg-BG"/>
        </w:rPr>
      </w:pPr>
      <w:r w:rsidRPr="002733BD">
        <w:rPr>
          <w:b/>
          <w:bCs/>
          <w:lang w:eastAsia="bg-BG"/>
        </w:rPr>
        <w:t>Помощи и дарения</w:t>
      </w:r>
    </w:p>
    <w:p w:rsidR="00B609F3" w:rsidRPr="002733BD" w:rsidRDefault="00B609F3" w:rsidP="00B609F3">
      <w:pPr>
        <w:spacing w:before="120" w:after="120"/>
        <w:jc w:val="both"/>
        <w:rPr>
          <w:lang w:eastAsia="bg-BG"/>
        </w:rPr>
      </w:pPr>
      <w:r w:rsidRPr="002733BD">
        <w:rPr>
          <w:b/>
          <w:lang w:eastAsia="bg-BG"/>
        </w:rPr>
        <w:t>Помощите</w:t>
      </w:r>
      <w:r w:rsidRPr="002733BD">
        <w:rPr>
          <w:lang w:eastAsia="bg-BG"/>
        </w:rPr>
        <w:t xml:space="preserve"> </w:t>
      </w:r>
      <w:r w:rsidRPr="002733BD">
        <w:rPr>
          <w:b/>
          <w:lang w:eastAsia="bg-BG"/>
        </w:rPr>
        <w:t>и даренията</w:t>
      </w:r>
      <w:r w:rsidRPr="002733BD">
        <w:rPr>
          <w:lang w:eastAsia="bg-BG"/>
        </w:rPr>
        <w:t xml:space="preserve"> по държавния бюджет към март 2026 г. са в размер на </w:t>
      </w:r>
      <w:r w:rsidRPr="002733BD">
        <w:rPr>
          <w:b/>
          <w:lang w:eastAsia="bg-BG"/>
        </w:rPr>
        <w:t>33,3 млн. евро.</w:t>
      </w:r>
      <w:r w:rsidRPr="002733BD">
        <w:rPr>
          <w:lang w:eastAsia="bg-BG"/>
        </w:rPr>
        <w:t xml:space="preserve"> </w:t>
      </w:r>
    </w:p>
    <w:p w:rsidR="00B609F3" w:rsidRPr="002733BD" w:rsidRDefault="00B609F3" w:rsidP="00B609F3">
      <w:pPr>
        <w:numPr>
          <w:ilvl w:val="0"/>
          <w:numId w:val="5"/>
        </w:numPr>
        <w:tabs>
          <w:tab w:val="clear" w:pos="7650"/>
          <w:tab w:val="num" w:pos="426"/>
          <w:tab w:val="num" w:pos="786"/>
        </w:tabs>
        <w:spacing w:before="240"/>
        <w:ind w:left="0" w:firstLine="0"/>
        <w:jc w:val="both"/>
        <w:rPr>
          <w:b/>
          <w:bCs/>
          <w:lang w:eastAsia="bg-BG"/>
        </w:rPr>
      </w:pPr>
      <w:r w:rsidRPr="002733BD">
        <w:rPr>
          <w:b/>
          <w:bCs/>
          <w:lang w:eastAsia="bg-BG"/>
        </w:rPr>
        <w:t>Разходи по държавния бюджет</w:t>
      </w:r>
    </w:p>
    <w:p w:rsidR="00B609F3" w:rsidRPr="002733BD" w:rsidRDefault="00B609F3" w:rsidP="00B609F3">
      <w:pPr>
        <w:jc w:val="both"/>
        <w:rPr>
          <w:b/>
          <w:bCs/>
          <w:sz w:val="4"/>
          <w:szCs w:val="4"/>
          <w:lang w:eastAsia="bg-BG"/>
        </w:rPr>
      </w:pPr>
    </w:p>
    <w:p w:rsidR="00B609F3" w:rsidRPr="002733BD" w:rsidRDefault="00B609F3" w:rsidP="00B609F3">
      <w:pPr>
        <w:jc w:val="both"/>
      </w:pPr>
      <w:r w:rsidRPr="002733BD">
        <w:t xml:space="preserve">Общият размер на </w:t>
      </w:r>
      <w:r w:rsidRPr="002733BD">
        <w:rPr>
          <w:b/>
        </w:rPr>
        <w:t>разходите по държавния бюджет</w:t>
      </w:r>
      <w:r w:rsidRPr="002733BD">
        <w:t xml:space="preserve"> </w:t>
      </w:r>
      <w:r w:rsidRPr="002733BD">
        <w:rPr>
          <w:lang w:val="ru-RU"/>
        </w:rPr>
        <w:t xml:space="preserve">(вкл. трансферите за др. бюджети и вноската в бюджета на ЕС) </w:t>
      </w:r>
      <w:r w:rsidRPr="002733BD">
        <w:rPr>
          <w:bCs/>
        </w:rPr>
        <w:t>към март 2026 г.</w:t>
      </w:r>
      <w:r w:rsidRPr="002733BD">
        <w:t xml:space="preserve"> е </w:t>
      </w:r>
      <w:r w:rsidRPr="002733BD">
        <w:rPr>
          <w:b/>
        </w:rPr>
        <w:t>7 375,6 млн. евро.</w:t>
      </w:r>
      <w:r w:rsidRPr="002733BD">
        <w:t xml:space="preserve"> </w:t>
      </w:r>
    </w:p>
    <w:p w:rsidR="00B609F3" w:rsidRPr="002733BD" w:rsidRDefault="00B609F3" w:rsidP="00B609F3">
      <w:pPr>
        <w:jc w:val="both"/>
        <w:rPr>
          <w:color w:val="0070C0"/>
          <w:sz w:val="4"/>
          <w:szCs w:val="4"/>
        </w:rPr>
      </w:pPr>
    </w:p>
    <w:p w:rsidR="00B609F3" w:rsidRPr="002733BD" w:rsidRDefault="00B609F3" w:rsidP="00B609F3">
      <w:pPr>
        <w:jc w:val="center"/>
        <w:rPr>
          <w:b/>
          <w:color w:val="0070C0"/>
          <w:sz w:val="4"/>
          <w:szCs w:val="4"/>
          <w:u w:val="single"/>
        </w:rPr>
      </w:pPr>
    </w:p>
    <w:p w:rsidR="00B609F3" w:rsidRDefault="00B609F3" w:rsidP="00B609F3">
      <w:pPr>
        <w:jc w:val="center"/>
        <w:rPr>
          <w:b/>
          <w:color w:val="0070C0"/>
          <w:u w:val="single"/>
        </w:rPr>
      </w:pPr>
    </w:p>
    <w:p w:rsidR="00891C5D" w:rsidRDefault="00891C5D" w:rsidP="00B609F3">
      <w:pPr>
        <w:jc w:val="center"/>
        <w:rPr>
          <w:b/>
          <w:color w:val="0070C0"/>
          <w:u w:val="single"/>
        </w:rPr>
      </w:pPr>
    </w:p>
    <w:p w:rsidR="00891C5D" w:rsidRDefault="00891C5D" w:rsidP="00B609F3">
      <w:pPr>
        <w:jc w:val="center"/>
        <w:rPr>
          <w:b/>
          <w:color w:val="0070C0"/>
          <w:u w:val="single"/>
        </w:rPr>
      </w:pPr>
    </w:p>
    <w:p w:rsidR="00891C5D" w:rsidRDefault="00891C5D" w:rsidP="00B609F3">
      <w:pPr>
        <w:jc w:val="center"/>
        <w:rPr>
          <w:b/>
          <w:color w:val="0070C0"/>
          <w:u w:val="single"/>
        </w:rPr>
      </w:pPr>
    </w:p>
    <w:p w:rsidR="00891C5D" w:rsidRDefault="00891C5D" w:rsidP="00B609F3">
      <w:pPr>
        <w:jc w:val="center"/>
        <w:rPr>
          <w:b/>
          <w:color w:val="0070C0"/>
          <w:u w:val="single"/>
        </w:rPr>
      </w:pPr>
    </w:p>
    <w:p w:rsidR="00891C5D" w:rsidRDefault="00891C5D" w:rsidP="00B609F3">
      <w:pPr>
        <w:jc w:val="center"/>
        <w:rPr>
          <w:b/>
          <w:color w:val="0070C0"/>
          <w:u w:val="single"/>
        </w:rPr>
      </w:pPr>
    </w:p>
    <w:p w:rsidR="00891C5D" w:rsidRDefault="00891C5D" w:rsidP="00B609F3">
      <w:pPr>
        <w:jc w:val="center"/>
        <w:rPr>
          <w:b/>
          <w:color w:val="0070C0"/>
          <w:u w:val="single"/>
        </w:rPr>
      </w:pPr>
    </w:p>
    <w:p w:rsidR="00891C5D" w:rsidRDefault="00891C5D" w:rsidP="00B609F3">
      <w:pPr>
        <w:jc w:val="center"/>
        <w:rPr>
          <w:b/>
          <w:color w:val="0070C0"/>
          <w:u w:val="single"/>
        </w:rPr>
      </w:pPr>
    </w:p>
    <w:p w:rsidR="00891C5D" w:rsidRDefault="00891C5D" w:rsidP="00B609F3">
      <w:pPr>
        <w:jc w:val="center"/>
        <w:rPr>
          <w:b/>
          <w:color w:val="0070C0"/>
          <w:u w:val="single"/>
        </w:rPr>
      </w:pPr>
    </w:p>
    <w:p w:rsidR="00891C5D" w:rsidRDefault="00891C5D" w:rsidP="00B609F3">
      <w:pPr>
        <w:jc w:val="center"/>
        <w:rPr>
          <w:b/>
          <w:color w:val="0070C0"/>
          <w:u w:val="single"/>
        </w:rPr>
      </w:pPr>
    </w:p>
    <w:p w:rsidR="00891C5D" w:rsidRDefault="00891C5D" w:rsidP="00B609F3">
      <w:pPr>
        <w:jc w:val="center"/>
        <w:rPr>
          <w:b/>
          <w:color w:val="0070C0"/>
          <w:u w:val="single"/>
        </w:rPr>
      </w:pPr>
    </w:p>
    <w:p w:rsidR="00891C5D" w:rsidRDefault="00891C5D" w:rsidP="00B609F3">
      <w:pPr>
        <w:jc w:val="center"/>
        <w:rPr>
          <w:b/>
          <w:color w:val="0070C0"/>
          <w:u w:val="single"/>
        </w:rPr>
      </w:pPr>
    </w:p>
    <w:p w:rsidR="00891C5D" w:rsidRDefault="00891C5D" w:rsidP="00B609F3">
      <w:pPr>
        <w:jc w:val="center"/>
        <w:rPr>
          <w:b/>
          <w:color w:val="0070C0"/>
          <w:u w:val="single"/>
        </w:rPr>
      </w:pPr>
    </w:p>
    <w:p w:rsidR="00891C5D" w:rsidRDefault="00891C5D" w:rsidP="00B609F3">
      <w:pPr>
        <w:jc w:val="center"/>
        <w:rPr>
          <w:b/>
          <w:color w:val="0070C0"/>
          <w:u w:val="single"/>
        </w:rPr>
      </w:pPr>
    </w:p>
    <w:p w:rsidR="00891C5D" w:rsidRPr="00092817" w:rsidRDefault="00891C5D" w:rsidP="00B609F3">
      <w:pPr>
        <w:jc w:val="center"/>
        <w:rPr>
          <w:b/>
          <w:color w:val="0070C0"/>
          <w:u w:val="single"/>
        </w:rPr>
      </w:pPr>
    </w:p>
    <w:p w:rsidR="00B609F3" w:rsidRPr="002733BD" w:rsidRDefault="00B609F3" w:rsidP="00B609F3">
      <w:pPr>
        <w:jc w:val="center"/>
        <w:rPr>
          <w:b/>
          <w:u w:val="single"/>
        </w:rPr>
      </w:pPr>
      <w:r w:rsidRPr="002733BD">
        <w:rPr>
          <w:b/>
          <w:u w:val="single"/>
        </w:rPr>
        <w:t xml:space="preserve">Разходи, трансфери за други бюджети и вноска в бюджета на ЕС </w:t>
      </w:r>
    </w:p>
    <w:p w:rsidR="00B609F3" w:rsidRPr="002733BD" w:rsidRDefault="00B609F3" w:rsidP="00B609F3">
      <w:pPr>
        <w:jc w:val="center"/>
        <w:rPr>
          <w:b/>
          <w:u w:val="single"/>
        </w:rPr>
      </w:pPr>
      <w:r w:rsidRPr="002733BD">
        <w:rPr>
          <w:b/>
          <w:u w:val="single"/>
        </w:rPr>
        <w:t>към март 2025 г. и 2026 г.</w:t>
      </w:r>
    </w:p>
    <w:p w:rsidR="00B609F3" w:rsidRPr="002733BD" w:rsidRDefault="00B609F3" w:rsidP="00B609F3">
      <w:pPr>
        <w:jc w:val="center"/>
        <w:rPr>
          <w:b/>
          <w:color w:val="0070C0"/>
          <w:u w:val="single"/>
        </w:rPr>
      </w:pPr>
      <w:r w:rsidRPr="002733BD">
        <w:rPr>
          <w:noProof/>
          <w:color w:val="0070C0"/>
          <w:lang w:eastAsia="bg-BG"/>
        </w:rPr>
        <w:drawing>
          <wp:inline distT="0" distB="0" distL="0" distR="0" wp14:anchorId="020DE292" wp14:editId="69B9AEAA">
            <wp:extent cx="5579745" cy="2325600"/>
            <wp:effectExtent l="0" t="0" r="1905" b="17780"/>
            <wp:docPr id="1"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609F3" w:rsidRPr="002733BD" w:rsidRDefault="00B609F3" w:rsidP="00B609F3">
      <w:pPr>
        <w:jc w:val="center"/>
        <w:rPr>
          <w:b/>
          <w:color w:val="0070C0"/>
          <w:sz w:val="14"/>
          <w:u w:val="single"/>
          <w:lang w:val="ru-RU"/>
        </w:rPr>
      </w:pPr>
    </w:p>
    <w:p w:rsidR="00B609F3" w:rsidRPr="002733BD" w:rsidRDefault="00B609F3" w:rsidP="00B609F3">
      <w:pPr>
        <w:ind w:firstLine="360"/>
        <w:rPr>
          <w:sz w:val="18"/>
          <w:szCs w:val="18"/>
          <w:lang w:eastAsia="bg-BG"/>
        </w:rPr>
      </w:pPr>
      <w:bookmarkStart w:id="36" w:name="_MON_1562146415"/>
      <w:bookmarkStart w:id="37" w:name="_MON_1562146493"/>
      <w:bookmarkStart w:id="38" w:name="_MON_1562146700"/>
      <w:bookmarkStart w:id="39" w:name="_MON_1562146782"/>
      <w:bookmarkStart w:id="40" w:name="_MON_1562146967"/>
      <w:bookmarkStart w:id="41" w:name="_MON_1562147372"/>
      <w:bookmarkStart w:id="42" w:name="_MON_1562147473"/>
      <w:bookmarkStart w:id="43" w:name="_MON_1562147677"/>
      <w:bookmarkStart w:id="44" w:name="_MON_1562147743"/>
      <w:bookmarkStart w:id="45" w:name="_MON_1562147867"/>
      <w:bookmarkStart w:id="46" w:name="_MON_1562147934"/>
      <w:bookmarkStart w:id="47" w:name="_MON_1562148056"/>
      <w:bookmarkStart w:id="48" w:name="_MON_1562148171"/>
      <w:bookmarkStart w:id="49" w:name="_MON_1562148229"/>
      <w:bookmarkStart w:id="50" w:name="_MON_1562148307"/>
      <w:bookmarkStart w:id="51" w:name="_MON_1562148447"/>
      <w:bookmarkStart w:id="52" w:name="_MON_1562148558"/>
      <w:bookmarkStart w:id="53" w:name="_MON_1562152805"/>
      <w:bookmarkStart w:id="54" w:name="_MON_1562152984"/>
      <w:bookmarkStart w:id="55" w:name="_MON_1562153459"/>
      <w:bookmarkStart w:id="56" w:name="_MON_1562153503"/>
      <w:bookmarkStart w:id="57" w:name="_MON_1562153559"/>
      <w:bookmarkStart w:id="58" w:name="_MON_1562153646"/>
      <w:bookmarkStart w:id="59" w:name="_MON_1562153939"/>
      <w:bookmarkStart w:id="60" w:name="_MON_1562154053"/>
      <w:bookmarkStart w:id="61" w:name="_MON_1562154282"/>
      <w:bookmarkStart w:id="62" w:name="_MON_1562146286"/>
      <w:bookmarkStart w:id="63" w:name="_MON_1562154881"/>
      <w:bookmarkStart w:id="64" w:name="_MON_1562154973"/>
      <w:bookmarkStart w:id="65" w:name="_MON_1562155194"/>
      <w:bookmarkStart w:id="66" w:name="_MON_1562155231"/>
      <w:bookmarkStart w:id="67" w:name="_MON_1562155321"/>
      <w:bookmarkStart w:id="68" w:name="_MON_1562155390"/>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2733BD">
        <w:rPr>
          <w:sz w:val="18"/>
          <w:szCs w:val="18"/>
          <w:lang w:eastAsia="bg-BG"/>
        </w:rPr>
        <w:t>*</w:t>
      </w:r>
      <w:r w:rsidRPr="002733BD">
        <w:rPr>
          <w:lang w:eastAsia="bg-BG"/>
        </w:rPr>
        <w:t xml:space="preserve"> </w:t>
      </w:r>
      <w:r w:rsidRPr="002733BD">
        <w:rPr>
          <w:sz w:val="18"/>
          <w:szCs w:val="18"/>
          <w:lang w:eastAsia="bg-BG"/>
        </w:rPr>
        <w:t>Вкл. нетния прираст на държавния резерв</w:t>
      </w:r>
    </w:p>
    <w:p w:rsidR="00B609F3" w:rsidRPr="002733BD" w:rsidRDefault="00B609F3" w:rsidP="00B609F3">
      <w:pPr>
        <w:ind w:firstLine="360"/>
        <w:rPr>
          <w:color w:val="0070C0"/>
          <w:sz w:val="18"/>
          <w:szCs w:val="18"/>
          <w:lang w:eastAsia="bg-BG"/>
        </w:rPr>
      </w:pPr>
    </w:p>
    <w:p w:rsidR="00B609F3" w:rsidRPr="002733BD" w:rsidRDefault="00B609F3" w:rsidP="00B609F3">
      <w:pPr>
        <w:numPr>
          <w:ilvl w:val="0"/>
          <w:numId w:val="13"/>
        </w:numPr>
        <w:spacing w:before="120"/>
        <w:jc w:val="both"/>
        <w:rPr>
          <w:b/>
          <w:bCs/>
        </w:rPr>
      </w:pPr>
      <w:r w:rsidRPr="002733BD">
        <w:rPr>
          <w:b/>
          <w:bCs/>
        </w:rPr>
        <w:t>Нелихвени разходи</w:t>
      </w:r>
    </w:p>
    <w:p w:rsidR="00B609F3" w:rsidRPr="002733BD" w:rsidRDefault="00B609F3" w:rsidP="00B609F3">
      <w:pPr>
        <w:spacing w:before="120"/>
        <w:jc w:val="both"/>
        <w:rPr>
          <w:bCs/>
          <w:lang w:eastAsia="bg-BG"/>
        </w:rPr>
      </w:pPr>
      <w:r w:rsidRPr="002733BD">
        <w:rPr>
          <w:b/>
          <w:bCs/>
          <w:lang w:eastAsia="bg-BG"/>
        </w:rPr>
        <w:t>Нелихвените разходи</w:t>
      </w:r>
      <w:r w:rsidRPr="002733BD">
        <w:rPr>
          <w:bCs/>
          <w:lang w:eastAsia="bg-BG"/>
        </w:rPr>
        <w:t xml:space="preserve"> по държавния бюджет към март 2026 г.</w:t>
      </w:r>
      <w:r w:rsidRPr="002733BD">
        <w:rPr>
          <w:lang w:eastAsia="bg-BG"/>
        </w:rPr>
        <w:t xml:space="preserve"> </w:t>
      </w:r>
      <w:r w:rsidRPr="002733BD">
        <w:rPr>
          <w:bCs/>
          <w:lang w:eastAsia="bg-BG"/>
        </w:rPr>
        <w:t xml:space="preserve">са в размер на </w:t>
      </w:r>
      <w:r w:rsidRPr="002733BD">
        <w:rPr>
          <w:b/>
          <w:bCs/>
          <w:lang w:eastAsia="bg-BG"/>
        </w:rPr>
        <w:t>2 674,6 млн. евро</w:t>
      </w:r>
      <w:r w:rsidRPr="002733BD">
        <w:rPr>
          <w:bCs/>
          <w:lang w:eastAsia="bg-BG"/>
        </w:rPr>
        <w:t>, като разходите към март 2026 г. нарастват номинално с 566,8 млн. евро (26,9 на сто), сравнени със същия период на предходната година.</w:t>
      </w:r>
    </w:p>
    <w:p w:rsidR="00B609F3" w:rsidRPr="002733BD" w:rsidRDefault="00B609F3" w:rsidP="00B609F3">
      <w:pPr>
        <w:jc w:val="both"/>
        <w:rPr>
          <w:bCs/>
          <w:lang w:eastAsia="bg-BG"/>
        </w:rPr>
      </w:pPr>
      <w:r w:rsidRPr="002733BD">
        <w:rPr>
          <w:bCs/>
          <w:lang w:eastAsia="bg-BG"/>
        </w:rPr>
        <w:t xml:space="preserve">Разходите за персонал (заплати и възнаграждения, други възнаграждения и плащания за персонала и осигурителни вноски) са в общ размер на 1 626,5 млн. евро и нарастват с 342,1 млн. евро </w:t>
      </w:r>
      <w:r w:rsidRPr="002733BD">
        <w:rPr>
          <w:bCs/>
          <w:lang w:val="ru-RU" w:eastAsia="bg-BG"/>
        </w:rPr>
        <w:t>(</w:t>
      </w:r>
      <w:r w:rsidRPr="002733BD">
        <w:rPr>
          <w:bCs/>
          <w:lang w:eastAsia="bg-BG"/>
        </w:rPr>
        <w:t>26,6 %) спрямо същия период на предходната година. Разходите за издръжка (вкл. разходи за членски внос и участие в нетърговски организации и дейности и платени данъци, такси и административни санкции) са в размер на 397,3 млн. евро и нарастват с 81,1 млн. евро (25,6 %) спрямо същия период на предходната година. Социалните разходи (вкл. разходите за стипендии) са в размер на 254,3 млн. евро, като нарастват с 32,0 млн. евро (14,4 %) спрямо същия период на предходната година.</w:t>
      </w:r>
      <w:r w:rsidRPr="002733BD">
        <w:rPr>
          <w:bCs/>
          <w:lang w:val="ru-RU" w:eastAsia="bg-BG"/>
        </w:rPr>
        <w:t xml:space="preserve"> </w:t>
      </w:r>
      <w:r w:rsidRPr="002733BD">
        <w:rPr>
          <w:lang w:eastAsia="bg-BG"/>
        </w:rPr>
        <w:t>Част от социалните разходи по държавния бюджет се предоставят като трансфери за общинските бюджети.</w:t>
      </w:r>
      <w:r w:rsidRPr="002733BD">
        <w:rPr>
          <w:bCs/>
          <w:lang w:eastAsia="bg-BG"/>
        </w:rPr>
        <w:t xml:space="preserve"> Разходите за субсидии са в размер на 209,6 млн. евро. Към март 2026 г. субсидиите за „БДЖ – Пътнически превози” ЕООД са в размер на 32,4 млн. евро (в т. ч. 5,8 млн. евро субсидия за изпълнението на обществена превозна услуга по РМС 217/13.03.2026 г.), субсидиите за Национална компания „Железопътна инфраструктура” са 43,5 млн. евро (в т. ч. 9,0 млн. евро субсидия за текущо поддържане и експлоатация на железопътната инфраструктура по РМС 217/13.03.2026 г.) и 12,3 млн. евро (в т. ч. 5,0 млн. евро субсидия по РМС 219/13.03.2026 г.) са за „Български пощи” ЕАД, от които 3,6 млн. евро за извършване на универсална пощенска услуга, 3,5 млн. евро за разпространение на периодични печатни издания - вестници и списания и 0,2 млн. евро за административни услуги. За отчетния период субсидиите за „България Хели Мед Сървиз“ (център за спешна медицинска помощ по въздуха) са в размер на 0,5 млн. евро. Към месец март 2026 г. ДФ „Земеделие“ e изплатил субсидии в общ размер на 37,1 млн. евро, от които 3,2 млн. евро държавна помощ; 31,8 млн. </w:t>
      </w:r>
      <w:r w:rsidR="00D670A2" w:rsidRPr="00D670A2">
        <w:rPr>
          <w:bCs/>
        </w:rPr>
        <w:t>евро</w:t>
      </w:r>
      <w:r w:rsidRPr="002733BD">
        <w:rPr>
          <w:bCs/>
          <w:lang w:eastAsia="bg-BG"/>
        </w:rPr>
        <w:t xml:space="preserve"> преходна национална помощ за тютюн и 2,1 млн. евро средства за ДДС по схеми „Училищен плод“ и „Училищно мляко“.</w:t>
      </w:r>
    </w:p>
    <w:p w:rsidR="00B609F3" w:rsidRPr="002733BD" w:rsidRDefault="00B609F3" w:rsidP="00B609F3">
      <w:pPr>
        <w:spacing w:before="120" w:after="120"/>
        <w:jc w:val="both"/>
        <w:rPr>
          <w:bCs/>
          <w:lang w:eastAsia="bg-BG"/>
        </w:rPr>
      </w:pPr>
      <w:r w:rsidRPr="002733BD">
        <w:rPr>
          <w:bCs/>
          <w:lang w:eastAsia="bg-BG"/>
        </w:rPr>
        <w:t>Капиталовите разходи (вкл. нетния прираст на държавния резерв) по държавния бюджет възлизат на 186,3 млн. евро.</w:t>
      </w:r>
    </w:p>
    <w:p w:rsidR="00B609F3" w:rsidRPr="002733BD" w:rsidRDefault="00B609F3" w:rsidP="00B609F3">
      <w:pPr>
        <w:numPr>
          <w:ilvl w:val="0"/>
          <w:numId w:val="6"/>
        </w:numPr>
        <w:spacing w:after="120"/>
        <w:ind w:left="0" w:firstLine="360"/>
        <w:jc w:val="both"/>
        <w:rPr>
          <w:b/>
          <w:lang w:eastAsia="bg-BG"/>
        </w:rPr>
      </w:pPr>
      <w:r w:rsidRPr="002733BD">
        <w:rPr>
          <w:b/>
          <w:lang w:eastAsia="bg-BG"/>
        </w:rPr>
        <w:t xml:space="preserve">Разходи за лихви </w:t>
      </w:r>
    </w:p>
    <w:p w:rsidR="00B609F3" w:rsidRPr="002733BD" w:rsidRDefault="00B609F3" w:rsidP="00B609F3">
      <w:pPr>
        <w:spacing w:after="60"/>
        <w:jc w:val="both"/>
        <w:rPr>
          <w:lang w:eastAsia="bg-BG"/>
        </w:rPr>
      </w:pPr>
      <w:r w:rsidRPr="002733BD">
        <w:rPr>
          <w:b/>
          <w:lang w:eastAsia="bg-BG"/>
        </w:rPr>
        <w:t xml:space="preserve">Лихвените плащания </w:t>
      </w:r>
      <w:r w:rsidRPr="002733BD">
        <w:rPr>
          <w:lang w:eastAsia="bg-BG"/>
        </w:rPr>
        <w:t xml:space="preserve">по държавния бюджет към 31.03.2026 г. са в общ размер на </w:t>
      </w:r>
      <w:r w:rsidRPr="002733BD">
        <w:rPr>
          <w:b/>
          <w:lang w:val="ru-RU" w:eastAsia="bg-BG"/>
        </w:rPr>
        <w:t xml:space="preserve">218,8 </w:t>
      </w:r>
      <w:r w:rsidRPr="002733BD">
        <w:rPr>
          <w:b/>
          <w:lang w:eastAsia="bg-BG"/>
        </w:rPr>
        <w:t>млн. евро.</w:t>
      </w:r>
    </w:p>
    <w:p w:rsidR="00B609F3" w:rsidRPr="002733BD" w:rsidRDefault="00B609F3" w:rsidP="00B609F3">
      <w:pPr>
        <w:spacing w:after="120"/>
        <w:jc w:val="both"/>
        <w:rPr>
          <w:color w:val="0070C0"/>
          <w:lang w:eastAsia="bg-BG"/>
        </w:rPr>
      </w:pPr>
      <w:r w:rsidRPr="002733BD">
        <w:rPr>
          <w:lang w:eastAsia="bg-BG"/>
        </w:rPr>
        <w:t xml:space="preserve">Разходите за </w:t>
      </w:r>
      <w:r w:rsidRPr="002733BD">
        <w:rPr>
          <w:b/>
          <w:lang w:eastAsia="bg-BG"/>
        </w:rPr>
        <w:t>лихви по външни заеми</w:t>
      </w:r>
      <w:r w:rsidRPr="002733BD">
        <w:rPr>
          <w:lang w:eastAsia="bg-BG"/>
        </w:rPr>
        <w:t xml:space="preserve"> са в размер на </w:t>
      </w:r>
      <w:r w:rsidRPr="002733BD">
        <w:rPr>
          <w:lang w:val="ru-RU" w:eastAsia="bg-BG"/>
        </w:rPr>
        <w:t xml:space="preserve">182,4 </w:t>
      </w:r>
      <w:r w:rsidRPr="002733BD">
        <w:rPr>
          <w:lang w:eastAsia="bg-BG"/>
        </w:rPr>
        <w:t>млн. евро, в т. ч. 180,0 млн. евро по централния бюджет. По ДИЗ, управлявани от министерства и ведомства са изплатени 2,4 млн. евро (по ДИЗ с краен бенефициент - търговско дружество няма извършени плащания)</w:t>
      </w:r>
      <w:r w:rsidRPr="002733BD">
        <w:rPr>
          <w:color w:val="0070C0"/>
          <w:lang w:eastAsia="bg-BG"/>
        </w:rPr>
        <w:t xml:space="preserve">. </w:t>
      </w:r>
    </w:p>
    <w:p w:rsidR="00B609F3" w:rsidRPr="002733BD" w:rsidRDefault="00B609F3" w:rsidP="00B609F3">
      <w:pPr>
        <w:spacing w:after="60"/>
        <w:jc w:val="both"/>
        <w:rPr>
          <w:color w:val="0070C0"/>
          <w:lang w:eastAsia="bg-BG"/>
        </w:rPr>
      </w:pPr>
      <w:r w:rsidRPr="002733BD">
        <w:rPr>
          <w:b/>
          <w:lang w:eastAsia="bg-BG"/>
        </w:rPr>
        <w:t>Лихвите по вътрешни заеми</w:t>
      </w:r>
      <w:r w:rsidRPr="002733BD">
        <w:rPr>
          <w:lang w:eastAsia="bg-BG"/>
        </w:rPr>
        <w:t xml:space="preserve"> по държавния бюджет </w:t>
      </w:r>
      <w:r w:rsidRPr="002733BD">
        <w:rPr>
          <w:bCs/>
          <w:lang w:eastAsia="bg-BG"/>
        </w:rPr>
        <w:t>към март 2026 г.</w:t>
      </w:r>
      <w:r w:rsidRPr="002733BD">
        <w:rPr>
          <w:lang w:eastAsia="bg-BG"/>
        </w:rPr>
        <w:t xml:space="preserve"> са в размер на </w:t>
      </w:r>
      <w:r w:rsidRPr="002733BD">
        <w:rPr>
          <w:b/>
          <w:lang w:eastAsia="bg-BG"/>
        </w:rPr>
        <w:t xml:space="preserve">36,5 млн. евро, </w:t>
      </w:r>
      <w:r w:rsidRPr="002733BD">
        <w:rPr>
          <w:lang w:eastAsia="bg-BG"/>
        </w:rPr>
        <w:t>като</w:t>
      </w:r>
      <w:r w:rsidRPr="002733BD">
        <w:rPr>
          <w:b/>
          <w:lang w:eastAsia="bg-BG"/>
        </w:rPr>
        <w:t xml:space="preserve"> </w:t>
      </w:r>
      <w:r w:rsidRPr="002733BD">
        <w:rPr>
          <w:lang w:eastAsia="bg-BG"/>
        </w:rPr>
        <w:t>платените лихви по ДЦК са в размер на 33,5 млн. евро  и 3,0 млн. евро са платените отстъпки</w:t>
      </w:r>
      <w:r w:rsidRPr="002733BD">
        <w:rPr>
          <w:b/>
          <w:lang w:eastAsia="bg-BG"/>
        </w:rPr>
        <w:t>.</w:t>
      </w:r>
    </w:p>
    <w:p w:rsidR="00B609F3" w:rsidRPr="002733BD" w:rsidRDefault="00B609F3" w:rsidP="00B609F3">
      <w:pPr>
        <w:numPr>
          <w:ilvl w:val="0"/>
          <w:numId w:val="21"/>
        </w:numPr>
        <w:tabs>
          <w:tab w:val="left" w:pos="426"/>
        </w:tabs>
        <w:spacing w:before="120" w:after="60"/>
        <w:ind w:left="0" w:firstLine="0"/>
        <w:jc w:val="both"/>
        <w:rPr>
          <w:b/>
          <w:bCs/>
          <w:lang w:eastAsia="bg-BG"/>
        </w:rPr>
      </w:pPr>
      <w:r w:rsidRPr="002733BD">
        <w:rPr>
          <w:b/>
          <w:bCs/>
          <w:lang w:eastAsia="bg-BG"/>
        </w:rPr>
        <w:t>Нетният размер на трансферите по държавния бюджет</w:t>
      </w:r>
      <w:r w:rsidRPr="002733BD">
        <w:rPr>
          <w:bCs/>
          <w:lang w:eastAsia="bg-BG"/>
        </w:rPr>
        <w:t xml:space="preserve">  към март 2026 г. е</w:t>
      </w:r>
      <w:r w:rsidRPr="002733BD">
        <w:rPr>
          <w:b/>
          <w:bCs/>
          <w:lang w:eastAsia="bg-BG"/>
        </w:rPr>
        <w:t xml:space="preserve"> 4 222,7 млн. евро,  </w:t>
      </w:r>
      <w:r w:rsidRPr="002733BD">
        <w:rPr>
          <w:bCs/>
          <w:lang w:eastAsia="bg-BG"/>
        </w:rPr>
        <w:t>в т. ч.:</w:t>
      </w:r>
      <w:r w:rsidRPr="002733BD">
        <w:rPr>
          <w:b/>
          <w:bCs/>
          <w:lang w:eastAsia="bg-BG"/>
        </w:rPr>
        <w:t xml:space="preserve"> </w:t>
      </w:r>
    </w:p>
    <w:p w:rsidR="00B609F3" w:rsidRPr="002733BD" w:rsidRDefault="00B609F3" w:rsidP="00B609F3">
      <w:pPr>
        <w:numPr>
          <w:ilvl w:val="0"/>
          <w:numId w:val="14"/>
        </w:numPr>
        <w:tabs>
          <w:tab w:val="clear" w:pos="700"/>
          <w:tab w:val="left" w:pos="180"/>
          <w:tab w:val="num" w:pos="1495"/>
          <w:tab w:val="num" w:pos="9858"/>
        </w:tabs>
        <w:ind w:left="538" w:hanging="357"/>
        <w:jc w:val="both"/>
        <w:rPr>
          <w:color w:val="0070C0"/>
          <w:lang w:eastAsia="bg-BG"/>
        </w:rPr>
      </w:pPr>
      <w:r w:rsidRPr="002733BD">
        <w:rPr>
          <w:lang w:eastAsia="bg-BG"/>
        </w:rPr>
        <w:t xml:space="preserve">бюджетните взаимоотношения  с  общините  включват  нето трансфери  и временни безлихвени заеми в  размер  на </w:t>
      </w:r>
      <w:r w:rsidRPr="002733BD">
        <w:rPr>
          <w:lang w:val="ru-RU" w:eastAsia="bg-BG"/>
        </w:rPr>
        <w:t>1 749,5</w:t>
      </w:r>
      <w:r w:rsidRPr="002733BD">
        <w:rPr>
          <w:lang w:eastAsia="bg-BG"/>
        </w:rPr>
        <w:t xml:space="preserve"> млн. евро,</w:t>
      </w:r>
      <w:r w:rsidRPr="002733BD">
        <w:rPr>
          <w:lang w:val="ru-RU" w:eastAsia="bg-BG"/>
        </w:rPr>
        <w:t xml:space="preserve"> </w:t>
      </w:r>
      <w:r w:rsidRPr="002733BD">
        <w:rPr>
          <w:lang w:eastAsia="bg-BG"/>
        </w:rPr>
        <w:t>от които субсидии от централния бюджет в размер на 1 406,1 млн. евро, други целеви трансфери от централния бюджет в размер на 121,0 млн. евро, нетни трансфери от/за други бюджети в размер на 230,1 млн. евро и възстановени трансфери от предходни години в централния бюджет – 7,7 млн. евро;</w:t>
      </w:r>
    </w:p>
    <w:p w:rsidR="00B609F3" w:rsidRPr="002733BD" w:rsidRDefault="00B609F3" w:rsidP="00B609F3">
      <w:pPr>
        <w:numPr>
          <w:ilvl w:val="0"/>
          <w:numId w:val="14"/>
        </w:numPr>
        <w:tabs>
          <w:tab w:val="clear" w:pos="700"/>
          <w:tab w:val="left" w:pos="180"/>
          <w:tab w:val="num" w:pos="1495"/>
          <w:tab w:val="num" w:pos="9858"/>
        </w:tabs>
        <w:ind w:left="538" w:hanging="357"/>
        <w:jc w:val="both"/>
        <w:rPr>
          <w:lang w:eastAsia="bg-BG"/>
        </w:rPr>
      </w:pPr>
      <w:r w:rsidRPr="002733BD">
        <w:rPr>
          <w:lang w:eastAsia="bg-BG"/>
        </w:rPr>
        <w:t xml:space="preserve">на социалноосигурителните фондове (нето) – </w:t>
      </w:r>
      <w:r w:rsidRPr="002733BD">
        <w:rPr>
          <w:lang w:val="ru-RU" w:eastAsia="bg-BG"/>
        </w:rPr>
        <w:t>2 086,4</w:t>
      </w:r>
      <w:r w:rsidRPr="002733BD">
        <w:rPr>
          <w:lang w:eastAsia="bg-BG"/>
        </w:rPr>
        <w:t xml:space="preserve"> млн. евро;</w:t>
      </w:r>
    </w:p>
    <w:p w:rsidR="00B609F3" w:rsidRPr="002733BD" w:rsidRDefault="00B609F3" w:rsidP="00B609F3">
      <w:pPr>
        <w:numPr>
          <w:ilvl w:val="0"/>
          <w:numId w:val="14"/>
        </w:numPr>
        <w:tabs>
          <w:tab w:val="clear" w:pos="700"/>
          <w:tab w:val="left" w:pos="180"/>
          <w:tab w:val="num" w:pos="1495"/>
          <w:tab w:val="num" w:pos="9858"/>
        </w:tabs>
        <w:ind w:left="538" w:hanging="357"/>
        <w:jc w:val="both"/>
        <w:rPr>
          <w:lang w:eastAsia="bg-BG"/>
        </w:rPr>
      </w:pPr>
      <w:r w:rsidRPr="002733BD">
        <w:rPr>
          <w:lang w:eastAsia="bg-BG"/>
        </w:rPr>
        <w:t xml:space="preserve">на други автономни бюджети (ДВУ, БАН, ССА, БНТ, БНР и БТА) – </w:t>
      </w:r>
      <w:r w:rsidRPr="002733BD">
        <w:rPr>
          <w:lang w:val="ru-RU" w:eastAsia="bg-BG"/>
        </w:rPr>
        <w:t>160,7</w:t>
      </w:r>
      <w:r w:rsidRPr="002733BD">
        <w:rPr>
          <w:lang w:eastAsia="bg-BG"/>
        </w:rPr>
        <w:t xml:space="preserve"> млн. евро. </w:t>
      </w:r>
    </w:p>
    <w:p w:rsidR="00B609F3" w:rsidRPr="002733BD" w:rsidRDefault="00B609F3" w:rsidP="00B609F3">
      <w:pPr>
        <w:numPr>
          <w:ilvl w:val="0"/>
          <w:numId w:val="5"/>
        </w:numPr>
        <w:tabs>
          <w:tab w:val="clear" w:pos="7650"/>
          <w:tab w:val="left" w:pos="426"/>
          <w:tab w:val="num" w:pos="567"/>
          <w:tab w:val="num" w:pos="786"/>
        </w:tabs>
        <w:spacing w:before="120"/>
        <w:ind w:left="0" w:firstLine="0"/>
        <w:jc w:val="both"/>
        <w:rPr>
          <w:bCs/>
          <w:lang w:eastAsia="bg-BG"/>
        </w:rPr>
      </w:pPr>
      <w:r w:rsidRPr="002733BD">
        <w:rPr>
          <w:lang w:eastAsia="bg-BG"/>
        </w:rPr>
        <w:t>Частта от</w:t>
      </w:r>
      <w:r w:rsidRPr="002733BD">
        <w:rPr>
          <w:b/>
          <w:lang w:eastAsia="bg-BG"/>
        </w:rPr>
        <w:t xml:space="preserve"> вноската на Република България в общия бюджет на ЕС, </w:t>
      </w:r>
      <w:r w:rsidRPr="002733BD">
        <w:rPr>
          <w:lang w:eastAsia="bg-BG"/>
        </w:rPr>
        <w:t>изплатена към 31.03.2026 г. от централния бюджет, възлиза на</w:t>
      </w:r>
      <w:r w:rsidRPr="002733BD">
        <w:rPr>
          <w:b/>
          <w:lang w:eastAsia="bg-BG"/>
        </w:rPr>
        <w:t xml:space="preserve"> 259,5 млн. евро.</w:t>
      </w:r>
      <w:r w:rsidRPr="002733BD">
        <w:rPr>
          <w:lang w:eastAsia="bg-BG"/>
        </w:rPr>
        <w:t xml:space="preserve"> </w:t>
      </w:r>
    </w:p>
    <w:p w:rsidR="00B609F3" w:rsidRPr="002733BD" w:rsidRDefault="00B609F3" w:rsidP="00B609F3">
      <w:pPr>
        <w:numPr>
          <w:ilvl w:val="0"/>
          <w:numId w:val="5"/>
        </w:numPr>
        <w:tabs>
          <w:tab w:val="clear" w:pos="7650"/>
          <w:tab w:val="num" w:pos="426"/>
          <w:tab w:val="num" w:pos="786"/>
        </w:tabs>
        <w:spacing w:before="240" w:after="240"/>
        <w:ind w:left="0" w:firstLine="0"/>
        <w:jc w:val="both"/>
        <w:rPr>
          <w:sz w:val="16"/>
          <w:szCs w:val="16"/>
          <w:lang w:eastAsia="bg-BG"/>
        </w:rPr>
      </w:pPr>
      <w:r w:rsidRPr="002733BD">
        <w:rPr>
          <w:b/>
          <w:lang w:eastAsia="bg-BG"/>
        </w:rPr>
        <w:t>Бюджетното салдо по държавния бюджет</w:t>
      </w:r>
      <w:r w:rsidRPr="002733BD">
        <w:rPr>
          <w:lang w:eastAsia="bg-BG"/>
        </w:rPr>
        <w:t xml:space="preserve"> към 31.03.2026 г. </w:t>
      </w:r>
      <w:r w:rsidRPr="002733BD">
        <w:rPr>
          <w:b/>
          <w:lang w:eastAsia="bg-BG"/>
        </w:rPr>
        <w:t>е отрицателно</w:t>
      </w:r>
      <w:r w:rsidRPr="002733BD">
        <w:rPr>
          <w:lang w:eastAsia="bg-BG"/>
        </w:rPr>
        <w:t xml:space="preserve"> в размер на </w:t>
      </w:r>
      <w:r w:rsidRPr="002733BD">
        <w:rPr>
          <w:b/>
          <w:lang w:eastAsia="bg-BG"/>
        </w:rPr>
        <w:t>1 918,4 млн. евро</w:t>
      </w:r>
      <w:r w:rsidRPr="002733BD">
        <w:rPr>
          <w:lang w:eastAsia="bg-BG"/>
        </w:rPr>
        <w:t xml:space="preserve">. </w:t>
      </w:r>
    </w:p>
    <w:p w:rsidR="00B609F3" w:rsidRPr="002733BD" w:rsidRDefault="00B609F3" w:rsidP="00B609F3">
      <w:pPr>
        <w:numPr>
          <w:ilvl w:val="0"/>
          <w:numId w:val="5"/>
        </w:numPr>
        <w:tabs>
          <w:tab w:val="clear" w:pos="7650"/>
          <w:tab w:val="num" w:pos="426"/>
          <w:tab w:val="num" w:pos="786"/>
        </w:tabs>
        <w:spacing w:before="120" w:after="120"/>
        <w:ind w:left="0" w:firstLine="0"/>
        <w:jc w:val="both"/>
        <w:rPr>
          <w:b/>
          <w:lang w:eastAsia="bg-BG"/>
        </w:rPr>
      </w:pPr>
      <w:r w:rsidRPr="002733BD">
        <w:rPr>
          <w:b/>
          <w:lang w:eastAsia="bg-BG"/>
        </w:rPr>
        <w:t>Финансиране на бюджета чрез операции по дълга</w:t>
      </w:r>
    </w:p>
    <w:p w:rsidR="00B609F3" w:rsidRPr="002733BD" w:rsidRDefault="00B609F3" w:rsidP="00B609F3">
      <w:pPr>
        <w:tabs>
          <w:tab w:val="left" w:pos="567"/>
        </w:tabs>
        <w:jc w:val="both"/>
        <w:rPr>
          <w:lang w:eastAsia="bg-BG"/>
        </w:rPr>
      </w:pPr>
      <w:r w:rsidRPr="002733BD">
        <w:rPr>
          <w:lang w:eastAsia="bg-BG"/>
        </w:rPr>
        <w:t>Към 31.03.2026 г. е реализирано положително нетно дългово финансиране на държавния бюджет в размер на 7,0 млн. евро, като общият размер на постъпленията от емисии на ДЦК на местния пазар възлиза на 891,3 млн. евро, а извършените погашения по държавния дълг са в размер на 884,3 млн. евро.</w:t>
      </w:r>
    </w:p>
    <w:p w:rsidR="00B609F3" w:rsidRPr="002733BD" w:rsidRDefault="00B609F3" w:rsidP="00B609F3">
      <w:pPr>
        <w:tabs>
          <w:tab w:val="left" w:pos="0"/>
          <w:tab w:val="left" w:pos="1134"/>
        </w:tabs>
        <w:spacing w:after="120"/>
        <w:jc w:val="both"/>
        <w:rPr>
          <w:lang w:eastAsia="bg-BG"/>
        </w:rPr>
      </w:pPr>
      <w:r w:rsidRPr="002733BD">
        <w:rPr>
          <w:lang w:eastAsia="bg-BG"/>
        </w:rPr>
        <w:t xml:space="preserve">Към 31.03.2026 г. е отчетено положително нетно </w:t>
      </w:r>
      <w:r w:rsidRPr="002733BD">
        <w:rPr>
          <w:b/>
          <w:i/>
          <w:lang w:eastAsia="bg-BG"/>
        </w:rPr>
        <w:t>вътрешно финансиране на държавния бюджет с ДЦК</w:t>
      </w:r>
      <w:r w:rsidRPr="002733BD">
        <w:rPr>
          <w:lang w:eastAsia="bg-BG"/>
        </w:rPr>
        <w:t xml:space="preserve"> в размер на 25,1 млн. евро. Общият размер на</w:t>
      </w:r>
      <w:r w:rsidRPr="002733BD">
        <w:rPr>
          <w:b/>
          <w:lang w:eastAsia="bg-BG"/>
        </w:rPr>
        <w:t xml:space="preserve"> </w:t>
      </w:r>
      <w:r w:rsidRPr="002733BD">
        <w:rPr>
          <w:b/>
          <w:i/>
          <w:lang w:eastAsia="bg-BG"/>
        </w:rPr>
        <w:t>постъпленията</w:t>
      </w:r>
      <w:r w:rsidRPr="002733BD">
        <w:rPr>
          <w:lang w:eastAsia="bg-BG"/>
        </w:rPr>
        <w:t xml:space="preserve"> от трите нови емисии на ДЦК на вътрешния пазар възлиза на 891,3 млн. евро или са емитирани ДЦК на обща номинална стойност 900,0 млн. евро. В изпълнение на одобреното прогнозно финансиране от министъра на финансите, през първото тримесечие на 2026 г. са пуснати в обращение три нови емисии ДЦК, пласирани на принципа на „отворени“ емисии, със срочност от 2, 5 и 10 години, чийто съвкупен номинален обем към 31.03.2026 г. от 900 млн. евро е формиран от пласираните индивидуални сумарни обеми, както следва:</w:t>
      </w:r>
    </w:p>
    <w:p w:rsidR="00B609F3" w:rsidRPr="002733BD" w:rsidRDefault="00B609F3" w:rsidP="00B609F3">
      <w:pPr>
        <w:numPr>
          <w:ilvl w:val="0"/>
          <w:numId w:val="23"/>
        </w:numPr>
        <w:tabs>
          <w:tab w:val="left" w:pos="0"/>
          <w:tab w:val="left" w:pos="993"/>
        </w:tabs>
        <w:spacing w:after="120"/>
        <w:ind w:left="0" w:firstLine="709"/>
        <w:jc w:val="both"/>
        <w:rPr>
          <w:lang w:eastAsia="bg-BG"/>
        </w:rPr>
      </w:pPr>
      <w:r w:rsidRPr="002733BD">
        <w:rPr>
          <w:b/>
          <w:i/>
          <w:lang w:eastAsia="bg-BG"/>
        </w:rPr>
        <w:t>2-годишни ДЦК</w:t>
      </w:r>
      <w:r w:rsidRPr="002733BD">
        <w:rPr>
          <w:lang w:eastAsia="bg-BG"/>
        </w:rPr>
        <w:t xml:space="preserve"> (емисията е пусната в обращение на 19.01.2026 г., деноминирана е в евро, с падеж 21.01.2028 г. и годишен лихвен купон от 2,25 %) с общ пласиран обем от 450,0 млн. евро, като през януари, февруари и март са пласирани съответно по 150 млн. евро</w:t>
      </w:r>
      <w:r w:rsidRPr="002733BD">
        <w:rPr>
          <w:lang w:val="en-US" w:eastAsia="bg-BG"/>
        </w:rPr>
        <w:t>;</w:t>
      </w:r>
    </w:p>
    <w:p w:rsidR="00B609F3" w:rsidRPr="002733BD" w:rsidRDefault="00B609F3" w:rsidP="00B609F3">
      <w:pPr>
        <w:numPr>
          <w:ilvl w:val="0"/>
          <w:numId w:val="23"/>
        </w:numPr>
        <w:tabs>
          <w:tab w:val="left" w:pos="0"/>
          <w:tab w:val="left" w:pos="993"/>
        </w:tabs>
        <w:spacing w:after="120"/>
        <w:ind w:left="0" w:firstLine="709"/>
        <w:jc w:val="both"/>
        <w:rPr>
          <w:lang w:eastAsia="bg-BG"/>
        </w:rPr>
      </w:pPr>
      <w:r w:rsidRPr="002733BD">
        <w:rPr>
          <w:b/>
          <w:i/>
          <w:lang w:eastAsia="bg-BG"/>
        </w:rPr>
        <w:t>5-годишни ДЦК</w:t>
      </w:r>
      <w:r w:rsidRPr="002733BD">
        <w:rPr>
          <w:lang w:eastAsia="bg-BG"/>
        </w:rPr>
        <w:t xml:space="preserve"> (емисията е пусната в обращение на 26.01.2026 г., деноминирана в евро, с падеж 28.01.2031 г. и годишен лихвен купон от 2,75 %) с общ пласиран обем от 300,0 млн. евро, като през януари и март са пласирани съответно по 150 млн. евро</w:t>
      </w:r>
      <w:r w:rsidRPr="002733BD">
        <w:rPr>
          <w:lang w:val="en-US" w:eastAsia="bg-BG"/>
        </w:rPr>
        <w:t>;</w:t>
      </w:r>
    </w:p>
    <w:p w:rsidR="00B609F3" w:rsidRPr="002733BD" w:rsidRDefault="00B609F3" w:rsidP="00B609F3">
      <w:pPr>
        <w:numPr>
          <w:ilvl w:val="0"/>
          <w:numId w:val="23"/>
        </w:numPr>
        <w:tabs>
          <w:tab w:val="left" w:pos="0"/>
          <w:tab w:val="left" w:pos="993"/>
        </w:tabs>
        <w:ind w:left="0" w:firstLine="709"/>
        <w:jc w:val="both"/>
        <w:rPr>
          <w:lang w:eastAsia="bg-BG"/>
        </w:rPr>
      </w:pPr>
      <w:r w:rsidRPr="002733BD">
        <w:rPr>
          <w:lang w:eastAsia="bg-BG"/>
        </w:rPr>
        <w:t xml:space="preserve"> </w:t>
      </w:r>
      <w:r w:rsidRPr="002733BD">
        <w:rPr>
          <w:b/>
          <w:i/>
          <w:lang w:eastAsia="bg-BG"/>
        </w:rPr>
        <w:t>10-годишни ДЦК</w:t>
      </w:r>
      <w:r w:rsidRPr="002733BD">
        <w:rPr>
          <w:lang w:eastAsia="bg-BG"/>
        </w:rPr>
        <w:t xml:space="preserve"> (емисията е пусната в обращение на 09.02.2026 г., деноминирана в евро, с падеж 11.02.2036 г. и годишен лихвен купон от 3,50</w:t>
      </w:r>
      <w:r w:rsidRPr="002733BD">
        <w:rPr>
          <w:lang w:val="en-US" w:eastAsia="bg-BG"/>
        </w:rPr>
        <w:t xml:space="preserve"> </w:t>
      </w:r>
      <w:r w:rsidRPr="002733BD">
        <w:rPr>
          <w:lang w:eastAsia="bg-BG"/>
        </w:rPr>
        <w:t>%) с пласиран обем от 150,0 млн. евро през февруари.</w:t>
      </w:r>
    </w:p>
    <w:p w:rsidR="00B609F3" w:rsidRPr="002733BD" w:rsidRDefault="00B609F3" w:rsidP="00B609F3">
      <w:pPr>
        <w:tabs>
          <w:tab w:val="left" w:pos="0"/>
          <w:tab w:val="left" w:pos="1134"/>
        </w:tabs>
        <w:jc w:val="both"/>
        <w:rPr>
          <w:lang w:eastAsia="bg-BG"/>
        </w:rPr>
      </w:pPr>
      <w:r w:rsidRPr="002733BD">
        <w:rPr>
          <w:lang w:eastAsia="bg-BG"/>
        </w:rPr>
        <w:t xml:space="preserve">Отчетените </w:t>
      </w:r>
      <w:r w:rsidRPr="002733BD">
        <w:rPr>
          <w:b/>
          <w:lang w:eastAsia="bg-BG"/>
        </w:rPr>
        <w:t>погашения</w:t>
      </w:r>
      <w:r w:rsidRPr="002733BD">
        <w:rPr>
          <w:lang w:eastAsia="bg-BG"/>
        </w:rPr>
        <w:t xml:space="preserve"> към 31.03.2026 г. са в размер на 866,2 млн. евро, като през месец февруари Министерството на финансите погаси емисия 5-годишни ДЦК от 2021 г. в обем от 869,2 млн. евро номинална стойност. </w:t>
      </w:r>
    </w:p>
    <w:p w:rsidR="00B609F3" w:rsidRPr="002733BD" w:rsidRDefault="00B609F3" w:rsidP="00B609F3">
      <w:pPr>
        <w:spacing w:before="120" w:after="120"/>
        <w:jc w:val="both"/>
        <w:rPr>
          <w:rFonts w:eastAsia="Calibri"/>
          <w:lang w:eastAsia="bg-BG"/>
        </w:rPr>
      </w:pPr>
      <w:r w:rsidRPr="002733BD">
        <w:rPr>
          <w:rFonts w:eastAsia="Calibri"/>
          <w:lang w:eastAsia="bg-BG"/>
        </w:rPr>
        <w:t xml:space="preserve">Към 31.03.2026 г. е отчетено отрицателно нетно </w:t>
      </w:r>
      <w:r w:rsidRPr="002733BD">
        <w:rPr>
          <w:b/>
          <w:i/>
          <w:lang w:eastAsia="bg-BG"/>
        </w:rPr>
        <w:t>външно финансиране</w:t>
      </w:r>
      <w:r w:rsidRPr="002733BD">
        <w:rPr>
          <w:rFonts w:eastAsia="Calibri"/>
          <w:lang w:eastAsia="bg-BG"/>
        </w:rPr>
        <w:t xml:space="preserve"> в размер на (-18,1) млн. евро </w:t>
      </w:r>
      <w:r w:rsidRPr="002733BD">
        <w:rPr>
          <w:lang w:eastAsia="bg-BG"/>
        </w:rPr>
        <w:t xml:space="preserve">по </w:t>
      </w:r>
      <w:r w:rsidRPr="002733BD">
        <w:rPr>
          <w:b/>
          <w:i/>
          <w:lang w:eastAsia="bg-BG"/>
        </w:rPr>
        <w:t>държавния бюджет</w:t>
      </w:r>
      <w:r w:rsidRPr="002733BD">
        <w:rPr>
          <w:rFonts w:eastAsia="Calibri"/>
          <w:lang w:eastAsia="bg-BG"/>
        </w:rPr>
        <w:t>, което се дължи на извършените погашения към външни кредитори като няма постъпления от емисии на еврооблигации на международните капиталови пазари (МКП), както и няма усвоявания на средства по държавни заеми.</w:t>
      </w:r>
    </w:p>
    <w:p w:rsidR="00B609F3" w:rsidRPr="002733BD" w:rsidRDefault="00B609F3" w:rsidP="00B609F3">
      <w:pPr>
        <w:spacing w:before="120" w:after="120"/>
        <w:jc w:val="both"/>
        <w:rPr>
          <w:rFonts w:eastAsia="Calibri"/>
          <w:color w:val="0070C0"/>
          <w:lang w:eastAsia="bg-BG"/>
        </w:rPr>
      </w:pPr>
      <w:r w:rsidRPr="002733BD">
        <w:rPr>
          <w:lang w:eastAsia="bg-BG"/>
        </w:rPr>
        <w:t xml:space="preserve">Извършените </w:t>
      </w:r>
      <w:r w:rsidRPr="002733BD">
        <w:rPr>
          <w:b/>
          <w:i/>
          <w:lang w:eastAsia="bg-BG"/>
        </w:rPr>
        <w:t>погашения от централен бюджет</w:t>
      </w:r>
      <w:r w:rsidRPr="002733BD">
        <w:rPr>
          <w:lang w:eastAsia="bg-BG"/>
        </w:rPr>
        <w:t xml:space="preserve"> възлизат на </w:t>
      </w:r>
      <w:r w:rsidRPr="002733BD">
        <w:rPr>
          <w:b/>
          <w:i/>
          <w:lang w:eastAsia="bg-BG"/>
        </w:rPr>
        <w:t>10,0 млн. евро</w:t>
      </w:r>
      <w:r w:rsidRPr="002733BD">
        <w:rPr>
          <w:lang w:eastAsia="bg-BG"/>
        </w:rPr>
        <w:t xml:space="preserve"> по външен държавен заем</w:t>
      </w:r>
      <w:r w:rsidRPr="002733BD">
        <w:rPr>
          <w:rFonts w:ascii="Calibri" w:eastAsia="Calibri" w:hAnsi="Calibri"/>
          <w:sz w:val="22"/>
          <w:szCs w:val="22"/>
        </w:rPr>
        <w:t xml:space="preserve"> </w:t>
      </w:r>
      <w:r w:rsidRPr="002733BD">
        <w:rPr>
          <w:lang w:eastAsia="bg-BG"/>
        </w:rPr>
        <w:t>към Банка за развитие на Съвета на Европа (БРСЕ) в съответствие с договорения погасителен план</w:t>
      </w:r>
      <w:r w:rsidRPr="002733BD">
        <w:rPr>
          <w:rFonts w:eastAsia="Calibri"/>
          <w:color w:val="0070C0"/>
          <w:lang w:eastAsia="bg-BG"/>
        </w:rPr>
        <w:t>.</w:t>
      </w:r>
    </w:p>
    <w:p w:rsidR="00B609F3" w:rsidRPr="002733BD" w:rsidRDefault="00B609F3" w:rsidP="00B609F3">
      <w:pPr>
        <w:spacing w:before="120" w:after="240"/>
        <w:jc w:val="both"/>
        <w:rPr>
          <w:lang w:eastAsia="bg-BG"/>
        </w:rPr>
      </w:pPr>
      <w:r w:rsidRPr="002733BD">
        <w:rPr>
          <w:rFonts w:eastAsia="Calibri"/>
          <w:b/>
          <w:i/>
          <w:lang w:eastAsia="bg-BG"/>
        </w:rPr>
        <w:t>Погашенията по ДИЗ, управлявани от министерства</w:t>
      </w:r>
      <w:r w:rsidRPr="002733BD">
        <w:rPr>
          <w:rFonts w:eastAsia="Calibri"/>
          <w:lang w:eastAsia="bg-BG"/>
        </w:rPr>
        <w:t xml:space="preserve"> </w:t>
      </w:r>
      <w:r w:rsidRPr="002733BD">
        <w:rPr>
          <w:rFonts w:eastAsia="Calibri"/>
          <w:b/>
          <w:i/>
          <w:lang w:eastAsia="bg-BG"/>
        </w:rPr>
        <w:t>и ведомства,</w:t>
      </w:r>
      <w:r w:rsidRPr="002733BD">
        <w:rPr>
          <w:rFonts w:eastAsia="Calibri"/>
          <w:lang w:eastAsia="bg-BG"/>
        </w:rPr>
        <w:t xml:space="preserve"> към март 2026 г. са в размер на 8,1 млн. евро.</w:t>
      </w:r>
    </w:p>
    <w:p w:rsidR="00B609F3" w:rsidRPr="002573CA" w:rsidRDefault="00B609F3" w:rsidP="00B609F3">
      <w:pPr>
        <w:pStyle w:val="BodyTextIndent"/>
        <w:numPr>
          <w:ilvl w:val="1"/>
          <w:numId w:val="8"/>
        </w:numPr>
        <w:tabs>
          <w:tab w:val="num" w:pos="900"/>
        </w:tabs>
        <w:spacing w:before="360" w:after="0"/>
        <w:ind w:left="714" w:hanging="357"/>
        <w:jc w:val="both"/>
        <w:rPr>
          <w:b/>
          <w:bCs/>
        </w:rPr>
      </w:pPr>
      <w:r w:rsidRPr="002573CA">
        <w:rPr>
          <w:b/>
          <w:bCs/>
        </w:rPr>
        <w:t>Разходи по централн</w:t>
      </w:r>
      <w:r w:rsidRPr="002573CA">
        <w:rPr>
          <w:b/>
          <w:bCs/>
          <w:szCs w:val="26"/>
        </w:rPr>
        <w:t xml:space="preserve">ия бюджет </w:t>
      </w:r>
      <w:r w:rsidRPr="002573CA">
        <w:rPr>
          <w:b/>
          <w:bCs/>
        </w:rPr>
        <w:t>за субсидии, капиталови трансфери</w:t>
      </w:r>
      <w:r w:rsidRPr="002573CA">
        <w:rPr>
          <w:bCs/>
        </w:rPr>
        <w:t xml:space="preserve"> </w:t>
      </w:r>
      <w:r w:rsidRPr="002573CA">
        <w:rPr>
          <w:b/>
          <w:bCs/>
        </w:rPr>
        <w:t xml:space="preserve">и други разходи, свързани с дейността на реалния сектор </w:t>
      </w:r>
    </w:p>
    <w:p w:rsidR="00B609F3" w:rsidRPr="00013834" w:rsidRDefault="00B609F3" w:rsidP="00B609F3">
      <w:pPr>
        <w:pStyle w:val="Header"/>
        <w:jc w:val="both"/>
        <w:rPr>
          <w:color w:val="0070C0"/>
          <w:sz w:val="8"/>
          <w:szCs w:val="8"/>
        </w:rPr>
      </w:pPr>
    </w:p>
    <w:p w:rsidR="00B609F3" w:rsidRPr="00013834" w:rsidRDefault="00B609F3" w:rsidP="00B609F3">
      <w:pPr>
        <w:pStyle w:val="Header"/>
        <w:jc w:val="both"/>
        <w:rPr>
          <w:color w:val="0070C0"/>
          <w:sz w:val="4"/>
          <w:szCs w:val="4"/>
        </w:rPr>
      </w:pPr>
    </w:p>
    <w:p w:rsidR="00B609F3" w:rsidRPr="00BE6734" w:rsidRDefault="00B609F3" w:rsidP="00B609F3">
      <w:pPr>
        <w:pStyle w:val="BodyText2"/>
        <w:spacing w:after="0" w:line="240" w:lineRule="auto"/>
        <w:jc w:val="both"/>
      </w:pPr>
      <w:r w:rsidRPr="00BE6734">
        <w:t xml:space="preserve">Средствата за </w:t>
      </w:r>
      <w:r w:rsidRPr="00BE6734">
        <w:rPr>
          <w:bCs/>
        </w:rPr>
        <w:t>субсидии</w:t>
      </w:r>
      <w:r w:rsidRPr="00BE6734">
        <w:t xml:space="preserve"> са предназначени за търговски дружества, осъществяващи превоза на пътниците по нерентабилни автобусни линии във вътрешноградския транспорт и транспорта в планински и други райони. По своя характер те са обществени превозни услуги от общ икономически интерес и имат предимно социална насоченост – масови превози до и от работните места в рамките на града и превози до малки отдалечени селища, осигуряващи връзка с общинския център.</w:t>
      </w:r>
    </w:p>
    <w:p w:rsidR="00B609F3" w:rsidRPr="00D76423" w:rsidRDefault="00B609F3" w:rsidP="00B609F3">
      <w:pPr>
        <w:widowControl w:val="0"/>
        <w:spacing w:before="120"/>
        <w:jc w:val="both"/>
      </w:pPr>
      <w:r w:rsidRPr="00D76423">
        <w:rPr>
          <w:noProof/>
        </w:rPr>
        <w:t>Към 31.03.2026 г. предоставените за тази цел средства са в размер на 45,6 млн. евро, в т.ч. за Столична община – в размер на 29,6 млн. евро. Средствата се разпределят по общини по предложение на Министерството на транспорта и съобщенията, с изключение на тези за Столична община</w:t>
      </w:r>
      <w:r w:rsidRPr="00D76423">
        <w:t xml:space="preserve">. </w:t>
      </w:r>
    </w:p>
    <w:p w:rsidR="00B609F3" w:rsidRPr="004B11D4" w:rsidRDefault="00B609F3" w:rsidP="00B609F3">
      <w:pPr>
        <w:spacing w:before="120"/>
        <w:jc w:val="both"/>
      </w:pPr>
      <w:r w:rsidRPr="004B11D4">
        <w:t>За отчетния период м. януари – м. март 2026 г. не са извършвани капиталови разходи за изпълнение на програми за отстраняване на нанесените щети върху околната среда, настъпили от минали действия или бездействия, при приватизация.</w:t>
      </w:r>
    </w:p>
    <w:p w:rsidR="00B609F3" w:rsidRPr="004F4009" w:rsidRDefault="00B609F3" w:rsidP="00B609F3">
      <w:pPr>
        <w:spacing w:before="120"/>
        <w:jc w:val="both"/>
      </w:pPr>
      <w:r w:rsidRPr="004F4009">
        <w:rPr>
          <w:bCs/>
        </w:rPr>
        <w:t xml:space="preserve">По централния бюджет са предвидени и </w:t>
      </w:r>
      <w:r w:rsidRPr="004F4009">
        <w:rPr>
          <w:b/>
          <w:bCs/>
        </w:rPr>
        <w:t>други разходи</w:t>
      </w:r>
      <w:r w:rsidRPr="004F4009">
        <w:rPr>
          <w:bCs/>
        </w:rPr>
        <w:t>, свързани с к</w:t>
      </w:r>
      <w:r w:rsidRPr="004F4009">
        <w:t xml:space="preserve">омпенсиране със средства от държавния бюджет на </w:t>
      </w:r>
      <w:r w:rsidRPr="004F4009">
        <w:rPr>
          <w:bCs/>
        </w:rPr>
        <w:t>намалените приходи от прилагането на цени за пътуване, предвидени в нормативни актове за определени категории пътници</w:t>
      </w:r>
      <w:r w:rsidRPr="004F4009">
        <w:t xml:space="preserve"> по железопътния и автомобилния транспорт. Средствата </w:t>
      </w:r>
      <w:r w:rsidRPr="004F4009">
        <w:rPr>
          <w:bCs/>
        </w:rPr>
        <w:t xml:space="preserve">се предоставят на „БДЖ-Пътнически превози“ ЕООД за компенсации за пътувания с железопътния транспорт и под формата на целеви трансфер на общините - </w:t>
      </w:r>
      <w:r w:rsidRPr="004F4009">
        <w:t xml:space="preserve">за автомобилния транспорт. </w:t>
      </w:r>
    </w:p>
    <w:p w:rsidR="00B609F3" w:rsidRPr="00013834" w:rsidRDefault="00B609F3" w:rsidP="00B609F3">
      <w:pPr>
        <w:tabs>
          <w:tab w:val="left" w:pos="851"/>
        </w:tabs>
        <w:jc w:val="both"/>
        <w:rPr>
          <w:color w:val="0070C0"/>
          <w:sz w:val="8"/>
          <w:szCs w:val="8"/>
        </w:rPr>
      </w:pPr>
      <w:r w:rsidRPr="00013834">
        <w:rPr>
          <w:color w:val="0070C0"/>
        </w:rPr>
        <w:t xml:space="preserve"> </w:t>
      </w:r>
    </w:p>
    <w:p w:rsidR="00B609F3" w:rsidRPr="00A52A90" w:rsidRDefault="00B609F3" w:rsidP="00B609F3">
      <w:pPr>
        <w:jc w:val="both"/>
        <w:rPr>
          <w:lang w:eastAsia="bg-BG"/>
        </w:rPr>
      </w:pPr>
      <w:r w:rsidRPr="00A52A90">
        <w:rPr>
          <w:lang w:eastAsia="bg-BG"/>
        </w:rPr>
        <w:t>Предоставените средства в размер на 34,9 млн. евро за компенсиране на намалените приходи от прилагането на цени за пътуване, предвидени в нормативни актове за определени категории пътници, по вътрешноградския транспорт и междуселищния автомобилен транспорт към 31.03.2026 г., диференцирани по групи правоимащи лица и по размер на намалението спрямо редовната цена, са както следва:</w:t>
      </w:r>
    </w:p>
    <w:p w:rsidR="00B609F3" w:rsidRPr="00A52A90" w:rsidRDefault="00B609F3" w:rsidP="00B609F3">
      <w:pPr>
        <w:ind w:firstLine="737"/>
        <w:jc w:val="both"/>
        <w:rPr>
          <w:lang w:eastAsia="bg-BG"/>
        </w:rPr>
      </w:pPr>
      <w:r w:rsidRPr="00A52A90">
        <w:rPr>
          <w:lang w:eastAsia="bg-BG"/>
        </w:rPr>
        <w:t xml:space="preserve">- 11,4 млн. евро за транспорт на деца и ученици; </w:t>
      </w:r>
    </w:p>
    <w:p w:rsidR="00B609F3" w:rsidRPr="00A52A90" w:rsidRDefault="00B609F3" w:rsidP="00B609F3">
      <w:pPr>
        <w:ind w:firstLine="737"/>
        <w:jc w:val="both"/>
        <w:rPr>
          <w:lang w:val="en-US" w:eastAsia="bg-BG"/>
        </w:rPr>
      </w:pPr>
      <w:r w:rsidRPr="00A52A90">
        <w:rPr>
          <w:lang w:eastAsia="bg-BG"/>
        </w:rPr>
        <w:t xml:space="preserve">- 23,5 млн. евро за безплатни пътувания на деца до седемгодишна възраст, ветерани от войните, военноинвалиди и военнопострадали, както и пътувания по намалени цени на деца от 7 до 14 навършени години, учащи се и лица, получаващи пенсия, лица с намалена работоспособност над 70,99 на 100 с вътрешноградския транспорт и междуселищния автомобилен </w:t>
      </w:r>
      <w:r w:rsidRPr="004F4009">
        <w:t>транспорт</w:t>
      </w:r>
      <w:r>
        <w:rPr>
          <w:lang w:val="en-US"/>
        </w:rPr>
        <w:t>.</w:t>
      </w:r>
    </w:p>
    <w:p w:rsidR="00B609F3" w:rsidRPr="00013834" w:rsidRDefault="00B609F3" w:rsidP="00B609F3">
      <w:pPr>
        <w:jc w:val="both"/>
        <w:rPr>
          <w:color w:val="0070C0"/>
        </w:rPr>
      </w:pPr>
      <w:r w:rsidRPr="00A52A90">
        <w:rPr>
          <w:lang w:eastAsia="bg-BG"/>
        </w:rPr>
        <w:t>Средствата се разпределят по общини по предложение на Министерството на транспорта и съобщенията и Министерството на образованието и науката</w:t>
      </w:r>
      <w:r w:rsidRPr="00013834">
        <w:rPr>
          <w:color w:val="0070C0"/>
        </w:rPr>
        <w:t>.</w:t>
      </w:r>
    </w:p>
    <w:p w:rsidR="00B609F3" w:rsidRPr="00013834" w:rsidRDefault="00B609F3" w:rsidP="00B609F3">
      <w:pPr>
        <w:jc w:val="both"/>
        <w:rPr>
          <w:color w:val="0070C0"/>
        </w:rPr>
      </w:pPr>
    </w:p>
    <w:p w:rsidR="00B609F3" w:rsidRPr="005F1087" w:rsidRDefault="00B609F3" w:rsidP="00B609F3">
      <w:pPr>
        <w:pStyle w:val="BodyTextIndent"/>
        <w:numPr>
          <w:ilvl w:val="1"/>
          <w:numId w:val="8"/>
        </w:numPr>
        <w:tabs>
          <w:tab w:val="num" w:pos="900"/>
        </w:tabs>
        <w:spacing w:before="120" w:after="0"/>
        <w:ind w:left="714" w:hanging="357"/>
        <w:jc w:val="both"/>
        <w:rPr>
          <w:b/>
          <w:bCs/>
        </w:rPr>
      </w:pPr>
      <w:r w:rsidRPr="005F1087">
        <w:rPr>
          <w:b/>
          <w:bCs/>
        </w:rPr>
        <w:t>Бюджет на съдебната власт</w:t>
      </w:r>
    </w:p>
    <w:p w:rsidR="00B609F3" w:rsidRPr="00F12D6D" w:rsidRDefault="00B609F3" w:rsidP="00B609F3">
      <w:pPr>
        <w:spacing w:before="120"/>
        <w:jc w:val="both"/>
      </w:pPr>
      <w:r w:rsidRPr="00F12D6D">
        <w:t xml:space="preserve">За първото тримесечие на 2026 г. по бюджета на съдебната власт са отчетени </w:t>
      </w:r>
      <w:r w:rsidRPr="00F12D6D">
        <w:rPr>
          <w:b/>
        </w:rPr>
        <w:t>приходи</w:t>
      </w:r>
      <w:r w:rsidRPr="00F12D6D">
        <w:t xml:space="preserve"> в размер на 17,7 млн. евро, от които 14,6 млн. евро - приходи от съдебни такси. За сравнение, към март 2025 г. са отчетени общо приходи в размер на 14,7 млн. евро, от които 12,1 млн. евро - приходи от съдебни такси.</w:t>
      </w:r>
    </w:p>
    <w:p w:rsidR="00B609F3" w:rsidRPr="00013834" w:rsidRDefault="00B609F3" w:rsidP="00B609F3">
      <w:pPr>
        <w:tabs>
          <w:tab w:val="left" w:pos="90"/>
        </w:tabs>
        <w:jc w:val="both"/>
        <w:rPr>
          <w:color w:val="0070C0"/>
        </w:rPr>
      </w:pPr>
      <w:r w:rsidRPr="007327DF">
        <w:rPr>
          <w:b/>
        </w:rPr>
        <w:t xml:space="preserve">Разходите </w:t>
      </w:r>
      <w:r w:rsidRPr="007327DF">
        <w:t>по бюджета на съдебната власт</w:t>
      </w:r>
      <w:r w:rsidRPr="007327DF">
        <w:rPr>
          <w:b/>
        </w:rPr>
        <w:t xml:space="preserve"> </w:t>
      </w:r>
      <w:r w:rsidRPr="007327DF">
        <w:t>към</w:t>
      </w:r>
      <w:r w:rsidRPr="007327DF">
        <w:rPr>
          <w:b/>
        </w:rPr>
        <w:t xml:space="preserve"> </w:t>
      </w:r>
      <w:r w:rsidRPr="007327DF">
        <w:t xml:space="preserve">31.03.2026 г. са в размер на 197,8 млн. евро, като </w:t>
      </w:r>
      <w:r w:rsidRPr="00752B37">
        <w:t>с най-голям относителен дял от отчетените разходи са тези за персонал – 94,2 % (186,3 млн. евро). За сравнение, за първото тримесечие на 2026 г. са отчетени общо разходи в размер 131,6 млн. евро.</w:t>
      </w:r>
    </w:p>
    <w:p w:rsidR="00B609F3" w:rsidRPr="00DB4335" w:rsidRDefault="00B609F3" w:rsidP="00B609F3">
      <w:pPr>
        <w:keepNext/>
        <w:numPr>
          <w:ilvl w:val="0"/>
          <w:numId w:val="8"/>
        </w:numPr>
        <w:spacing w:before="360"/>
        <w:ind w:left="533" w:right="-108" w:hanging="391"/>
        <w:jc w:val="both"/>
        <w:outlineLvl w:val="0"/>
        <w:rPr>
          <w:b/>
          <w:bCs/>
        </w:rPr>
      </w:pPr>
      <w:r w:rsidRPr="00DB4335">
        <w:rPr>
          <w:b/>
          <w:bCs/>
        </w:rPr>
        <w:t>Просрочени задължения</w:t>
      </w:r>
    </w:p>
    <w:p w:rsidR="00B609F3" w:rsidRPr="00013834" w:rsidRDefault="00B609F3" w:rsidP="00B609F3">
      <w:pPr>
        <w:spacing w:before="120"/>
        <w:jc w:val="both"/>
        <w:rPr>
          <w:noProof/>
          <w:color w:val="0070C0"/>
        </w:rPr>
      </w:pPr>
      <w:r w:rsidRPr="002D5BFA">
        <w:t xml:space="preserve">Към 31.03.2026 г. размерът на просрочените задължения на </w:t>
      </w:r>
      <w:r w:rsidRPr="002D5BFA">
        <w:rPr>
          <w:b/>
        </w:rPr>
        <w:t>централното правителство</w:t>
      </w:r>
      <w:r w:rsidRPr="002D5BFA">
        <w:t xml:space="preserve"> (министерства, ведомства и разпоредителите с бюджет по чл. 13, ал. 3 и ал. 4 на ЗПФ) е</w:t>
      </w:r>
      <w:r w:rsidRPr="002D5BFA">
        <w:rPr>
          <w:b/>
        </w:rPr>
        <w:t xml:space="preserve"> </w:t>
      </w:r>
      <w:r w:rsidR="00CE2493" w:rsidRPr="00CE2493">
        <w:rPr>
          <w:b/>
        </w:rPr>
        <w:t>96,9</w:t>
      </w:r>
      <w:r w:rsidRPr="00CE2493">
        <w:rPr>
          <w:b/>
        </w:rPr>
        <w:t xml:space="preserve"> млн. евро. </w:t>
      </w:r>
      <w:r w:rsidRPr="00CE2493">
        <w:t xml:space="preserve">Спрямо отчетените в края на 2025 г. те </w:t>
      </w:r>
      <w:r w:rsidR="00FD47BB">
        <w:t>се увеличават</w:t>
      </w:r>
      <w:r w:rsidRPr="00CE2493">
        <w:t xml:space="preserve"> с </w:t>
      </w:r>
      <w:r w:rsidR="00FD47BB">
        <w:t xml:space="preserve">4,3 </w:t>
      </w:r>
      <w:r w:rsidRPr="00CE2493">
        <w:t>млн. евро. В обхвата на д</w:t>
      </w:r>
      <w:r w:rsidRPr="00CB0EAD">
        <w:t>ържавния бюджет просрочените задължения са основно  към доставчици.</w:t>
      </w:r>
    </w:p>
    <w:p w:rsidR="00B609F3" w:rsidRDefault="00B609F3" w:rsidP="00B609F3">
      <w:pPr>
        <w:spacing w:before="120" w:after="120"/>
        <w:jc w:val="both"/>
        <w:rPr>
          <w:noProof/>
          <w:color w:val="0070C0"/>
        </w:rPr>
      </w:pPr>
      <w:r w:rsidRPr="00C678B2">
        <w:rPr>
          <w:noProof/>
        </w:rPr>
        <w:t xml:space="preserve">Просрочените задължения по </w:t>
      </w:r>
      <w:r w:rsidRPr="00C678B2">
        <w:rPr>
          <w:b/>
          <w:noProof/>
        </w:rPr>
        <w:t>бюджетите на общините</w:t>
      </w:r>
      <w:r w:rsidRPr="00C678B2">
        <w:rPr>
          <w:noProof/>
        </w:rPr>
        <w:t xml:space="preserve"> към </w:t>
      </w:r>
      <w:r w:rsidRPr="00C678B2">
        <w:t>31.03.202</w:t>
      </w:r>
      <w:r w:rsidRPr="00C678B2">
        <w:rPr>
          <w:lang w:val="en-US"/>
        </w:rPr>
        <w:t>6</w:t>
      </w:r>
      <w:r w:rsidRPr="00C678B2">
        <w:t xml:space="preserve"> г. </w:t>
      </w:r>
      <w:r w:rsidRPr="00C678B2">
        <w:rPr>
          <w:noProof/>
        </w:rPr>
        <w:t xml:space="preserve">са в размер на </w:t>
      </w:r>
      <w:r w:rsidRPr="00C678B2">
        <w:rPr>
          <w:b/>
          <w:noProof/>
          <w:lang w:val="en-US"/>
        </w:rPr>
        <w:t>90,</w:t>
      </w:r>
      <w:r w:rsidR="009F5805" w:rsidRPr="00C678B2">
        <w:rPr>
          <w:b/>
          <w:noProof/>
        </w:rPr>
        <w:t>0</w:t>
      </w:r>
      <w:r w:rsidRPr="00C678B2">
        <w:rPr>
          <w:b/>
          <w:noProof/>
        </w:rPr>
        <w:t> млн. евро,</w:t>
      </w:r>
      <w:r w:rsidRPr="00C678B2">
        <w:rPr>
          <w:noProof/>
        </w:rPr>
        <w:t xml:space="preserve"> като спрямо </w:t>
      </w:r>
      <w:r w:rsidRPr="00C678B2">
        <w:t xml:space="preserve">края на 2025 г. </w:t>
      </w:r>
      <w:r w:rsidRPr="00C678B2">
        <w:rPr>
          <w:noProof/>
        </w:rPr>
        <w:t>се отчита намаление с 5,</w:t>
      </w:r>
      <w:r w:rsidR="009F5805" w:rsidRPr="00C678B2">
        <w:rPr>
          <w:noProof/>
        </w:rPr>
        <w:t>6</w:t>
      </w:r>
      <w:r w:rsidRPr="00C678B2">
        <w:rPr>
          <w:noProof/>
        </w:rPr>
        <w:t xml:space="preserve"> млн. евро. С най-голям относителен дял в просрочените задължения по бюджетите на общините към края на месец март 2026 г. са просрочените задължения към доставчици, които са в размер на </w:t>
      </w:r>
      <w:r w:rsidR="009F5805" w:rsidRPr="00C678B2">
        <w:rPr>
          <w:noProof/>
        </w:rPr>
        <w:t>83,6</w:t>
      </w:r>
      <w:r w:rsidRPr="00C678B2">
        <w:rPr>
          <w:noProof/>
        </w:rPr>
        <w:t> млн. евро</w:t>
      </w:r>
      <w:r w:rsidRPr="00C678B2">
        <w:rPr>
          <w:noProof/>
          <w:lang w:val="en-US"/>
        </w:rPr>
        <w:t xml:space="preserve"> </w:t>
      </w:r>
      <w:r w:rsidRPr="00C678B2">
        <w:rPr>
          <w:noProof/>
        </w:rPr>
        <w:t>или 92,</w:t>
      </w:r>
      <w:r w:rsidR="009F5805" w:rsidRPr="00C678B2">
        <w:rPr>
          <w:noProof/>
        </w:rPr>
        <w:t>8</w:t>
      </w:r>
      <w:r w:rsidRPr="00C678B2">
        <w:rPr>
          <w:noProof/>
        </w:rPr>
        <w:t xml:space="preserve"> на сто. В делегираните от държавата дейности просрочените задължения са в размер на 2,8 млн. евро</w:t>
      </w:r>
      <w:r w:rsidRPr="00483B4A">
        <w:rPr>
          <w:noProof/>
        </w:rPr>
        <w:t>.</w:t>
      </w:r>
    </w:p>
    <w:p w:rsidR="00FE453A" w:rsidRPr="000F73F0" w:rsidRDefault="00FE453A" w:rsidP="00FE453A">
      <w:pPr>
        <w:spacing w:before="120"/>
        <w:jc w:val="both"/>
      </w:pPr>
      <w:r w:rsidRPr="000F73F0">
        <w:t xml:space="preserve">В системата на </w:t>
      </w:r>
      <w:r w:rsidRPr="000F73F0">
        <w:rPr>
          <w:b/>
        </w:rPr>
        <w:t>НЗОК</w:t>
      </w:r>
      <w:r w:rsidRPr="000F73F0">
        <w:t xml:space="preserve"> към 3</w:t>
      </w:r>
      <w:r>
        <w:t>1</w:t>
      </w:r>
      <w:r w:rsidRPr="000F73F0">
        <w:t>.0</w:t>
      </w:r>
      <w:r>
        <w:t>3</w:t>
      </w:r>
      <w:r w:rsidRPr="000F73F0">
        <w:t>.202</w:t>
      </w:r>
      <w:r>
        <w:t>6</w:t>
      </w:r>
      <w:r w:rsidRPr="000F73F0">
        <w:t xml:space="preserve"> г. просрочените задължения са в размер </w:t>
      </w:r>
      <w:r w:rsidRPr="00FE453A">
        <w:t>3,</w:t>
      </w:r>
      <w:r>
        <w:t>9</w:t>
      </w:r>
      <w:r w:rsidRPr="00FE453A">
        <w:t xml:space="preserve"> млн. евро</w:t>
      </w:r>
      <w:r w:rsidRPr="000F73F0">
        <w:t>.</w:t>
      </w:r>
    </w:p>
    <w:p w:rsidR="00B609F3" w:rsidRPr="00013834" w:rsidRDefault="00B609F3" w:rsidP="00FE453A">
      <w:pPr>
        <w:spacing w:before="120" w:after="120"/>
        <w:jc w:val="both"/>
        <w:rPr>
          <w:noProof/>
          <w:color w:val="0070C0"/>
          <w:sz w:val="2"/>
          <w:szCs w:val="12"/>
          <w:lang w:val="en-US"/>
        </w:rPr>
      </w:pPr>
      <w:r w:rsidRPr="005D0DEC">
        <w:rPr>
          <w:noProof/>
        </w:rPr>
        <w:t xml:space="preserve">Извън обхвата на консолидираната фискална програма, продължава да има проблем с просрочията на лечебните заведения за болнична </w:t>
      </w:r>
      <w:r w:rsidRPr="00773907">
        <w:rPr>
          <w:noProof/>
        </w:rPr>
        <w:t xml:space="preserve">помощ (държавни и общински болници – търговски дружества). Към 31.03.2026 г. размерът на просрочените задължения е </w:t>
      </w:r>
      <w:r w:rsidR="00773907" w:rsidRPr="00773907">
        <w:rPr>
          <w:noProof/>
          <w:lang w:val="en-US"/>
        </w:rPr>
        <w:t xml:space="preserve"> 31,9</w:t>
      </w:r>
      <w:r w:rsidR="00773907" w:rsidRPr="00773907">
        <w:rPr>
          <w:noProof/>
          <w:lang w:val="ru-RU"/>
        </w:rPr>
        <w:t xml:space="preserve"> млн. евро, от които </w:t>
      </w:r>
      <w:r w:rsidR="00773907" w:rsidRPr="00773907">
        <w:rPr>
          <w:noProof/>
          <w:lang w:val="en-US"/>
        </w:rPr>
        <w:t xml:space="preserve"> 23,0</w:t>
      </w:r>
      <w:r w:rsidR="00773907" w:rsidRPr="00773907">
        <w:rPr>
          <w:noProof/>
          <w:lang w:val="ru-RU"/>
        </w:rPr>
        <w:t xml:space="preserve"> млн. евро са на държавните болници и </w:t>
      </w:r>
      <w:r w:rsidR="00773907" w:rsidRPr="00773907">
        <w:rPr>
          <w:noProof/>
          <w:lang w:val="en-US"/>
        </w:rPr>
        <w:t xml:space="preserve"> 8,9</w:t>
      </w:r>
      <w:r w:rsidR="00773907" w:rsidRPr="00773907">
        <w:rPr>
          <w:noProof/>
          <w:lang w:val="ru-RU"/>
        </w:rPr>
        <w:t xml:space="preserve"> млн. евро са на общинските болници. Спрямо отчетените просрочени задължения към 31.12.2025 г. се отчита увеличение с </w:t>
      </w:r>
      <w:r w:rsidR="00773907" w:rsidRPr="00773907">
        <w:rPr>
          <w:noProof/>
          <w:lang w:val="en-US"/>
        </w:rPr>
        <w:t xml:space="preserve">9,8 </w:t>
      </w:r>
      <w:r w:rsidR="00773907" w:rsidRPr="00773907">
        <w:rPr>
          <w:noProof/>
          <w:lang w:val="ru-RU"/>
        </w:rPr>
        <w:t xml:space="preserve">млн. евро (с </w:t>
      </w:r>
      <w:r w:rsidR="00773907" w:rsidRPr="00773907">
        <w:rPr>
          <w:noProof/>
          <w:lang w:val="en-US"/>
        </w:rPr>
        <w:t xml:space="preserve"> 44,4</w:t>
      </w:r>
      <w:r w:rsidR="00773907" w:rsidRPr="00773907">
        <w:rPr>
          <w:noProof/>
          <w:lang w:val="ru-RU"/>
        </w:rPr>
        <w:t xml:space="preserve"> на сто)</w:t>
      </w:r>
      <w:r w:rsidR="00773907" w:rsidRPr="00773907">
        <w:t>.</w:t>
      </w:r>
    </w:p>
    <w:p w:rsidR="00F521AA" w:rsidRPr="001F4DE8" w:rsidRDefault="00F521AA" w:rsidP="003E54F0">
      <w:pPr>
        <w:keepNext/>
        <w:numPr>
          <w:ilvl w:val="0"/>
          <w:numId w:val="8"/>
        </w:numPr>
        <w:spacing w:before="360"/>
        <w:ind w:left="533" w:right="-108" w:hanging="391"/>
        <w:jc w:val="both"/>
        <w:outlineLvl w:val="0"/>
        <w:rPr>
          <w:b/>
          <w:bCs/>
        </w:rPr>
      </w:pPr>
      <w:r w:rsidRPr="001F4DE8">
        <w:rPr>
          <w:b/>
          <w:bCs/>
        </w:rPr>
        <w:t xml:space="preserve">Сметки за средства от ЕС на Разплащателната агенция към ДФ „Земеделие“ и на Националния фонд към Министерството на финансите </w:t>
      </w:r>
    </w:p>
    <w:p w:rsidR="006C54A6" w:rsidRPr="001F4DE8" w:rsidRDefault="006C54A6" w:rsidP="003E54F0">
      <w:pPr>
        <w:pStyle w:val="Heading1"/>
        <w:numPr>
          <w:ilvl w:val="1"/>
          <w:numId w:val="8"/>
        </w:numPr>
        <w:tabs>
          <w:tab w:val="left" w:pos="90"/>
          <w:tab w:val="left" w:pos="993"/>
        </w:tabs>
        <w:spacing w:before="240" w:after="120"/>
        <w:ind w:left="0" w:right="-108" w:firstLine="567"/>
        <w:jc w:val="both"/>
        <w:rPr>
          <w:sz w:val="24"/>
        </w:rPr>
      </w:pPr>
      <w:r w:rsidRPr="001F4DE8">
        <w:rPr>
          <w:sz w:val="24"/>
        </w:rPr>
        <w:t xml:space="preserve">Сметка за Европейски средства на Разплащателна агенция ДФ „Земеделие“  </w:t>
      </w:r>
    </w:p>
    <w:p w:rsidR="001F4DE8" w:rsidRPr="005724D3" w:rsidRDefault="001F4DE8" w:rsidP="001F4DE8">
      <w:pPr>
        <w:numPr>
          <w:ilvl w:val="0"/>
          <w:numId w:val="16"/>
        </w:numPr>
        <w:spacing w:before="120" w:line="276" w:lineRule="auto"/>
        <w:ind w:left="777" w:hanging="357"/>
        <w:jc w:val="both"/>
        <w:rPr>
          <w:b/>
          <w:color w:val="000000" w:themeColor="text1"/>
          <w:lang w:eastAsia="bg-BG"/>
        </w:rPr>
      </w:pPr>
      <w:r w:rsidRPr="005724D3">
        <w:rPr>
          <w:b/>
          <w:color w:val="000000" w:themeColor="text1"/>
          <w:lang w:eastAsia="bg-BG"/>
        </w:rPr>
        <w:t>Приходи</w:t>
      </w:r>
    </w:p>
    <w:p w:rsidR="001F4DE8" w:rsidRPr="005724D3" w:rsidRDefault="001F4DE8" w:rsidP="001F4DE8">
      <w:pPr>
        <w:ind w:firstLine="708"/>
        <w:jc w:val="both"/>
      </w:pPr>
      <w:r w:rsidRPr="005724D3">
        <w:t>Към 31.03.2026</w:t>
      </w:r>
      <w:r>
        <w:t xml:space="preserve"> </w:t>
      </w:r>
      <w:r w:rsidRPr="005724D3">
        <w:t>г. отчетената сума в частта „Приходи“ е в размер на 301,8 млн. евро. За същия период на миналата година постъпленията са били 104 млн. евро.</w:t>
      </w:r>
    </w:p>
    <w:p w:rsidR="001F4DE8" w:rsidRPr="005724D3" w:rsidRDefault="001F4DE8" w:rsidP="001F4DE8">
      <w:pPr>
        <w:tabs>
          <w:tab w:val="left" w:pos="709"/>
        </w:tabs>
        <w:jc w:val="both"/>
      </w:pPr>
      <w:r w:rsidRPr="005724D3">
        <w:tab/>
        <w:t>Приходната част е формирана от приходи от наказателни лихви, помощи и дарения от чужбина и коректив на касови постъпления, както следва:</w:t>
      </w:r>
    </w:p>
    <w:p w:rsidR="001F4DE8" w:rsidRPr="005724D3" w:rsidRDefault="001F4DE8" w:rsidP="001F4DE8">
      <w:pPr>
        <w:numPr>
          <w:ilvl w:val="0"/>
          <w:numId w:val="15"/>
        </w:numPr>
        <w:tabs>
          <w:tab w:val="left" w:pos="993"/>
        </w:tabs>
        <w:spacing w:before="120" w:after="120"/>
        <w:ind w:left="1321" w:hanging="612"/>
        <w:jc w:val="both"/>
        <w:rPr>
          <w:b/>
          <w:i/>
        </w:rPr>
      </w:pPr>
      <w:r w:rsidRPr="005724D3">
        <w:rPr>
          <w:b/>
          <w:i/>
        </w:rPr>
        <w:t>Приходи от наказателни лихви</w:t>
      </w:r>
    </w:p>
    <w:p w:rsidR="001F4DE8" w:rsidRPr="005724D3" w:rsidRDefault="001F4DE8" w:rsidP="001F4DE8">
      <w:pPr>
        <w:jc w:val="both"/>
      </w:pPr>
      <w:r w:rsidRPr="005724D3">
        <w:tab/>
        <w:t>Към края на първото тримесечие на 2026</w:t>
      </w:r>
      <w:r>
        <w:t xml:space="preserve"> </w:t>
      </w:r>
      <w:r w:rsidRPr="005724D3">
        <w:t>г. са отчетени приходи от получени наказателни лихви, свързани с вземания за възстановяване на средства от ЕК в размер на 0,6  млн. евро.</w:t>
      </w:r>
    </w:p>
    <w:p w:rsidR="001F4DE8" w:rsidRPr="005724D3" w:rsidRDefault="001F4DE8" w:rsidP="001F4DE8">
      <w:pPr>
        <w:numPr>
          <w:ilvl w:val="0"/>
          <w:numId w:val="15"/>
        </w:numPr>
        <w:tabs>
          <w:tab w:val="left" w:pos="993"/>
        </w:tabs>
        <w:spacing w:before="120" w:after="120"/>
        <w:ind w:left="1321" w:hanging="612"/>
        <w:jc w:val="both"/>
        <w:rPr>
          <w:b/>
          <w:i/>
        </w:rPr>
      </w:pPr>
      <w:r w:rsidRPr="005724D3">
        <w:rPr>
          <w:b/>
          <w:i/>
        </w:rPr>
        <w:t>Текущи помощи и дарения от Европейския съюз</w:t>
      </w:r>
    </w:p>
    <w:p w:rsidR="001F4DE8" w:rsidRPr="005724D3" w:rsidRDefault="001F4DE8" w:rsidP="001F4DE8">
      <w:pPr>
        <w:ind w:firstLine="708"/>
        <w:jc w:val="both"/>
      </w:pPr>
      <w:r w:rsidRPr="005724D3">
        <w:t>Общият размер на получените приходи, отчетени в „Текущи помощи и дарения от Европейския съюз“ към 31.03.2026</w:t>
      </w:r>
      <w:r>
        <w:t xml:space="preserve"> </w:t>
      </w:r>
      <w:r w:rsidRPr="005724D3">
        <w:t>г. е 39,4 млн. евро.</w:t>
      </w:r>
    </w:p>
    <w:p w:rsidR="001F4DE8" w:rsidRPr="005724D3" w:rsidRDefault="001F4DE8" w:rsidP="001F4DE8">
      <w:pPr>
        <w:jc w:val="both"/>
      </w:pPr>
      <w:r w:rsidRPr="005724D3">
        <w:tab/>
        <w:t>Получените текущи приходи от възстановяване на средства от Европейски земеделски фонд за развитие на селските райони (ЕЗФРСР) по линия на Програмата за развитие на селските райони (ПРСР) без директни плащания към 31.03.2026</w:t>
      </w:r>
      <w:r>
        <w:t xml:space="preserve"> </w:t>
      </w:r>
      <w:r w:rsidRPr="005724D3">
        <w:t>г. възлизат на 34,7 млн. евро. За същия период на миналата година отчетените текущи приходи са били в размер на 9,8 млн. евро.</w:t>
      </w:r>
    </w:p>
    <w:p w:rsidR="001F4DE8" w:rsidRPr="005724D3" w:rsidRDefault="001F4DE8" w:rsidP="001F4DE8">
      <w:pPr>
        <w:jc w:val="both"/>
      </w:pPr>
      <w:r w:rsidRPr="005724D3">
        <w:tab/>
        <w:t>Получените текущи приходи от възстановяване на средства по линия на схемите „Училищен плод“ и „Училищно мляко“ от Европейски фонд за гарантиране на земеделието (ЕФГЗ) към 31.03.2026</w:t>
      </w:r>
      <w:r>
        <w:t xml:space="preserve"> </w:t>
      </w:r>
      <w:r w:rsidRPr="005724D3">
        <w:t>г. са 0,4 млн. евро. За първото тримесечие на предходната 2025</w:t>
      </w:r>
      <w:r>
        <w:t xml:space="preserve"> </w:t>
      </w:r>
      <w:r w:rsidRPr="005724D3">
        <w:t>г. по това направление са отчетени 0,8 млн. евро.</w:t>
      </w:r>
    </w:p>
    <w:p w:rsidR="001F4DE8" w:rsidRPr="005724D3" w:rsidRDefault="001F4DE8" w:rsidP="001F4DE8">
      <w:pPr>
        <w:jc w:val="both"/>
      </w:pPr>
      <w:r w:rsidRPr="005724D3">
        <w:tab/>
        <w:t>За периода 01.01-31.03.2026</w:t>
      </w:r>
      <w:r>
        <w:t xml:space="preserve"> </w:t>
      </w:r>
      <w:r w:rsidRPr="005724D3">
        <w:t>г. от Европейския фонд за морско дело, рибарство и аквакултури (ЕФМДРА) са възстановени 4,3 млн. евро. През същия период на миналата година не е имало отчетени текущи приходи от този фонд.</w:t>
      </w:r>
    </w:p>
    <w:p w:rsidR="001F4DE8" w:rsidRPr="005724D3" w:rsidRDefault="001F4DE8" w:rsidP="001F4DE8">
      <w:pPr>
        <w:numPr>
          <w:ilvl w:val="0"/>
          <w:numId w:val="15"/>
        </w:numPr>
        <w:tabs>
          <w:tab w:val="left" w:pos="993"/>
        </w:tabs>
        <w:spacing w:before="120" w:after="120"/>
        <w:ind w:left="1321" w:hanging="612"/>
        <w:jc w:val="both"/>
        <w:rPr>
          <w:b/>
          <w:i/>
          <w:lang w:eastAsia="bg-BG"/>
        </w:rPr>
      </w:pPr>
      <w:r w:rsidRPr="005724D3">
        <w:rPr>
          <w:b/>
          <w:i/>
          <w:lang w:eastAsia="bg-BG"/>
        </w:rPr>
        <w:t>Капиталови помощи и дарения от Европейския съюз</w:t>
      </w:r>
    </w:p>
    <w:p w:rsidR="001F4DE8" w:rsidRPr="005724D3" w:rsidRDefault="001F4DE8" w:rsidP="001F4DE8">
      <w:pPr>
        <w:jc w:val="both"/>
      </w:pPr>
      <w:r w:rsidRPr="005724D3">
        <w:rPr>
          <w:lang w:eastAsia="bg-BG"/>
        </w:rPr>
        <w:tab/>
      </w:r>
      <w:r w:rsidRPr="005724D3">
        <w:t>Общият размер на получените приходи, отчетени в „Капиталови помощи и дарения от Европейския съюз“ към 31.03.2026</w:t>
      </w:r>
      <w:r>
        <w:t xml:space="preserve"> </w:t>
      </w:r>
      <w:r w:rsidRPr="005724D3">
        <w:t>г. е 262,3 млн. евро.</w:t>
      </w:r>
    </w:p>
    <w:p w:rsidR="001F4DE8" w:rsidRPr="005724D3" w:rsidRDefault="001F4DE8" w:rsidP="001F4DE8">
      <w:pPr>
        <w:jc w:val="both"/>
      </w:pPr>
      <w:r w:rsidRPr="005724D3">
        <w:tab/>
        <w:t>Получените капиталови приходи от ЕЗФРСР по линия на ПРСР без директни плащания към края на м.03.2026</w:t>
      </w:r>
      <w:r>
        <w:t xml:space="preserve"> </w:t>
      </w:r>
      <w:r w:rsidRPr="005724D3">
        <w:t xml:space="preserve">г. са 258,3 млн. евро. </w:t>
      </w:r>
      <w:r>
        <w:t>За</w:t>
      </w:r>
      <w:r w:rsidRPr="005724D3">
        <w:t xml:space="preserve"> сравнение</w:t>
      </w:r>
      <w:r>
        <w:t>,</w:t>
      </w:r>
      <w:r w:rsidRPr="005724D3">
        <w:t xml:space="preserve"> </w:t>
      </w:r>
      <w:r>
        <w:t>за</w:t>
      </w:r>
      <w:r w:rsidRPr="005724D3">
        <w:t xml:space="preserve"> първото тримесечие на предходната година, капиталовите приходи по ПРСР са били 94,2 млн. евро.</w:t>
      </w:r>
    </w:p>
    <w:p w:rsidR="001F4DE8" w:rsidRPr="005724D3" w:rsidRDefault="001F4DE8" w:rsidP="001F4DE8">
      <w:pPr>
        <w:ind w:firstLine="709"/>
        <w:jc w:val="both"/>
      </w:pPr>
      <w:r w:rsidRPr="005724D3">
        <w:t>В периода 01.01-31.03.2026</w:t>
      </w:r>
      <w:r>
        <w:t xml:space="preserve"> </w:t>
      </w:r>
      <w:r w:rsidRPr="005724D3">
        <w:t>г. са получени капиталови приходи от ЕФМДРА в размер на 4</w:t>
      </w:r>
      <w:r w:rsidR="008F1D72">
        <w:t> </w:t>
      </w:r>
      <w:r w:rsidRPr="005724D3">
        <w:t>млн. евро. За същия период на предходната година по това направление няма отчетени приходи.</w:t>
      </w:r>
    </w:p>
    <w:p w:rsidR="001F4DE8" w:rsidRPr="005724D3" w:rsidRDefault="001F4DE8" w:rsidP="001F4DE8">
      <w:pPr>
        <w:numPr>
          <w:ilvl w:val="0"/>
          <w:numId w:val="15"/>
        </w:numPr>
        <w:tabs>
          <w:tab w:val="left" w:pos="993"/>
        </w:tabs>
        <w:spacing w:before="120" w:after="120"/>
        <w:ind w:left="1321" w:hanging="612"/>
        <w:jc w:val="both"/>
        <w:rPr>
          <w:b/>
          <w:i/>
        </w:rPr>
      </w:pPr>
      <w:r w:rsidRPr="005724D3">
        <w:rPr>
          <w:b/>
          <w:i/>
        </w:rPr>
        <w:t xml:space="preserve">Коректив на касови постъпления </w:t>
      </w:r>
    </w:p>
    <w:p w:rsidR="001F4DE8" w:rsidRPr="005724D3" w:rsidRDefault="001F4DE8" w:rsidP="001F4DE8">
      <w:pPr>
        <w:spacing w:before="120" w:after="120"/>
        <w:jc w:val="both"/>
        <w:rPr>
          <w:bCs/>
          <w:iCs/>
        </w:rPr>
      </w:pPr>
      <w:r w:rsidRPr="005724D3">
        <w:rPr>
          <w:bCs/>
          <w:iCs/>
        </w:rPr>
        <w:tab/>
        <w:t>Към 31.03.2026</w:t>
      </w:r>
      <w:r>
        <w:rPr>
          <w:bCs/>
          <w:iCs/>
        </w:rPr>
        <w:t xml:space="preserve"> </w:t>
      </w:r>
      <w:r w:rsidRPr="005724D3">
        <w:rPr>
          <w:bCs/>
          <w:iCs/>
        </w:rPr>
        <w:t>г. отчетеният коректив на касови постъпления е минус 0,5 млн. евро. Той е формиран от размера на принудително събрани суми от НАП, за които не е извършен превод на средства по сметката на ДФЗ-РА.</w:t>
      </w:r>
    </w:p>
    <w:p w:rsidR="001F4DE8" w:rsidRPr="005724D3" w:rsidRDefault="001F4DE8" w:rsidP="001F4DE8">
      <w:pPr>
        <w:numPr>
          <w:ilvl w:val="0"/>
          <w:numId w:val="16"/>
        </w:numPr>
        <w:spacing w:before="120" w:after="120" w:line="276" w:lineRule="auto"/>
        <w:ind w:left="780"/>
        <w:contextualSpacing/>
        <w:jc w:val="both"/>
        <w:rPr>
          <w:b/>
          <w:lang w:eastAsia="bg-BG"/>
        </w:rPr>
      </w:pPr>
      <w:r w:rsidRPr="005724D3">
        <w:rPr>
          <w:b/>
          <w:lang w:eastAsia="bg-BG"/>
        </w:rPr>
        <w:t xml:space="preserve">Разходи </w:t>
      </w:r>
    </w:p>
    <w:p w:rsidR="001F4DE8" w:rsidRPr="005724D3" w:rsidRDefault="001F4DE8" w:rsidP="001F4DE8">
      <w:pPr>
        <w:jc w:val="both"/>
        <w:rPr>
          <w:bCs/>
          <w:iCs/>
        </w:rPr>
      </w:pPr>
      <w:r w:rsidRPr="005724D3">
        <w:tab/>
      </w:r>
      <w:r w:rsidRPr="005724D3">
        <w:rPr>
          <w:bCs/>
          <w:iCs/>
        </w:rPr>
        <w:t>Към 31.03.2026г. отчетените разходи възлизат на 19,1 млн. евро, формирани от текущи и  капиталови трансфери, както следва:</w:t>
      </w:r>
    </w:p>
    <w:p w:rsidR="001F4DE8" w:rsidRPr="005724D3" w:rsidRDefault="001F4DE8" w:rsidP="001F4DE8">
      <w:pPr>
        <w:numPr>
          <w:ilvl w:val="0"/>
          <w:numId w:val="15"/>
        </w:numPr>
        <w:tabs>
          <w:tab w:val="left" w:pos="993"/>
        </w:tabs>
        <w:spacing w:before="120" w:after="120"/>
        <w:ind w:left="1321" w:hanging="612"/>
        <w:jc w:val="both"/>
        <w:rPr>
          <w:b/>
          <w:i/>
        </w:rPr>
      </w:pPr>
      <w:r w:rsidRPr="005724D3">
        <w:rPr>
          <w:b/>
          <w:i/>
        </w:rPr>
        <w:t>Субсидии и други текущи трансфери за нефинансови предприятия</w:t>
      </w:r>
    </w:p>
    <w:p w:rsidR="001F4DE8" w:rsidRPr="005724D3" w:rsidRDefault="001F4DE8" w:rsidP="001F4DE8">
      <w:pPr>
        <w:contextualSpacing/>
        <w:jc w:val="both"/>
      </w:pPr>
      <w:r w:rsidRPr="005724D3">
        <w:tab/>
        <w:t>Отчетените към 31.03.2026</w:t>
      </w:r>
      <w:r>
        <w:t xml:space="preserve"> </w:t>
      </w:r>
      <w:r w:rsidRPr="005724D3">
        <w:t>г. текущи разходи са в размер на 18,3 млн. евро, като изпълнението по дейности е следното:</w:t>
      </w:r>
    </w:p>
    <w:p w:rsidR="001F4DE8" w:rsidRPr="005724D3" w:rsidRDefault="001F4DE8" w:rsidP="001F4DE8">
      <w:pPr>
        <w:ind w:firstLine="720"/>
        <w:contextualSpacing/>
        <w:jc w:val="both"/>
      </w:pPr>
      <w:r w:rsidRPr="005724D3">
        <w:t xml:space="preserve">- национално съфинансиране към ЕЗФРСР за директни плащания – 1,5 млн. евро, </w:t>
      </w:r>
    </w:p>
    <w:p w:rsidR="001F4DE8" w:rsidRPr="005724D3" w:rsidRDefault="001F4DE8" w:rsidP="001F4DE8">
      <w:pPr>
        <w:ind w:firstLine="720"/>
        <w:contextualSpacing/>
        <w:jc w:val="both"/>
      </w:pPr>
      <w:r w:rsidRPr="005724D3">
        <w:t>- текущи субсидии по Програмата за морско дел</w:t>
      </w:r>
      <w:r w:rsidRPr="005724D3">
        <w:rPr>
          <w:lang w:val="en-US"/>
        </w:rPr>
        <w:t>o</w:t>
      </w:r>
      <w:r w:rsidRPr="005724D3">
        <w:t>, рибарство и аквакултури (ПМДРА) – 0,3 млн. евро;</w:t>
      </w:r>
    </w:p>
    <w:p w:rsidR="001F4DE8" w:rsidRPr="005724D3" w:rsidRDefault="001F4DE8" w:rsidP="001F4DE8">
      <w:pPr>
        <w:ind w:firstLine="720"/>
        <w:contextualSpacing/>
        <w:jc w:val="both"/>
      </w:pPr>
      <w:r w:rsidRPr="005724D3">
        <w:t>- текущи субсидии по Програмата за развитие на селските райони – 0,7 млн. евро;</w:t>
      </w:r>
    </w:p>
    <w:p w:rsidR="001F4DE8" w:rsidRPr="005724D3" w:rsidRDefault="001F4DE8" w:rsidP="001F4DE8">
      <w:pPr>
        <w:ind w:firstLine="709"/>
        <w:contextualSpacing/>
        <w:jc w:val="both"/>
      </w:pPr>
      <w:r w:rsidRPr="005724D3">
        <w:t xml:space="preserve">- </w:t>
      </w:r>
      <w:bookmarkStart w:id="69" w:name="_Hlk210825181"/>
      <w:r w:rsidRPr="005724D3">
        <w:t xml:space="preserve">текущи субсидии за пазарни мерки </w:t>
      </w:r>
      <w:bookmarkEnd w:id="69"/>
      <w:r w:rsidRPr="005724D3">
        <w:t xml:space="preserve">– 15,8 млн. евро. </w:t>
      </w:r>
    </w:p>
    <w:p w:rsidR="001F4DE8" w:rsidRPr="005724D3" w:rsidRDefault="001F4DE8" w:rsidP="001F4DE8">
      <w:pPr>
        <w:contextualSpacing/>
        <w:jc w:val="both"/>
      </w:pPr>
      <w:r w:rsidRPr="005724D3">
        <w:t xml:space="preserve">. </w:t>
      </w:r>
      <w:r w:rsidRPr="005724D3">
        <w:tab/>
        <w:t>Към 31.03.2025</w:t>
      </w:r>
      <w:r>
        <w:t xml:space="preserve"> </w:t>
      </w:r>
      <w:r w:rsidRPr="005724D3">
        <w:t xml:space="preserve">г. отчетените текущи субсидии са били общо 17,2 млн. евро. </w:t>
      </w:r>
    </w:p>
    <w:p w:rsidR="001F4DE8" w:rsidRPr="005724D3" w:rsidRDefault="001F4DE8" w:rsidP="001F4DE8">
      <w:pPr>
        <w:numPr>
          <w:ilvl w:val="0"/>
          <w:numId w:val="15"/>
        </w:numPr>
        <w:tabs>
          <w:tab w:val="left" w:pos="993"/>
        </w:tabs>
        <w:spacing w:before="120" w:after="120"/>
        <w:ind w:left="1321" w:hanging="612"/>
        <w:jc w:val="both"/>
        <w:rPr>
          <w:b/>
          <w:i/>
          <w:lang w:eastAsia="bg-BG"/>
        </w:rPr>
      </w:pPr>
      <w:r w:rsidRPr="005724D3">
        <w:rPr>
          <w:b/>
          <w:i/>
          <w:lang w:eastAsia="bg-BG"/>
        </w:rPr>
        <w:t>Капиталови трансфери за нефинансови предприятия</w:t>
      </w:r>
    </w:p>
    <w:p w:rsidR="001F4DE8" w:rsidRPr="005724D3" w:rsidRDefault="001F4DE8" w:rsidP="001F4DE8">
      <w:pPr>
        <w:tabs>
          <w:tab w:val="left" w:pos="993"/>
        </w:tabs>
        <w:ind w:firstLine="709"/>
        <w:jc w:val="both"/>
      </w:pPr>
      <w:r w:rsidRPr="005724D3">
        <w:t>Към 31.03.2026</w:t>
      </w:r>
      <w:r>
        <w:t> </w:t>
      </w:r>
      <w:r w:rsidRPr="005724D3">
        <w:t xml:space="preserve">г. са отчетени 0,7 млн. евро капиталови разходи, разпределени както следва: </w:t>
      </w:r>
    </w:p>
    <w:p w:rsidR="001F4DE8" w:rsidRPr="005724D3" w:rsidRDefault="001F4DE8" w:rsidP="001F4DE8">
      <w:pPr>
        <w:ind w:firstLine="720"/>
        <w:contextualSpacing/>
        <w:jc w:val="both"/>
      </w:pPr>
      <w:r w:rsidRPr="005724D3">
        <w:t>- капиталови трансфери по ПМДРА – 0,8 млн. евро;</w:t>
      </w:r>
    </w:p>
    <w:p w:rsidR="001F4DE8" w:rsidRPr="005724D3" w:rsidRDefault="001F4DE8" w:rsidP="001F4DE8">
      <w:pPr>
        <w:ind w:firstLine="720"/>
        <w:contextualSpacing/>
        <w:jc w:val="both"/>
      </w:pPr>
      <w:r w:rsidRPr="005724D3">
        <w:t>- капиталови трансфери по ПРСР – минус 0,1 млн. евро;</w:t>
      </w:r>
    </w:p>
    <w:p w:rsidR="001F4DE8" w:rsidRPr="005724D3" w:rsidRDefault="001F4DE8" w:rsidP="001F4DE8">
      <w:pPr>
        <w:tabs>
          <w:tab w:val="left" w:pos="993"/>
        </w:tabs>
        <w:ind w:firstLine="709"/>
        <w:jc w:val="both"/>
      </w:pPr>
      <w:r w:rsidRPr="005724D3">
        <w:t>Отчетените за периода 01.01-31.03.2025</w:t>
      </w:r>
      <w:r>
        <w:t xml:space="preserve"> </w:t>
      </w:r>
      <w:r w:rsidRPr="005724D3">
        <w:t>г. разходи за капиталови субсидии за физически лица и предприятия са били общо 29,1 млн. евро.</w:t>
      </w:r>
    </w:p>
    <w:p w:rsidR="001F4DE8" w:rsidRPr="005724D3" w:rsidRDefault="001F4DE8" w:rsidP="001F4DE8">
      <w:pPr>
        <w:numPr>
          <w:ilvl w:val="0"/>
          <w:numId w:val="15"/>
        </w:numPr>
        <w:tabs>
          <w:tab w:val="left" w:pos="993"/>
        </w:tabs>
        <w:spacing w:before="120" w:after="120"/>
        <w:ind w:left="1321" w:hanging="612"/>
        <w:jc w:val="both"/>
        <w:rPr>
          <w:b/>
          <w:i/>
          <w:lang w:eastAsia="bg-BG"/>
        </w:rPr>
      </w:pPr>
      <w:r w:rsidRPr="005724D3">
        <w:rPr>
          <w:b/>
          <w:i/>
          <w:lang w:eastAsia="bg-BG"/>
        </w:rPr>
        <w:t>Капиталови трансфери за организации с нестопанска цел</w:t>
      </w:r>
    </w:p>
    <w:p w:rsidR="001F4DE8" w:rsidRPr="005724D3" w:rsidRDefault="001F4DE8" w:rsidP="001F4DE8">
      <w:pPr>
        <w:spacing w:after="120"/>
        <w:ind w:firstLine="706"/>
        <w:jc w:val="both"/>
      </w:pPr>
      <w:r w:rsidRPr="005724D3">
        <w:t>Към 31.03.2026</w:t>
      </w:r>
      <w:r>
        <w:t xml:space="preserve"> </w:t>
      </w:r>
      <w:r w:rsidRPr="005724D3">
        <w:t>г. са отчетени 0,1 млн. евро капиталови разходи по ПМДРА. През същия период на предходната година са отчетени 1</w:t>
      </w:r>
      <w:r>
        <w:t>,0</w:t>
      </w:r>
      <w:r w:rsidRPr="005724D3">
        <w:t xml:space="preserve"> млн. евро.</w:t>
      </w:r>
    </w:p>
    <w:p w:rsidR="001F4DE8" w:rsidRPr="005724D3" w:rsidRDefault="001F4DE8" w:rsidP="001F4DE8">
      <w:pPr>
        <w:numPr>
          <w:ilvl w:val="0"/>
          <w:numId w:val="16"/>
        </w:numPr>
        <w:spacing w:before="120" w:after="120" w:line="276" w:lineRule="auto"/>
        <w:ind w:left="780"/>
        <w:contextualSpacing/>
        <w:jc w:val="both"/>
        <w:rPr>
          <w:b/>
          <w:lang w:eastAsia="bg-BG"/>
        </w:rPr>
      </w:pPr>
      <w:r w:rsidRPr="005724D3">
        <w:rPr>
          <w:b/>
          <w:lang w:eastAsia="bg-BG"/>
        </w:rPr>
        <w:t xml:space="preserve">Трансфери </w:t>
      </w:r>
    </w:p>
    <w:p w:rsidR="001F4DE8" w:rsidRPr="005724D3" w:rsidRDefault="001F4DE8" w:rsidP="001F4DE8">
      <w:pPr>
        <w:tabs>
          <w:tab w:val="left" w:pos="540"/>
        </w:tabs>
        <w:ind w:firstLine="709"/>
        <w:contextualSpacing/>
        <w:jc w:val="both"/>
      </w:pPr>
      <w:r w:rsidRPr="005724D3">
        <w:t>В частта на трансферите, в касовия отчет на ДФЗ-РА към 31.03.2026</w:t>
      </w:r>
      <w:r>
        <w:t xml:space="preserve"> </w:t>
      </w:r>
      <w:r w:rsidRPr="005724D3">
        <w:t>г. са отразени следните касови потоци:</w:t>
      </w:r>
    </w:p>
    <w:p w:rsidR="001F4DE8" w:rsidRPr="005724D3" w:rsidRDefault="001F4DE8" w:rsidP="001F4DE8">
      <w:pPr>
        <w:numPr>
          <w:ilvl w:val="0"/>
          <w:numId w:val="15"/>
        </w:numPr>
        <w:tabs>
          <w:tab w:val="left" w:pos="993"/>
        </w:tabs>
        <w:spacing w:before="120" w:after="120"/>
        <w:ind w:left="1321" w:hanging="612"/>
        <w:jc w:val="both"/>
        <w:rPr>
          <w:b/>
          <w:i/>
          <w:lang w:eastAsia="bg-BG"/>
        </w:rPr>
      </w:pPr>
      <w:r w:rsidRPr="005724D3">
        <w:rPr>
          <w:b/>
          <w:i/>
          <w:lang w:eastAsia="bg-BG"/>
        </w:rPr>
        <w:t>Трансфери между сметки за средства от Европейския съюз:</w:t>
      </w:r>
    </w:p>
    <w:p w:rsidR="001F4DE8" w:rsidRPr="005724D3" w:rsidRDefault="001F4DE8" w:rsidP="001F4DE8">
      <w:pPr>
        <w:tabs>
          <w:tab w:val="left" w:pos="540"/>
        </w:tabs>
        <w:jc w:val="both"/>
      </w:pPr>
      <w:r w:rsidRPr="005724D3">
        <w:tab/>
      </w:r>
      <w:r w:rsidRPr="005724D3">
        <w:tab/>
        <w:t xml:space="preserve">Предоставените трансфери са формирани от изплатените субсидии на публични бенефициенти. Към </w:t>
      </w:r>
      <w:r w:rsidRPr="005724D3">
        <w:rPr>
          <w:lang w:val="en-US"/>
        </w:rPr>
        <w:t>31</w:t>
      </w:r>
      <w:r w:rsidRPr="005724D3">
        <w:t>.03.2026</w:t>
      </w:r>
      <w:r>
        <w:t xml:space="preserve"> </w:t>
      </w:r>
      <w:r w:rsidRPr="005724D3">
        <w:t>г. са отчетени 18</w:t>
      </w:r>
      <w:r w:rsidRPr="005724D3">
        <w:rPr>
          <w:lang w:val="en-US"/>
        </w:rPr>
        <w:t>,</w:t>
      </w:r>
      <w:r w:rsidRPr="005724D3">
        <w:t xml:space="preserve">3 млн. евро, в т.ч.: </w:t>
      </w:r>
    </w:p>
    <w:p w:rsidR="001F4DE8" w:rsidRPr="005724D3" w:rsidRDefault="001F4DE8" w:rsidP="001F4DE8">
      <w:pPr>
        <w:numPr>
          <w:ilvl w:val="0"/>
          <w:numId w:val="20"/>
        </w:numPr>
        <w:tabs>
          <w:tab w:val="left" w:pos="540"/>
          <w:tab w:val="left" w:pos="851"/>
        </w:tabs>
        <w:ind w:left="0" w:firstLine="709"/>
        <w:contextualSpacing/>
        <w:jc w:val="both"/>
      </w:pPr>
      <w:r w:rsidRPr="005724D3">
        <w:t>по Програмата за развитие на селските райони: 15,2 млн. евро;</w:t>
      </w:r>
    </w:p>
    <w:p w:rsidR="001F4DE8" w:rsidRPr="005724D3" w:rsidRDefault="001F4DE8" w:rsidP="001F4DE8">
      <w:pPr>
        <w:numPr>
          <w:ilvl w:val="0"/>
          <w:numId w:val="20"/>
        </w:numPr>
        <w:tabs>
          <w:tab w:val="left" w:pos="540"/>
          <w:tab w:val="left" w:pos="851"/>
        </w:tabs>
        <w:ind w:left="0" w:firstLine="709"/>
        <w:contextualSpacing/>
        <w:jc w:val="both"/>
      </w:pPr>
      <w:r w:rsidRPr="005724D3">
        <w:t>по Програмата за морско дело, рибарство и аквакултури: 3,04 млн. евро.</w:t>
      </w:r>
    </w:p>
    <w:p w:rsidR="001F4DE8" w:rsidRPr="005724D3" w:rsidRDefault="001F4DE8" w:rsidP="001F4DE8">
      <w:pPr>
        <w:numPr>
          <w:ilvl w:val="0"/>
          <w:numId w:val="20"/>
        </w:numPr>
        <w:tabs>
          <w:tab w:val="left" w:pos="540"/>
          <w:tab w:val="left" w:pos="851"/>
        </w:tabs>
        <w:ind w:left="0" w:firstLine="709"/>
        <w:contextualSpacing/>
        <w:jc w:val="both"/>
      </w:pPr>
      <w:r w:rsidRPr="005724D3">
        <w:t>пазарни мерки: 0,</w:t>
      </w:r>
      <w:r w:rsidRPr="005724D3">
        <w:rPr>
          <w:lang w:val="en-US"/>
        </w:rPr>
        <w:t>0</w:t>
      </w:r>
      <w:r w:rsidRPr="005724D3">
        <w:t>2 млн. евро.</w:t>
      </w:r>
    </w:p>
    <w:p w:rsidR="001F4DE8" w:rsidRPr="005724D3" w:rsidRDefault="001F4DE8" w:rsidP="001F4DE8">
      <w:pPr>
        <w:tabs>
          <w:tab w:val="left" w:pos="540"/>
        </w:tabs>
        <w:jc w:val="both"/>
      </w:pPr>
      <w:r w:rsidRPr="005724D3">
        <w:tab/>
      </w:r>
    </w:p>
    <w:p w:rsidR="001F4DE8" w:rsidRPr="005724D3" w:rsidRDefault="001F4DE8" w:rsidP="001F4DE8">
      <w:pPr>
        <w:tabs>
          <w:tab w:val="left" w:pos="540"/>
          <w:tab w:val="left" w:pos="709"/>
        </w:tabs>
        <w:jc w:val="both"/>
        <w:rPr>
          <w:color w:val="FF0000"/>
        </w:rPr>
      </w:pPr>
      <w:r w:rsidRPr="005724D3">
        <w:tab/>
        <w:t xml:space="preserve">  Към края на първото тримесечие на 2025</w:t>
      </w:r>
      <w:r>
        <w:t xml:space="preserve"> </w:t>
      </w:r>
      <w:r w:rsidRPr="005724D3">
        <w:t>г. предоставените трансфери са възлизали на 13,4 млн. евро.</w:t>
      </w:r>
    </w:p>
    <w:p w:rsidR="001F4DE8" w:rsidRPr="005724D3" w:rsidRDefault="001F4DE8" w:rsidP="001F4DE8">
      <w:pPr>
        <w:numPr>
          <w:ilvl w:val="0"/>
          <w:numId w:val="16"/>
        </w:numPr>
        <w:spacing w:before="120" w:after="120" w:line="276" w:lineRule="auto"/>
        <w:ind w:left="778"/>
        <w:jc w:val="both"/>
        <w:rPr>
          <w:lang w:eastAsia="bg-BG"/>
        </w:rPr>
      </w:pPr>
      <w:r w:rsidRPr="0047475F">
        <w:rPr>
          <w:b/>
          <w:lang w:eastAsia="bg-BG"/>
        </w:rPr>
        <w:t>Финансиране</w:t>
      </w:r>
      <w:r w:rsidRPr="0047475F">
        <w:rPr>
          <w:b/>
          <w:lang w:eastAsia="bg-BG"/>
        </w:rPr>
        <w:tab/>
      </w:r>
    </w:p>
    <w:p w:rsidR="001F4DE8" w:rsidRPr="005724D3" w:rsidRDefault="001F4DE8" w:rsidP="001F4DE8">
      <w:pPr>
        <w:numPr>
          <w:ilvl w:val="0"/>
          <w:numId w:val="15"/>
        </w:numPr>
        <w:tabs>
          <w:tab w:val="left" w:pos="993"/>
        </w:tabs>
        <w:spacing w:before="120" w:after="120"/>
        <w:ind w:left="851" w:hanging="425"/>
        <w:jc w:val="both"/>
        <w:rPr>
          <w:b/>
          <w:lang w:eastAsia="bg-BG"/>
        </w:rPr>
      </w:pPr>
      <w:r w:rsidRPr="005724D3">
        <w:rPr>
          <w:b/>
          <w:lang w:eastAsia="bg-BG"/>
        </w:rPr>
        <w:t>Друго финансиране</w:t>
      </w:r>
    </w:p>
    <w:p w:rsidR="001F4DE8" w:rsidRPr="005724D3" w:rsidRDefault="001F4DE8" w:rsidP="001F4DE8">
      <w:pPr>
        <w:jc w:val="both"/>
        <w:rPr>
          <w:lang w:eastAsia="bg-BG"/>
        </w:rPr>
      </w:pPr>
      <w:r w:rsidRPr="005724D3">
        <w:rPr>
          <w:lang w:eastAsia="bg-BG"/>
        </w:rPr>
        <w:tab/>
        <w:t>За периода 01.01-31.03.2026г. извършените плащания, възстановените суми, разчетът с централния бюджет и операциите с чужди средства, включени в отчетността в „Друго финансиране“ възлизат общо на 264,5 млн. евро.</w:t>
      </w:r>
      <w:r w:rsidRPr="005724D3">
        <w:rPr>
          <w:lang w:eastAsia="bg-BG"/>
        </w:rPr>
        <w:tab/>
      </w:r>
    </w:p>
    <w:p w:rsidR="001F4DE8" w:rsidRPr="005724D3" w:rsidRDefault="001F4DE8" w:rsidP="001F4DE8">
      <w:pPr>
        <w:spacing w:before="120"/>
        <w:jc w:val="both"/>
        <w:rPr>
          <w:lang w:eastAsia="bg-BG"/>
        </w:rPr>
      </w:pPr>
      <w:r w:rsidRPr="005724D3">
        <w:rPr>
          <w:lang w:eastAsia="bg-BG"/>
        </w:rPr>
        <w:tab/>
        <w:t>Към 31.03.2026</w:t>
      </w:r>
      <w:r>
        <w:rPr>
          <w:lang w:eastAsia="bg-BG"/>
        </w:rPr>
        <w:t xml:space="preserve"> </w:t>
      </w:r>
      <w:r w:rsidRPr="005724D3">
        <w:rPr>
          <w:lang w:eastAsia="bg-BG"/>
        </w:rPr>
        <w:t>г. са отчетени плащания в общ размер 90,9 млн. евро. За същия период на 2025</w:t>
      </w:r>
      <w:r>
        <w:rPr>
          <w:lang w:eastAsia="bg-BG"/>
        </w:rPr>
        <w:t xml:space="preserve"> </w:t>
      </w:r>
      <w:r w:rsidRPr="005724D3">
        <w:rPr>
          <w:lang w:eastAsia="bg-BG"/>
        </w:rPr>
        <w:t>г. плащанията, отчитани като финансиране са били 87,7 млн. евро.</w:t>
      </w:r>
    </w:p>
    <w:p w:rsidR="001F4DE8" w:rsidRPr="005724D3" w:rsidRDefault="001F4DE8" w:rsidP="001F4DE8">
      <w:pPr>
        <w:ind w:firstLine="720"/>
        <w:jc w:val="both"/>
        <w:rPr>
          <w:szCs w:val="20"/>
        </w:rPr>
      </w:pPr>
      <w:r w:rsidRPr="005724D3">
        <w:rPr>
          <w:szCs w:val="20"/>
        </w:rPr>
        <w:t>Отчетените плащания са по следните направления:</w:t>
      </w:r>
    </w:p>
    <w:p w:rsidR="001F4DE8" w:rsidRPr="005724D3" w:rsidRDefault="001F4DE8" w:rsidP="001F4DE8">
      <w:pPr>
        <w:numPr>
          <w:ilvl w:val="0"/>
          <w:numId w:val="17"/>
        </w:numPr>
        <w:tabs>
          <w:tab w:val="left" w:pos="993"/>
        </w:tabs>
        <w:ind w:left="0" w:firstLine="709"/>
        <w:jc w:val="both"/>
        <w:rPr>
          <w:szCs w:val="20"/>
        </w:rPr>
      </w:pPr>
      <w:r w:rsidRPr="005724D3">
        <w:rPr>
          <w:szCs w:val="20"/>
        </w:rPr>
        <w:t>80,7 млн. евро за директни плащания за сметка на ЕФГЗ;</w:t>
      </w:r>
    </w:p>
    <w:p w:rsidR="001F4DE8" w:rsidRPr="005724D3" w:rsidRDefault="001F4DE8" w:rsidP="001F4DE8">
      <w:pPr>
        <w:numPr>
          <w:ilvl w:val="0"/>
          <w:numId w:val="17"/>
        </w:numPr>
        <w:tabs>
          <w:tab w:val="left" w:pos="993"/>
        </w:tabs>
        <w:ind w:left="0" w:firstLine="709"/>
        <w:jc w:val="both"/>
        <w:rPr>
          <w:szCs w:val="20"/>
        </w:rPr>
      </w:pPr>
      <w:r w:rsidRPr="005724D3">
        <w:rPr>
          <w:szCs w:val="20"/>
        </w:rPr>
        <w:t>1</w:t>
      </w:r>
      <w:r>
        <w:rPr>
          <w:szCs w:val="20"/>
        </w:rPr>
        <w:t>,0</w:t>
      </w:r>
      <w:r w:rsidRPr="005724D3">
        <w:rPr>
          <w:szCs w:val="20"/>
        </w:rPr>
        <w:t xml:space="preserve"> млн. евро средства от ЕЗФРСР, прехвърлени към директни плащания;</w:t>
      </w:r>
    </w:p>
    <w:p w:rsidR="001F4DE8" w:rsidRPr="005724D3" w:rsidRDefault="001F4DE8" w:rsidP="001F4DE8">
      <w:pPr>
        <w:numPr>
          <w:ilvl w:val="0"/>
          <w:numId w:val="17"/>
        </w:numPr>
        <w:tabs>
          <w:tab w:val="left" w:pos="993"/>
        </w:tabs>
        <w:ind w:left="0" w:firstLine="709"/>
        <w:jc w:val="both"/>
        <w:rPr>
          <w:szCs w:val="20"/>
        </w:rPr>
      </w:pPr>
      <w:r w:rsidRPr="005724D3">
        <w:rPr>
          <w:szCs w:val="20"/>
        </w:rPr>
        <w:t>8,9 млн. евро за пазарни мерки;</w:t>
      </w:r>
    </w:p>
    <w:p w:rsidR="001F4DE8" w:rsidRPr="005724D3" w:rsidRDefault="001F4DE8" w:rsidP="001F4DE8">
      <w:pPr>
        <w:numPr>
          <w:ilvl w:val="0"/>
          <w:numId w:val="17"/>
        </w:numPr>
        <w:tabs>
          <w:tab w:val="left" w:pos="993"/>
        </w:tabs>
        <w:ind w:left="0" w:firstLine="709"/>
        <w:jc w:val="both"/>
        <w:rPr>
          <w:lang w:eastAsia="bg-BG"/>
        </w:rPr>
      </w:pPr>
      <w:r w:rsidRPr="005724D3">
        <w:rPr>
          <w:szCs w:val="20"/>
        </w:rPr>
        <w:t>0,3 млн. евро за преструктуриран</w:t>
      </w:r>
      <w:r w:rsidR="008867ED">
        <w:rPr>
          <w:szCs w:val="20"/>
        </w:rPr>
        <w:t>е</w:t>
      </w:r>
      <w:r w:rsidR="00766573">
        <w:rPr>
          <w:szCs w:val="20"/>
        </w:rPr>
        <w:t>.</w:t>
      </w:r>
    </w:p>
    <w:p w:rsidR="001F4DE8" w:rsidRPr="005724D3" w:rsidRDefault="001F4DE8" w:rsidP="001F4DE8">
      <w:pPr>
        <w:tabs>
          <w:tab w:val="left" w:pos="709"/>
        </w:tabs>
        <w:spacing w:before="120" w:after="120"/>
        <w:jc w:val="both"/>
        <w:rPr>
          <w:lang w:eastAsia="bg-BG"/>
        </w:rPr>
      </w:pPr>
      <w:r w:rsidRPr="005724D3">
        <w:rPr>
          <w:lang w:eastAsia="bg-BG"/>
        </w:rPr>
        <w:tab/>
        <w:t>Възстановените суми от Европейския съюз към 31.03.2026г. възлизат общо на 418,5 млн. евро. Отчетеното изпълнение за периода предходната година е било 376,3 млн. евро.</w:t>
      </w:r>
    </w:p>
    <w:p w:rsidR="001F4DE8" w:rsidRPr="005724D3" w:rsidRDefault="001F4DE8" w:rsidP="001F4DE8">
      <w:pPr>
        <w:tabs>
          <w:tab w:val="left" w:pos="709"/>
        </w:tabs>
        <w:jc w:val="both"/>
        <w:rPr>
          <w:lang w:eastAsia="bg-BG"/>
        </w:rPr>
      </w:pPr>
      <w:r w:rsidRPr="005724D3">
        <w:rPr>
          <w:lang w:eastAsia="bg-BG"/>
        </w:rPr>
        <w:tab/>
        <w:t>Възстановени са суми по следните направления:</w:t>
      </w:r>
    </w:p>
    <w:p w:rsidR="001F4DE8" w:rsidRPr="005724D3" w:rsidRDefault="001F4DE8" w:rsidP="001F4DE8">
      <w:pPr>
        <w:numPr>
          <w:ilvl w:val="0"/>
          <w:numId w:val="17"/>
        </w:numPr>
        <w:tabs>
          <w:tab w:val="left" w:pos="993"/>
        </w:tabs>
        <w:ind w:left="0" w:firstLine="709"/>
        <w:jc w:val="both"/>
        <w:rPr>
          <w:lang w:eastAsia="bg-BG"/>
        </w:rPr>
      </w:pPr>
      <w:r w:rsidRPr="005724D3">
        <w:rPr>
          <w:lang w:eastAsia="bg-BG"/>
        </w:rPr>
        <w:t>365,7 млн. евро за директни плащания от ЕФГЗ;</w:t>
      </w:r>
    </w:p>
    <w:p w:rsidR="001F4DE8" w:rsidRPr="005724D3" w:rsidRDefault="001F4DE8" w:rsidP="001F4DE8">
      <w:pPr>
        <w:numPr>
          <w:ilvl w:val="0"/>
          <w:numId w:val="17"/>
        </w:numPr>
        <w:tabs>
          <w:tab w:val="left" w:pos="709"/>
          <w:tab w:val="left" w:pos="993"/>
        </w:tabs>
        <w:ind w:left="0" w:firstLine="709"/>
        <w:jc w:val="both"/>
        <w:rPr>
          <w:lang w:eastAsia="bg-BG"/>
        </w:rPr>
      </w:pPr>
      <w:r w:rsidRPr="005724D3">
        <w:rPr>
          <w:lang w:eastAsia="bg-BG"/>
        </w:rPr>
        <w:t>52,7 млн. евро от ЕЗФРСР, прехвърлени към директни плащания;</w:t>
      </w:r>
    </w:p>
    <w:p w:rsidR="001F4DE8" w:rsidRPr="005724D3" w:rsidRDefault="001F4DE8" w:rsidP="001F4DE8">
      <w:pPr>
        <w:numPr>
          <w:ilvl w:val="0"/>
          <w:numId w:val="17"/>
        </w:numPr>
        <w:tabs>
          <w:tab w:val="left" w:pos="709"/>
          <w:tab w:val="left" w:pos="993"/>
        </w:tabs>
        <w:ind w:left="0" w:firstLine="709"/>
        <w:jc w:val="both"/>
        <w:rPr>
          <w:lang w:eastAsia="bg-BG"/>
        </w:rPr>
      </w:pPr>
      <w:r w:rsidRPr="005724D3">
        <w:rPr>
          <w:lang w:eastAsia="bg-BG"/>
        </w:rPr>
        <w:t>0,04 млн. евро за пазарни мерки от ЕФГЗ;</w:t>
      </w:r>
    </w:p>
    <w:p w:rsidR="001F4DE8" w:rsidRPr="005724D3" w:rsidRDefault="001F4DE8" w:rsidP="001F4DE8">
      <w:pPr>
        <w:numPr>
          <w:ilvl w:val="0"/>
          <w:numId w:val="17"/>
        </w:numPr>
        <w:tabs>
          <w:tab w:val="left" w:pos="709"/>
          <w:tab w:val="left" w:pos="993"/>
        </w:tabs>
        <w:ind w:left="0" w:firstLine="709"/>
        <w:jc w:val="both"/>
        <w:rPr>
          <w:lang w:eastAsia="bg-BG"/>
        </w:rPr>
      </w:pPr>
      <w:r w:rsidRPr="005724D3">
        <w:rPr>
          <w:lang w:eastAsia="bg-BG"/>
        </w:rPr>
        <w:t>0,08 млн. евро за преструктуриране от ЕФГЗ.</w:t>
      </w:r>
    </w:p>
    <w:p w:rsidR="001F4DE8" w:rsidRPr="005724D3" w:rsidRDefault="001F4DE8" w:rsidP="001F4DE8">
      <w:pPr>
        <w:tabs>
          <w:tab w:val="left" w:pos="709"/>
        </w:tabs>
        <w:spacing w:before="120" w:after="120"/>
        <w:jc w:val="both"/>
      </w:pPr>
      <w:r w:rsidRPr="005724D3">
        <w:rPr>
          <w:lang w:eastAsia="bg-BG"/>
        </w:rPr>
        <w:tab/>
      </w:r>
      <w:r w:rsidRPr="005724D3">
        <w:t>Операциите с чужди средства към 31.03.2026</w:t>
      </w:r>
      <w:r>
        <w:t xml:space="preserve"> </w:t>
      </w:r>
      <w:r w:rsidRPr="005724D3">
        <w:t>г. възлизат (нето) на 1,2 млн. евро.</w:t>
      </w:r>
    </w:p>
    <w:p w:rsidR="001F4DE8" w:rsidRPr="005724D3" w:rsidRDefault="001F4DE8" w:rsidP="001F4DE8">
      <w:pPr>
        <w:tabs>
          <w:tab w:val="left" w:pos="709"/>
        </w:tabs>
        <w:spacing w:after="120"/>
        <w:contextualSpacing/>
        <w:jc w:val="both"/>
      </w:pPr>
      <w:r w:rsidRPr="005724D3">
        <w:rPr>
          <w:lang w:eastAsia="bg-BG"/>
        </w:rPr>
        <w:tab/>
        <w:t xml:space="preserve">Отчетените суми (нето) </w:t>
      </w:r>
      <w:r w:rsidRPr="005724D3">
        <w:t>по разчети с ЦБ за финансиране на плащания при недостиг на средства по сметки</w:t>
      </w:r>
      <w:r w:rsidRPr="005724D3">
        <w:rPr>
          <w:lang w:eastAsia="bg-BG"/>
        </w:rPr>
        <w:t xml:space="preserve"> към 31.03.2026</w:t>
      </w:r>
      <w:r>
        <w:rPr>
          <w:lang w:eastAsia="bg-BG"/>
        </w:rPr>
        <w:t xml:space="preserve"> </w:t>
      </w:r>
      <w:r w:rsidRPr="005724D3">
        <w:rPr>
          <w:lang w:eastAsia="bg-BG"/>
        </w:rPr>
        <w:t>г. възлизат на минус 593,3 млн. евро.</w:t>
      </w:r>
    </w:p>
    <w:p w:rsidR="001F4DE8" w:rsidRPr="00013834" w:rsidRDefault="001F4DE8" w:rsidP="001F4DE8">
      <w:pPr>
        <w:tabs>
          <w:tab w:val="left" w:pos="540"/>
        </w:tabs>
        <w:spacing w:before="120"/>
        <w:ind w:firstLine="567"/>
        <w:jc w:val="both"/>
        <w:rPr>
          <w:color w:val="0070C0"/>
        </w:rPr>
      </w:pPr>
      <w:r w:rsidRPr="00013834">
        <w:rPr>
          <w:color w:val="0070C0"/>
          <w:lang w:eastAsia="bg-BG"/>
        </w:rPr>
        <w:tab/>
      </w:r>
    </w:p>
    <w:p w:rsidR="001F4DE8" w:rsidRPr="00F45AE5" w:rsidRDefault="001F4DE8" w:rsidP="001F4DE8">
      <w:pPr>
        <w:pStyle w:val="Heading1"/>
        <w:numPr>
          <w:ilvl w:val="1"/>
          <w:numId w:val="8"/>
        </w:numPr>
        <w:spacing w:after="120"/>
        <w:ind w:left="792" w:right="-115" w:hanging="432"/>
        <w:jc w:val="both"/>
        <w:rPr>
          <w:color w:val="000000" w:themeColor="text1"/>
          <w:sz w:val="24"/>
        </w:rPr>
      </w:pPr>
      <w:bookmarkStart w:id="70" w:name="_Toc83045529"/>
      <w:r w:rsidRPr="00F45AE5">
        <w:rPr>
          <w:color w:val="000000" w:themeColor="text1"/>
          <w:sz w:val="24"/>
        </w:rPr>
        <w:t>Сметка за средствата от Европейския съюз на Национален фонд към Министерство на финансите</w:t>
      </w:r>
      <w:bookmarkEnd w:id="70"/>
    </w:p>
    <w:p w:rsidR="001F4DE8" w:rsidRPr="00102950" w:rsidRDefault="001F4DE8" w:rsidP="001F4DE8">
      <w:pPr>
        <w:ind w:firstLine="686"/>
        <w:jc w:val="both"/>
        <w:rPr>
          <w:bCs/>
        </w:rPr>
      </w:pPr>
      <w:r w:rsidRPr="00791C7A">
        <w:rPr>
          <w:bCs/>
        </w:rPr>
        <w:t>По сметките на НФ към 3</w:t>
      </w:r>
      <w:r w:rsidRPr="00791C7A">
        <w:rPr>
          <w:bCs/>
          <w:lang w:val="ru-RU"/>
        </w:rPr>
        <w:t>1</w:t>
      </w:r>
      <w:r w:rsidRPr="00791C7A">
        <w:rPr>
          <w:bCs/>
        </w:rPr>
        <w:t>.</w:t>
      </w:r>
      <w:r w:rsidRPr="00791C7A">
        <w:rPr>
          <w:bCs/>
          <w:lang w:val="ru-RU"/>
        </w:rPr>
        <w:t>03</w:t>
      </w:r>
      <w:r w:rsidRPr="00791C7A">
        <w:rPr>
          <w:bCs/>
        </w:rPr>
        <w:t xml:space="preserve">.2026 г. са постъпили приходи (нето) в размер на </w:t>
      </w:r>
      <w:r w:rsidRPr="0097792A">
        <w:rPr>
          <w:bCs/>
          <w:lang w:val="ru-RU"/>
        </w:rPr>
        <w:t>414</w:t>
      </w:r>
      <w:r>
        <w:rPr>
          <w:bCs/>
          <w:lang w:val="ru-RU"/>
        </w:rPr>
        <w:t>,</w:t>
      </w:r>
      <w:r w:rsidRPr="0097792A">
        <w:rPr>
          <w:bCs/>
          <w:lang w:val="ru-RU"/>
        </w:rPr>
        <w:t xml:space="preserve">6 </w:t>
      </w:r>
      <w:r w:rsidRPr="00791C7A">
        <w:rPr>
          <w:bCs/>
        </w:rPr>
        <w:t xml:space="preserve">млн. </w:t>
      </w:r>
      <w:r>
        <w:rPr>
          <w:bCs/>
        </w:rPr>
        <w:t>евро</w:t>
      </w:r>
      <w:r w:rsidRPr="00791C7A">
        <w:rPr>
          <w:bCs/>
        </w:rPr>
        <w:t xml:space="preserve"> по програмите, съфинансирани от Европейския фонд за регионално развитие, Кохезионния фонд, Европейския социален фонд+, двустранните програми за трансгранично сътрудничество по външните граници на EС (ПТСВГ), ФМ на ЕИП 20</w:t>
      </w:r>
      <w:r w:rsidRPr="0097792A">
        <w:rPr>
          <w:bCs/>
          <w:lang w:val="ru-RU"/>
        </w:rPr>
        <w:t>21</w:t>
      </w:r>
      <w:r w:rsidRPr="00791C7A">
        <w:rPr>
          <w:bCs/>
        </w:rPr>
        <w:t>–202</w:t>
      </w:r>
      <w:r w:rsidRPr="0097792A">
        <w:rPr>
          <w:bCs/>
          <w:lang w:val="ru-RU"/>
        </w:rPr>
        <w:t>8</w:t>
      </w:r>
      <w:r w:rsidRPr="00791C7A">
        <w:rPr>
          <w:bCs/>
        </w:rPr>
        <w:t xml:space="preserve"> г., НФМ 20</w:t>
      </w:r>
      <w:r w:rsidRPr="0097792A">
        <w:rPr>
          <w:bCs/>
          <w:lang w:val="ru-RU"/>
        </w:rPr>
        <w:t>21</w:t>
      </w:r>
      <w:r w:rsidRPr="00791C7A">
        <w:rPr>
          <w:bCs/>
        </w:rPr>
        <w:t>–202</w:t>
      </w:r>
      <w:r w:rsidRPr="0097792A">
        <w:rPr>
          <w:bCs/>
          <w:lang w:val="ru-RU"/>
        </w:rPr>
        <w:t>8</w:t>
      </w:r>
      <w:r w:rsidRPr="00791C7A">
        <w:rPr>
          <w:bCs/>
        </w:rPr>
        <w:t xml:space="preserve"> г. и Швейцарско-българската програма за сътрудничество (ШБПС), като в тази сума са включени и отразените (нето) в отчетността на НФ операции по постъпването по банковите бюджетни сметки на Министерство на регионалното развитие и благоустройството (МРРБ) на чуждото финансиране ПТСВГ и изплатените средства от получения ресурс към бенефициенти извън </w:t>
      </w:r>
      <w:r w:rsidRPr="00102950">
        <w:rPr>
          <w:bCs/>
        </w:rPr>
        <w:t>страната.</w:t>
      </w:r>
    </w:p>
    <w:p w:rsidR="001F4DE8" w:rsidRPr="00102950" w:rsidRDefault="001F4DE8" w:rsidP="001F4DE8">
      <w:pPr>
        <w:ind w:firstLine="686"/>
        <w:jc w:val="both"/>
        <w:rPr>
          <w:bCs/>
        </w:rPr>
      </w:pPr>
      <w:r w:rsidRPr="00102950">
        <w:rPr>
          <w:bCs/>
        </w:rPr>
        <w:t>Извършените разходи (нето) за периода с натрупване чрез сметките на НФ възлизат на 180</w:t>
      </w:r>
      <w:r>
        <w:rPr>
          <w:bCs/>
        </w:rPr>
        <w:t>,</w:t>
      </w:r>
      <w:r w:rsidRPr="00102950">
        <w:rPr>
          <w:bCs/>
        </w:rPr>
        <w:t>7 млн. евро. По видове разходи изпълнението е както следва: 76,83</w:t>
      </w:r>
      <w:r>
        <w:rPr>
          <w:bCs/>
        </w:rPr>
        <w:t xml:space="preserve"> </w:t>
      </w:r>
      <w:r w:rsidRPr="00102950">
        <w:rPr>
          <w:bCs/>
        </w:rPr>
        <w:t xml:space="preserve">% от общата стойност са капиталови трансфери, </w:t>
      </w:r>
      <w:r w:rsidRPr="0097792A">
        <w:rPr>
          <w:bCs/>
          <w:lang w:val="ru-RU"/>
        </w:rPr>
        <w:t>1</w:t>
      </w:r>
      <w:r w:rsidRPr="00102950">
        <w:rPr>
          <w:bCs/>
        </w:rPr>
        <w:t>8,06</w:t>
      </w:r>
      <w:r>
        <w:rPr>
          <w:bCs/>
        </w:rPr>
        <w:t xml:space="preserve"> </w:t>
      </w:r>
      <w:r w:rsidRPr="00102950">
        <w:rPr>
          <w:bCs/>
        </w:rPr>
        <w:t>% са субсидии и 5,12</w:t>
      </w:r>
      <w:r>
        <w:rPr>
          <w:bCs/>
        </w:rPr>
        <w:t xml:space="preserve"> </w:t>
      </w:r>
      <w:r w:rsidRPr="00102950">
        <w:rPr>
          <w:bCs/>
        </w:rPr>
        <w:t>% предоставени текущи, капиталови трансфери за чужбина и 0</w:t>
      </w:r>
      <w:r>
        <w:rPr>
          <w:bCs/>
        </w:rPr>
        <w:t>,</w:t>
      </w:r>
      <w:r w:rsidRPr="00102950">
        <w:rPr>
          <w:bCs/>
        </w:rPr>
        <w:t>0001</w:t>
      </w:r>
      <w:r>
        <w:rPr>
          <w:bCs/>
        </w:rPr>
        <w:t xml:space="preserve"> </w:t>
      </w:r>
      <w:r w:rsidRPr="00102950">
        <w:rPr>
          <w:bCs/>
        </w:rPr>
        <w:t>% - издръжка.</w:t>
      </w:r>
    </w:p>
    <w:p w:rsidR="001F4DE8" w:rsidRPr="00FB6C71" w:rsidRDefault="001F4DE8" w:rsidP="001F4DE8">
      <w:pPr>
        <w:ind w:firstLine="686"/>
        <w:jc w:val="both"/>
        <w:rPr>
          <w:bCs/>
        </w:rPr>
      </w:pPr>
      <w:r w:rsidRPr="00FB6C71">
        <w:rPr>
          <w:bCs/>
        </w:rPr>
        <w:t>Трансферите (нето), временните безлихвени заеми (нето) и временна възмездна финансова помощ за разглеждания период са на стойност 627</w:t>
      </w:r>
      <w:r>
        <w:rPr>
          <w:bCs/>
        </w:rPr>
        <w:t>,</w:t>
      </w:r>
      <w:r w:rsidRPr="00FB6C71">
        <w:rPr>
          <w:bCs/>
        </w:rPr>
        <w:t>1 млн. евро (включват предоставените трансфери към бенефициенти по програми (ОП) на ЕС програмен период 2021 – 2027 г., ПТСВГ за програмен период 2021 – 2027 г., Националния план за възстановяване и устойчивост (НПВУ) и ШБПС, както и възстановени трансфери от бенефициенти-бюджетни организации за неусвоени суми по приключили проекти, за недопустими разходи или други надплащания. В консолидираната отчетност на НФ са отразени и трансфери (нето) към бенефициенти – бюджетни организации, които са за сметка на средства, предоставени от държавите-партньори по ПТСВГ.</w:t>
      </w:r>
    </w:p>
    <w:p w:rsidR="001F4DE8" w:rsidRPr="0097792A" w:rsidRDefault="001F4DE8" w:rsidP="001F4DE8">
      <w:pPr>
        <w:ind w:firstLine="686"/>
        <w:jc w:val="both"/>
        <w:rPr>
          <w:bCs/>
          <w:lang w:val="ru-RU"/>
        </w:rPr>
      </w:pPr>
      <w:r w:rsidRPr="00FB6C71">
        <w:rPr>
          <w:bCs/>
        </w:rPr>
        <w:t>Във връзка с изпълнение на програмите и проектите по програмен период 2021 – 2027 г., ФМ на ЕИП и НФМ, НПВУ и ШБПС по сметките на НФ са получени трансфери от централния бюджет на стойност 140</w:t>
      </w:r>
      <w:r>
        <w:rPr>
          <w:bCs/>
        </w:rPr>
        <w:t>,</w:t>
      </w:r>
      <w:r w:rsidRPr="00FB6C71">
        <w:rPr>
          <w:bCs/>
        </w:rPr>
        <w:t>3 млн. евро.</w:t>
      </w:r>
    </w:p>
    <w:p w:rsidR="001F4DE8" w:rsidRPr="00FB6C71" w:rsidRDefault="001F4DE8" w:rsidP="001F4DE8">
      <w:pPr>
        <w:ind w:firstLine="686"/>
        <w:jc w:val="both"/>
        <w:rPr>
          <w:bCs/>
        </w:rPr>
      </w:pPr>
      <w:r w:rsidRPr="00FB6C71">
        <w:rPr>
          <w:bCs/>
        </w:rPr>
        <w:t>Общата сума от други приходи (корективи за касови постъпления, отчетени за дължими суми от бенефициенти), отчетени по сметката за средства от ЕС на НФ, са в размер на 0</w:t>
      </w:r>
      <w:r>
        <w:rPr>
          <w:bCs/>
        </w:rPr>
        <w:t>,</w:t>
      </w:r>
      <w:r w:rsidRPr="00FB6C71">
        <w:rPr>
          <w:bCs/>
        </w:rPr>
        <w:t>04 млн. евро.</w:t>
      </w:r>
    </w:p>
    <w:p w:rsidR="001F4DE8" w:rsidRPr="00FB6C71" w:rsidRDefault="001F4DE8" w:rsidP="001F4DE8">
      <w:pPr>
        <w:spacing w:before="120"/>
        <w:ind w:firstLine="686"/>
        <w:jc w:val="both"/>
        <w:rPr>
          <w:bCs/>
        </w:rPr>
      </w:pPr>
      <w:r w:rsidRPr="00FB6C71">
        <w:rPr>
          <w:b/>
          <w:bCs/>
        </w:rPr>
        <w:t>Европейски фонд за регионално развитие, Европейски социален фонд (включително Инициативата за младежка заетост), Кохезионния фонд и ФЕПНЛ на Европейския съюз за финансова рамка 2014 – 2020 г.</w:t>
      </w:r>
      <w:r w:rsidRPr="00FB6C71">
        <w:rPr>
          <w:bCs/>
        </w:rPr>
        <w:t xml:space="preserve">  </w:t>
      </w:r>
    </w:p>
    <w:p w:rsidR="001F4DE8" w:rsidRPr="00FB6C71" w:rsidRDefault="001F4DE8" w:rsidP="001F4DE8">
      <w:pPr>
        <w:jc w:val="both"/>
        <w:rPr>
          <w:bCs/>
        </w:rPr>
      </w:pPr>
      <w:r w:rsidRPr="00FB6C71">
        <w:rPr>
          <w:bCs/>
        </w:rPr>
        <w:t xml:space="preserve">  </w:t>
      </w:r>
      <w:r>
        <w:rPr>
          <w:bCs/>
        </w:rPr>
        <w:tab/>
      </w:r>
      <w:r w:rsidRPr="00FB6C71">
        <w:rPr>
          <w:bCs/>
        </w:rPr>
        <w:t>Направените разходи по Оперативни програми и трансферите към бюджетни организации за периода са на стойност 0</w:t>
      </w:r>
      <w:r>
        <w:rPr>
          <w:bCs/>
        </w:rPr>
        <w:t>,</w:t>
      </w:r>
      <w:r w:rsidRPr="00FB6C71">
        <w:rPr>
          <w:bCs/>
        </w:rPr>
        <w:t>3 млн. евро</w:t>
      </w:r>
      <w:r w:rsidRPr="0097792A">
        <w:rPr>
          <w:bCs/>
          <w:lang w:val="ru-RU"/>
        </w:rPr>
        <w:t>, а възстановените суми</w:t>
      </w:r>
      <w:r w:rsidRPr="00FB6C71">
        <w:rPr>
          <w:bCs/>
        </w:rPr>
        <w:t xml:space="preserve"> са в размер на 2</w:t>
      </w:r>
      <w:r>
        <w:rPr>
          <w:bCs/>
        </w:rPr>
        <w:t>,</w:t>
      </w:r>
      <w:r w:rsidRPr="00FB6C71">
        <w:rPr>
          <w:bCs/>
        </w:rPr>
        <w:t>2 млн. евро.</w:t>
      </w:r>
    </w:p>
    <w:p w:rsidR="001F4DE8" w:rsidRPr="00FB6C71" w:rsidRDefault="001F4DE8" w:rsidP="001F4DE8">
      <w:pPr>
        <w:jc w:val="both"/>
      </w:pPr>
      <w:r w:rsidRPr="00FB6C71">
        <w:t>Възстановеното авансово финансиране по реда на ДДС6/2011 г. е в размер на 0</w:t>
      </w:r>
      <w:r>
        <w:t>,</w:t>
      </w:r>
      <w:r w:rsidRPr="00FB6C71">
        <w:t>5 млн. евро.</w:t>
      </w:r>
    </w:p>
    <w:p w:rsidR="001F4DE8" w:rsidRPr="00FA3D45" w:rsidRDefault="001F4DE8" w:rsidP="001F4DE8">
      <w:pPr>
        <w:spacing w:before="120"/>
        <w:ind w:firstLine="686"/>
        <w:jc w:val="both"/>
        <w:rPr>
          <w:b/>
          <w:bCs/>
        </w:rPr>
      </w:pPr>
      <w:r w:rsidRPr="00FA3D45">
        <w:rPr>
          <w:b/>
          <w:bCs/>
        </w:rPr>
        <w:t>Европейския социален фонд+, Европейския фонд за регионално развитие (включително Фонда за справедлив преход) и Кохезионния фонд за програмен период 2021-2027 г.</w:t>
      </w:r>
    </w:p>
    <w:p w:rsidR="001F4DE8" w:rsidRPr="001B04C8" w:rsidRDefault="001F4DE8" w:rsidP="001F4DE8">
      <w:pPr>
        <w:spacing w:before="120"/>
        <w:ind w:firstLine="686"/>
        <w:jc w:val="both"/>
        <w:rPr>
          <w:bCs/>
        </w:rPr>
      </w:pPr>
      <w:r w:rsidRPr="00FA3D45">
        <w:rPr>
          <w:bCs/>
        </w:rPr>
        <w:t>Получените средства (нето) от ЕК за периода са в размер на 439</w:t>
      </w:r>
      <w:r>
        <w:rPr>
          <w:bCs/>
        </w:rPr>
        <w:t>,</w:t>
      </w:r>
      <w:r w:rsidRPr="00FA3D45">
        <w:rPr>
          <w:bCs/>
        </w:rPr>
        <w:t>4 млн. евро</w:t>
      </w:r>
      <w:r w:rsidRPr="0097792A">
        <w:rPr>
          <w:bCs/>
          <w:lang w:val="ru-RU"/>
        </w:rPr>
        <w:t xml:space="preserve"> </w:t>
      </w:r>
      <w:r w:rsidRPr="00FA3D45">
        <w:rPr>
          <w:bCs/>
        </w:rPr>
        <w:t xml:space="preserve">и са разпределени както </w:t>
      </w:r>
      <w:r w:rsidRPr="001B04C8">
        <w:rPr>
          <w:bCs/>
        </w:rPr>
        <w:t>следва:</w:t>
      </w:r>
    </w:p>
    <w:p w:rsidR="001F4DE8" w:rsidRPr="001B04C8" w:rsidRDefault="001F4DE8" w:rsidP="001F4DE8">
      <w:pPr>
        <w:numPr>
          <w:ilvl w:val="0"/>
          <w:numId w:val="10"/>
        </w:numPr>
        <w:tabs>
          <w:tab w:val="clear" w:pos="1101"/>
          <w:tab w:val="num" w:pos="786"/>
        </w:tabs>
        <w:ind w:left="786"/>
        <w:jc w:val="both"/>
        <w:rPr>
          <w:bCs/>
        </w:rPr>
      </w:pPr>
      <w:r w:rsidRPr="001B04C8">
        <w:rPr>
          <w:bCs/>
        </w:rPr>
        <w:t>Програма „Развитие на човешките ресурси” 2021-2027 г. – 121</w:t>
      </w:r>
      <w:r>
        <w:rPr>
          <w:bCs/>
        </w:rPr>
        <w:t>,</w:t>
      </w:r>
      <w:r w:rsidRPr="001B04C8">
        <w:rPr>
          <w:bCs/>
        </w:rPr>
        <w:t xml:space="preserve">0 млн. евро;  </w:t>
      </w:r>
    </w:p>
    <w:p w:rsidR="001F4DE8" w:rsidRPr="001B04C8" w:rsidRDefault="001F4DE8" w:rsidP="001F4DE8">
      <w:pPr>
        <w:numPr>
          <w:ilvl w:val="0"/>
          <w:numId w:val="10"/>
        </w:numPr>
        <w:tabs>
          <w:tab w:val="clear" w:pos="1101"/>
          <w:tab w:val="num" w:pos="786"/>
        </w:tabs>
        <w:ind w:left="786"/>
        <w:jc w:val="both"/>
        <w:rPr>
          <w:bCs/>
        </w:rPr>
      </w:pPr>
      <w:r w:rsidRPr="001B04C8">
        <w:rPr>
          <w:bCs/>
        </w:rPr>
        <w:t>Програма „Храни и основно материално подпомагане” 2021-2027 г. – 14</w:t>
      </w:r>
      <w:r>
        <w:rPr>
          <w:bCs/>
        </w:rPr>
        <w:t>,</w:t>
      </w:r>
      <w:r w:rsidRPr="001B04C8">
        <w:rPr>
          <w:bCs/>
        </w:rPr>
        <w:t>4 млн. евро;</w:t>
      </w:r>
    </w:p>
    <w:p w:rsidR="001F4DE8" w:rsidRPr="007E0733" w:rsidRDefault="001F4DE8" w:rsidP="001F4DE8">
      <w:pPr>
        <w:numPr>
          <w:ilvl w:val="0"/>
          <w:numId w:val="10"/>
        </w:numPr>
        <w:tabs>
          <w:tab w:val="clear" w:pos="1101"/>
          <w:tab w:val="num" w:pos="786"/>
        </w:tabs>
        <w:ind w:left="786"/>
        <w:jc w:val="both"/>
        <w:rPr>
          <w:bCs/>
        </w:rPr>
      </w:pPr>
      <w:r w:rsidRPr="007E0733">
        <w:rPr>
          <w:bCs/>
        </w:rPr>
        <w:t>Програма „Образование” 2021-2027 г. – 35</w:t>
      </w:r>
      <w:r>
        <w:rPr>
          <w:bCs/>
        </w:rPr>
        <w:t>,</w:t>
      </w:r>
      <w:r w:rsidRPr="007E0733">
        <w:rPr>
          <w:bCs/>
        </w:rPr>
        <w:t xml:space="preserve">0 млн. </w:t>
      </w:r>
      <w:r>
        <w:rPr>
          <w:bCs/>
        </w:rPr>
        <w:t>евро</w:t>
      </w:r>
      <w:r w:rsidRPr="007E0733">
        <w:rPr>
          <w:bCs/>
        </w:rPr>
        <w:t>;</w:t>
      </w:r>
    </w:p>
    <w:p w:rsidR="001F4DE8" w:rsidRPr="007E0733" w:rsidRDefault="001F4DE8" w:rsidP="001F4DE8">
      <w:pPr>
        <w:numPr>
          <w:ilvl w:val="0"/>
          <w:numId w:val="10"/>
        </w:numPr>
        <w:tabs>
          <w:tab w:val="clear" w:pos="1101"/>
          <w:tab w:val="num" w:pos="786"/>
        </w:tabs>
        <w:ind w:left="786"/>
        <w:jc w:val="both"/>
        <w:rPr>
          <w:bCs/>
        </w:rPr>
      </w:pPr>
      <w:r w:rsidRPr="007E0733">
        <w:rPr>
          <w:bCs/>
        </w:rPr>
        <w:t>Програма „Околна среда“ 2021-2027 г. – 77</w:t>
      </w:r>
      <w:r>
        <w:rPr>
          <w:bCs/>
        </w:rPr>
        <w:t>,</w:t>
      </w:r>
      <w:r w:rsidRPr="007E0733">
        <w:rPr>
          <w:bCs/>
        </w:rPr>
        <w:t>7 млн. евро;</w:t>
      </w:r>
    </w:p>
    <w:p w:rsidR="001F4DE8" w:rsidRPr="007E0733" w:rsidRDefault="001F4DE8" w:rsidP="001F4DE8">
      <w:pPr>
        <w:numPr>
          <w:ilvl w:val="0"/>
          <w:numId w:val="10"/>
        </w:numPr>
        <w:tabs>
          <w:tab w:val="clear" w:pos="1101"/>
          <w:tab w:val="num" w:pos="786"/>
        </w:tabs>
        <w:ind w:left="786"/>
        <w:jc w:val="both"/>
        <w:rPr>
          <w:bCs/>
        </w:rPr>
      </w:pPr>
      <w:r w:rsidRPr="007E0733">
        <w:rPr>
          <w:bCs/>
        </w:rPr>
        <w:t>Програма „Техническа помощ“ – 4</w:t>
      </w:r>
      <w:r>
        <w:rPr>
          <w:bCs/>
        </w:rPr>
        <w:t>,</w:t>
      </w:r>
      <w:r w:rsidRPr="007E0733">
        <w:rPr>
          <w:bCs/>
        </w:rPr>
        <w:t>0 млн. евро;</w:t>
      </w:r>
    </w:p>
    <w:p w:rsidR="001F4DE8" w:rsidRPr="007E0733" w:rsidRDefault="001F4DE8" w:rsidP="001F4DE8">
      <w:pPr>
        <w:numPr>
          <w:ilvl w:val="0"/>
          <w:numId w:val="10"/>
        </w:numPr>
        <w:tabs>
          <w:tab w:val="clear" w:pos="1101"/>
          <w:tab w:val="num" w:pos="786"/>
        </w:tabs>
        <w:ind w:left="786"/>
        <w:jc w:val="both"/>
        <w:rPr>
          <w:bCs/>
        </w:rPr>
      </w:pPr>
      <w:r w:rsidRPr="007E0733">
        <w:rPr>
          <w:bCs/>
        </w:rPr>
        <w:t>Програма „Конкурентоспособност и иновации в предприятията“ 2021</w:t>
      </w:r>
      <w:r>
        <w:rPr>
          <w:bCs/>
        </w:rPr>
        <w:t>-</w:t>
      </w:r>
      <w:r w:rsidRPr="007E0733">
        <w:rPr>
          <w:bCs/>
        </w:rPr>
        <w:t>2027 г. – 50</w:t>
      </w:r>
      <w:r>
        <w:rPr>
          <w:bCs/>
        </w:rPr>
        <w:t>,</w:t>
      </w:r>
      <w:r w:rsidRPr="007E0733">
        <w:rPr>
          <w:bCs/>
        </w:rPr>
        <w:t>8 млн. евро;</w:t>
      </w:r>
    </w:p>
    <w:p w:rsidR="001F4DE8" w:rsidRPr="00FB6754" w:rsidRDefault="001F4DE8" w:rsidP="001F4DE8">
      <w:pPr>
        <w:numPr>
          <w:ilvl w:val="0"/>
          <w:numId w:val="10"/>
        </w:numPr>
        <w:tabs>
          <w:tab w:val="clear" w:pos="1101"/>
          <w:tab w:val="num" w:pos="786"/>
        </w:tabs>
        <w:ind w:left="786"/>
        <w:jc w:val="both"/>
        <w:rPr>
          <w:bCs/>
        </w:rPr>
      </w:pPr>
      <w:r w:rsidRPr="00FB6754">
        <w:rPr>
          <w:bCs/>
        </w:rPr>
        <w:t>Програма „Развитие на регионите“ 2021</w:t>
      </w:r>
      <w:r>
        <w:rPr>
          <w:bCs/>
        </w:rPr>
        <w:t>-</w:t>
      </w:r>
      <w:r w:rsidRPr="00FB6754">
        <w:rPr>
          <w:bCs/>
        </w:rPr>
        <w:t>2027 г. – 18</w:t>
      </w:r>
      <w:r>
        <w:rPr>
          <w:bCs/>
        </w:rPr>
        <w:t>,</w:t>
      </w:r>
      <w:r w:rsidRPr="00FB6754">
        <w:rPr>
          <w:bCs/>
        </w:rPr>
        <w:t>4 млн. евро;</w:t>
      </w:r>
    </w:p>
    <w:p w:rsidR="001F4DE8" w:rsidRPr="00AF2A47" w:rsidRDefault="001F4DE8" w:rsidP="001F4DE8">
      <w:pPr>
        <w:numPr>
          <w:ilvl w:val="0"/>
          <w:numId w:val="10"/>
        </w:numPr>
        <w:tabs>
          <w:tab w:val="clear" w:pos="1101"/>
          <w:tab w:val="num" w:pos="786"/>
        </w:tabs>
        <w:ind w:left="786"/>
        <w:jc w:val="both"/>
        <w:rPr>
          <w:bCs/>
          <w:color w:val="0070C0"/>
        </w:rPr>
      </w:pPr>
      <w:r w:rsidRPr="002E1822">
        <w:rPr>
          <w:bCs/>
        </w:rPr>
        <w:t>Програма „Научни изследвания, иновации и дигитализация за интелигентна трансформация“ 2021</w:t>
      </w:r>
      <w:r>
        <w:rPr>
          <w:bCs/>
        </w:rPr>
        <w:t>-</w:t>
      </w:r>
      <w:r w:rsidRPr="002E1822">
        <w:rPr>
          <w:bCs/>
        </w:rPr>
        <w:t>2027 г. – 17</w:t>
      </w:r>
      <w:r>
        <w:rPr>
          <w:bCs/>
        </w:rPr>
        <w:t>,</w:t>
      </w:r>
      <w:r w:rsidRPr="002E1822">
        <w:rPr>
          <w:bCs/>
        </w:rPr>
        <w:t>5 млн. евро;</w:t>
      </w:r>
      <w:r w:rsidRPr="00AF2A47">
        <w:rPr>
          <w:bCs/>
          <w:color w:val="0070C0"/>
        </w:rPr>
        <w:t xml:space="preserve"> </w:t>
      </w:r>
    </w:p>
    <w:p w:rsidR="001F4DE8" w:rsidRPr="002E1822" w:rsidRDefault="001F4DE8" w:rsidP="001F4DE8">
      <w:pPr>
        <w:numPr>
          <w:ilvl w:val="0"/>
          <w:numId w:val="10"/>
        </w:numPr>
        <w:tabs>
          <w:tab w:val="clear" w:pos="1101"/>
          <w:tab w:val="num" w:pos="786"/>
        </w:tabs>
        <w:ind w:left="786"/>
        <w:jc w:val="both"/>
        <w:rPr>
          <w:bCs/>
        </w:rPr>
      </w:pPr>
      <w:r w:rsidRPr="002E1822">
        <w:rPr>
          <w:bCs/>
        </w:rPr>
        <w:t>Програма „Транспортна свързаност“ – 99</w:t>
      </w:r>
      <w:r>
        <w:rPr>
          <w:bCs/>
        </w:rPr>
        <w:t>,</w:t>
      </w:r>
      <w:r w:rsidRPr="002E1822">
        <w:rPr>
          <w:bCs/>
        </w:rPr>
        <w:t>9 млн. евро и</w:t>
      </w:r>
    </w:p>
    <w:p w:rsidR="001F4DE8" w:rsidRPr="00AF2A47" w:rsidRDefault="001F4DE8" w:rsidP="001F4DE8">
      <w:pPr>
        <w:numPr>
          <w:ilvl w:val="0"/>
          <w:numId w:val="10"/>
        </w:numPr>
        <w:tabs>
          <w:tab w:val="clear" w:pos="1101"/>
          <w:tab w:val="num" w:pos="786"/>
        </w:tabs>
        <w:ind w:left="786"/>
        <w:jc w:val="both"/>
        <w:rPr>
          <w:bCs/>
          <w:color w:val="0070C0"/>
        </w:rPr>
      </w:pPr>
      <w:r w:rsidRPr="002E1822">
        <w:rPr>
          <w:bCs/>
        </w:rPr>
        <w:t>Фонд за справедлив преход – 0</w:t>
      </w:r>
      <w:r>
        <w:rPr>
          <w:bCs/>
        </w:rPr>
        <w:t>,</w:t>
      </w:r>
      <w:r w:rsidRPr="002E1822">
        <w:rPr>
          <w:bCs/>
        </w:rPr>
        <w:t>7 млн. евро</w:t>
      </w:r>
      <w:r w:rsidRPr="00AF2A47">
        <w:rPr>
          <w:bCs/>
          <w:color w:val="0070C0"/>
        </w:rPr>
        <w:t>.</w:t>
      </w:r>
    </w:p>
    <w:p w:rsidR="001F4DE8" w:rsidRPr="00C9472F" w:rsidRDefault="001F4DE8" w:rsidP="001F4DE8">
      <w:pPr>
        <w:spacing w:before="120"/>
        <w:ind w:firstLine="708"/>
        <w:jc w:val="both"/>
        <w:rPr>
          <w:bCs/>
        </w:rPr>
      </w:pPr>
      <w:r w:rsidRPr="00C9472F">
        <w:rPr>
          <w:bCs/>
        </w:rPr>
        <w:t xml:space="preserve">Направените разходи (нето) за периода са в размер на </w:t>
      </w:r>
      <w:r w:rsidRPr="0097792A">
        <w:rPr>
          <w:bCs/>
          <w:lang w:val="ru-RU"/>
        </w:rPr>
        <w:t>413</w:t>
      </w:r>
      <w:r>
        <w:rPr>
          <w:bCs/>
          <w:lang w:val="ru-RU"/>
        </w:rPr>
        <w:t>,</w:t>
      </w:r>
      <w:r w:rsidRPr="0097792A">
        <w:rPr>
          <w:bCs/>
          <w:lang w:val="ru-RU"/>
        </w:rPr>
        <w:t>0</w:t>
      </w:r>
      <w:r w:rsidRPr="00C9472F">
        <w:rPr>
          <w:bCs/>
        </w:rPr>
        <w:t xml:space="preserve"> млн. </w:t>
      </w:r>
      <w:r w:rsidRPr="0097792A">
        <w:rPr>
          <w:bCs/>
          <w:lang w:val="ru-RU"/>
        </w:rPr>
        <w:t>евро</w:t>
      </w:r>
      <w:r w:rsidRPr="00C9472F">
        <w:rPr>
          <w:bCs/>
        </w:rPr>
        <w:t xml:space="preserve"> и са разпределени както следва:</w:t>
      </w:r>
    </w:p>
    <w:p w:rsidR="001F4DE8" w:rsidRPr="00C9472F" w:rsidRDefault="001F4DE8" w:rsidP="001F4DE8">
      <w:pPr>
        <w:numPr>
          <w:ilvl w:val="0"/>
          <w:numId w:val="10"/>
        </w:numPr>
        <w:tabs>
          <w:tab w:val="clear" w:pos="1101"/>
          <w:tab w:val="num" w:pos="786"/>
        </w:tabs>
        <w:ind w:left="786"/>
        <w:jc w:val="both"/>
        <w:rPr>
          <w:bCs/>
        </w:rPr>
      </w:pPr>
      <w:r w:rsidRPr="00C9472F">
        <w:rPr>
          <w:bCs/>
        </w:rPr>
        <w:t>Програма „Развитие на човешките ресурси” 2021-2027 г. – 76</w:t>
      </w:r>
      <w:r>
        <w:rPr>
          <w:bCs/>
        </w:rPr>
        <w:t>,</w:t>
      </w:r>
      <w:r w:rsidRPr="00C9472F">
        <w:rPr>
          <w:bCs/>
        </w:rPr>
        <w:t xml:space="preserve">1 млн. евро;  </w:t>
      </w:r>
    </w:p>
    <w:p w:rsidR="001F4DE8" w:rsidRPr="00C9472F" w:rsidRDefault="001F4DE8" w:rsidP="001F4DE8">
      <w:pPr>
        <w:numPr>
          <w:ilvl w:val="0"/>
          <w:numId w:val="10"/>
        </w:numPr>
        <w:tabs>
          <w:tab w:val="clear" w:pos="1101"/>
          <w:tab w:val="num" w:pos="786"/>
        </w:tabs>
        <w:ind w:left="786"/>
        <w:jc w:val="both"/>
        <w:rPr>
          <w:bCs/>
        </w:rPr>
      </w:pPr>
      <w:r w:rsidRPr="00C9472F">
        <w:rPr>
          <w:bCs/>
        </w:rPr>
        <w:t>Програма „Храни и основно материално подпомагане” 2021-2027 г. – 12</w:t>
      </w:r>
      <w:r>
        <w:rPr>
          <w:bCs/>
        </w:rPr>
        <w:t>,</w:t>
      </w:r>
      <w:r w:rsidRPr="00C9472F">
        <w:rPr>
          <w:bCs/>
        </w:rPr>
        <w:t>0 млн. евро;</w:t>
      </w:r>
    </w:p>
    <w:p w:rsidR="001F4DE8" w:rsidRPr="00C9472F" w:rsidRDefault="001F4DE8" w:rsidP="001F4DE8">
      <w:pPr>
        <w:numPr>
          <w:ilvl w:val="0"/>
          <w:numId w:val="10"/>
        </w:numPr>
        <w:tabs>
          <w:tab w:val="clear" w:pos="1101"/>
          <w:tab w:val="num" w:pos="786"/>
        </w:tabs>
        <w:ind w:left="786"/>
        <w:jc w:val="both"/>
        <w:rPr>
          <w:bCs/>
        </w:rPr>
      </w:pPr>
      <w:r w:rsidRPr="00C9472F">
        <w:rPr>
          <w:bCs/>
        </w:rPr>
        <w:t>Програма „Образование” 2021-2027 г. – 1</w:t>
      </w:r>
      <w:r w:rsidRPr="0097792A">
        <w:rPr>
          <w:bCs/>
          <w:lang w:val="ru-RU"/>
        </w:rPr>
        <w:t>9</w:t>
      </w:r>
      <w:r>
        <w:rPr>
          <w:bCs/>
          <w:lang w:val="ru-RU"/>
        </w:rPr>
        <w:t>,</w:t>
      </w:r>
      <w:r w:rsidRPr="00C9472F">
        <w:rPr>
          <w:bCs/>
        </w:rPr>
        <w:t>5 млн. евро;</w:t>
      </w:r>
    </w:p>
    <w:p w:rsidR="001F4DE8" w:rsidRPr="00C9472F" w:rsidRDefault="001F4DE8" w:rsidP="001F4DE8">
      <w:pPr>
        <w:numPr>
          <w:ilvl w:val="0"/>
          <w:numId w:val="10"/>
        </w:numPr>
        <w:tabs>
          <w:tab w:val="clear" w:pos="1101"/>
          <w:tab w:val="num" w:pos="786"/>
        </w:tabs>
        <w:ind w:left="786"/>
        <w:jc w:val="both"/>
        <w:rPr>
          <w:bCs/>
        </w:rPr>
      </w:pPr>
      <w:r w:rsidRPr="00C9472F">
        <w:rPr>
          <w:bCs/>
        </w:rPr>
        <w:t xml:space="preserve">Програма „Околна среда“ 2021-2027 г. – </w:t>
      </w:r>
      <w:r w:rsidRPr="0097792A">
        <w:rPr>
          <w:bCs/>
          <w:lang w:val="ru-RU"/>
        </w:rPr>
        <w:t>3</w:t>
      </w:r>
      <w:r w:rsidRPr="00C9472F">
        <w:rPr>
          <w:bCs/>
        </w:rPr>
        <w:t>4</w:t>
      </w:r>
      <w:r>
        <w:rPr>
          <w:bCs/>
        </w:rPr>
        <w:t>,</w:t>
      </w:r>
      <w:r w:rsidRPr="00C9472F">
        <w:rPr>
          <w:bCs/>
        </w:rPr>
        <w:t>3 млн. евро;</w:t>
      </w:r>
    </w:p>
    <w:p w:rsidR="001F4DE8" w:rsidRPr="00C9472F" w:rsidRDefault="001F4DE8" w:rsidP="001F4DE8">
      <w:pPr>
        <w:numPr>
          <w:ilvl w:val="0"/>
          <w:numId w:val="10"/>
        </w:numPr>
        <w:tabs>
          <w:tab w:val="clear" w:pos="1101"/>
          <w:tab w:val="num" w:pos="786"/>
        </w:tabs>
        <w:ind w:left="786"/>
        <w:jc w:val="both"/>
        <w:rPr>
          <w:bCs/>
        </w:rPr>
      </w:pPr>
      <w:r w:rsidRPr="00C9472F">
        <w:rPr>
          <w:bCs/>
        </w:rPr>
        <w:t>Програма „Техническа помощ“ – 1</w:t>
      </w:r>
      <w:r>
        <w:rPr>
          <w:bCs/>
        </w:rPr>
        <w:t>,</w:t>
      </w:r>
      <w:r w:rsidRPr="00C9472F">
        <w:rPr>
          <w:bCs/>
        </w:rPr>
        <w:t>6 млн. евро;</w:t>
      </w:r>
    </w:p>
    <w:p w:rsidR="001F4DE8" w:rsidRPr="00C9472F" w:rsidRDefault="001F4DE8" w:rsidP="001F4DE8">
      <w:pPr>
        <w:numPr>
          <w:ilvl w:val="0"/>
          <w:numId w:val="10"/>
        </w:numPr>
        <w:tabs>
          <w:tab w:val="clear" w:pos="1101"/>
          <w:tab w:val="num" w:pos="786"/>
        </w:tabs>
        <w:ind w:left="786"/>
        <w:jc w:val="both"/>
        <w:rPr>
          <w:bCs/>
        </w:rPr>
      </w:pPr>
      <w:r w:rsidRPr="00C9472F">
        <w:rPr>
          <w:bCs/>
        </w:rPr>
        <w:t>Програма „Конкурентоспособност и иновации в предприятията“ 2021</w:t>
      </w:r>
      <w:r>
        <w:rPr>
          <w:bCs/>
        </w:rPr>
        <w:t>-</w:t>
      </w:r>
      <w:r w:rsidRPr="00C9472F">
        <w:rPr>
          <w:bCs/>
        </w:rPr>
        <w:t>2027 г. – 30</w:t>
      </w:r>
      <w:r>
        <w:rPr>
          <w:bCs/>
        </w:rPr>
        <w:t>,</w:t>
      </w:r>
      <w:r w:rsidRPr="00C9472F">
        <w:rPr>
          <w:bCs/>
        </w:rPr>
        <w:t>8 млн. евро;</w:t>
      </w:r>
    </w:p>
    <w:p w:rsidR="001F4DE8" w:rsidRPr="00C9472F" w:rsidRDefault="001F4DE8" w:rsidP="001F4DE8">
      <w:pPr>
        <w:numPr>
          <w:ilvl w:val="0"/>
          <w:numId w:val="10"/>
        </w:numPr>
        <w:tabs>
          <w:tab w:val="clear" w:pos="1101"/>
          <w:tab w:val="num" w:pos="786"/>
        </w:tabs>
        <w:ind w:left="786"/>
        <w:jc w:val="both"/>
        <w:rPr>
          <w:bCs/>
        </w:rPr>
      </w:pPr>
      <w:r w:rsidRPr="00C9472F">
        <w:rPr>
          <w:bCs/>
        </w:rPr>
        <w:t>Програма „Развитие на регионите“ 2021</w:t>
      </w:r>
      <w:r>
        <w:rPr>
          <w:bCs/>
        </w:rPr>
        <w:t>-</w:t>
      </w:r>
      <w:r w:rsidRPr="00C9472F">
        <w:rPr>
          <w:bCs/>
        </w:rPr>
        <w:t xml:space="preserve">2027 г. – </w:t>
      </w:r>
      <w:r w:rsidRPr="0097792A">
        <w:rPr>
          <w:bCs/>
          <w:lang w:val="ru-RU"/>
        </w:rPr>
        <w:t>1</w:t>
      </w:r>
      <w:r w:rsidRPr="00C9472F">
        <w:rPr>
          <w:bCs/>
        </w:rPr>
        <w:t>08</w:t>
      </w:r>
      <w:r>
        <w:rPr>
          <w:bCs/>
        </w:rPr>
        <w:t>,</w:t>
      </w:r>
      <w:r w:rsidRPr="00C9472F">
        <w:rPr>
          <w:bCs/>
        </w:rPr>
        <w:t>4 млн. евро;</w:t>
      </w:r>
    </w:p>
    <w:p w:rsidR="001F4DE8" w:rsidRPr="00C9472F" w:rsidRDefault="001F4DE8" w:rsidP="001F4DE8">
      <w:pPr>
        <w:numPr>
          <w:ilvl w:val="0"/>
          <w:numId w:val="10"/>
        </w:numPr>
        <w:tabs>
          <w:tab w:val="clear" w:pos="1101"/>
          <w:tab w:val="num" w:pos="786"/>
        </w:tabs>
        <w:ind w:left="786"/>
        <w:jc w:val="both"/>
        <w:rPr>
          <w:bCs/>
        </w:rPr>
      </w:pPr>
      <w:r w:rsidRPr="00C9472F">
        <w:rPr>
          <w:bCs/>
        </w:rPr>
        <w:t>Програма „Научни изследвания, иновации и дигитализация за интелигентна трансформация“ 2021</w:t>
      </w:r>
      <w:r>
        <w:rPr>
          <w:bCs/>
        </w:rPr>
        <w:t>-</w:t>
      </w:r>
      <w:r w:rsidRPr="00C9472F">
        <w:rPr>
          <w:bCs/>
        </w:rPr>
        <w:t>2027 г. – 56</w:t>
      </w:r>
      <w:r>
        <w:rPr>
          <w:bCs/>
        </w:rPr>
        <w:t>,</w:t>
      </w:r>
      <w:r w:rsidRPr="0097792A">
        <w:rPr>
          <w:bCs/>
          <w:lang w:val="ru-RU"/>
        </w:rPr>
        <w:t>5</w:t>
      </w:r>
      <w:r w:rsidRPr="00C9472F">
        <w:rPr>
          <w:bCs/>
        </w:rPr>
        <w:t xml:space="preserve"> млн. евро;</w:t>
      </w:r>
    </w:p>
    <w:p w:rsidR="001F4DE8" w:rsidRPr="00FA3D45" w:rsidRDefault="001F4DE8" w:rsidP="001F4DE8">
      <w:pPr>
        <w:numPr>
          <w:ilvl w:val="0"/>
          <w:numId w:val="10"/>
        </w:numPr>
        <w:tabs>
          <w:tab w:val="clear" w:pos="1101"/>
          <w:tab w:val="num" w:pos="786"/>
        </w:tabs>
        <w:ind w:left="786"/>
        <w:jc w:val="both"/>
        <w:rPr>
          <w:bCs/>
        </w:rPr>
      </w:pPr>
      <w:r w:rsidRPr="00FA3D45">
        <w:rPr>
          <w:bCs/>
        </w:rPr>
        <w:t>Програма „Транспортна свързаност“ – 3</w:t>
      </w:r>
      <w:r w:rsidRPr="0097792A">
        <w:rPr>
          <w:bCs/>
          <w:lang w:val="ru-RU"/>
        </w:rPr>
        <w:t>3</w:t>
      </w:r>
      <w:r>
        <w:rPr>
          <w:bCs/>
          <w:lang w:val="ru-RU"/>
        </w:rPr>
        <w:t>,</w:t>
      </w:r>
      <w:r w:rsidRPr="00FA3D45">
        <w:rPr>
          <w:bCs/>
        </w:rPr>
        <w:t>9 млн. евро и</w:t>
      </w:r>
    </w:p>
    <w:p w:rsidR="001F4DE8" w:rsidRPr="00FA3D45" w:rsidRDefault="001F4DE8" w:rsidP="001F4DE8">
      <w:pPr>
        <w:numPr>
          <w:ilvl w:val="0"/>
          <w:numId w:val="10"/>
        </w:numPr>
        <w:tabs>
          <w:tab w:val="clear" w:pos="1101"/>
          <w:tab w:val="num" w:pos="786"/>
        </w:tabs>
        <w:ind w:left="786"/>
        <w:jc w:val="both"/>
        <w:rPr>
          <w:bCs/>
        </w:rPr>
      </w:pPr>
      <w:r w:rsidRPr="00FA3D45">
        <w:rPr>
          <w:bCs/>
        </w:rPr>
        <w:t>Фонд за справедлив преход – 39</w:t>
      </w:r>
      <w:r>
        <w:rPr>
          <w:bCs/>
        </w:rPr>
        <w:t>,</w:t>
      </w:r>
      <w:r w:rsidRPr="00FA3D45">
        <w:rPr>
          <w:bCs/>
        </w:rPr>
        <w:t>9 млн. евро.</w:t>
      </w:r>
    </w:p>
    <w:p w:rsidR="001F4DE8" w:rsidRPr="00FA3D45" w:rsidRDefault="001F4DE8" w:rsidP="001F4DE8">
      <w:pPr>
        <w:spacing w:before="120"/>
        <w:ind w:firstLine="686"/>
        <w:jc w:val="both"/>
        <w:rPr>
          <w:b/>
          <w:bCs/>
        </w:rPr>
      </w:pPr>
      <w:r w:rsidRPr="00FA3D45">
        <w:rPr>
          <w:b/>
          <w:bCs/>
        </w:rPr>
        <w:t>Национален план за възстановяване и устойчивост (НПВУ)</w:t>
      </w:r>
    </w:p>
    <w:p w:rsidR="001F4DE8" w:rsidRPr="00FA3D45" w:rsidRDefault="001F4DE8" w:rsidP="001F4DE8">
      <w:pPr>
        <w:spacing w:before="120"/>
        <w:ind w:firstLine="686"/>
        <w:jc w:val="both"/>
        <w:rPr>
          <w:bCs/>
        </w:rPr>
      </w:pPr>
      <w:r w:rsidRPr="00FA3D45">
        <w:rPr>
          <w:bCs/>
        </w:rPr>
        <w:t>През отчетния период чрез НПВУ бяха извършени разходи и трансфери (нето)</w:t>
      </w:r>
      <w:r w:rsidRPr="0097792A">
        <w:rPr>
          <w:bCs/>
          <w:lang w:val="ru-RU"/>
        </w:rPr>
        <w:t xml:space="preserve"> </w:t>
      </w:r>
      <w:r w:rsidRPr="00FA3D45">
        <w:rPr>
          <w:bCs/>
        </w:rPr>
        <w:t>в размер на 448</w:t>
      </w:r>
      <w:r>
        <w:rPr>
          <w:bCs/>
        </w:rPr>
        <w:t>,</w:t>
      </w:r>
      <w:r w:rsidRPr="00FA3D45">
        <w:rPr>
          <w:bCs/>
        </w:rPr>
        <w:t xml:space="preserve">2 млн. </w:t>
      </w:r>
      <w:r>
        <w:rPr>
          <w:bCs/>
        </w:rPr>
        <w:t>евро</w:t>
      </w:r>
      <w:r w:rsidRPr="00FA3D45">
        <w:rPr>
          <w:bCs/>
        </w:rPr>
        <w:t>.</w:t>
      </w:r>
    </w:p>
    <w:p w:rsidR="001F4DE8" w:rsidRPr="00610961" w:rsidRDefault="001F4DE8" w:rsidP="001F4DE8">
      <w:pPr>
        <w:spacing w:before="120"/>
        <w:ind w:firstLine="686"/>
        <w:jc w:val="both"/>
        <w:rPr>
          <w:b/>
          <w:bCs/>
        </w:rPr>
      </w:pPr>
      <w:r w:rsidRPr="00AF2A47">
        <w:rPr>
          <w:bCs/>
          <w:color w:val="0070C0"/>
        </w:rPr>
        <w:tab/>
      </w:r>
      <w:r w:rsidRPr="00610961">
        <w:rPr>
          <w:b/>
          <w:bCs/>
        </w:rPr>
        <w:t>Двустранни програми за трансгранично сътрудничество по външните граници на Европейския съюз 2021 – 2027 г.</w:t>
      </w:r>
    </w:p>
    <w:p w:rsidR="001F4DE8" w:rsidRPr="00610961" w:rsidRDefault="001F4DE8" w:rsidP="001F4DE8">
      <w:pPr>
        <w:spacing w:before="120"/>
        <w:ind w:firstLine="686"/>
        <w:jc w:val="both"/>
        <w:rPr>
          <w:bCs/>
        </w:rPr>
      </w:pPr>
      <w:r w:rsidRPr="00610961">
        <w:rPr>
          <w:bCs/>
        </w:rPr>
        <w:t>Получените средства към 31.03.2026 г. са на стойност 1</w:t>
      </w:r>
      <w:r>
        <w:rPr>
          <w:bCs/>
        </w:rPr>
        <w:t>,</w:t>
      </w:r>
      <w:r w:rsidRPr="00610961">
        <w:rPr>
          <w:bCs/>
        </w:rPr>
        <w:t xml:space="preserve">6 млн. евро, представляващи постъпили средства от ЕК и средства за съфинансиране от страните-партньори, както </w:t>
      </w:r>
      <w:r>
        <w:rPr>
          <w:bCs/>
        </w:rPr>
        <w:t xml:space="preserve">и </w:t>
      </w:r>
      <w:r w:rsidRPr="00610961">
        <w:rPr>
          <w:bCs/>
        </w:rPr>
        <w:t>разпределени към администратори в чужбина за сметка на средствата, получени от страната-партньор.</w:t>
      </w:r>
    </w:p>
    <w:p w:rsidR="001F4DE8" w:rsidRPr="00610961" w:rsidRDefault="001F4DE8" w:rsidP="001F4DE8">
      <w:pPr>
        <w:ind w:firstLine="686"/>
        <w:jc w:val="both"/>
        <w:rPr>
          <w:b/>
          <w:bCs/>
        </w:rPr>
      </w:pPr>
      <w:r w:rsidRPr="00610961">
        <w:rPr>
          <w:bCs/>
        </w:rPr>
        <w:t>Сумата на разходите и трансферите (нето) към бюджетни организации в страната, които са направени през същия период по двустранните програми са на обща стойност 3</w:t>
      </w:r>
      <w:r>
        <w:rPr>
          <w:bCs/>
        </w:rPr>
        <w:t>,</w:t>
      </w:r>
      <w:r w:rsidRPr="00610961">
        <w:rPr>
          <w:bCs/>
        </w:rPr>
        <w:t xml:space="preserve">3 млн. евро, включително за плащания към бенефициенти в страната, извършени за сметка на полученото финансиране от страната-партньор по тези програми. </w:t>
      </w:r>
    </w:p>
    <w:p w:rsidR="001F4DE8" w:rsidRPr="00610961" w:rsidRDefault="001F4DE8" w:rsidP="001F4DE8">
      <w:pPr>
        <w:spacing w:before="120"/>
        <w:ind w:firstLine="686"/>
        <w:jc w:val="both"/>
        <w:rPr>
          <w:b/>
          <w:bCs/>
        </w:rPr>
      </w:pPr>
      <w:r w:rsidRPr="00610961">
        <w:rPr>
          <w:b/>
          <w:bCs/>
        </w:rPr>
        <w:t>Финансов механизъм на Европейското икономическо пространство и Норвежки финансов механизъм за периода 2021-2028 г.</w:t>
      </w:r>
    </w:p>
    <w:p w:rsidR="001F4DE8" w:rsidRPr="00200319" w:rsidRDefault="001F4DE8" w:rsidP="001F4DE8">
      <w:pPr>
        <w:spacing w:before="120"/>
        <w:ind w:firstLine="708"/>
        <w:jc w:val="both"/>
        <w:rPr>
          <w:b/>
          <w:bCs/>
        </w:rPr>
      </w:pPr>
      <w:r w:rsidRPr="00200319">
        <w:rPr>
          <w:bCs/>
        </w:rPr>
        <w:t>Получените средства към 31.03.2026 г. са в размер на 0</w:t>
      </w:r>
      <w:r>
        <w:rPr>
          <w:bCs/>
        </w:rPr>
        <w:t>,</w:t>
      </w:r>
      <w:r w:rsidRPr="00200319">
        <w:rPr>
          <w:bCs/>
        </w:rPr>
        <w:t>5 млн. евро.</w:t>
      </w:r>
    </w:p>
    <w:p w:rsidR="001F4DE8" w:rsidRPr="00200319" w:rsidRDefault="001F4DE8" w:rsidP="001F4DE8">
      <w:pPr>
        <w:spacing w:before="120"/>
        <w:ind w:firstLine="708"/>
        <w:jc w:val="both"/>
        <w:rPr>
          <w:b/>
          <w:bCs/>
        </w:rPr>
      </w:pPr>
      <w:r w:rsidRPr="00200319">
        <w:rPr>
          <w:b/>
          <w:bCs/>
        </w:rPr>
        <w:t>Швейцарско-българската програма за сътрудничество (ШБПС)</w:t>
      </w:r>
    </w:p>
    <w:p w:rsidR="001F4DE8" w:rsidRPr="00200319" w:rsidRDefault="001F4DE8" w:rsidP="001F4DE8">
      <w:pPr>
        <w:spacing w:before="120"/>
        <w:jc w:val="both"/>
        <w:rPr>
          <w:bCs/>
        </w:rPr>
      </w:pPr>
      <w:r w:rsidRPr="00200319">
        <w:rPr>
          <w:bCs/>
        </w:rPr>
        <w:t>Получените средства към 31.03.2026 г. са в размер на 0</w:t>
      </w:r>
      <w:r>
        <w:rPr>
          <w:bCs/>
        </w:rPr>
        <w:t>,</w:t>
      </w:r>
      <w:r w:rsidRPr="00200319">
        <w:rPr>
          <w:bCs/>
        </w:rPr>
        <w:t>1 млн. евро.</w:t>
      </w:r>
    </w:p>
    <w:p w:rsidR="001F4DE8" w:rsidRPr="00200319" w:rsidRDefault="001F4DE8" w:rsidP="001F4DE8">
      <w:pPr>
        <w:spacing w:before="120"/>
        <w:jc w:val="both"/>
        <w:rPr>
          <w:bCs/>
        </w:rPr>
      </w:pPr>
      <w:r w:rsidRPr="00200319">
        <w:rPr>
          <w:bCs/>
        </w:rPr>
        <w:t>Сумата на разходите и трансферите (нето) за периода са на обща стойност 0</w:t>
      </w:r>
      <w:r>
        <w:rPr>
          <w:bCs/>
        </w:rPr>
        <w:t>,</w:t>
      </w:r>
      <w:r w:rsidRPr="00200319">
        <w:rPr>
          <w:bCs/>
        </w:rPr>
        <w:t>1 млн. евро.</w:t>
      </w:r>
    </w:p>
    <w:p w:rsidR="001F4DE8" w:rsidRPr="00200319" w:rsidRDefault="001F4DE8" w:rsidP="001F4DE8">
      <w:pPr>
        <w:spacing w:before="120"/>
        <w:ind w:firstLine="686"/>
        <w:jc w:val="both"/>
        <w:rPr>
          <w:b/>
          <w:bCs/>
        </w:rPr>
      </w:pPr>
      <w:r w:rsidRPr="00200319">
        <w:rPr>
          <w:b/>
          <w:bCs/>
        </w:rPr>
        <w:t xml:space="preserve">Програма САПАРД </w:t>
      </w:r>
    </w:p>
    <w:p w:rsidR="001F4DE8" w:rsidRPr="00200319" w:rsidRDefault="001F4DE8" w:rsidP="001F4DE8">
      <w:pPr>
        <w:pStyle w:val="Header"/>
        <w:tabs>
          <w:tab w:val="clear" w:pos="4153"/>
          <w:tab w:val="clear" w:pos="8306"/>
        </w:tabs>
        <w:ind w:right="277" w:firstLine="567"/>
        <w:jc w:val="both"/>
        <w:rPr>
          <w:bCs/>
        </w:rPr>
      </w:pPr>
      <w:r w:rsidRPr="0097792A">
        <w:rPr>
          <w:bCs/>
          <w:lang w:val="ru-RU"/>
        </w:rPr>
        <w:t xml:space="preserve">  </w:t>
      </w:r>
      <w:r w:rsidRPr="00200319">
        <w:rPr>
          <w:bCs/>
        </w:rPr>
        <w:t>През периода са извършени възстановявания от бенефициенти по дългове на стойност 0</w:t>
      </w:r>
      <w:r>
        <w:rPr>
          <w:bCs/>
        </w:rPr>
        <w:t>,</w:t>
      </w:r>
      <w:r w:rsidRPr="0097792A">
        <w:rPr>
          <w:bCs/>
          <w:lang w:val="ru-RU"/>
        </w:rPr>
        <w:t>0</w:t>
      </w:r>
      <w:r w:rsidRPr="00200319">
        <w:rPr>
          <w:bCs/>
        </w:rPr>
        <w:t>02 млн. евро.</w:t>
      </w:r>
    </w:p>
    <w:p w:rsidR="00F86B8F" w:rsidRPr="00556D80" w:rsidRDefault="00F86B8F" w:rsidP="00BC364F">
      <w:pPr>
        <w:pStyle w:val="Heading1"/>
        <w:numPr>
          <w:ilvl w:val="0"/>
          <w:numId w:val="8"/>
        </w:numPr>
        <w:spacing w:before="360"/>
        <w:ind w:right="-108"/>
        <w:jc w:val="both"/>
        <w:rPr>
          <w:sz w:val="24"/>
        </w:rPr>
      </w:pPr>
      <w:r w:rsidRPr="00556D80">
        <w:rPr>
          <w:sz w:val="24"/>
        </w:rPr>
        <w:t xml:space="preserve">Бюджети на социално и здравноосигурителните </w:t>
      </w:r>
      <w:r w:rsidR="00BC364F" w:rsidRPr="00556D80">
        <w:rPr>
          <w:sz w:val="24"/>
        </w:rPr>
        <w:t>фондове, общинските и други автономни бюджети</w:t>
      </w:r>
    </w:p>
    <w:p w:rsidR="00F86B8F" w:rsidRPr="00556D80" w:rsidRDefault="00F86B8F" w:rsidP="00F86B8F">
      <w:pPr>
        <w:pStyle w:val="Heading1"/>
        <w:numPr>
          <w:ilvl w:val="1"/>
          <w:numId w:val="8"/>
        </w:numPr>
        <w:spacing w:before="240"/>
        <w:ind w:left="788" w:right="-108" w:hanging="431"/>
        <w:jc w:val="both"/>
        <w:rPr>
          <w:sz w:val="24"/>
        </w:rPr>
      </w:pPr>
      <w:r w:rsidRPr="00556D80">
        <w:rPr>
          <w:sz w:val="24"/>
        </w:rPr>
        <w:t>Социално и здравноосигурителни фондове</w:t>
      </w:r>
    </w:p>
    <w:p w:rsidR="00F86B8F" w:rsidRPr="00556D80" w:rsidRDefault="00F86B8F" w:rsidP="00F86B8F">
      <w:pPr>
        <w:numPr>
          <w:ilvl w:val="1"/>
          <w:numId w:val="5"/>
        </w:numPr>
        <w:spacing w:before="240" w:line="276" w:lineRule="auto"/>
        <w:ind w:left="992" w:hanging="357"/>
        <w:jc w:val="both"/>
        <w:rPr>
          <w:b/>
          <w:bCs/>
        </w:rPr>
      </w:pPr>
      <w:r w:rsidRPr="00556D80">
        <w:rPr>
          <w:b/>
        </w:rPr>
        <w:t>Държавно обществено осигуряване</w:t>
      </w:r>
    </w:p>
    <w:p w:rsidR="00306D28" w:rsidRPr="005915F5" w:rsidRDefault="00306D28" w:rsidP="00306D28">
      <w:pPr>
        <w:ind w:firstLine="567"/>
        <w:jc w:val="both"/>
        <w:rPr>
          <w:rFonts w:eastAsiaTheme="minorHAnsi"/>
        </w:rPr>
      </w:pPr>
      <w:r w:rsidRPr="00141AA6">
        <w:t xml:space="preserve">Общата сума на </w:t>
      </w:r>
      <w:r w:rsidRPr="00141AA6">
        <w:rPr>
          <w:b/>
        </w:rPr>
        <w:t>приходите, помощите и даренията</w:t>
      </w:r>
      <w:r w:rsidRPr="00141AA6">
        <w:t xml:space="preserve"> по бюджета на Държавното обществено осигуряване (ДОО) към 3</w:t>
      </w:r>
      <w:r w:rsidRPr="00141AA6">
        <w:rPr>
          <w:lang w:val="en-US"/>
        </w:rPr>
        <w:t>1</w:t>
      </w:r>
      <w:r w:rsidRPr="00141AA6">
        <w:t>.</w:t>
      </w:r>
      <w:r w:rsidRPr="00141AA6">
        <w:rPr>
          <w:lang w:val="en-US"/>
        </w:rPr>
        <w:t>03</w:t>
      </w:r>
      <w:r w:rsidRPr="00141AA6">
        <w:t>.202</w:t>
      </w:r>
      <w:r w:rsidRPr="00141AA6">
        <w:rPr>
          <w:lang w:val="en-US"/>
        </w:rPr>
        <w:t>6</w:t>
      </w:r>
      <w:r w:rsidRPr="00141AA6">
        <w:t xml:space="preserve"> г. възлиза на </w:t>
      </w:r>
      <w:r w:rsidRPr="00141AA6">
        <w:rPr>
          <w:lang w:val="en-US"/>
        </w:rPr>
        <w:t>2</w:t>
      </w:r>
      <w:r w:rsidRPr="00141AA6">
        <w:rPr>
          <w:lang w:val="ru-RU"/>
        </w:rPr>
        <w:t xml:space="preserve"> </w:t>
      </w:r>
      <w:r w:rsidRPr="00141AA6">
        <w:rPr>
          <w:lang w:val="en-US"/>
        </w:rPr>
        <w:t>018</w:t>
      </w:r>
      <w:r w:rsidRPr="00141AA6">
        <w:t>,</w:t>
      </w:r>
      <w:r w:rsidRPr="00141AA6">
        <w:rPr>
          <w:lang w:val="en-US"/>
        </w:rPr>
        <w:t>7</w:t>
      </w:r>
      <w:r w:rsidRPr="00141AA6">
        <w:t xml:space="preserve"> млн. </w:t>
      </w:r>
      <w:r w:rsidR="00C8459A">
        <w:t>евро</w:t>
      </w:r>
      <w:r w:rsidRPr="00141AA6">
        <w:t xml:space="preserve">. Съпоставени </w:t>
      </w:r>
      <w:r w:rsidRPr="005915F5">
        <w:t>с първото тримесечие на 202</w:t>
      </w:r>
      <w:r w:rsidRPr="005915F5">
        <w:rPr>
          <w:lang w:val="en-US"/>
        </w:rPr>
        <w:t>5</w:t>
      </w:r>
      <w:r w:rsidRPr="005915F5">
        <w:t xml:space="preserve"> г., приходите по бюджета на ДОО нарастват с</w:t>
      </w:r>
      <w:r w:rsidRPr="005915F5">
        <w:rPr>
          <w:lang w:val="ru-RU"/>
        </w:rPr>
        <w:t xml:space="preserve"> </w:t>
      </w:r>
      <w:r w:rsidRPr="005915F5">
        <w:rPr>
          <w:lang w:val="en-US"/>
        </w:rPr>
        <w:t>2</w:t>
      </w:r>
      <w:r w:rsidRPr="005915F5">
        <w:t>91</w:t>
      </w:r>
      <w:r w:rsidRPr="005915F5">
        <w:rPr>
          <w:lang w:val="ru-RU"/>
        </w:rPr>
        <w:t>,2</w:t>
      </w:r>
      <w:r w:rsidRPr="005915F5">
        <w:t xml:space="preserve"> млн. </w:t>
      </w:r>
      <w:r w:rsidR="00C8459A" w:rsidRPr="00C8459A">
        <w:t>евро</w:t>
      </w:r>
      <w:r w:rsidRPr="005915F5">
        <w:t xml:space="preserve"> (16,9 %). Най-голям е делът на приходите от осигурителни вноски (98,2 % от общите приходи), като за отчетния период те са в размер на 1 981,7 млн. </w:t>
      </w:r>
      <w:r w:rsidR="00C8459A" w:rsidRPr="00C8459A">
        <w:t>евро</w:t>
      </w:r>
      <w:r w:rsidRPr="005915F5">
        <w:t>.</w:t>
      </w:r>
    </w:p>
    <w:p w:rsidR="00306D28" w:rsidRPr="005915F5" w:rsidRDefault="00306D28" w:rsidP="00306D28">
      <w:pPr>
        <w:ind w:firstLine="567"/>
        <w:jc w:val="both"/>
        <w:rPr>
          <w:bCs/>
        </w:rPr>
      </w:pPr>
      <w:r w:rsidRPr="005915F5">
        <w:rPr>
          <w:bCs/>
        </w:rPr>
        <w:t xml:space="preserve">Отчетените неданъчни приходи за първото тримесечие на 2026 г. по бюджета на ДОО възлизат на 36,9 млн. </w:t>
      </w:r>
      <w:r w:rsidR="00B267BB" w:rsidRPr="00B267BB">
        <w:rPr>
          <w:bCs/>
        </w:rPr>
        <w:t>евро</w:t>
      </w:r>
      <w:r w:rsidRPr="005915F5">
        <w:rPr>
          <w:bCs/>
        </w:rPr>
        <w:t>, в т.</w:t>
      </w:r>
      <w:r w:rsidR="00C8459A">
        <w:rPr>
          <w:bCs/>
        </w:rPr>
        <w:t xml:space="preserve"> </w:t>
      </w:r>
      <w:r w:rsidRPr="005915F5">
        <w:rPr>
          <w:bCs/>
        </w:rPr>
        <w:t xml:space="preserve">ч. 34,8 млн. </w:t>
      </w:r>
      <w:r w:rsidR="00C8459A" w:rsidRPr="00C8459A">
        <w:rPr>
          <w:bCs/>
        </w:rPr>
        <w:t>евро</w:t>
      </w:r>
      <w:r w:rsidRPr="005915F5">
        <w:rPr>
          <w:bCs/>
        </w:rPr>
        <w:t xml:space="preserve"> постъпили средства по чл. 4б, чл. 4в и чл. 69б от Кодекса за социално осигуряване (КСО)</w:t>
      </w:r>
      <w:r w:rsidRPr="005915F5">
        <w:t>.</w:t>
      </w:r>
      <w:r w:rsidRPr="005915F5">
        <w:rPr>
          <w:bCs/>
        </w:rPr>
        <w:t xml:space="preserve"> </w:t>
      </w:r>
    </w:p>
    <w:p w:rsidR="00306D28" w:rsidRPr="00865D13" w:rsidRDefault="00306D28" w:rsidP="00306D28">
      <w:pPr>
        <w:ind w:firstLine="567"/>
        <w:jc w:val="both"/>
        <w:rPr>
          <w:bCs/>
        </w:rPr>
      </w:pPr>
      <w:r w:rsidRPr="005915F5">
        <w:rPr>
          <w:bCs/>
        </w:rPr>
        <w:t xml:space="preserve">Получените трансфери от централния бюджет (вкл. за поети осигурителни вноски) </w:t>
      </w:r>
      <w:r w:rsidRPr="00865D13">
        <w:rPr>
          <w:bCs/>
        </w:rPr>
        <w:t xml:space="preserve">за периода са </w:t>
      </w:r>
      <w:r w:rsidRPr="00865D13">
        <w:rPr>
          <w:bCs/>
          <w:lang w:val="en-US"/>
        </w:rPr>
        <w:t>1</w:t>
      </w:r>
      <w:r w:rsidRPr="00865D13">
        <w:rPr>
          <w:bCs/>
        </w:rPr>
        <w:t xml:space="preserve"> 633,3 млн. </w:t>
      </w:r>
      <w:r w:rsidR="00C8459A" w:rsidRPr="00C8459A">
        <w:rPr>
          <w:bCs/>
        </w:rPr>
        <w:t>евро</w:t>
      </w:r>
      <w:r w:rsidRPr="00865D13">
        <w:rPr>
          <w:bCs/>
        </w:rPr>
        <w:t>.</w:t>
      </w:r>
    </w:p>
    <w:p w:rsidR="00306D28" w:rsidRPr="00865D13" w:rsidRDefault="00306D28" w:rsidP="00306D28">
      <w:pPr>
        <w:tabs>
          <w:tab w:val="num" w:pos="1499"/>
          <w:tab w:val="num" w:pos="2148"/>
        </w:tabs>
        <w:ind w:firstLine="567"/>
        <w:jc w:val="both"/>
        <w:rPr>
          <w:bCs/>
        </w:rPr>
      </w:pPr>
      <w:r w:rsidRPr="00865D13">
        <w:rPr>
          <w:bCs/>
        </w:rPr>
        <w:t xml:space="preserve">Размерът на извършените </w:t>
      </w:r>
      <w:r w:rsidRPr="00865D13">
        <w:rPr>
          <w:b/>
          <w:bCs/>
        </w:rPr>
        <w:t xml:space="preserve">разходи </w:t>
      </w:r>
      <w:r w:rsidRPr="00865D13">
        <w:rPr>
          <w:bCs/>
        </w:rPr>
        <w:t xml:space="preserve">през първото тримесечие на 2026 г. по бюджета на ДОО е 3 587,5 млн. </w:t>
      </w:r>
      <w:r w:rsidR="00B267BB">
        <w:t>евро</w:t>
      </w:r>
      <w:r w:rsidRPr="00865D13">
        <w:rPr>
          <w:bCs/>
        </w:rPr>
        <w:t xml:space="preserve">. Спрямо същия период на предходната година общо разходите по бюджета на ДОО са с 288,0 млн. </w:t>
      </w:r>
      <w:r w:rsidR="00B267BB" w:rsidRPr="00B267BB">
        <w:rPr>
          <w:bCs/>
        </w:rPr>
        <w:t>евро</w:t>
      </w:r>
      <w:r w:rsidRPr="00865D13">
        <w:rPr>
          <w:bCs/>
        </w:rPr>
        <w:t xml:space="preserve"> (8,7 %) повеч</w:t>
      </w:r>
      <w:r w:rsidR="008867ED">
        <w:rPr>
          <w:bCs/>
        </w:rPr>
        <w:t>е</w:t>
      </w:r>
      <w:r w:rsidR="00AE7BC3">
        <w:rPr>
          <w:bCs/>
        </w:rPr>
        <w:t>.</w:t>
      </w:r>
      <w:r w:rsidRPr="00865D13">
        <w:rPr>
          <w:bCs/>
        </w:rPr>
        <w:t xml:space="preserve"> От структурна гледна точка най-голям относителен дял в общите разходи заемат разходите за пенсии, обезщетения и помощи, изплащани на основание КСО – общо 3 </w:t>
      </w:r>
      <w:r>
        <w:rPr>
          <w:bCs/>
        </w:rPr>
        <w:t>563</w:t>
      </w:r>
      <w:r w:rsidRPr="00865D13">
        <w:rPr>
          <w:bCs/>
        </w:rPr>
        <w:t>,</w:t>
      </w:r>
      <w:r>
        <w:rPr>
          <w:bCs/>
        </w:rPr>
        <w:t>2</w:t>
      </w:r>
      <w:r w:rsidRPr="00865D13">
        <w:rPr>
          <w:bCs/>
        </w:rPr>
        <w:t xml:space="preserve"> млн. </w:t>
      </w:r>
      <w:r w:rsidR="00B267BB" w:rsidRPr="00B267BB">
        <w:rPr>
          <w:bCs/>
        </w:rPr>
        <w:t>евро</w:t>
      </w:r>
      <w:r w:rsidRPr="00865D13">
        <w:rPr>
          <w:bCs/>
        </w:rPr>
        <w:t xml:space="preserve"> или 99,3 % от общия размер на разходите за отчетния период. </w:t>
      </w:r>
    </w:p>
    <w:p w:rsidR="00306D28" w:rsidRPr="00AA5454" w:rsidRDefault="00306D28" w:rsidP="00306D28">
      <w:pPr>
        <w:tabs>
          <w:tab w:val="num" w:pos="1499"/>
          <w:tab w:val="num" w:pos="2148"/>
        </w:tabs>
        <w:ind w:firstLine="567"/>
        <w:jc w:val="both"/>
        <w:rPr>
          <w:bCs/>
        </w:rPr>
      </w:pPr>
      <w:r w:rsidRPr="00865D13">
        <w:rPr>
          <w:bCs/>
        </w:rPr>
        <w:t xml:space="preserve">Отчетените разходи за </w:t>
      </w:r>
      <w:r w:rsidRPr="00865D13">
        <w:rPr>
          <w:b/>
          <w:bCs/>
          <w:i/>
        </w:rPr>
        <w:t>пенсии</w:t>
      </w:r>
      <w:r w:rsidRPr="00865D13">
        <w:rPr>
          <w:bCs/>
        </w:rPr>
        <w:t xml:space="preserve"> по бюджета на ДОО към 31.03.2026 г. възлизат на </w:t>
      </w:r>
      <w:r w:rsidRPr="00AF20C4">
        <w:rPr>
          <w:bCs/>
        </w:rPr>
        <w:t xml:space="preserve">3 216,0 млн. </w:t>
      </w:r>
      <w:r w:rsidR="00EB704A">
        <w:t>евро</w:t>
      </w:r>
      <w:r w:rsidRPr="00AF20C4">
        <w:rPr>
          <w:bCs/>
        </w:rPr>
        <w:t xml:space="preserve">, което е с 286,4 млн. </w:t>
      </w:r>
      <w:r w:rsidR="00EB704A">
        <w:t>евро</w:t>
      </w:r>
      <w:r w:rsidRPr="00AF20C4">
        <w:rPr>
          <w:bCs/>
        </w:rPr>
        <w:t xml:space="preserve"> повече спрямо същия период на 2025 г. Основните причини за това са изплащането през първото тримесечие на 2025  г. на осъвременените </w:t>
      </w:r>
      <w:r w:rsidRPr="00AA5454">
        <w:rPr>
          <w:bCs/>
        </w:rPr>
        <w:t>пенсии с 8,6 % от 1 юли 2024 г.</w:t>
      </w:r>
    </w:p>
    <w:p w:rsidR="00306D28" w:rsidRPr="00257E59" w:rsidRDefault="00306D28" w:rsidP="00306D28">
      <w:pPr>
        <w:tabs>
          <w:tab w:val="num" w:pos="1499"/>
          <w:tab w:val="num" w:pos="2148"/>
        </w:tabs>
        <w:ind w:firstLine="567"/>
        <w:jc w:val="both"/>
      </w:pPr>
      <w:r w:rsidRPr="00AA5454">
        <w:t xml:space="preserve">Отчетените разходи за </w:t>
      </w:r>
      <w:r w:rsidRPr="00AA5454">
        <w:rPr>
          <w:b/>
          <w:i/>
        </w:rPr>
        <w:t>краткосрочни обезщетения и помощи по КСО</w:t>
      </w:r>
      <w:r w:rsidRPr="00AA5454">
        <w:t xml:space="preserve"> са в размер на </w:t>
      </w:r>
      <w:r w:rsidRPr="00AA5454">
        <w:rPr>
          <w:lang w:val="en-US"/>
        </w:rPr>
        <w:t>347</w:t>
      </w:r>
      <w:r w:rsidRPr="00AA5454">
        <w:t>,</w:t>
      </w:r>
      <w:r w:rsidRPr="00AA5454">
        <w:rPr>
          <w:lang w:val="en-US"/>
        </w:rPr>
        <w:t>1</w:t>
      </w:r>
      <w:r w:rsidRPr="00AA5454">
        <w:t xml:space="preserve"> млн. евро. Спрямо същия период на миналата година изплатените обезщетения </w:t>
      </w:r>
      <w:r w:rsidRPr="00257E59">
        <w:t xml:space="preserve">по КСО са с 0,1 млн. </w:t>
      </w:r>
      <w:r w:rsidR="005F08B1" w:rsidRPr="005F08B1">
        <w:t>евро</w:t>
      </w:r>
      <w:r w:rsidRPr="00257E59">
        <w:t xml:space="preserve"> повеч</w:t>
      </w:r>
      <w:r w:rsidR="008867ED">
        <w:t>е</w:t>
      </w:r>
      <w:r w:rsidR="003F14E3">
        <w:t>.</w:t>
      </w:r>
      <w:r w:rsidRPr="00257E59">
        <w:t xml:space="preserve"> </w:t>
      </w:r>
    </w:p>
    <w:p w:rsidR="00306D28" w:rsidRPr="00257E59" w:rsidRDefault="00306D28" w:rsidP="00306D28">
      <w:pPr>
        <w:numPr>
          <w:ilvl w:val="1"/>
          <w:numId w:val="5"/>
        </w:numPr>
        <w:tabs>
          <w:tab w:val="num" w:pos="709"/>
          <w:tab w:val="left" w:pos="851"/>
          <w:tab w:val="left" w:pos="1134"/>
        </w:tabs>
        <w:spacing w:before="240" w:line="276" w:lineRule="auto"/>
        <w:ind w:left="709" w:hanging="357"/>
        <w:jc w:val="both"/>
        <w:rPr>
          <w:b/>
          <w:bCs/>
        </w:rPr>
      </w:pPr>
      <w:r w:rsidRPr="00257E59">
        <w:rPr>
          <w:b/>
          <w:bCs/>
        </w:rPr>
        <w:t>Национална здравноосигурителна каса</w:t>
      </w:r>
    </w:p>
    <w:p w:rsidR="00306D28" w:rsidRPr="00013834" w:rsidRDefault="00306D28" w:rsidP="00306D28">
      <w:pPr>
        <w:ind w:firstLine="567"/>
        <w:jc w:val="both"/>
        <w:rPr>
          <w:color w:val="0070C0"/>
        </w:rPr>
      </w:pPr>
      <w:r w:rsidRPr="00257E59">
        <w:t xml:space="preserve">Общият размер на събраните </w:t>
      </w:r>
      <w:r w:rsidRPr="00257E59">
        <w:rPr>
          <w:b/>
        </w:rPr>
        <w:t>приходи, помощи и дарения</w:t>
      </w:r>
      <w:r w:rsidRPr="00257E59">
        <w:t xml:space="preserve"> по бюджета на НЗОК за първото триме</w:t>
      </w:r>
      <w:r w:rsidRPr="00F45DFA">
        <w:t xml:space="preserve">сечие 2026 г. възлиза на 765,2 млн. </w:t>
      </w:r>
      <w:r w:rsidR="008867ED">
        <w:t>евро</w:t>
      </w:r>
      <w:r w:rsidRPr="00F45DFA">
        <w:t xml:space="preserve">, което е със 103,1 млн. </w:t>
      </w:r>
      <w:r w:rsidR="008867ED">
        <w:t>евро</w:t>
      </w:r>
      <w:r w:rsidRPr="00F45DFA">
        <w:t xml:space="preserve"> (15,6 %) повече в сравнение със същия период на предходната година. Постъпленията от здравноосигурителни вноски са в размер на 761,2 млн. </w:t>
      </w:r>
      <w:r w:rsidR="008867ED">
        <w:t>евро</w:t>
      </w:r>
      <w:r w:rsidRPr="00F45DFA">
        <w:t xml:space="preserve">, което е със 103,0 млн. </w:t>
      </w:r>
      <w:r w:rsidR="008867ED">
        <w:t>евро</w:t>
      </w:r>
      <w:r w:rsidR="00FA7989">
        <w:t xml:space="preserve"> повече спрямо отчетените </w:t>
      </w:r>
      <w:r w:rsidRPr="00F45DFA">
        <w:t xml:space="preserve">към 31.03.2025 г. Събраните неданъчни приходи към края на март 2026 г. са 4,0 млн. </w:t>
      </w:r>
      <w:r w:rsidR="008867ED">
        <w:t>евро</w:t>
      </w:r>
      <w:r w:rsidRPr="00F45DFA">
        <w:t xml:space="preserve">, като основната част от тях са приходи от глоби, санкции и наказателни лихви. </w:t>
      </w:r>
    </w:p>
    <w:p w:rsidR="00306D28" w:rsidRDefault="00306D28" w:rsidP="00306D28">
      <w:pPr>
        <w:ind w:firstLine="567"/>
        <w:jc w:val="both"/>
        <w:rPr>
          <w:color w:val="000000" w:themeColor="text1"/>
        </w:rPr>
      </w:pPr>
      <w:r w:rsidRPr="000775BF">
        <w:rPr>
          <w:color w:val="000000" w:themeColor="text1"/>
        </w:rPr>
        <w:t>Полученият трансфер от Министерството на здравеопазването за</w:t>
      </w:r>
      <w:r w:rsidRPr="000775BF">
        <w:rPr>
          <w:color w:val="000000" w:themeColor="text1"/>
          <w:szCs w:val="20"/>
        </w:rPr>
        <w:t xml:space="preserve"> финансиране на разходите за лекарствени продукти – ваксини и дейности по прилагането им за здравните дейности по чл. 82, ал. 2, т. 3 от Закона за здравето; за дейности за здравно неосигурени лица, включващи: комплексно диспансерно (амбулаторно) наблюдение при пациенти с кожно-венерически и психиатрични заболявания; интензивно лечение; дейности по чл. 82, ал. 1, т. 2 от ЗЗ, за сумите по чл. 37, ал. 6 от Закона за здравното осигуряване и за медицински изделия, помощни средства, приспособления и съоръжения за хората с увреждания извън обхвата на задължителното здравно осигуряване</w:t>
      </w:r>
      <w:r w:rsidRPr="000775BF">
        <w:rPr>
          <w:color w:val="000000" w:themeColor="text1"/>
        </w:rPr>
        <w:t xml:space="preserve"> </w:t>
      </w:r>
      <w:r w:rsidRPr="000775BF">
        <w:rPr>
          <w:color w:val="000000" w:themeColor="text1"/>
          <w:szCs w:val="20"/>
        </w:rPr>
        <w:t xml:space="preserve">за отчетния период e в размер на 24,1 </w:t>
      </w:r>
      <w:r w:rsidRPr="000775BF">
        <w:rPr>
          <w:color w:val="000000" w:themeColor="text1"/>
        </w:rPr>
        <w:t xml:space="preserve">млн. </w:t>
      </w:r>
      <w:r>
        <w:rPr>
          <w:color w:val="000000" w:themeColor="text1"/>
        </w:rPr>
        <w:t>евро</w:t>
      </w:r>
      <w:r w:rsidRPr="000775BF">
        <w:rPr>
          <w:color w:val="000000" w:themeColor="text1"/>
        </w:rPr>
        <w:t>.</w:t>
      </w:r>
    </w:p>
    <w:p w:rsidR="00306D28" w:rsidRPr="00C6395F" w:rsidRDefault="00306D28" w:rsidP="00306D28">
      <w:pPr>
        <w:ind w:firstLine="567"/>
        <w:jc w:val="both"/>
      </w:pPr>
      <w:r w:rsidRPr="00C6395F">
        <w:t>Получените трансфери от централния бюджет (вкл. за поети осигурителни вноски) за периода са 456,2 млн. е</w:t>
      </w:r>
      <w:r w:rsidR="00BB626A">
        <w:t>вро</w:t>
      </w:r>
      <w:r w:rsidRPr="00C6395F">
        <w:t xml:space="preserve">. </w:t>
      </w:r>
    </w:p>
    <w:p w:rsidR="00306D28" w:rsidRPr="009211FD" w:rsidRDefault="00306D28" w:rsidP="00306D28">
      <w:pPr>
        <w:ind w:firstLine="567"/>
        <w:jc w:val="both"/>
      </w:pPr>
      <w:r w:rsidRPr="00C6395F">
        <w:t xml:space="preserve">Отчетените </w:t>
      </w:r>
      <w:r w:rsidRPr="00C6395F">
        <w:rPr>
          <w:b/>
        </w:rPr>
        <w:t>разходи</w:t>
      </w:r>
      <w:r w:rsidRPr="00C6395F">
        <w:t xml:space="preserve"> към 31.03.2026 г. са в размер на 1 296,7 млн. </w:t>
      </w:r>
      <w:r w:rsidR="008867ED">
        <w:t>евро</w:t>
      </w:r>
      <w:r w:rsidRPr="00C6395F">
        <w:t xml:space="preserve"> и нарастват с </w:t>
      </w:r>
      <w:r w:rsidRPr="009211FD">
        <w:t>219,9</w:t>
      </w:r>
      <w:r w:rsidRPr="009211FD">
        <w:rPr>
          <w:lang w:val="en-US"/>
        </w:rPr>
        <w:t> </w:t>
      </w:r>
      <w:r w:rsidRPr="009211FD">
        <w:t xml:space="preserve">млн. </w:t>
      </w:r>
      <w:r w:rsidR="008867ED">
        <w:t>евро</w:t>
      </w:r>
      <w:r w:rsidRPr="009211FD">
        <w:t xml:space="preserve"> (20,4 %) спрямо същия период година. </w:t>
      </w:r>
    </w:p>
    <w:p w:rsidR="00306D28" w:rsidRPr="009211FD" w:rsidRDefault="00306D28" w:rsidP="00306D28">
      <w:pPr>
        <w:ind w:firstLine="567"/>
        <w:jc w:val="both"/>
      </w:pPr>
      <w:r w:rsidRPr="009211FD">
        <w:t xml:space="preserve">Най-голям относителен дял в общите разходи (97,2 %) заемат здравноосигурителните плащания, които възлизат на 1 260,3 млн. </w:t>
      </w:r>
      <w:r w:rsidR="00231ADE">
        <w:t>евро</w:t>
      </w:r>
      <w:r w:rsidRPr="009211FD">
        <w:t>. В отделните направления на здравноосигурителни плащания изпълнението на бюджета за първото тримесечие на 2026 г. е следното:</w:t>
      </w:r>
    </w:p>
    <w:p w:rsidR="00306D28" w:rsidRPr="000A167B" w:rsidRDefault="00306D28" w:rsidP="00306D28">
      <w:pPr>
        <w:numPr>
          <w:ilvl w:val="0"/>
          <w:numId w:val="11"/>
        </w:numPr>
        <w:tabs>
          <w:tab w:val="num" w:pos="0"/>
          <w:tab w:val="left" w:pos="720"/>
          <w:tab w:val="left" w:pos="1134"/>
        </w:tabs>
        <w:spacing w:before="120" w:line="276" w:lineRule="auto"/>
        <w:ind w:hanging="6169"/>
        <w:jc w:val="both"/>
        <w:rPr>
          <w:bCs/>
        </w:rPr>
      </w:pPr>
      <w:r w:rsidRPr="000A167B">
        <w:rPr>
          <w:b/>
          <w:i/>
        </w:rPr>
        <w:t>първична извънболнична медицинска помощ</w:t>
      </w:r>
      <w:r w:rsidRPr="000A167B">
        <w:rPr>
          <w:i/>
        </w:rPr>
        <w:t xml:space="preserve"> –</w:t>
      </w:r>
      <w:r w:rsidRPr="000A167B">
        <w:t xml:space="preserve"> 78,5 млн. евро;</w:t>
      </w:r>
      <w:r w:rsidRPr="000A167B">
        <w:rPr>
          <w:bCs/>
        </w:rPr>
        <w:t xml:space="preserve"> </w:t>
      </w:r>
    </w:p>
    <w:p w:rsidR="00306D28" w:rsidRPr="000A167B" w:rsidRDefault="00306D28" w:rsidP="00306D28">
      <w:pPr>
        <w:numPr>
          <w:ilvl w:val="0"/>
          <w:numId w:val="11"/>
        </w:numPr>
        <w:tabs>
          <w:tab w:val="num" w:pos="0"/>
          <w:tab w:val="left" w:pos="720"/>
          <w:tab w:val="left" w:pos="1134"/>
        </w:tabs>
        <w:spacing w:line="276" w:lineRule="auto"/>
        <w:ind w:hanging="6169"/>
        <w:jc w:val="both"/>
        <w:rPr>
          <w:i/>
        </w:rPr>
      </w:pPr>
      <w:r w:rsidRPr="000A167B">
        <w:rPr>
          <w:b/>
          <w:i/>
        </w:rPr>
        <w:t xml:space="preserve">специализирана извънболнична медицинска помощ </w:t>
      </w:r>
      <w:r w:rsidRPr="000A167B">
        <w:t xml:space="preserve"> – 76,1 млн. евро;</w:t>
      </w:r>
    </w:p>
    <w:p w:rsidR="00306D28" w:rsidRPr="000A167B" w:rsidRDefault="00306D28" w:rsidP="00306D28">
      <w:pPr>
        <w:numPr>
          <w:ilvl w:val="0"/>
          <w:numId w:val="11"/>
        </w:numPr>
        <w:tabs>
          <w:tab w:val="num" w:pos="0"/>
          <w:tab w:val="left" w:pos="720"/>
          <w:tab w:val="left" w:pos="1134"/>
        </w:tabs>
        <w:spacing w:line="276" w:lineRule="auto"/>
        <w:ind w:hanging="6169"/>
        <w:jc w:val="both"/>
        <w:rPr>
          <w:b/>
        </w:rPr>
      </w:pPr>
      <w:r w:rsidRPr="000A167B">
        <w:rPr>
          <w:b/>
          <w:i/>
        </w:rPr>
        <w:t xml:space="preserve">дентална помощ </w:t>
      </w:r>
      <w:r w:rsidRPr="000A167B">
        <w:rPr>
          <w:b/>
        </w:rPr>
        <w:t xml:space="preserve">– </w:t>
      </w:r>
      <w:r w:rsidRPr="000A167B">
        <w:t>66,9 млн. евро;</w:t>
      </w:r>
    </w:p>
    <w:p w:rsidR="00306D28" w:rsidRPr="000A167B" w:rsidRDefault="00306D28" w:rsidP="00306D28">
      <w:pPr>
        <w:numPr>
          <w:ilvl w:val="0"/>
          <w:numId w:val="11"/>
        </w:numPr>
        <w:tabs>
          <w:tab w:val="num" w:pos="0"/>
          <w:tab w:val="left" w:pos="720"/>
          <w:tab w:val="left" w:pos="1134"/>
        </w:tabs>
        <w:spacing w:line="276" w:lineRule="auto"/>
        <w:ind w:hanging="6169"/>
        <w:jc w:val="both"/>
        <w:rPr>
          <w:b/>
          <w:i/>
        </w:rPr>
      </w:pPr>
      <w:r w:rsidRPr="000A167B">
        <w:rPr>
          <w:b/>
          <w:i/>
        </w:rPr>
        <w:t xml:space="preserve">медико-диагностична дейност </w:t>
      </w:r>
      <w:r w:rsidRPr="000A167B">
        <w:rPr>
          <w:b/>
        </w:rPr>
        <w:t xml:space="preserve">– </w:t>
      </w:r>
      <w:r w:rsidRPr="000A167B">
        <w:t xml:space="preserve">38,4 млн. </w:t>
      </w:r>
      <w:r w:rsidR="00142540" w:rsidRPr="000A167B">
        <w:t>евро</w:t>
      </w:r>
      <w:r w:rsidRPr="000A167B">
        <w:t>;</w:t>
      </w:r>
      <w:r w:rsidRPr="000A167B">
        <w:rPr>
          <w:b/>
          <w:i/>
        </w:rPr>
        <w:t xml:space="preserve"> </w:t>
      </w:r>
    </w:p>
    <w:p w:rsidR="00306D28" w:rsidRPr="000A167B" w:rsidRDefault="00306D28" w:rsidP="00306D28">
      <w:pPr>
        <w:numPr>
          <w:ilvl w:val="0"/>
          <w:numId w:val="11"/>
        </w:numPr>
        <w:tabs>
          <w:tab w:val="num" w:pos="0"/>
          <w:tab w:val="left" w:pos="1134"/>
        </w:tabs>
        <w:spacing w:line="276" w:lineRule="auto"/>
        <w:ind w:left="1134" w:hanging="425"/>
        <w:jc w:val="both"/>
      </w:pPr>
      <w:r w:rsidRPr="000A167B">
        <w:rPr>
          <w:b/>
          <w:i/>
        </w:rPr>
        <w:t xml:space="preserve">лекарствени продукти, медицински изделия и диетични храни за домашно лечение на територията на страната  </w:t>
      </w:r>
      <w:r w:rsidRPr="00C45137">
        <w:rPr>
          <w:i/>
        </w:rPr>
        <w:t>-</w:t>
      </w:r>
      <w:r w:rsidRPr="000A167B">
        <w:rPr>
          <w:b/>
          <w:i/>
        </w:rPr>
        <w:t xml:space="preserve"> </w:t>
      </w:r>
      <w:r w:rsidRPr="000A167B">
        <w:t xml:space="preserve">221,5 млн. </w:t>
      </w:r>
      <w:r w:rsidR="008867ED">
        <w:t>евро</w:t>
      </w:r>
      <w:r w:rsidRPr="000A167B">
        <w:t>;</w:t>
      </w:r>
    </w:p>
    <w:p w:rsidR="00306D28" w:rsidRPr="000A167B" w:rsidRDefault="00306D28" w:rsidP="00306D28">
      <w:pPr>
        <w:numPr>
          <w:ilvl w:val="0"/>
          <w:numId w:val="11"/>
        </w:numPr>
        <w:tabs>
          <w:tab w:val="num" w:pos="0"/>
          <w:tab w:val="left" w:pos="1134"/>
          <w:tab w:val="num" w:pos="6096"/>
        </w:tabs>
        <w:spacing w:line="276" w:lineRule="auto"/>
        <w:ind w:left="1134" w:hanging="425"/>
        <w:jc w:val="both"/>
      </w:pPr>
      <w:r w:rsidRPr="000A167B">
        <w:rPr>
          <w:b/>
          <w:i/>
        </w:rPr>
        <w:t xml:space="preserve"> лекарствени продукти за лечение на злокачествени заболявания в условията на болнична медицинска помощ </w:t>
      </w:r>
      <w:r w:rsidRPr="000A167B">
        <w:t xml:space="preserve"> – 168,7 млн. евро;</w:t>
      </w:r>
    </w:p>
    <w:p w:rsidR="00306D28" w:rsidRPr="000A167B" w:rsidRDefault="00306D28" w:rsidP="00306D28">
      <w:pPr>
        <w:numPr>
          <w:ilvl w:val="0"/>
          <w:numId w:val="11"/>
        </w:numPr>
        <w:tabs>
          <w:tab w:val="num" w:pos="0"/>
          <w:tab w:val="left" w:pos="720"/>
          <w:tab w:val="num" w:pos="1134"/>
        </w:tabs>
        <w:spacing w:line="276" w:lineRule="auto"/>
        <w:ind w:left="1134" w:hanging="425"/>
        <w:jc w:val="both"/>
      </w:pPr>
      <w:r w:rsidRPr="000A167B">
        <w:rPr>
          <w:b/>
          <w:i/>
        </w:rPr>
        <w:t>медицински изделия, прилагани в болничната  помощ –</w:t>
      </w:r>
      <w:r w:rsidRPr="000A167B">
        <w:t xml:space="preserve"> 40,5 млн. евро;</w:t>
      </w:r>
    </w:p>
    <w:p w:rsidR="00306D28" w:rsidRPr="000A167B" w:rsidRDefault="00306D28" w:rsidP="00306D28">
      <w:pPr>
        <w:numPr>
          <w:ilvl w:val="0"/>
          <w:numId w:val="11"/>
        </w:numPr>
        <w:tabs>
          <w:tab w:val="num" w:pos="0"/>
          <w:tab w:val="left" w:pos="720"/>
          <w:tab w:val="left" w:pos="1134"/>
        </w:tabs>
        <w:spacing w:line="276" w:lineRule="auto"/>
        <w:ind w:hanging="6169"/>
        <w:jc w:val="both"/>
      </w:pPr>
      <w:r w:rsidRPr="000A167B">
        <w:rPr>
          <w:b/>
          <w:i/>
        </w:rPr>
        <w:t>болнична медицинска помощ –</w:t>
      </w:r>
      <w:r w:rsidRPr="000A167B">
        <w:t xml:space="preserve"> 536,5 млн. евро</w:t>
      </w:r>
      <w:r w:rsidR="00C45137" w:rsidRPr="000A167B">
        <w:t>;</w:t>
      </w:r>
      <w:r w:rsidRPr="000A167B">
        <w:tab/>
        <w:t xml:space="preserve"> </w:t>
      </w:r>
    </w:p>
    <w:p w:rsidR="00306D28" w:rsidRPr="000A167B" w:rsidRDefault="00306D28" w:rsidP="00306D28">
      <w:pPr>
        <w:numPr>
          <w:ilvl w:val="0"/>
          <w:numId w:val="11"/>
        </w:numPr>
        <w:tabs>
          <w:tab w:val="num" w:pos="0"/>
          <w:tab w:val="left" w:pos="720"/>
          <w:tab w:val="left" w:pos="1134"/>
        </w:tabs>
        <w:spacing w:line="276" w:lineRule="auto"/>
        <w:ind w:hanging="6169"/>
        <w:jc w:val="both"/>
      </w:pPr>
      <w:r w:rsidRPr="000A167B">
        <w:rPr>
          <w:b/>
          <w:i/>
        </w:rPr>
        <w:t xml:space="preserve">други здравноосигурителни плащания </w:t>
      </w:r>
      <w:r w:rsidRPr="000A167B">
        <w:t>– 33,2 млн. евро.</w:t>
      </w:r>
    </w:p>
    <w:p w:rsidR="00306D28" w:rsidRPr="00386004" w:rsidRDefault="00306D28" w:rsidP="00306D28">
      <w:pPr>
        <w:spacing w:before="120"/>
        <w:ind w:firstLine="567"/>
        <w:jc w:val="both"/>
      </w:pPr>
      <w:r w:rsidRPr="000775BF">
        <w:t xml:space="preserve">Като здравноосигурителни плащания следва да се третират и предоставените трансфери по договори за извършване на медицински услуги към бюджетни организации, в структурата на които има лечебни заведения по чл. 5 от Закона за </w:t>
      </w:r>
      <w:r w:rsidRPr="00386004">
        <w:t>лечебните заведения в размер на 27,3 млн. евро Заедно с предоставените трансфери, усвоените средства за здравноосигурителни плащания възлизат на 1 287,6 млн. евро.</w:t>
      </w:r>
    </w:p>
    <w:p w:rsidR="00306D28" w:rsidRPr="00386004" w:rsidRDefault="00306D28" w:rsidP="00306D28">
      <w:pPr>
        <w:ind w:firstLine="567"/>
        <w:jc w:val="both"/>
      </w:pPr>
      <w:r w:rsidRPr="00386004">
        <w:t xml:space="preserve">За периода са отчетени плащания в размер на 22,6 млн. </w:t>
      </w:r>
      <w:r w:rsidR="008867ED">
        <w:t>евро</w:t>
      </w:r>
      <w:r w:rsidRPr="00386004">
        <w:t xml:space="preserve"> за дейности за здравно неосигурени лица, лекарствени продукти, потребителска такса, медицински изделия за хората с увреждания и за лечение на лица до 18</w:t>
      </w:r>
      <w:r w:rsidRPr="00386004">
        <w:rPr>
          <w:lang w:val="ru-RU"/>
        </w:rPr>
        <w:t>-</w:t>
      </w:r>
      <w:r w:rsidRPr="00386004">
        <w:t>годишна възраст по чл.</w:t>
      </w:r>
      <w:r w:rsidRPr="00386004">
        <w:rPr>
          <w:lang w:val="ru-RU"/>
        </w:rPr>
        <w:t xml:space="preserve"> </w:t>
      </w:r>
      <w:r w:rsidRPr="00386004">
        <w:t>82, ал.</w:t>
      </w:r>
      <w:r w:rsidRPr="00386004">
        <w:rPr>
          <w:lang w:val="ru-RU"/>
        </w:rPr>
        <w:t xml:space="preserve"> </w:t>
      </w:r>
      <w:r w:rsidRPr="00386004">
        <w:t>1а, 3 и 6 от Закона за здравето и на лица над 18</w:t>
      </w:r>
      <w:r w:rsidRPr="00386004">
        <w:rPr>
          <w:lang w:val="ru-RU"/>
        </w:rPr>
        <w:t>-</w:t>
      </w:r>
      <w:r w:rsidRPr="00386004">
        <w:t>годишна възраст по чл.82, ал.1а и 6.</w:t>
      </w:r>
    </w:p>
    <w:p w:rsidR="00306D28" w:rsidRDefault="00306D28" w:rsidP="00306D28">
      <w:pPr>
        <w:ind w:firstLine="567"/>
        <w:jc w:val="both"/>
      </w:pPr>
      <w:r w:rsidRPr="00386004">
        <w:t xml:space="preserve">През първото тримесечие на годината са отчетени 13,8 млн. </w:t>
      </w:r>
      <w:r w:rsidR="008C2561" w:rsidRPr="008C2561">
        <w:t>евро</w:t>
      </w:r>
      <w:r w:rsidRPr="00386004">
        <w:t xml:space="preserve"> за административни разходи на институцията, които включват разходите за персонал, за текуща издръжка и лихвени плащания. Усвоените средства за административни разходи заемат 1,1 на сто в структурата на общите разходи за отчетния период. </w:t>
      </w:r>
    </w:p>
    <w:p w:rsidR="003C218F" w:rsidRPr="00060627" w:rsidRDefault="00CB29B4" w:rsidP="00457468">
      <w:pPr>
        <w:pStyle w:val="Heading1"/>
        <w:numPr>
          <w:ilvl w:val="1"/>
          <w:numId w:val="8"/>
        </w:numPr>
        <w:spacing w:before="240" w:after="120"/>
        <w:ind w:left="788" w:right="-108" w:hanging="431"/>
        <w:jc w:val="both"/>
        <w:rPr>
          <w:sz w:val="24"/>
        </w:rPr>
      </w:pPr>
      <w:r w:rsidRPr="00060627">
        <w:rPr>
          <w:sz w:val="24"/>
        </w:rPr>
        <w:t>Общински бюджети</w:t>
      </w:r>
    </w:p>
    <w:p w:rsidR="00D96192" w:rsidRPr="00060627" w:rsidRDefault="00D96192" w:rsidP="00C43E9D">
      <w:pPr>
        <w:numPr>
          <w:ilvl w:val="0"/>
          <w:numId w:val="19"/>
        </w:numPr>
        <w:tabs>
          <w:tab w:val="left" w:pos="851"/>
        </w:tabs>
        <w:spacing w:before="120" w:line="276" w:lineRule="auto"/>
        <w:ind w:left="533" w:firstLine="34"/>
        <w:jc w:val="both"/>
        <w:rPr>
          <w:b/>
        </w:rPr>
      </w:pPr>
      <w:r w:rsidRPr="00060627">
        <w:rPr>
          <w:b/>
        </w:rPr>
        <w:t>Приходи</w:t>
      </w:r>
    </w:p>
    <w:p w:rsidR="00843A4B" w:rsidRPr="00F810F2" w:rsidRDefault="00843A4B" w:rsidP="00843A4B">
      <w:pPr>
        <w:tabs>
          <w:tab w:val="center" w:pos="4153"/>
          <w:tab w:val="right" w:pos="8306"/>
        </w:tabs>
        <w:ind w:firstLine="567"/>
        <w:jc w:val="both"/>
        <w:rPr>
          <w:color w:val="0070C0"/>
        </w:rPr>
      </w:pPr>
      <w:r w:rsidRPr="002931ED">
        <w:rPr>
          <w:b/>
        </w:rPr>
        <w:t>Приходите</w:t>
      </w:r>
      <w:r w:rsidRPr="002931ED">
        <w:t xml:space="preserve"> по бюджетите на общините към </w:t>
      </w:r>
      <w:r w:rsidRPr="00F810F2">
        <w:t>31.03.2026 г.</w:t>
      </w:r>
      <w:r w:rsidRPr="002931ED">
        <w:t xml:space="preserve"> са в размер на </w:t>
      </w:r>
      <w:r w:rsidRPr="00F810F2">
        <w:rPr>
          <w:lang w:val="ru-RU"/>
        </w:rPr>
        <w:t>560</w:t>
      </w:r>
      <w:r w:rsidRPr="00F810F2">
        <w:t>,1</w:t>
      </w:r>
      <w:r w:rsidRPr="002931ED">
        <w:t xml:space="preserve"> </w:t>
      </w:r>
      <w:r>
        <w:t>млн. евро</w:t>
      </w:r>
      <w:r w:rsidRPr="002931ED">
        <w:t xml:space="preserve">, което </w:t>
      </w:r>
      <w:r w:rsidRPr="00F810F2">
        <w:rPr>
          <w:lang w:val="en-US"/>
        </w:rPr>
        <w:t xml:space="preserve">e </w:t>
      </w:r>
      <w:r w:rsidRPr="002931ED">
        <w:t xml:space="preserve">с </w:t>
      </w:r>
      <w:r w:rsidRPr="00F810F2">
        <w:rPr>
          <w:lang w:val="en-US"/>
        </w:rPr>
        <w:t>20</w:t>
      </w:r>
      <w:r w:rsidRPr="00F810F2">
        <w:t>,7</w:t>
      </w:r>
      <w:r w:rsidRPr="002931ED">
        <w:t xml:space="preserve"> </w:t>
      </w:r>
      <w:r>
        <w:t>млн. евро</w:t>
      </w:r>
      <w:r w:rsidRPr="002931ED">
        <w:rPr>
          <w:lang w:val="ru-RU"/>
        </w:rPr>
        <w:t xml:space="preserve"> </w:t>
      </w:r>
      <w:r w:rsidRPr="002931ED">
        <w:t xml:space="preserve">или с </w:t>
      </w:r>
      <w:r w:rsidRPr="00F810F2">
        <w:rPr>
          <w:lang w:val="en-US"/>
        </w:rPr>
        <w:t>3</w:t>
      </w:r>
      <w:r w:rsidRPr="00F810F2">
        <w:t>,8</w:t>
      </w:r>
      <w:r w:rsidRPr="002931ED">
        <w:t xml:space="preserve"> %  повече спрямо събраните за същия период на </w:t>
      </w:r>
      <w:r w:rsidRPr="00F810F2">
        <w:t xml:space="preserve">2025 г. </w:t>
      </w:r>
      <w:r w:rsidRPr="00F810F2">
        <w:rPr>
          <w:i/>
        </w:rPr>
        <w:t>Данъчните приходи</w:t>
      </w:r>
      <w:r w:rsidRPr="00F810F2">
        <w:t xml:space="preserve"> по общинските бюджети са в размер на 266,0 млн. евро или с 3,7 % повече спрямо тези за същия период на 2025 г. </w:t>
      </w:r>
      <w:r w:rsidRPr="00F810F2">
        <w:rPr>
          <w:i/>
        </w:rPr>
        <w:t>Неданъчните приходи</w:t>
      </w:r>
      <w:r w:rsidRPr="00F810F2">
        <w:t xml:space="preserve"> и </w:t>
      </w:r>
      <w:r w:rsidRPr="00F810F2">
        <w:rPr>
          <w:i/>
        </w:rPr>
        <w:t>помощите</w:t>
      </w:r>
      <w:r w:rsidRPr="00F810F2">
        <w:t xml:space="preserve"> к</w:t>
      </w:r>
      <w:r>
        <w:t>ъм 31.03.2026 г. възлизат на 294,1 млн. евро или с 11,2</w:t>
      </w:r>
      <w:r w:rsidRPr="00F810F2">
        <w:t xml:space="preserve"> млн. евро повече спрямо същия период на предходната година.</w:t>
      </w:r>
      <w:r w:rsidRPr="002931ED">
        <w:t xml:space="preserve"> </w:t>
      </w:r>
      <w:r w:rsidRPr="00F810F2">
        <w:t>От имуществени данъци в общинските бюджети към 31.03.2026 г. са постъпили 263,1</w:t>
      </w:r>
      <w:r w:rsidR="007E6365">
        <w:t> </w:t>
      </w:r>
      <w:r w:rsidRPr="00F810F2">
        <w:t>млн. евро, което представлява ръст от 3,7 % спрямо същия период на миналата година. С най-значителен дял в приходите от имуществени данъци е данъкът върху превозните средства – 37,7</w:t>
      </w:r>
      <w:r>
        <w:rPr>
          <w:lang w:val="en-US"/>
        </w:rPr>
        <w:t> </w:t>
      </w:r>
      <w:r w:rsidRPr="00F810F2">
        <w:t>%, следван от данъкът върху придобиването на имущество по д</w:t>
      </w:r>
      <w:r>
        <w:t>арения и възмезден начин – 32,4 </w:t>
      </w:r>
      <w:r w:rsidRPr="00F810F2">
        <w:t xml:space="preserve">%, данъкът върху недвижимите имоти – 28,6 % и туристическият данък – 1,3 %. Към 31.03.2026 г. по бюджетите на общините са постъпили </w:t>
      </w:r>
      <w:r>
        <w:rPr>
          <w:lang w:val="en-US"/>
        </w:rPr>
        <w:t>3</w:t>
      </w:r>
      <w:r>
        <w:t>,0</w:t>
      </w:r>
      <w:r w:rsidRPr="00F810F2">
        <w:t xml:space="preserve"> млн. евро от патентен данък и данък върху таксиметров превоз на пътници.</w:t>
      </w:r>
    </w:p>
    <w:p w:rsidR="00843A4B" w:rsidRPr="00F810F2" w:rsidRDefault="00843A4B" w:rsidP="00843A4B">
      <w:pPr>
        <w:tabs>
          <w:tab w:val="center" w:pos="4153"/>
          <w:tab w:val="right" w:pos="8306"/>
        </w:tabs>
        <w:ind w:firstLine="567"/>
        <w:jc w:val="both"/>
      </w:pPr>
      <w:r w:rsidRPr="00F810F2">
        <w:t>Общият размер на неданъчните приходи, постъпили по местните бюджети към 31.03.2026</w:t>
      </w:r>
      <w:r>
        <w:rPr>
          <w:lang w:val="en-US"/>
        </w:rPr>
        <w:t> </w:t>
      </w:r>
      <w:r>
        <w:t>г., е 291,2</w:t>
      </w:r>
      <w:r w:rsidRPr="00F810F2">
        <w:t xml:space="preserve"> млн. евро. Най-голям относителен дял в неданъчните приходи в общинските бюджети заемат приходите от общински </w:t>
      </w:r>
      <w:r>
        <w:t>такси (186,8 млн. евро) или 64,1</w:t>
      </w:r>
      <w:r w:rsidRPr="00F810F2">
        <w:t xml:space="preserve"> %, следват приходите и доходите от собственост (51,2 млн. евро) – 17,6 %, постъпленията от продажба на нефинансови активи (24,3</w:t>
      </w:r>
      <w:r w:rsidR="00B50F32">
        <w:t> </w:t>
      </w:r>
      <w:r w:rsidRPr="00F810F2">
        <w:t>млн. евро) – 8,3 %, приходите от</w:t>
      </w:r>
      <w:r>
        <w:t xml:space="preserve"> концесии (20,8 млн. евро) – 7,1</w:t>
      </w:r>
      <w:r w:rsidRPr="00F810F2">
        <w:t xml:space="preserve"> %, постъпленията от глоби, санкции и наказателни лихви (11,8 млн. евро) – 4,</w:t>
      </w:r>
      <w:r>
        <w:t>0 % и други неданъчни приходи (4,2 млн. евро) – 1,5</w:t>
      </w:r>
      <w:r w:rsidRPr="00F810F2">
        <w:t xml:space="preserve"> %. Съпоставени със същия период на предходната 2025 г. постъпленията </w:t>
      </w:r>
      <w:r>
        <w:t>от неданъчни приходи са със 10,8</w:t>
      </w:r>
      <w:r w:rsidRPr="00F810F2">
        <w:t xml:space="preserve"> млн. евро повече, като се наблюдава ръст във всички неданъчни приходи. </w:t>
      </w:r>
    </w:p>
    <w:p w:rsidR="00843A4B" w:rsidRDefault="00843A4B" w:rsidP="00843A4B">
      <w:pPr>
        <w:tabs>
          <w:tab w:val="center" w:pos="4153"/>
          <w:tab w:val="right" w:pos="8306"/>
        </w:tabs>
        <w:ind w:firstLine="567"/>
        <w:jc w:val="both"/>
        <w:rPr>
          <w:lang w:eastAsia="bg-BG"/>
        </w:rPr>
      </w:pPr>
      <w:r w:rsidRPr="00F810F2">
        <w:t>Към 31.03.2026 г. по общинските бюджети са постъпили 2,9 млн. евро приходи от помощи и дарения, които са с 0,4 млн. евро повече спрямо размера им за същия период на миналата година.</w:t>
      </w:r>
      <w:r w:rsidRPr="00F810F2">
        <w:rPr>
          <w:lang w:eastAsia="bg-BG"/>
        </w:rPr>
        <w:t xml:space="preserve"> </w:t>
      </w:r>
    </w:p>
    <w:p w:rsidR="00483B4A" w:rsidRPr="002931ED" w:rsidRDefault="00483B4A" w:rsidP="00843A4B">
      <w:pPr>
        <w:tabs>
          <w:tab w:val="center" w:pos="4153"/>
          <w:tab w:val="right" w:pos="8306"/>
        </w:tabs>
        <w:ind w:firstLine="567"/>
        <w:jc w:val="both"/>
        <w:rPr>
          <w:color w:val="0070C0"/>
        </w:rPr>
      </w:pPr>
    </w:p>
    <w:p w:rsidR="00843A4B" w:rsidRPr="002931ED" w:rsidRDefault="00843A4B" w:rsidP="00843A4B">
      <w:pPr>
        <w:numPr>
          <w:ilvl w:val="0"/>
          <w:numId w:val="19"/>
        </w:numPr>
        <w:tabs>
          <w:tab w:val="left" w:pos="851"/>
        </w:tabs>
        <w:spacing w:before="120" w:line="276" w:lineRule="auto"/>
        <w:ind w:left="533" w:firstLine="34"/>
        <w:jc w:val="both"/>
        <w:rPr>
          <w:b/>
        </w:rPr>
      </w:pPr>
      <w:r w:rsidRPr="002931ED">
        <w:rPr>
          <w:b/>
        </w:rPr>
        <w:t>Разходи</w:t>
      </w:r>
    </w:p>
    <w:p w:rsidR="00843A4B" w:rsidRPr="002931ED" w:rsidRDefault="00843A4B" w:rsidP="00843A4B">
      <w:pPr>
        <w:ind w:firstLine="533"/>
        <w:jc w:val="both"/>
        <w:rPr>
          <w:color w:val="0070C0"/>
        </w:rPr>
      </w:pPr>
      <w:r w:rsidRPr="002931ED">
        <w:t xml:space="preserve">Към </w:t>
      </w:r>
      <w:r w:rsidRPr="00F810F2">
        <w:t>31.03.2026 г.</w:t>
      </w:r>
      <w:r w:rsidRPr="002931ED">
        <w:t xml:space="preserve"> общините са отчели общо </w:t>
      </w:r>
      <w:r w:rsidRPr="002931ED">
        <w:rPr>
          <w:b/>
        </w:rPr>
        <w:t>разходи</w:t>
      </w:r>
      <w:r w:rsidRPr="002931ED">
        <w:t xml:space="preserve"> в размер на </w:t>
      </w:r>
      <w:r w:rsidRPr="00F810F2">
        <w:rPr>
          <w:lang w:val="en-US"/>
        </w:rPr>
        <w:t>2</w:t>
      </w:r>
      <w:r w:rsidRPr="002931ED">
        <w:t> </w:t>
      </w:r>
      <w:r w:rsidRPr="00F810F2">
        <w:rPr>
          <w:lang w:val="en-US"/>
        </w:rPr>
        <w:t>006</w:t>
      </w:r>
      <w:r w:rsidRPr="002931ED">
        <w:t>,</w:t>
      </w:r>
      <w:r w:rsidRPr="00F810F2">
        <w:rPr>
          <w:lang w:val="ru-RU"/>
        </w:rPr>
        <w:t>2</w:t>
      </w:r>
      <w:r w:rsidRPr="002931ED">
        <w:rPr>
          <w:lang w:val="ru-RU"/>
        </w:rPr>
        <w:t xml:space="preserve"> </w:t>
      </w:r>
      <w:r w:rsidRPr="00F810F2">
        <w:t>млн. евро</w:t>
      </w:r>
      <w:r w:rsidRPr="002931ED">
        <w:t>, включително за сметка на пре</w:t>
      </w:r>
      <w:r w:rsidRPr="00165A8A">
        <w:t xml:space="preserve">доставени допълнителни трансфери главно от държавния бюджет, </w:t>
      </w:r>
      <w:r w:rsidRPr="00165A8A">
        <w:rPr>
          <w:lang w:val="en-US"/>
        </w:rPr>
        <w:t xml:space="preserve"> </w:t>
      </w:r>
      <w:r w:rsidRPr="00165A8A">
        <w:t xml:space="preserve">което е с </w:t>
      </w:r>
      <w:r w:rsidRPr="00165A8A">
        <w:rPr>
          <w:lang w:val="ru-RU"/>
        </w:rPr>
        <w:t xml:space="preserve">551,3 </w:t>
      </w:r>
      <w:r w:rsidRPr="00165A8A">
        <w:t>млн. евро повече спрямо същия период на миналата година</w:t>
      </w:r>
      <w:r w:rsidRPr="00165A8A">
        <w:rPr>
          <w:lang w:val="ru-RU"/>
        </w:rPr>
        <w:t xml:space="preserve">. </w:t>
      </w:r>
      <w:r w:rsidRPr="00165A8A">
        <w:rPr>
          <w:i/>
        </w:rPr>
        <w:t>Нелихвените разходи</w:t>
      </w:r>
      <w:r w:rsidRPr="00165A8A">
        <w:t xml:space="preserve"> възлизат на </w:t>
      </w:r>
      <w:r w:rsidRPr="00165A8A">
        <w:rPr>
          <w:lang w:val="ru-RU" w:eastAsia="bg-BG"/>
        </w:rPr>
        <w:t>1 998</w:t>
      </w:r>
      <w:r w:rsidRPr="00165A8A">
        <w:rPr>
          <w:lang w:eastAsia="bg-BG"/>
        </w:rPr>
        <w:t>,9</w:t>
      </w:r>
      <w:r w:rsidRPr="00165A8A">
        <w:rPr>
          <w:lang w:val="ru-RU" w:eastAsia="bg-BG"/>
        </w:rPr>
        <w:t xml:space="preserve"> </w:t>
      </w:r>
      <w:r w:rsidRPr="00165A8A">
        <w:t>млн. евро.</w:t>
      </w:r>
      <w:r w:rsidRPr="00165A8A">
        <w:rPr>
          <w:lang w:val="ru-RU"/>
        </w:rPr>
        <w:t xml:space="preserve"> С най-голям относителен дял са</w:t>
      </w:r>
      <w:r w:rsidRPr="00165A8A">
        <w:t xml:space="preserve"> разходите за персонал (</w:t>
      </w:r>
      <w:r w:rsidRPr="00165A8A">
        <w:rPr>
          <w:bCs/>
        </w:rPr>
        <w:t>заплати и възнаграждения, други възнаграждения и плащания за персонала и осигурителни вноски), които</w:t>
      </w:r>
      <w:r w:rsidRPr="00165A8A">
        <w:t xml:space="preserve"> са в размер на </w:t>
      </w:r>
      <w:r w:rsidRPr="00165A8A">
        <w:rPr>
          <w:lang w:val="en-US"/>
        </w:rPr>
        <w:t>1</w:t>
      </w:r>
      <w:r w:rsidRPr="00165A8A">
        <w:t> </w:t>
      </w:r>
      <w:r w:rsidRPr="00165A8A">
        <w:rPr>
          <w:lang w:val="en-US"/>
        </w:rPr>
        <w:t>124</w:t>
      </w:r>
      <w:r w:rsidRPr="00165A8A">
        <w:t>,</w:t>
      </w:r>
      <w:r w:rsidRPr="00165A8A">
        <w:rPr>
          <w:lang w:val="ru-RU"/>
        </w:rPr>
        <w:t>9</w:t>
      </w:r>
      <w:r w:rsidRPr="00165A8A">
        <w:rPr>
          <w:lang w:val="en-US"/>
        </w:rPr>
        <w:t> </w:t>
      </w:r>
      <w:r w:rsidRPr="00165A8A">
        <w:t xml:space="preserve">млн. евро – </w:t>
      </w:r>
      <w:r w:rsidRPr="00165A8A">
        <w:rPr>
          <w:lang w:val="ru-RU"/>
        </w:rPr>
        <w:t>5</w:t>
      </w:r>
      <w:r w:rsidRPr="00165A8A">
        <w:rPr>
          <w:lang w:val="en-US"/>
        </w:rPr>
        <w:t>6</w:t>
      </w:r>
      <w:r w:rsidRPr="00165A8A">
        <w:t xml:space="preserve">,3 %, следвани от  разходите за издръжка </w:t>
      </w:r>
      <w:r w:rsidRPr="00165A8A">
        <w:rPr>
          <w:bCs/>
        </w:rPr>
        <w:t>(вкл. разходи за членски внос и участие в нетърговски организации и дейности, платени данъци, такси и административни санкции), които</w:t>
      </w:r>
      <w:r w:rsidRPr="00165A8A">
        <w:t xml:space="preserve"> са в размер на</w:t>
      </w:r>
      <w:r w:rsidRPr="00165A8A">
        <w:rPr>
          <w:lang w:val="ru-RU"/>
        </w:rPr>
        <w:t xml:space="preserve">  </w:t>
      </w:r>
      <w:r w:rsidRPr="00165A8A">
        <w:rPr>
          <w:lang w:val="en-US"/>
        </w:rPr>
        <w:t>367</w:t>
      </w:r>
      <w:r w:rsidRPr="00165A8A">
        <w:t xml:space="preserve">,4 млн. евро – </w:t>
      </w:r>
      <w:r w:rsidRPr="00165A8A">
        <w:rPr>
          <w:lang w:val="en-US"/>
        </w:rPr>
        <w:t>18</w:t>
      </w:r>
      <w:r w:rsidRPr="00165A8A">
        <w:t>,4</w:t>
      </w:r>
      <w:r w:rsidRPr="00165A8A">
        <w:rPr>
          <w:lang w:val="en-US"/>
        </w:rPr>
        <w:t> </w:t>
      </w:r>
      <w:r w:rsidRPr="00165A8A">
        <w:t xml:space="preserve">%. Разходите за субсидии възлизат на </w:t>
      </w:r>
      <w:r w:rsidRPr="00165A8A">
        <w:rPr>
          <w:lang w:val="en-US"/>
        </w:rPr>
        <w:t>104</w:t>
      </w:r>
      <w:r w:rsidRPr="00165A8A">
        <w:rPr>
          <w:lang w:val="ru-RU"/>
        </w:rPr>
        <w:t>,</w:t>
      </w:r>
      <w:r w:rsidRPr="00165A8A">
        <w:t>2</w:t>
      </w:r>
      <w:r w:rsidRPr="00165A8A">
        <w:rPr>
          <w:lang w:val="en-US"/>
        </w:rPr>
        <w:t> </w:t>
      </w:r>
      <w:r w:rsidRPr="00165A8A">
        <w:t>млн. евро</w:t>
      </w:r>
      <w:r w:rsidRPr="00165A8A">
        <w:rPr>
          <w:lang w:val="en-US"/>
        </w:rPr>
        <w:t>.</w:t>
      </w:r>
      <w:r w:rsidRPr="00165A8A">
        <w:t xml:space="preserve"> </w:t>
      </w:r>
      <w:r w:rsidRPr="00165A8A">
        <w:rPr>
          <w:lang w:eastAsia="bg-BG"/>
        </w:rPr>
        <w:t>В разходите за субсидии за нефинансови предприятия се отчитат предоставените от общините субсидии за вътрешноградски и междуселищни превози на транспортните фирми и дружества, които се планират в централния бюджет, както и тези, които се предоставят по решение на общинския съвет. Като разходи за субсидии за организации с нестопанска цел се отчитат отпусканите по решение на общинския съвет субсидии по реда на Закона за физкултурата и спорта за подпомагане дейността на спортните клубове в общините</w:t>
      </w:r>
      <w:r w:rsidRPr="00165A8A">
        <w:rPr>
          <w:lang w:val="ru-RU" w:eastAsia="bg-BG"/>
        </w:rPr>
        <w:t xml:space="preserve"> (</w:t>
      </w:r>
      <w:r w:rsidRPr="00165A8A">
        <w:rPr>
          <w:lang w:eastAsia="bg-BG"/>
        </w:rPr>
        <w:t>отчитат се в местните дейности</w:t>
      </w:r>
      <w:r w:rsidRPr="00165A8A">
        <w:rPr>
          <w:lang w:val="ru-RU" w:eastAsia="bg-BG"/>
        </w:rPr>
        <w:t>)</w:t>
      </w:r>
      <w:r w:rsidRPr="00165A8A">
        <w:rPr>
          <w:lang w:eastAsia="bg-BG"/>
        </w:rPr>
        <w:t>.</w:t>
      </w:r>
      <w:r w:rsidRPr="00165A8A">
        <w:t xml:space="preserve"> </w:t>
      </w:r>
      <w:r w:rsidRPr="00165A8A">
        <w:rPr>
          <w:bCs/>
        </w:rPr>
        <w:t>Социалните разходи (</w:t>
      </w:r>
      <w:r w:rsidRPr="00165A8A">
        <w:t xml:space="preserve">текущи трансфери, обезщетения и помощи за домакинствата, </w:t>
      </w:r>
      <w:r w:rsidRPr="00165A8A">
        <w:rPr>
          <w:bCs/>
        </w:rPr>
        <w:t>вкл. разходите за стипендии)</w:t>
      </w:r>
      <w:r w:rsidRPr="00165A8A">
        <w:t xml:space="preserve"> са в размер на </w:t>
      </w:r>
      <w:r w:rsidRPr="00165A8A">
        <w:rPr>
          <w:lang w:val="en-US"/>
        </w:rPr>
        <w:t>40</w:t>
      </w:r>
      <w:r w:rsidR="00CF021D">
        <w:t xml:space="preserve">,7 млн. </w:t>
      </w:r>
      <w:r w:rsidRPr="00165A8A">
        <w:t>евро.</w:t>
      </w:r>
    </w:p>
    <w:p w:rsidR="00756395" w:rsidRPr="00165A8A" w:rsidRDefault="00756395" w:rsidP="00756395">
      <w:pPr>
        <w:tabs>
          <w:tab w:val="center" w:pos="4153"/>
          <w:tab w:val="right" w:pos="8306"/>
        </w:tabs>
        <w:ind w:firstLine="567"/>
        <w:jc w:val="both"/>
      </w:pPr>
      <w:r w:rsidRPr="00165A8A">
        <w:t xml:space="preserve">Отчетените капиталови разходи са в размер на </w:t>
      </w:r>
      <w:r w:rsidRPr="00165A8A">
        <w:rPr>
          <w:lang w:val="en-US"/>
        </w:rPr>
        <w:t>361</w:t>
      </w:r>
      <w:r w:rsidRPr="00165A8A">
        <w:t xml:space="preserve">,6 млн. евро и в сравнение с 2025 г. са с </w:t>
      </w:r>
      <w:r>
        <w:rPr>
          <w:lang w:val="en-US"/>
        </w:rPr>
        <w:t>273</w:t>
      </w:r>
      <w:r>
        <w:t>,6</w:t>
      </w:r>
      <w:r w:rsidRPr="00165A8A">
        <w:t xml:space="preserve"> млн. евро повеч</w:t>
      </w:r>
      <w:r>
        <w:t>е.</w:t>
      </w:r>
      <w:r w:rsidRPr="00165A8A">
        <w:t xml:space="preserve"> В общия размер на капиталовите разходи най-съществен дял – 61,</w:t>
      </w:r>
      <w:r>
        <w:t>1</w:t>
      </w:r>
      <w:r w:rsidRPr="00165A8A">
        <w:t xml:space="preserve"> %, заемат разходите за</w:t>
      </w:r>
      <w:r w:rsidRPr="00165A8A">
        <w:rPr>
          <w:lang w:eastAsia="bg-BG"/>
        </w:rPr>
        <w:t xml:space="preserve"> </w:t>
      </w:r>
      <w:r w:rsidRPr="00165A8A">
        <w:t>основен ремонт – 220,</w:t>
      </w:r>
      <w:r>
        <w:t>9</w:t>
      </w:r>
      <w:r w:rsidRPr="00165A8A">
        <w:t xml:space="preserve"> млн. евро и  за придобиване на ДМА – 38,</w:t>
      </w:r>
      <w:r>
        <w:t>3</w:t>
      </w:r>
      <w:r w:rsidRPr="00165A8A">
        <w:t xml:space="preserve"> % дял или 138,</w:t>
      </w:r>
      <w:r>
        <w:t>6</w:t>
      </w:r>
      <w:r w:rsidRPr="00165A8A">
        <w:t xml:space="preserve"> млн. евро.</w:t>
      </w:r>
    </w:p>
    <w:p w:rsidR="00843A4B" w:rsidRPr="00321613" w:rsidRDefault="00843A4B" w:rsidP="00843A4B">
      <w:pPr>
        <w:tabs>
          <w:tab w:val="center" w:pos="4153"/>
          <w:tab w:val="right" w:pos="8306"/>
        </w:tabs>
        <w:ind w:firstLine="567"/>
        <w:jc w:val="both"/>
      </w:pPr>
      <w:r w:rsidRPr="00321613">
        <w:rPr>
          <w:i/>
        </w:rPr>
        <w:t xml:space="preserve">Разходите за лихви </w:t>
      </w:r>
      <w:r w:rsidRPr="00321613">
        <w:t>към</w:t>
      </w:r>
      <w:r w:rsidRPr="00321613">
        <w:rPr>
          <w:i/>
        </w:rPr>
        <w:t xml:space="preserve"> </w:t>
      </w:r>
      <w:r w:rsidRPr="00321613">
        <w:t xml:space="preserve">31.03.2026 г. възлизат на </w:t>
      </w:r>
      <w:r w:rsidRPr="00321613">
        <w:rPr>
          <w:lang w:val="ru-RU"/>
        </w:rPr>
        <w:t>7</w:t>
      </w:r>
      <w:r w:rsidRPr="00321613">
        <w:t xml:space="preserve">,4 млн. евро Към същия период на 2025 г. те са били </w:t>
      </w:r>
      <w:r w:rsidRPr="00321613">
        <w:rPr>
          <w:lang w:val="ru-RU"/>
        </w:rPr>
        <w:t>6,4</w:t>
      </w:r>
      <w:r w:rsidRPr="00321613">
        <w:t xml:space="preserve"> млн. евро или с 1,0 млн. евро по-малко.</w:t>
      </w:r>
      <w:r w:rsidRPr="00321613">
        <w:rPr>
          <w:lang w:val="ru-RU"/>
        </w:rPr>
        <w:t xml:space="preserve"> </w:t>
      </w:r>
      <w:r w:rsidRPr="00321613">
        <w:t>Увеличението за първото тримесечие на 2026 г. се дължи на нарастване на размера на лихвените плащания по заеми от чужбина, които за 2026 г. са отчетени в размер на 3,6 млн. евро (с 1,0 млн. евро повече в сравнение със същия период на миналата година). По облигационните  заеми платените лихви от общините са 0,1 млн. евро или с 0,1  млн. евро по-малко спрямо същия период на предходната година. По заеми към местни лица от страната (заеми от банки, заеми от „ФЛАГ“ ЕАД и др. местни лица) отчетените от общините разходи за лихви са 3,0 млн. евро, като техният размер е с 0,1 млн. евро по-малко спрямо същия период на 2025 г. Отчетените лихвени разходи по задължения, представляващи форми на общински дълг (лихви по финансов лизинг и търговски кредити), са в размер на 0,03 млн. евро. Общините отчитат и други разходи за лихви към местни лица в размер на 0,6 млн. евро.</w:t>
      </w:r>
    </w:p>
    <w:p w:rsidR="00843A4B" w:rsidRPr="002931ED" w:rsidRDefault="00843A4B" w:rsidP="00843A4B">
      <w:pPr>
        <w:widowControl w:val="0"/>
        <w:tabs>
          <w:tab w:val="center" w:pos="4153"/>
          <w:tab w:val="right" w:pos="8306"/>
        </w:tabs>
        <w:ind w:firstLine="567"/>
        <w:jc w:val="both"/>
        <w:rPr>
          <w:rFonts w:eastAsia="Calibri"/>
          <w:color w:val="0070C0"/>
          <w:sz w:val="8"/>
        </w:rPr>
      </w:pPr>
    </w:p>
    <w:p w:rsidR="00843A4B" w:rsidRPr="00321613" w:rsidRDefault="00843A4B" w:rsidP="00843A4B">
      <w:pPr>
        <w:numPr>
          <w:ilvl w:val="0"/>
          <w:numId w:val="19"/>
        </w:numPr>
        <w:tabs>
          <w:tab w:val="left" w:pos="851"/>
        </w:tabs>
        <w:spacing w:before="120" w:line="276" w:lineRule="auto"/>
        <w:ind w:left="533" w:firstLine="34"/>
        <w:jc w:val="both"/>
        <w:rPr>
          <w:b/>
        </w:rPr>
      </w:pPr>
      <w:r w:rsidRPr="00321613">
        <w:rPr>
          <w:b/>
        </w:rPr>
        <w:t>Финансиране</w:t>
      </w:r>
    </w:p>
    <w:p w:rsidR="00843A4B" w:rsidRPr="00321613" w:rsidRDefault="00843A4B" w:rsidP="00843A4B">
      <w:pPr>
        <w:ind w:firstLine="708"/>
        <w:jc w:val="both"/>
        <w:rPr>
          <w:noProof/>
        </w:rPr>
      </w:pPr>
      <w:r w:rsidRPr="00321613">
        <w:rPr>
          <w:noProof/>
        </w:rPr>
        <w:t>Към 31.03.2026 г. по общинските бюджети от дог</w:t>
      </w:r>
      <w:r w:rsidR="00772F5E">
        <w:rPr>
          <w:noProof/>
        </w:rPr>
        <w:t xml:space="preserve">овори с чуждестранни кредитори </w:t>
      </w:r>
      <w:r w:rsidRPr="00321613">
        <w:rPr>
          <w:noProof/>
        </w:rPr>
        <w:t xml:space="preserve">не са получени заемни средства. Изплатените главници от общинските бюджети по външните заеми от началото на годината до 31.03.2026 г. са в размер на 4,2 млн. евро – основно от Столична община. </w:t>
      </w:r>
    </w:p>
    <w:p w:rsidR="00843A4B" w:rsidRPr="00321613" w:rsidRDefault="00843A4B" w:rsidP="00843A4B">
      <w:pPr>
        <w:ind w:firstLine="567"/>
        <w:jc w:val="both"/>
        <w:rPr>
          <w:noProof/>
        </w:rPr>
      </w:pPr>
      <w:r w:rsidRPr="00321613">
        <w:rPr>
          <w:noProof/>
        </w:rPr>
        <w:t xml:space="preserve">За първото тримесечие на 2026 г. получените заемни средства от банки в страната, отчетени по общинските бюджети, са в размер на 267,8 млн. евро (основно заеми от ББР), а от други местни лица са 17,4 млн. евро (основно от „ФЛАГ“ ЕАД) или общо получените заемни средства от лица </w:t>
      </w:r>
      <w:r w:rsidR="00F55B78">
        <w:rPr>
          <w:noProof/>
        </w:rPr>
        <w:t xml:space="preserve">в страната са 285,2 млн. евро. </w:t>
      </w:r>
      <w:r w:rsidRPr="00321613">
        <w:rPr>
          <w:noProof/>
        </w:rPr>
        <w:t xml:space="preserve">Изплатените от общините главници по банкови заеми от страната са отчетени в размер на 12,4 </w:t>
      </w:r>
      <w:r w:rsidR="004B7782">
        <w:rPr>
          <w:noProof/>
        </w:rPr>
        <w:t xml:space="preserve">млн. евро. Погасените главници </w:t>
      </w:r>
      <w:r w:rsidRPr="00321613">
        <w:rPr>
          <w:noProof/>
        </w:rPr>
        <w:t>по заеми от др. лица от страната са 15,8 млн. евро, в т.ч. 14 млн. евро към „ФЛАГ“ ЕАД, а останалите са по заеми към Фонд „Енергийна ефективност и възобновяеми източници“ и към други кредитори по договори за заеми по финансов инструмент, управляван от „Фонд Мениджър на финансови инструменти в България“ ЕАД. Общият размер на погашенията за периода по заемите от страната (28,2 млн. евро) е по-малък от получените заемни средства за същия период, поради което нетният размер на операциите по тези заеми за първото тримесечие за 2026 г. е положителен (257 млн. евро). За същия период на 2025 г. общините са обслужвали повече дълг по заеми към местни лица (платени са главници в размер на 27,1 млн. евро), отколкото са получили заемни средства (23,4 млн. евро), поради което за първото тримесечие на 2025 г. нетният размер на тези заеми е бил отрицателен (-</w:t>
      </w:r>
      <w:r w:rsidR="00444520">
        <w:rPr>
          <w:noProof/>
        </w:rPr>
        <w:t> </w:t>
      </w:r>
      <w:r w:rsidRPr="00321613">
        <w:rPr>
          <w:noProof/>
        </w:rPr>
        <w:t>3,7 млн. евро).</w:t>
      </w:r>
    </w:p>
    <w:p w:rsidR="00843A4B" w:rsidRPr="00321613" w:rsidRDefault="00843A4B" w:rsidP="00843A4B">
      <w:pPr>
        <w:ind w:firstLine="567"/>
        <w:jc w:val="both"/>
        <w:rPr>
          <w:noProof/>
        </w:rPr>
      </w:pPr>
      <w:r w:rsidRPr="00321613">
        <w:rPr>
          <w:noProof/>
        </w:rPr>
        <w:t xml:space="preserve">Погашенията за периода по емитирани през предходни периоди общински ценни книжа са отчетени в размер на 0,7 млн. евро от 3 общини. </w:t>
      </w:r>
    </w:p>
    <w:p w:rsidR="00843A4B" w:rsidRPr="00321613" w:rsidRDefault="00843A4B" w:rsidP="00843A4B">
      <w:pPr>
        <w:ind w:firstLine="567"/>
        <w:jc w:val="both"/>
        <w:rPr>
          <w:noProof/>
        </w:rPr>
      </w:pPr>
      <w:r w:rsidRPr="00321613">
        <w:rPr>
          <w:noProof/>
        </w:rPr>
        <w:t xml:space="preserve">За отчетния период няма емитиран нов общински дълг. </w:t>
      </w:r>
    </w:p>
    <w:p w:rsidR="00843A4B" w:rsidRPr="00321613" w:rsidRDefault="00843A4B" w:rsidP="00843A4B">
      <w:pPr>
        <w:ind w:firstLine="567"/>
        <w:jc w:val="both"/>
        <w:rPr>
          <w:noProof/>
        </w:rPr>
      </w:pPr>
      <w:r w:rsidRPr="00321613">
        <w:rPr>
          <w:noProof/>
        </w:rPr>
        <w:t>Другото финансиране /нето/ по общинските бюджети към 31.03.2026 г. е (-2,8) млн. евро, като съществена част от него представляват отчетените операции по Закона за управление на отпадъцит</w:t>
      </w:r>
      <w:r w:rsidR="008867ED">
        <w:rPr>
          <w:noProof/>
        </w:rPr>
        <w:t>е</w:t>
      </w:r>
      <w:r w:rsidR="00376FB7">
        <w:rPr>
          <w:noProof/>
        </w:rPr>
        <w:t>.</w:t>
      </w:r>
      <w:r w:rsidRPr="00321613">
        <w:rPr>
          <w:noProof/>
        </w:rPr>
        <w:t xml:space="preserve"> Нетният размер за периода на задълженията и погашенията по финансов лизинг и търговски кредити, като форми на дълг, е в размер на 0,6 млн. евро (0,9 млн. евро задължения и 0,3 млн. евро погашения).</w:t>
      </w:r>
    </w:p>
    <w:p w:rsidR="00843A4B" w:rsidRPr="00321613" w:rsidRDefault="00843A4B" w:rsidP="00843A4B">
      <w:pPr>
        <w:ind w:firstLine="567"/>
        <w:jc w:val="both"/>
        <w:rPr>
          <w:noProof/>
        </w:rPr>
      </w:pPr>
      <w:r w:rsidRPr="00321613">
        <w:rPr>
          <w:noProof/>
        </w:rPr>
        <w:t>Нетният размер на събраните средства и извършени плащания от общините за сметка на други бюджети, сметки и фондове е положителен и е в размер на 2,8 млн. евро.</w:t>
      </w:r>
    </w:p>
    <w:p w:rsidR="00843A4B" w:rsidRPr="00321613" w:rsidRDefault="00843A4B" w:rsidP="00843A4B">
      <w:pPr>
        <w:ind w:firstLine="567"/>
        <w:jc w:val="both"/>
        <w:rPr>
          <w:noProof/>
        </w:rPr>
      </w:pPr>
      <w:r w:rsidRPr="00321613">
        <w:rPr>
          <w:noProof/>
        </w:rPr>
        <w:t>Към 31.03.2026 г. отчетеният от общините нетен размер на операциите по придобиване на дялове, акции и съучастия е в размер на (-0,1) млн. евро, а нетният размер на предо</w:t>
      </w:r>
      <w:r w:rsidR="00481166">
        <w:rPr>
          <w:noProof/>
        </w:rPr>
        <w:t>с</w:t>
      </w:r>
      <w:r w:rsidRPr="00321613">
        <w:rPr>
          <w:noProof/>
        </w:rPr>
        <w:t>тав</w:t>
      </w:r>
      <w:r w:rsidR="00756395">
        <w:rPr>
          <w:noProof/>
        </w:rPr>
        <w:t>ените кредити е (-2,5</w:t>
      </w:r>
      <w:r w:rsidR="00756395">
        <w:rPr>
          <w:noProof/>
          <w:lang w:val="en-US"/>
        </w:rPr>
        <w:t>)</w:t>
      </w:r>
      <w:r w:rsidR="00756395">
        <w:rPr>
          <w:noProof/>
        </w:rPr>
        <w:t xml:space="preserve"> млн. евро</w:t>
      </w:r>
      <w:r w:rsidRPr="00321613">
        <w:rPr>
          <w:noProof/>
        </w:rPr>
        <w:t xml:space="preserve">. </w:t>
      </w:r>
    </w:p>
    <w:p w:rsidR="00843A4B" w:rsidRPr="00321613" w:rsidRDefault="00843A4B" w:rsidP="00843A4B">
      <w:pPr>
        <w:ind w:firstLine="567"/>
        <w:jc w:val="both"/>
        <w:rPr>
          <w:noProof/>
        </w:rPr>
      </w:pPr>
      <w:r w:rsidRPr="00321613">
        <w:rPr>
          <w:noProof/>
        </w:rPr>
        <w:t>Средства по общинските бюджети от приватизация на дялове, акции и участия за периода са отчетени в размер на 0,05 млн. евро.</w:t>
      </w:r>
    </w:p>
    <w:p w:rsidR="00843A4B" w:rsidRPr="00321613" w:rsidRDefault="00843A4B" w:rsidP="00843A4B">
      <w:pPr>
        <w:ind w:firstLine="567"/>
        <w:jc w:val="both"/>
        <w:rPr>
          <w:noProof/>
        </w:rPr>
      </w:pPr>
      <w:r w:rsidRPr="00321613">
        <w:rPr>
          <w:noProof/>
        </w:rPr>
        <w:t xml:space="preserve">Предоставените средства по възмездна финансова помощ за първото тримесечие на 2026 г. са (-1,3) млн. евро, а възстановените са 0,2 млн. евро. </w:t>
      </w:r>
    </w:p>
    <w:p w:rsidR="00843A4B" w:rsidRPr="00321613" w:rsidRDefault="00843A4B" w:rsidP="00843A4B">
      <w:pPr>
        <w:ind w:firstLine="567"/>
        <w:jc w:val="both"/>
        <w:rPr>
          <w:noProof/>
        </w:rPr>
      </w:pPr>
      <w:r w:rsidRPr="00321613">
        <w:rPr>
          <w:noProof/>
        </w:rPr>
        <w:t>Общините отчитат 1 119,6 млн. евро бюджетен преходен остатък, а наличността към края на първото тримесечие на 2026 г. (по банкови сметки и каса) нараства и е в размер на 1 634,1 млн. евро. Част от наличността по общинските бюджети към 31.03.2026 г. е под формата на срочни депозити, които са отчетени в размер на 32,5 млн. евро, а 25,1 млн. евро е размера на остатъците по валутни сметки. Отчетената касова наличност (левова и валутна) 1,0 млн. евро.</w:t>
      </w:r>
      <w:r w:rsidRPr="00321613">
        <w:rPr>
          <w:noProof/>
        </w:rPr>
        <w:tab/>
      </w:r>
    </w:p>
    <w:p w:rsidR="00843A4B" w:rsidRPr="00321613" w:rsidRDefault="00843A4B" w:rsidP="00843A4B">
      <w:pPr>
        <w:ind w:firstLine="567"/>
        <w:jc w:val="both"/>
        <w:rPr>
          <w:noProof/>
        </w:rPr>
      </w:pPr>
      <w:r w:rsidRPr="00321613">
        <w:rPr>
          <w:noProof/>
        </w:rPr>
        <w:t>Част от наличността представлява остатък по текущи сметки в БНБ (239,4 млн. евро), а останалата е в търговски банки. Отчетената наличност в делегираните</w:t>
      </w:r>
      <w:r w:rsidR="001B124D">
        <w:rPr>
          <w:noProof/>
        </w:rPr>
        <w:t xml:space="preserve"> от държавата дейности е 932,5 </w:t>
      </w:r>
      <w:r w:rsidRPr="00321613">
        <w:rPr>
          <w:noProof/>
        </w:rPr>
        <w:t xml:space="preserve">млн. евро (57,1% от общата наличност), а в местните дейности е 701,6 млн. евро (42,9%). </w:t>
      </w:r>
    </w:p>
    <w:p w:rsidR="00843A4B" w:rsidRPr="00321613" w:rsidRDefault="00843A4B" w:rsidP="00843A4B">
      <w:pPr>
        <w:ind w:firstLine="567"/>
        <w:jc w:val="both"/>
        <w:rPr>
          <w:noProof/>
        </w:rPr>
      </w:pPr>
      <w:r w:rsidRPr="00321613">
        <w:rPr>
          <w:noProof/>
        </w:rPr>
        <w:t>В държавните дейности наличността е формирана най-вече от получени от общините през текущата година средства от субсидии (635,7 млн. евро). Следващата по размер наличност (233,7</w:t>
      </w:r>
      <w:r w:rsidR="00DC3764">
        <w:rPr>
          <w:noProof/>
        </w:rPr>
        <w:t> </w:t>
      </w:r>
      <w:r w:rsidRPr="00321613">
        <w:rPr>
          <w:noProof/>
        </w:rPr>
        <w:t xml:space="preserve">млн. евро) в тези дейности е с източник средства, получени от общините също под формата на субсидии, но през преходни години. На трето място е остатъка (22,8 млн. евро) от получени средства от други бюджети и сметки за средства от ЕС. Остатъци са формирани и от неизразходвани приходи (от текущата и от предходни години, общо за 11,0 млн. евро), както и от др. средства. </w:t>
      </w:r>
    </w:p>
    <w:p w:rsidR="00843A4B" w:rsidRPr="00321613" w:rsidRDefault="00843A4B" w:rsidP="00843A4B">
      <w:pPr>
        <w:ind w:firstLine="567"/>
        <w:jc w:val="both"/>
        <w:rPr>
          <w:noProof/>
        </w:rPr>
      </w:pPr>
      <w:r w:rsidRPr="00321613">
        <w:rPr>
          <w:noProof/>
        </w:rPr>
        <w:t>Най-голяма част (376,9 млн. евро) от наличността в местните дейности е формирана от преходни остатъци. Съществена част е формирана и от средства, получени от общините през текущата година под формата на приходи и дарения (242,8 млн. евро). Остатъкът на получените през първото тримесечие на 2026 г. средства от субсидии е 66,7 млн. евро, а остатъкът от получени средства от други бюджети и сметки за средства от ЕС, от в</w:t>
      </w:r>
      <w:r w:rsidR="00756395">
        <w:rPr>
          <w:noProof/>
        </w:rPr>
        <w:t>ъзстановени отчисления от РИОСВ и</w:t>
      </w:r>
      <w:r w:rsidRPr="00321613">
        <w:rPr>
          <w:noProof/>
        </w:rPr>
        <w:t xml:space="preserve"> от неизразходвани средства от дълг и др. е общо 15,2 млн. евро.</w:t>
      </w:r>
    </w:p>
    <w:p w:rsidR="002C4D33" w:rsidRPr="00013834" w:rsidRDefault="002C4D33" w:rsidP="00FD362E">
      <w:pPr>
        <w:pStyle w:val="BodyText"/>
        <w:spacing w:after="120"/>
        <w:ind w:firstLine="567"/>
        <w:rPr>
          <w:color w:val="0070C0"/>
          <w:sz w:val="18"/>
          <w:szCs w:val="12"/>
        </w:rPr>
      </w:pPr>
    </w:p>
    <w:p w:rsidR="00983F71" w:rsidRPr="0099199E" w:rsidRDefault="00983F71" w:rsidP="00983F71">
      <w:pPr>
        <w:pStyle w:val="Heading1"/>
        <w:numPr>
          <w:ilvl w:val="1"/>
          <w:numId w:val="8"/>
        </w:numPr>
        <w:spacing w:before="120"/>
        <w:ind w:left="788" w:right="-108" w:hanging="431"/>
        <w:jc w:val="both"/>
        <w:rPr>
          <w:sz w:val="24"/>
        </w:rPr>
      </w:pPr>
      <w:bookmarkStart w:id="71" w:name="_Toc109906108"/>
      <w:r w:rsidRPr="0099199E">
        <w:rPr>
          <w:sz w:val="24"/>
        </w:rPr>
        <w:t>Бюджети на Българската национална телевизия, Българското национално радио и Българската телеграфна агенция</w:t>
      </w:r>
      <w:bookmarkEnd w:id="71"/>
      <w:r w:rsidRPr="0099199E">
        <w:rPr>
          <w:sz w:val="24"/>
        </w:rPr>
        <w:t xml:space="preserve"> </w:t>
      </w:r>
    </w:p>
    <w:p w:rsidR="005C3BF8" w:rsidRPr="002931ED" w:rsidRDefault="005C3BF8" w:rsidP="005C3BF8">
      <w:pPr>
        <w:spacing w:before="240"/>
        <w:ind w:firstLine="567"/>
        <w:jc w:val="both"/>
        <w:rPr>
          <w:color w:val="0070C0"/>
        </w:rPr>
      </w:pPr>
      <w:r w:rsidRPr="00321613">
        <w:rPr>
          <w:b/>
        </w:rPr>
        <w:t>Приходит</w:t>
      </w:r>
      <w:r w:rsidRPr="00DB7F11">
        <w:rPr>
          <w:b/>
        </w:rPr>
        <w:t xml:space="preserve">е на Българската национална телевизия (БНТ) </w:t>
      </w:r>
      <w:r w:rsidRPr="00DB7F11">
        <w:t>към 31.03.2026 г. са в размер на 1,4 млн. евро</w:t>
      </w:r>
      <w:r w:rsidRPr="00DB7F11">
        <w:rPr>
          <w:lang w:eastAsia="bg-BG"/>
        </w:rPr>
        <w:t xml:space="preserve"> </w:t>
      </w:r>
      <w:r>
        <w:t>са с 0,5</w:t>
      </w:r>
      <w:r w:rsidRPr="00DB7F11">
        <w:t xml:space="preserve"> млн. евро повече спрямо отчетените приходи за първото тримесечие на предходната година.</w:t>
      </w:r>
      <w:r>
        <w:t xml:space="preserve"> </w:t>
      </w:r>
      <w:r w:rsidRPr="00DB7F11">
        <w:rPr>
          <w:lang w:eastAsia="bg-BG"/>
        </w:rPr>
        <w:t>Отчетените приходи са постъпления от продажба на услуги, стоки и продукция (реклама, технически услуги, продажба на програми, приходи от почивно дело), наеми на имущество и други неданъчни приходи, помощи и дарения от чужбина.</w:t>
      </w:r>
    </w:p>
    <w:p w:rsidR="005C3BF8" w:rsidRPr="00DB7F11" w:rsidRDefault="005C3BF8" w:rsidP="005C3BF8">
      <w:pPr>
        <w:ind w:firstLine="567"/>
        <w:jc w:val="both"/>
        <w:rPr>
          <w:lang w:eastAsia="bg-BG"/>
        </w:rPr>
      </w:pPr>
      <w:r w:rsidRPr="00DB7F11">
        <w:rPr>
          <w:lang w:eastAsia="bg-BG"/>
        </w:rPr>
        <w:t>Отчетените</w:t>
      </w:r>
      <w:r w:rsidRPr="00DB7F11">
        <w:rPr>
          <w:b/>
          <w:lang w:eastAsia="bg-BG"/>
        </w:rPr>
        <w:t xml:space="preserve"> разходи по бюджета на БНТ</w:t>
      </w:r>
      <w:r w:rsidRPr="00DB7F11">
        <w:rPr>
          <w:lang w:eastAsia="bg-BG"/>
        </w:rPr>
        <w:t xml:space="preserve"> са в размер на</w:t>
      </w:r>
      <w:r w:rsidRPr="00DB7F11">
        <w:rPr>
          <w:szCs w:val="20"/>
        </w:rPr>
        <w:t xml:space="preserve"> </w:t>
      </w:r>
      <w:r w:rsidRPr="00DB7F11">
        <w:rPr>
          <w:lang w:eastAsia="bg-BG"/>
        </w:rPr>
        <w:t>12,2 млн. евро и надвишават отчетените за същия период на предходната година разходи с 1,7 млн. евро.</w:t>
      </w:r>
      <w:r w:rsidRPr="00DB7F11">
        <w:rPr>
          <w:szCs w:val="20"/>
          <w:lang w:val="ru-RU"/>
        </w:rPr>
        <w:t xml:space="preserve"> </w:t>
      </w:r>
      <w:r w:rsidRPr="00DB7F11">
        <w:rPr>
          <w:lang w:eastAsia="bg-BG"/>
        </w:rPr>
        <w:t xml:space="preserve">По-високите разходи са резултат от увеличение на възнагражденията на служителите на БНТ със ЗДБРБ за 2025 г.,  индексация на възнагражденията на служителите с 5 на сто годишна инфлация, промяна на минималната работна заплата съгласно ПМС № 243 от 2025 г. и  на максималния осигурителен доход от месец април 2025 г.    </w:t>
      </w:r>
    </w:p>
    <w:p w:rsidR="005C3BF8" w:rsidRPr="00DB7F11" w:rsidRDefault="005C3BF8" w:rsidP="005C3BF8">
      <w:pPr>
        <w:ind w:firstLine="567"/>
        <w:jc w:val="both"/>
        <w:rPr>
          <w:lang w:eastAsia="bg-BG"/>
        </w:rPr>
      </w:pPr>
      <w:r w:rsidRPr="00DB7F11">
        <w:rPr>
          <w:lang w:eastAsia="bg-BG"/>
        </w:rPr>
        <w:t>За периода са отчетени 11,4 млн. евро текущи разходи и 0,8 млн. евро капиталови разходи. Средствата са усвоени за реализирането на основните цели и дейности на БНТ по подготовката, създаването и разпространението на телевизионни програми съгласно разпоредбите на Закона за радиото и телевизията. През отчетния период са финансирани разходи за сметк</w:t>
      </w:r>
      <w:r>
        <w:rPr>
          <w:lang w:eastAsia="bg-BG"/>
        </w:rPr>
        <w:t>а на преходен остатък от 2025 година.</w:t>
      </w:r>
    </w:p>
    <w:p w:rsidR="005C3BF8" w:rsidRDefault="005C3BF8" w:rsidP="005C3BF8">
      <w:pPr>
        <w:spacing w:after="120"/>
        <w:ind w:firstLine="567"/>
        <w:jc w:val="both"/>
        <w:rPr>
          <w:lang w:eastAsia="bg-BG"/>
        </w:rPr>
      </w:pPr>
      <w:r w:rsidRPr="00DB7F11">
        <w:rPr>
          <w:b/>
          <w:szCs w:val="20"/>
        </w:rPr>
        <w:t xml:space="preserve">Бюджетни взаимоотношения на БНТ - </w:t>
      </w:r>
      <w:r w:rsidRPr="00DB7F11">
        <w:rPr>
          <w:lang w:eastAsia="bg-BG"/>
        </w:rPr>
        <w:t>За периода е отчетен трансфер от централния бю</w:t>
      </w:r>
      <w:r w:rsidR="00A8248C">
        <w:rPr>
          <w:lang w:eastAsia="bg-BG"/>
        </w:rPr>
        <w:t>джет в размер на 11,0 млн. евро</w:t>
      </w:r>
      <w:r w:rsidRPr="00DB7F11">
        <w:rPr>
          <w:lang w:eastAsia="bg-BG"/>
        </w:rPr>
        <w:t>, в т.</w:t>
      </w:r>
      <w:r w:rsidR="008411A1">
        <w:rPr>
          <w:lang w:eastAsia="bg-BG"/>
        </w:rPr>
        <w:t xml:space="preserve"> </w:t>
      </w:r>
      <w:r w:rsidRPr="00DB7F11">
        <w:rPr>
          <w:lang w:eastAsia="bg-BG"/>
        </w:rPr>
        <w:t xml:space="preserve">ч. 2,2 млн. евро за поети осигурителни вноски и данъци. Отчетеният за периода трансфер от централния бюджет е с 1,0 млн. евро повече от отчетения трансфер за същия период на предходната година, поради </w:t>
      </w:r>
      <w:r>
        <w:rPr>
          <w:lang w:eastAsia="bg-BG"/>
        </w:rPr>
        <w:t>по-големите</w:t>
      </w:r>
      <w:r w:rsidRPr="00DB7F11">
        <w:rPr>
          <w:lang w:eastAsia="bg-BG"/>
        </w:rPr>
        <w:t xml:space="preserve"> раз</w:t>
      </w:r>
      <w:r>
        <w:rPr>
          <w:lang w:eastAsia="bg-BG"/>
        </w:rPr>
        <w:t>ходи за персонал в резултат на</w:t>
      </w:r>
      <w:r w:rsidRPr="00DB7F11">
        <w:rPr>
          <w:lang w:eastAsia="bg-BG"/>
        </w:rPr>
        <w:t xml:space="preserve"> произтичащи промени от влезли в сила нормативни </w:t>
      </w:r>
      <w:r w:rsidR="003D6D63" w:rsidRPr="00DB7F11">
        <w:rPr>
          <w:lang w:eastAsia="bg-BG"/>
        </w:rPr>
        <w:t>актов</w:t>
      </w:r>
      <w:r w:rsidR="003D6D63">
        <w:rPr>
          <w:lang w:eastAsia="bg-BG"/>
        </w:rPr>
        <w:t>е</w:t>
      </w:r>
      <w:r w:rsidR="00A8248C">
        <w:rPr>
          <w:lang w:eastAsia="bg-BG"/>
        </w:rPr>
        <w:t>.</w:t>
      </w:r>
    </w:p>
    <w:p w:rsidR="005C3BF8" w:rsidRPr="00543383" w:rsidRDefault="005C3BF8" w:rsidP="005C3BF8">
      <w:pPr>
        <w:ind w:firstLine="709"/>
        <w:jc w:val="both"/>
        <w:rPr>
          <w:lang w:eastAsia="bg-BG"/>
        </w:rPr>
      </w:pPr>
      <w:r w:rsidRPr="00543383">
        <w:rPr>
          <w:b/>
          <w:szCs w:val="20"/>
        </w:rPr>
        <w:t>Приходите по бюджета на Българското национално радио (БНР)</w:t>
      </w:r>
      <w:r w:rsidRPr="00543383">
        <w:rPr>
          <w:szCs w:val="20"/>
        </w:rPr>
        <w:t xml:space="preserve"> към 31.03.2026 г. </w:t>
      </w:r>
      <w:r w:rsidRPr="00543383">
        <w:rPr>
          <w:lang w:eastAsia="bg-BG"/>
        </w:rPr>
        <w:t>са в размер на 0,4 млн. евро и са с 0,1 млн. евро повече спрямо отчетените приходи за първото тримесечие на предходната година.</w:t>
      </w:r>
    </w:p>
    <w:p w:rsidR="005C3BF8" w:rsidRPr="00543383" w:rsidRDefault="005C3BF8" w:rsidP="005C3BF8">
      <w:pPr>
        <w:ind w:firstLine="708"/>
        <w:jc w:val="both"/>
        <w:rPr>
          <w:lang w:eastAsia="bg-BG"/>
        </w:rPr>
      </w:pPr>
      <w:r w:rsidRPr="00543383">
        <w:rPr>
          <w:lang w:eastAsia="bg-BG"/>
        </w:rPr>
        <w:t>Отчетените приходи са постъпления от продажба на услуги, стоки и продукция (реклама, спонсорство, технически услуги, съвместни продукции, приходи от концертна дейност), наеми на имущество, глоби, санкции и наказателни лихви,  помощи и дарения от страната.</w:t>
      </w:r>
    </w:p>
    <w:p w:rsidR="005C3BF8" w:rsidRPr="00543383" w:rsidRDefault="005C3BF8" w:rsidP="005C3BF8">
      <w:pPr>
        <w:ind w:firstLine="567"/>
        <w:jc w:val="both"/>
        <w:rPr>
          <w:szCs w:val="20"/>
        </w:rPr>
      </w:pPr>
      <w:r w:rsidRPr="00543383">
        <w:rPr>
          <w:b/>
          <w:szCs w:val="20"/>
        </w:rPr>
        <w:t>Разходите</w:t>
      </w:r>
      <w:r w:rsidRPr="00543383">
        <w:rPr>
          <w:szCs w:val="20"/>
        </w:rPr>
        <w:t xml:space="preserve"> </w:t>
      </w:r>
      <w:r w:rsidRPr="00543383">
        <w:rPr>
          <w:b/>
          <w:szCs w:val="20"/>
        </w:rPr>
        <w:t>по бюджета на БНР</w:t>
      </w:r>
      <w:r w:rsidRPr="00543383">
        <w:rPr>
          <w:szCs w:val="20"/>
        </w:rPr>
        <w:t xml:space="preserve"> възлизат на 8,5 млн. евро и надвишават отчетените за същия период на </w:t>
      </w:r>
      <w:r>
        <w:rPr>
          <w:szCs w:val="20"/>
        </w:rPr>
        <w:t>предходната година разходи с 0,3</w:t>
      </w:r>
      <w:r w:rsidRPr="00543383">
        <w:rPr>
          <w:szCs w:val="20"/>
        </w:rPr>
        <w:t xml:space="preserve"> млн. евро.</w:t>
      </w:r>
    </w:p>
    <w:p w:rsidR="005C3BF8" w:rsidRPr="00543383" w:rsidRDefault="005C3BF8" w:rsidP="005C3BF8">
      <w:pPr>
        <w:ind w:firstLine="567"/>
        <w:jc w:val="both"/>
        <w:rPr>
          <w:szCs w:val="20"/>
        </w:rPr>
      </w:pPr>
      <w:r w:rsidRPr="00543383">
        <w:rPr>
          <w:szCs w:val="20"/>
        </w:rPr>
        <w:tab/>
        <w:t>За периода са отчетени 7,9 млн. евро текущи разходи и 0,6 млн. евро капиталови разходи. Общият размер на отчетените текущи разходи включва: 5,5 млн. евро разходи за персонал и 2,4</w:t>
      </w:r>
      <w:r w:rsidR="00CB0EFB">
        <w:rPr>
          <w:szCs w:val="20"/>
        </w:rPr>
        <w:t> </w:t>
      </w:r>
      <w:r w:rsidRPr="00543383">
        <w:rPr>
          <w:szCs w:val="20"/>
        </w:rPr>
        <w:t>млн. евро разходи за издръжка (вкл. разходи за членски внос, платени данъци, такси и административни санкции). Отчетените разход</w:t>
      </w:r>
      <w:r>
        <w:rPr>
          <w:szCs w:val="20"/>
        </w:rPr>
        <w:t>и за персонал представляват 64,4</w:t>
      </w:r>
      <w:r w:rsidRPr="00543383">
        <w:rPr>
          <w:szCs w:val="20"/>
        </w:rPr>
        <w:t xml:space="preserve"> % от отчетените за периода разходи. Средствата са усвоени за реализирането на основните цели и дейности на БНР по подготовката, създаването и разпространението на национални и регионални програми съгласно разпоредбите на Закона за радиото и телевизията.</w:t>
      </w:r>
    </w:p>
    <w:p w:rsidR="005C3BF8" w:rsidRPr="00543383" w:rsidRDefault="005C3BF8" w:rsidP="005C3BF8">
      <w:pPr>
        <w:spacing w:after="120"/>
        <w:ind w:firstLine="567"/>
        <w:jc w:val="both"/>
        <w:rPr>
          <w:szCs w:val="20"/>
        </w:rPr>
      </w:pPr>
      <w:r w:rsidRPr="00543383">
        <w:rPr>
          <w:szCs w:val="20"/>
        </w:rPr>
        <w:tab/>
        <w:t xml:space="preserve">За периода е отчетен </w:t>
      </w:r>
      <w:r w:rsidRPr="00543383">
        <w:rPr>
          <w:b/>
          <w:szCs w:val="20"/>
        </w:rPr>
        <w:t>трансфер от централния бюджет</w:t>
      </w:r>
      <w:r w:rsidRPr="00543383">
        <w:rPr>
          <w:szCs w:val="20"/>
        </w:rPr>
        <w:t xml:space="preserve"> в размер на 8,3 млн. евро, в т.</w:t>
      </w:r>
      <w:r w:rsidR="008411A1">
        <w:rPr>
          <w:szCs w:val="20"/>
        </w:rPr>
        <w:t xml:space="preserve"> </w:t>
      </w:r>
      <w:r w:rsidRPr="00543383">
        <w:rPr>
          <w:szCs w:val="20"/>
        </w:rPr>
        <w:t xml:space="preserve">ч. 1,8 млн. евро трансфери за поети осигурителни вноски и данъци. </w:t>
      </w:r>
    </w:p>
    <w:p w:rsidR="005C3BF8" w:rsidRPr="000F1D69" w:rsidRDefault="005C3BF8" w:rsidP="005C3BF8">
      <w:pPr>
        <w:ind w:firstLine="567"/>
        <w:jc w:val="both"/>
        <w:rPr>
          <w:lang w:eastAsia="bg-BG"/>
        </w:rPr>
      </w:pPr>
      <w:r w:rsidRPr="000F1D69">
        <w:rPr>
          <w:b/>
          <w:szCs w:val="20"/>
        </w:rPr>
        <w:t xml:space="preserve">Приходите на Българската телеграфна агенция (БТА) </w:t>
      </w:r>
      <w:r w:rsidRPr="000F1D69">
        <w:rPr>
          <w:szCs w:val="20"/>
        </w:rPr>
        <w:t>към 31.03.2026 г.</w:t>
      </w:r>
      <w:r w:rsidRPr="000F1D69">
        <w:rPr>
          <w:b/>
          <w:szCs w:val="20"/>
        </w:rPr>
        <w:t xml:space="preserve"> </w:t>
      </w:r>
      <w:r w:rsidRPr="000F1D69">
        <w:rPr>
          <w:szCs w:val="20"/>
        </w:rPr>
        <w:t>са</w:t>
      </w:r>
      <w:r w:rsidRPr="000F1D69">
        <w:rPr>
          <w:lang w:eastAsia="bg-BG"/>
        </w:rPr>
        <w:t xml:space="preserve"> </w:t>
      </w:r>
      <w:r>
        <w:rPr>
          <w:b/>
          <w:bCs/>
          <w:lang w:eastAsia="bg-BG"/>
        </w:rPr>
        <w:t>0,06</w:t>
      </w:r>
      <w:r w:rsidRPr="000F1D69">
        <w:rPr>
          <w:b/>
          <w:bCs/>
          <w:lang w:eastAsia="bg-BG"/>
        </w:rPr>
        <w:t xml:space="preserve"> млн. евро</w:t>
      </w:r>
      <w:r w:rsidRPr="000F1D69">
        <w:rPr>
          <w:lang w:eastAsia="bg-BG"/>
        </w:rPr>
        <w:t xml:space="preserve">. Средствата са основно от </w:t>
      </w:r>
      <w:r w:rsidRPr="00335B46">
        <w:rPr>
          <w:bCs/>
          <w:lang w:eastAsia="bg-BG"/>
        </w:rPr>
        <w:t>нетни приходи от продажба на услуги, стоки и продукция</w:t>
      </w:r>
      <w:r w:rsidRPr="00335B46">
        <w:rPr>
          <w:lang w:eastAsia="bg-BG"/>
        </w:rPr>
        <w:t>,</w:t>
      </w:r>
      <w:r w:rsidRPr="000F1D69">
        <w:rPr>
          <w:lang w:eastAsia="bg-BG"/>
        </w:rPr>
        <w:t xml:space="preserve"> както и незначителни други неданъчни приходи. </w:t>
      </w:r>
    </w:p>
    <w:p w:rsidR="005C3BF8" w:rsidRPr="000F1D69" w:rsidRDefault="005C3BF8" w:rsidP="005C3BF8">
      <w:pPr>
        <w:ind w:firstLine="567"/>
        <w:jc w:val="both"/>
        <w:rPr>
          <w:lang w:eastAsia="bg-BG"/>
        </w:rPr>
      </w:pPr>
      <w:r w:rsidRPr="000F1D69">
        <w:rPr>
          <w:b/>
          <w:lang w:eastAsia="bg-BG"/>
        </w:rPr>
        <w:t>Разходите по бюджета на БТА</w:t>
      </w:r>
      <w:r w:rsidRPr="000F1D69">
        <w:rPr>
          <w:lang w:eastAsia="bg-BG"/>
        </w:rPr>
        <w:t xml:space="preserve"> към </w:t>
      </w:r>
      <w:r w:rsidRPr="000F1D69">
        <w:rPr>
          <w:bCs/>
          <w:lang w:eastAsia="bg-BG"/>
        </w:rPr>
        <w:t>31.03.2026 г.</w:t>
      </w:r>
      <w:r w:rsidRPr="000F1D69">
        <w:rPr>
          <w:lang w:eastAsia="bg-BG"/>
        </w:rPr>
        <w:t xml:space="preserve"> са в размер на </w:t>
      </w:r>
      <w:r>
        <w:rPr>
          <w:bCs/>
          <w:lang w:eastAsia="bg-BG"/>
        </w:rPr>
        <w:t>1,9</w:t>
      </w:r>
      <w:r w:rsidRPr="000F1D69">
        <w:rPr>
          <w:bCs/>
          <w:lang w:eastAsia="bg-BG"/>
        </w:rPr>
        <w:t xml:space="preserve"> млн. евро.</w:t>
      </w:r>
      <w:r w:rsidRPr="000F1D69">
        <w:rPr>
          <w:lang w:eastAsia="bg-BG"/>
        </w:rPr>
        <w:t xml:space="preserve"> Тъй като към 31.03.2026 г. Законът за държавния бюджет на Република България за 2026 г. все още не е приет, изпълнението на бюджета се осъществява при условията и по реда на </w:t>
      </w:r>
      <w:r w:rsidRPr="000F1D69">
        <w:rPr>
          <w:bCs/>
          <w:lang w:eastAsia="bg-BG"/>
        </w:rPr>
        <w:t>Закона за събирането на приходи и извършването на разходи през 2026 г.</w:t>
      </w:r>
      <w:r w:rsidRPr="000F1D69">
        <w:rPr>
          <w:lang w:eastAsia="bg-BG"/>
        </w:rPr>
        <w:t xml:space="preserve">, съгласно който до приемането на годишния бюджет разходите и трансферите се извършват по правилата на чл. 87, ал. 1 от Закона за публичните финанси, а при недостиг на приходи лимитите за плащания се намаляват съразмерно. Към 31.03.2026 г. е използван и </w:t>
      </w:r>
      <w:r w:rsidRPr="000F1D69">
        <w:rPr>
          <w:bCs/>
          <w:lang w:eastAsia="bg-BG"/>
        </w:rPr>
        <w:t>преходен остатък</w:t>
      </w:r>
      <w:r w:rsidRPr="000F1D69">
        <w:rPr>
          <w:lang w:eastAsia="bg-BG"/>
        </w:rPr>
        <w:t xml:space="preserve"> в общ размер на </w:t>
      </w:r>
      <w:r w:rsidRPr="000F1D69">
        <w:rPr>
          <w:bCs/>
          <w:lang w:eastAsia="bg-BG"/>
        </w:rPr>
        <w:t>0,14 млн. евро</w:t>
      </w:r>
      <w:r w:rsidRPr="000F1D69">
        <w:rPr>
          <w:lang w:eastAsia="bg-BG"/>
        </w:rPr>
        <w:t>.</w:t>
      </w:r>
    </w:p>
    <w:p w:rsidR="005C3BF8" w:rsidRPr="000F1D69" w:rsidRDefault="005C3BF8" w:rsidP="005C3BF8">
      <w:pPr>
        <w:ind w:firstLine="567"/>
        <w:jc w:val="both"/>
        <w:rPr>
          <w:lang w:eastAsia="bg-BG"/>
        </w:rPr>
      </w:pPr>
      <w:r w:rsidRPr="000F1D69">
        <w:rPr>
          <w:lang w:eastAsia="bg-BG"/>
        </w:rPr>
        <w:t xml:space="preserve">Към края на тримесечието са отчетени </w:t>
      </w:r>
      <w:r>
        <w:rPr>
          <w:bCs/>
          <w:lang w:eastAsia="bg-BG"/>
        </w:rPr>
        <w:t>1,9</w:t>
      </w:r>
      <w:r w:rsidRPr="000F1D69">
        <w:rPr>
          <w:bCs/>
          <w:lang w:eastAsia="bg-BG"/>
        </w:rPr>
        <w:t xml:space="preserve"> млн. евро текущи разходи</w:t>
      </w:r>
      <w:r w:rsidRPr="000F1D69">
        <w:rPr>
          <w:lang w:eastAsia="bg-BG"/>
        </w:rPr>
        <w:t xml:space="preserve">, като </w:t>
      </w:r>
      <w:r w:rsidRPr="000F1D69">
        <w:rPr>
          <w:bCs/>
          <w:lang w:eastAsia="bg-BG"/>
        </w:rPr>
        <w:t>капиталови разходи не са отчетени</w:t>
      </w:r>
      <w:r w:rsidRPr="000F1D69">
        <w:rPr>
          <w:lang w:eastAsia="bg-BG"/>
        </w:rPr>
        <w:t xml:space="preserve">. Общият размер на отчетените текущи разходи включва: </w:t>
      </w:r>
      <w:r>
        <w:rPr>
          <w:bCs/>
          <w:lang w:eastAsia="bg-BG"/>
        </w:rPr>
        <w:t>1,7</w:t>
      </w:r>
      <w:r w:rsidRPr="000F1D69">
        <w:rPr>
          <w:bCs/>
          <w:lang w:eastAsia="bg-BG"/>
        </w:rPr>
        <w:t xml:space="preserve"> млн. евро разходи за персонал</w:t>
      </w:r>
      <w:r w:rsidRPr="000F1D69">
        <w:rPr>
          <w:lang w:eastAsia="bg-BG"/>
        </w:rPr>
        <w:t xml:space="preserve"> и </w:t>
      </w:r>
      <w:r>
        <w:rPr>
          <w:bCs/>
          <w:lang w:eastAsia="bg-BG"/>
        </w:rPr>
        <w:t>0,2</w:t>
      </w:r>
      <w:r w:rsidRPr="000F1D69">
        <w:rPr>
          <w:bCs/>
          <w:lang w:eastAsia="bg-BG"/>
        </w:rPr>
        <w:t xml:space="preserve"> млн. евро разходи за издръжка</w:t>
      </w:r>
      <w:r w:rsidRPr="000F1D69">
        <w:rPr>
          <w:lang w:eastAsia="bg-BG"/>
        </w:rPr>
        <w:t xml:space="preserve">. Отчетените разходи за персонал представляват </w:t>
      </w:r>
      <w:r w:rsidRPr="000F1D69">
        <w:rPr>
          <w:bCs/>
          <w:lang w:eastAsia="bg-BG"/>
        </w:rPr>
        <w:t>89,1 %</w:t>
      </w:r>
      <w:r w:rsidRPr="000F1D69">
        <w:rPr>
          <w:lang w:eastAsia="bg-BG"/>
        </w:rPr>
        <w:t xml:space="preserve"> от общите разходи за периода.</w:t>
      </w:r>
    </w:p>
    <w:p w:rsidR="005C3BF8" w:rsidRPr="000F1D69" w:rsidRDefault="005C3BF8" w:rsidP="005C3BF8">
      <w:pPr>
        <w:ind w:firstLine="567"/>
        <w:jc w:val="both"/>
        <w:rPr>
          <w:lang w:eastAsia="bg-BG"/>
        </w:rPr>
      </w:pPr>
      <w:r w:rsidRPr="000F1D69">
        <w:rPr>
          <w:b/>
          <w:lang w:eastAsia="bg-BG"/>
        </w:rPr>
        <w:t>Бюджетните взаимоотношения</w:t>
      </w:r>
      <w:r w:rsidRPr="000F1D69">
        <w:rPr>
          <w:lang w:eastAsia="bg-BG"/>
        </w:rPr>
        <w:t xml:space="preserve"> на БТА с централния бюджет към </w:t>
      </w:r>
      <w:r w:rsidRPr="000F1D69">
        <w:rPr>
          <w:bCs/>
          <w:lang w:eastAsia="bg-BG"/>
        </w:rPr>
        <w:t>31.03.2026 г.</w:t>
      </w:r>
      <w:r w:rsidRPr="000F1D69">
        <w:rPr>
          <w:lang w:eastAsia="bg-BG"/>
        </w:rPr>
        <w:t xml:space="preserve"> са в размер на </w:t>
      </w:r>
      <w:r>
        <w:rPr>
          <w:bCs/>
          <w:lang w:eastAsia="bg-BG"/>
        </w:rPr>
        <w:t>1,9</w:t>
      </w:r>
      <w:r w:rsidRPr="000F1D69">
        <w:rPr>
          <w:bCs/>
          <w:lang w:eastAsia="bg-BG"/>
        </w:rPr>
        <w:t xml:space="preserve"> млн. евро</w:t>
      </w:r>
      <w:r w:rsidRPr="000F1D69">
        <w:rPr>
          <w:lang w:eastAsia="bg-BG"/>
        </w:rPr>
        <w:t>, в т.</w:t>
      </w:r>
      <w:r w:rsidR="00B24BF4">
        <w:rPr>
          <w:lang w:eastAsia="bg-BG"/>
        </w:rPr>
        <w:t xml:space="preserve"> </w:t>
      </w:r>
      <w:r w:rsidRPr="000F1D69">
        <w:rPr>
          <w:lang w:eastAsia="bg-BG"/>
        </w:rPr>
        <w:t xml:space="preserve">ч. </w:t>
      </w:r>
      <w:r>
        <w:rPr>
          <w:bCs/>
          <w:lang w:eastAsia="bg-BG"/>
        </w:rPr>
        <w:t>0,6</w:t>
      </w:r>
      <w:r w:rsidRPr="000F1D69">
        <w:rPr>
          <w:bCs/>
          <w:lang w:eastAsia="bg-BG"/>
        </w:rPr>
        <w:t xml:space="preserve"> млн. евро трансфери за поети осигурителни вноски и данъци</w:t>
      </w:r>
      <w:r w:rsidRPr="000F1D69">
        <w:rPr>
          <w:lang w:eastAsia="bg-BG"/>
        </w:rPr>
        <w:t xml:space="preserve">. </w:t>
      </w:r>
    </w:p>
    <w:p w:rsidR="00001ABF" w:rsidRDefault="00001ABF" w:rsidP="007C1025">
      <w:pPr>
        <w:pStyle w:val="Title"/>
        <w:jc w:val="both"/>
        <w:rPr>
          <w:color w:val="0070C0"/>
        </w:rPr>
      </w:pPr>
    </w:p>
    <w:p w:rsidR="003873E3" w:rsidRPr="00013834" w:rsidRDefault="003873E3" w:rsidP="007C1025">
      <w:pPr>
        <w:pStyle w:val="Title"/>
        <w:jc w:val="both"/>
        <w:rPr>
          <w:color w:val="0070C0"/>
        </w:rPr>
      </w:pPr>
    </w:p>
    <w:p w:rsidR="0050598A" w:rsidRPr="00013834" w:rsidRDefault="007C1025" w:rsidP="0050598A">
      <w:pPr>
        <w:pStyle w:val="Title"/>
        <w:jc w:val="both"/>
        <w:rPr>
          <w:color w:val="0070C0"/>
        </w:rPr>
      </w:pPr>
      <w:r w:rsidRPr="006A1509">
        <w:t xml:space="preserve">Министерство на финансите, </w:t>
      </w:r>
      <w:r w:rsidR="006A1509" w:rsidRPr="006A1509">
        <w:t>май</w:t>
      </w:r>
      <w:r w:rsidR="00931C83" w:rsidRPr="006A1509">
        <w:t xml:space="preserve"> </w:t>
      </w:r>
      <w:r w:rsidRPr="006A1509">
        <w:t>202</w:t>
      </w:r>
      <w:r w:rsidR="00DA4054" w:rsidRPr="006A1509">
        <w:rPr>
          <w:lang w:val="en-US"/>
        </w:rPr>
        <w:t>6</w:t>
      </w:r>
      <w:r w:rsidR="00716094" w:rsidRPr="006A1509">
        <w:rPr>
          <w:lang w:val="ru-RU"/>
        </w:rPr>
        <w:t xml:space="preserve"> </w:t>
      </w:r>
      <w:r w:rsidRPr="006A1509">
        <w:t>г.</w:t>
      </w:r>
      <w:r w:rsidR="00014355" w:rsidRPr="006A1509">
        <w:tab/>
      </w:r>
      <w:r w:rsidR="00014355" w:rsidRPr="00013834">
        <w:rPr>
          <w:color w:val="0070C0"/>
        </w:rPr>
        <w:tab/>
      </w:r>
      <w:r w:rsidR="00014355" w:rsidRPr="00013834">
        <w:rPr>
          <w:color w:val="0070C0"/>
        </w:rPr>
        <w:tab/>
      </w:r>
    </w:p>
    <w:sectPr w:rsidR="0050598A" w:rsidRPr="00013834" w:rsidSect="00033525">
      <w:footerReference w:type="even" r:id="rId11"/>
      <w:footerReference w:type="default" r:id="rId12"/>
      <w:endnotePr>
        <w:numFmt w:val="decimal"/>
      </w:endnotePr>
      <w:type w:val="continuous"/>
      <w:pgSz w:w="11906" w:h="16838"/>
      <w:pgMar w:top="709" w:right="849" w:bottom="426"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0B3" w:rsidRDefault="009810B3">
      <w:r>
        <w:separator/>
      </w:r>
    </w:p>
  </w:endnote>
  <w:endnote w:type="continuationSeparator" w:id="0">
    <w:p w:rsidR="009810B3" w:rsidRDefault="009810B3">
      <w:r>
        <w:continuationSeparator/>
      </w:r>
    </w:p>
  </w:endnote>
  <w:endnote w:type="continuationNotice" w:id="1">
    <w:p w:rsidR="009810B3" w:rsidRDefault="009810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Futura Bk">
    <w:altName w:val="Century Gothic"/>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0B3" w:rsidRDefault="009810B3" w:rsidP="00EA0F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810B3" w:rsidRDefault="009810B3" w:rsidP="00A7411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0B3" w:rsidRDefault="009810B3" w:rsidP="00EA0F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333B">
      <w:rPr>
        <w:rStyle w:val="PageNumber"/>
        <w:noProof/>
      </w:rPr>
      <w:t>14</w:t>
    </w:r>
    <w:r>
      <w:rPr>
        <w:rStyle w:val="PageNumber"/>
      </w:rPr>
      <w:fldChar w:fldCharType="end"/>
    </w:r>
  </w:p>
  <w:p w:rsidR="009810B3" w:rsidRDefault="009810B3" w:rsidP="00A7411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0B3" w:rsidRDefault="009810B3">
      <w:r>
        <w:separator/>
      </w:r>
    </w:p>
  </w:footnote>
  <w:footnote w:type="continuationSeparator" w:id="0">
    <w:p w:rsidR="009810B3" w:rsidRDefault="009810B3">
      <w:r>
        <w:continuationSeparator/>
      </w:r>
    </w:p>
  </w:footnote>
  <w:footnote w:type="continuationNotice" w:id="1">
    <w:p w:rsidR="009810B3" w:rsidRDefault="009810B3"/>
  </w:footnote>
  <w:footnote w:id="2">
    <w:p w:rsidR="009810B3" w:rsidRPr="007D18FE" w:rsidRDefault="009810B3" w:rsidP="008969AB">
      <w:pPr>
        <w:pStyle w:val="FootnoteText"/>
        <w:jc w:val="both"/>
        <w:rPr>
          <w:sz w:val="18"/>
          <w:szCs w:val="18"/>
          <w:lang w:val="bg-BG"/>
        </w:rPr>
      </w:pPr>
      <w:r w:rsidRPr="007D18FE">
        <w:rPr>
          <w:rStyle w:val="FootnoteReference"/>
          <w:sz w:val="18"/>
          <w:szCs w:val="18"/>
        </w:rPr>
        <w:footnoteRef/>
      </w:r>
      <w:r w:rsidRPr="001953AC">
        <w:rPr>
          <w:sz w:val="18"/>
          <w:szCs w:val="18"/>
          <w:lang w:val="ru-RU"/>
        </w:rPr>
        <w:t xml:space="preserve"> </w:t>
      </w:r>
      <w:r w:rsidRPr="007D18FE">
        <w:rPr>
          <w:sz w:val="18"/>
          <w:szCs w:val="18"/>
          <w:lang w:val="bg-BG"/>
        </w:rPr>
        <w:t>Обхваща държавния бюджет и бюджетите на общините, социалноосигурителните фондове, ДВУ, БАН, БНР, БНТ, БТА, бюджетите по чл.1</w:t>
      </w:r>
      <w:r>
        <w:rPr>
          <w:sz w:val="18"/>
          <w:szCs w:val="18"/>
          <w:lang w:val="bg-BG"/>
        </w:rPr>
        <w:t>3</w:t>
      </w:r>
      <w:r w:rsidRPr="007D18FE">
        <w:rPr>
          <w:sz w:val="18"/>
          <w:szCs w:val="18"/>
          <w:lang w:val="bg-BG"/>
        </w:rPr>
        <w:t>, ал.4 от ЗПФ, както и сметките за средствата от ЕС и сметките за чужди средства на бюджетните организации. Данните за текущата година са на база месечни отчети, а тези за предходната година - на база тримесечни отчети на ПРБ.</w:t>
      </w:r>
    </w:p>
  </w:footnote>
  <w:footnote w:id="3">
    <w:p w:rsidR="009810B3" w:rsidRPr="007D18FE" w:rsidRDefault="009810B3" w:rsidP="00B57F17">
      <w:pPr>
        <w:pStyle w:val="FootnoteText"/>
        <w:jc w:val="both"/>
        <w:rPr>
          <w:sz w:val="18"/>
          <w:szCs w:val="18"/>
          <w:lang w:val="bg-BG"/>
        </w:rPr>
      </w:pPr>
      <w:r w:rsidRPr="007D18FE">
        <w:rPr>
          <w:rStyle w:val="FootnoteReference"/>
          <w:sz w:val="18"/>
          <w:szCs w:val="18"/>
        </w:rPr>
        <w:footnoteRef/>
      </w:r>
      <w:r w:rsidRPr="007D18FE">
        <w:rPr>
          <w:sz w:val="18"/>
          <w:szCs w:val="18"/>
          <w:lang w:val="bg-BG"/>
        </w:rPr>
        <w:t xml:space="preserve"> Поради извършено закръгление в млн. </w:t>
      </w:r>
      <w:r>
        <w:rPr>
          <w:sz w:val="18"/>
          <w:szCs w:val="18"/>
          <w:lang w:val="bg-BG"/>
        </w:rPr>
        <w:t>евро</w:t>
      </w:r>
      <w:r w:rsidRPr="007D18FE">
        <w:rPr>
          <w:sz w:val="18"/>
          <w:szCs w:val="18"/>
          <w:lang w:val="bg-BG"/>
        </w:rPr>
        <w:t>, някои сумарни позиции в Таблица №1, Таблица  №2 и в текста не се изчерпват от съставните им числа.</w:t>
      </w:r>
    </w:p>
  </w:footnote>
  <w:footnote w:id="4">
    <w:p w:rsidR="009810B3" w:rsidRPr="006F7FAA" w:rsidRDefault="009810B3" w:rsidP="00851E4E">
      <w:pPr>
        <w:pStyle w:val="FootnoteText"/>
        <w:jc w:val="both"/>
        <w:rPr>
          <w:sz w:val="18"/>
          <w:lang w:val="bg-BG"/>
        </w:rPr>
      </w:pPr>
      <w:r w:rsidRPr="006F7FAA">
        <w:rPr>
          <w:rStyle w:val="FootnoteReference"/>
          <w:sz w:val="18"/>
        </w:rPr>
        <w:footnoteRef/>
      </w:r>
      <w:r w:rsidRPr="006F7FAA">
        <w:rPr>
          <w:sz w:val="18"/>
        </w:rPr>
        <w:t xml:space="preserve"> </w:t>
      </w:r>
      <w:r w:rsidRPr="006F7FAA">
        <w:rPr>
          <w:sz w:val="18"/>
          <w:lang w:val="bg-BG"/>
        </w:rPr>
        <w:t>В позицията "Резерв за непредвидени и неотложни разходи" се посочват само данните по разчет. Разходите по отчет се отразяват по съответните разходни позиции, към които се отнасят извършените разходи.</w:t>
      </w:r>
    </w:p>
  </w:footnote>
  <w:footnote w:id="5">
    <w:p w:rsidR="009810B3" w:rsidRPr="00E74802" w:rsidRDefault="009810B3" w:rsidP="00851E4E">
      <w:pPr>
        <w:pStyle w:val="FootnoteText"/>
        <w:jc w:val="both"/>
        <w:rPr>
          <w:sz w:val="18"/>
          <w:szCs w:val="18"/>
          <w:lang w:val="bg-BG"/>
        </w:rPr>
      </w:pPr>
      <w:r w:rsidRPr="00E74802">
        <w:rPr>
          <w:rStyle w:val="FootnoteReference"/>
          <w:sz w:val="18"/>
          <w:szCs w:val="18"/>
          <w:lang w:val="bg-BG"/>
        </w:rPr>
        <w:footnoteRef/>
      </w:r>
      <w:r w:rsidRPr="00E74802">
        <w:rPr>
          <w:sz w:val="18"/>
          <w:szCs w:val="18"/>
          <w:lang w:val="bg-BG"/>
        </w:rPr>
        <w:t xml:space="preserve"> </w:t>
      </w:r>
      <w:r w:rsidRPr="004D0661">
        <w:rPr>
          <w:sz w:val="18"/>
          <w:szCs w:val="18"/>
          <w:lang w:val="bg-BG"/>
        </w:rPr>
        <w:t>Обхватът на показателя фискален резерв е в съответствие с §1, т. 41 от Допълнителните разпоредби на Закона за публичните финанси.</w:t>
      </w:r>
    </w:p>
  </w:footnote>
  <w:footnote w:id="6">
    <w:p w:rsidR="009810B3" w:rsidRPr="00F44CBA" w:rsidRDefault="009810B3" w:rsidP="005C7A94">
      <w:pPr>
        <w:pStyle w:val="FootnoteText"/>
        <w:rPr>
          <w:sz w:val="18"/>
          <w:lang w:val="bg-BG"/>
        </w:rPr>
      </w:pPr>
      <w:r w:rsidRPr="00F44CBA">
        <w:rPr>
          <w:rStyle w:val="FootnoteReference"/>
          <w:sz w:val="18"/>
          <w:lang w:val="bg-BG"/>
        </w:rPr>
        <w:footnoteRef/>
      </w:r>
      <w:r w:rsidRPr="00F44CBA">
        <w:rPr>
          <w:sz w:val="18"/>
          <w:lang w:val="bg-BG"/>
        </w:rPr>
        <w:t xml:space="preserve"> Закон за корпоративното подоходно облагане.</w:t>
      </w:r>
    </w:p>
  </w:footnote>
  <w:footnote w:id="7">
    <w:p w:rsidR="009810B3" w:rsidRPr="00F44CBA" w:rsidRDefault="009810B3" w:rsidP="005C7A94">
      <w:pPr>
        <w:pStyle w:val="FootnoteText"/>
        <w:rPr>
          <w:sz w:val="18"/>
          <w:lang w:val="bg-BG"/>
        </w:rPr>
      </w:pPr>
      <w:r w:rsidRPr="00F44CBA">
        <w:rPr>
          <w:rStyle w:val="FootnoteReference"/>
          <w:sz w:val="18"/>
          <w:lang w:val="bg-BG"/>
        </w:rPr>
        <w:footnoteRef/>
      </w:r>
      <w:r w:rsidRPr="00F44CBA">
        <w:rPr>
          <w:sz w:val="18"/>
          <w:lang w:val="bg-BG"/>
        </w:rPr>
        <w:t xml:space="preserve"> Малки и средни предприятия.</w:t>
      </w:r>
    </w:p>
  </w:footnote>
  <w:footnote w:id="8">
    <w:p w:rsidR="009810B3" w:rsidRPr="00F44CBA" w:rsidRDefault="009810B3" w:rsidP="005C7A94">
      <w:pPr>
        <w:pStyle w:val="FootnoteText"/>
        <w:rPr>
          <w:sz w:val="18"/>
          <w:lang w:val="bg-BG"/>
        </w:rPr>
      </w:pPr>
      <w:r w:rsidRPr="00F44CBA">
        <w:rPr>
          <w:rStyle w:val="FootnoteReference"/>
          <w:sz w:val="18"/>
          <w:lang w:val="bg-BG"/>
        </w:rPr>
        <w:footnoteRef/>
      </w:r>
      <w:r w:rsidRPr="00F44CBA">
        <w:rPr>
          <w:sz w:val="18"/>
          <w:lang w:val="bg-BG"/>
        </w:rPr>
        <w:t xml:space="preserve"> Закон за данъците върху доходите на физическите лица.</w:t>
      </w:r>
    </w:p>
  </w:footnote>
  <w:footnote w:id="9">
    <w:p w:rsidR="009810B3" w:rsidRDefault="009810B3" w:rsidP="005C7A94">
      <w:pPr>
        <w:pStyle w:val="FootnoteText"/>
      </w:pPr>
      <w:r w:rsidRPr="00F44CBA">
        <w:rPr>
          <w:rStyle w:val="FootnoteReference"/>
          <w:sz w:val="18"/>
          <w:lang w:val="bg-BG"/>
        </w:rPr>
        <w:footnoteRef/>
      </w:r>
      <w:r w:rsidRPr="00F44CBA">
        <w:rPr>
          <w:sz w:val="18"/>
          <w:lang w:val="bg-BG"/>
        </w:rPr>
        <w:t xml:space="preserve"> Договор за функционирането на Европейския съюз.</w:t>
      </w:r>
    </w:p>
  </w:footnote>
  <w:footnote w:id="10">
    <w:p w:rsidR="009810B3" w:rsidRPr="006730B9" w:rsidRDefault="009810B3" w:rsidP="00C35EB3">
      <w:pPr>
        <w:pStyle w:val="FootnoteText"/>
        <w:rPr>
          <w:lang w:val="bg-BG"/>
        </w:rPr>
      </w:pPr>
      <w:r w:rsidRPr="006730B9">
        <w:rPr>
          <w:rStyle w:val="FootnoteReference"/>
          <w:sz w:val="18"/>
          <w:lang w:val="bg-BG"/>
        </w:rPr>
        <w:footnoteRef/>
      </w:r>
      <w:r w:rsidRPr="006730B9">
        <w:rPr>
          <w:lang w:val="bg-BG"/>
        </w:rPr>
        <w:t xml:space="preserve"> </w:t>
      </w:r>
      <w:r w:rsidRPr="006730B9">
        <w:rPr>
          <w:sz w:val="18"/>
          <w:szCs w:val="16"/>
          <w:lang w:val="bg-BG"/>
        </w:rPr>
        <w:t>Държавният бюджет включва централен бюджет, бюджетите на НС, съдебната власт, министерствата и ведомствата.</w:t>
      </w:r>
    </w:p>
  </w:footnote>
  <w:footnote w:id="11">
    <w:p w:rsidR="009810B3" w:rsidRPr="002733BD" w:rsidRDefault="009810B3" w:rsidP="00B609F3">
      <w:pPr>
        <w:pStyle w:val="FootnoteText"/>
        <w:jc w:val="both"/>
        <w:rPr>
          <w:sz w:val="18"/>
          <w:szCs w:val="18"/>
          <w:lang w:val="bg-BG"/>
        </w:rPr>
      </w:pPr>
      <w:r w:rsidRPr="002733BD">
        <w:rPr>
          <w:rStyle w:val="FootnoteReference"/>
          <w:lang w:val="bg-BG"/>
        </w:rPr>
        <w:footnoteRef/>
      </w:r>
      <w:r w:rsidRPr="002733BD">
        <w:rPr>
          <w:sz w:val="18"/>
          <w:szCs w:val="18"/>
          <w:lang w:val="bg-BG"/>
        </w:rPr>
        <w:t xml:space="preserve"> Поради извършено закръгление в млн. евро, някои сумарни позиции в Таблица № 1 и в текста не се изчерпват от съставните им числа.</w:t>
      </w:r>
    </w:p>
  </w:footnote>
  <w:footnote w:id="12">
    <w:p w:rsidR="009810B3" w:rsidRPr="006C2AFF" w:rsidRDefault="009810B3" w:rsidP="00B609F3">
      <w:pPr>
        <w:pStyle w:val="FootnoteText"/>
        <w:jc w:val="both"/>
        <w:rPr>
          <w:sz w:val="18"/>
          <w:szCs w:val="18"/>
        </w:rPr>
      </w:pPr>
      <w:r w:rsidRPr="002733BD">
        <w:rPr>
          <w:rStyle w:val="FootnoteReference"/>
          <w:sz w:val="18"/>
          <w:szCs w:val="18"/>
          <w:lang w:val="bg-BG"/>
        </w:rPr>
        <w:footnoteRef/>
      </w:r>
      <w:r w:rsidRPr="002733BD">
        <w:rPr>
          <w:sz w:val="18"/>
          <w:szCs w:val="18"/>
          <w:lang w:val="bg-BG"/>
        </w:rPr>
        <w:t xml:space="preserve"> В позицията "Резерв за непредвидени и неотложни разходи" се посочват само данните по разчет. Разходите по отчет се отразяват по съответните разходни позиции, към които се отнасят извършените разходи.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7CD0"/>
    <w:multiLevelType w:val="hybridMultilevel"/>
    <w:tmpl w:val="5AC6FBB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4105CA9"/>
    <w:multiLevelType w:val="hybridMultilevel"/>
    <w:tmpl w:val="2D5A56EE"/>
    <w:lvl w:ilvl="0" w:tplc="88C42E5E">
      <w:start w:val="1"/>
      <w:numFmt w:val="decimal"/>
      <w:pStyle w:val="ParagraphNumbering"/>
      <w:lvlText w:val="%1.     "/>
      <w:lvlJc w:val="left"/>
      <w:pPr>
        <w:tabs>
          <w:tab w:val="num" w:pos="1260"/>
        </w:tabs>
        <w:ind w:left="540" w:firstLine="0"/>
      </w:pPr>
      <w:rPr>
        <w:rFonts w:hint="default"/>
        <w:b/>
      </w:rPr>
    </w:lvl>
    <w:lvl w:ilvl="1" w:tplc="F6E687FE">
      <w:start w:val="1"/>
      <w:numFmt w:val="upperRoman"/>
      <w:lvlText w:val="%2."/>
      <w:lvlJc w:val="right"/>
      <w:pPr>
        <w:tabs>
          <w:tab w:val="num" w:pos="1260"/>
        </w:tabs>
        <w:ind w:left="1260" w:hanging="18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rPr>
        <w:b/>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C372835"/>
    <w:multiLevelType w:val="multilevel"/>
    <w:tmpl w:val="7B586E5A"/>
    <w:lvl w:ilvl="0">
      <w:start w:val="1"/>
      <w:numFmt w:val="bullet"/>
      <w:lvlText w:val=""/>
      <w:lvlJc w:val="left"/>
      <w:pPr>
        <w:tabs>
          <w:tab w:val="num" w:pos="532"/>
        </w:tabs>
        <w:ind w:left="532" w:hanging="390"/>
      </w:pPr>
      <w:rPr>
        <w:rFonts w:ascii="Wingdings" w:hAnsi="Wingding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3" w15:restartNumberingAfterBreak="0">
    <w:nsid w:val="20EE040C"/>
    <w:multiLevelType w:val="hybridMultilevel"/>
    <w:tmpl w:val="DF5C7CEA"/>
    <w:lvl w:ilvl="0" w:tplc="04020005">
      <w:start w:val="1"/>
      <w:numFmt w:val="bullet"/>
      <w:lvlText w:val=""/>
      <w:lvlJc w:val="left"/>
      <w:pPr>
        <w:tabs>
          <w:tab w:val="num" w:pos="360"/>
        </w:tabs>
        <w:ind w:left="360" w:hanging="360"/>
      </w:pPr>
      <w:rPr>
        <w:rFonts w:ascii="Wingdings" w:hAnsi="Wingdings" w:hint="default"/>
        <w:color w:val="auto"/>
        <w:sz w:val="28"/>
        <w:u w:color="FFFFFF"/>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8D6CFF"/>
    <w:multiLevelType w:val="hybridMultilevel"/>
    <w:tmpl w:val="8E9EC7B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C6531B"/>
    <w:multiLevelType w:val="hybridMultilevel"/>
    <w:tmpl w:val="8B6EA6A0"/>
    <w:lvl w:ilvl="0" w:tplc="EF702B0E">
      <w:start w:val="1"/>
      <w:numFmt w:val="bullet"/>
      <w:lvlText w:val=""/>
      <w:lvlJc w:val="left"/>
      <w:pPr>
        <w:ind w:left="1571" w:hanging="360"/>
      </w:pPr>
      <w:rPr>
        <w:rFonts w:ascii="Wingdings" w:hAnsi="Wingdings" w:hint="default"/>
        <w:color w:val="auto"/>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2A5547F4"/>
    <w:multiLevelType w:val="hybridMultilevel"/>
    <w:tmpl w:val="5254DCD2"/>
    <w:lvl w:ilvl="0" w:tplc="A314B01C">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F8B1941"/>
    <w:multiLevelType w:val="hybridMultilevel"/>
    <w:tmpl w:val="269A2F3C"/>
    <w:lvl w:ilvl="0" w:tplc="1AC8DDA4">
      <w:start w:val="1"/>
      <w:numFmt w:val="bullet"/>
      <w:lvlText w:val=""/>
      <w:lvlJc w:val="left"/>
      <w:pPr>
        <w:tabs>
          <w:tab w:val="num" w:pos="1440"/>
        </w:tabs>
        <w:ind w:left="740" w:firstLine="340"/>
      </w:pPr>
      <w:rPr>
        <w:rFonts w:ascii="Wingdings" w:hAnsi="Wingdings" w:hint="default"/>
        <w:sz w:val="24"/>
        <w:szCs w:val="24"/>
      </w:rPr>
    </w:lvl>
    <w:lvl w:ilvl="1" w:tplc="B8089F6A">
      <w:start w:val="1"/>
      <w:numFmt w:val="bullet"/>
      <w:lvlText w:val=""/>
      <w:lvlJc w:val="left"/>
      <w:pPr>
        <w:tabs>
          <w:tab w:val="num" w:pos="1437"/>
        </w:tabs>
        <w:ind w:left="1437" w:hanging="357"/>
      </w:pPr>
      <w:rPr>
        <w:rFonts w:ascii="Wingdings" w:hAnsi="Wingdings" w:hint="default"/>
        <w:color w:val="auto"/>
        <w:sz w:val="28"/>
        <w:szCs w:val="24"/>
        <w:u w:color="FFFFFF"/>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236CB"/>
    <w:multiLevelType w:val="hybridMultilevel"/>
    <w:tmpl w:val="9C5CF38C"/>
    <w:lvl w:ilvl="0" w:tplc="EF3EE33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FB5D76"/>
    <w:multiLevelType w:val="hybridMultilevel"/>
    <w:tmpl w:val="E6748404"/>
    <w:lvl w:ilvl="0" w:tplc="0402000D">
      <w:start w:val="1"/>
      <w:numFmt w:val="bullet"/>
      <w:lvlText w:val=""/>
      <w:lvlJc w:val="left"/>
      <w:pPr>
        <w:ind w:left="1004" w:hanging="360"/>
      </w:pPr>
      <w:rPr>
        <w:rFonts w:ascii="Wingdings" w:hAnsi="Wingdings"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10" w15:restartNumberingAfterBreak="0">
    <w:nsid w:val="48843DC3"/>
    <w:multiLevelType w:val="hybridMultilevel"/>
    <w:tmpl w:val="59487C1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489254F4"/>
    <w:multiLevelType w:val="hybridMultilevel"/>
    <w:tmpl w:val="A78E9870"/>
    <w:lvl w:ilvl="0" w:tplc="0409000B">
      <w:start w:val="1"/>
      <w:numFmt w:val="bullet"/>
      <w:lvlText w:val=""/>
      <w:lvlJc w:val="left"/>
      <w:pPr>
        <w:tabs>
          <w:tab w:val="num" w:pos="360"/>
        </w:tabs>
        <w:ind w:left="360" w:hanging="360"/>
      </w:pPr>
      <w:rPr>
        <w:rFonts w:ascii="Wingdings" w:hAnsi="Wingdings" w:hint="default"/>
      </w:rPr>
    </w:lvl>
    <w:lvl w:ilvl="1" w:tplc="8DDE1D3E">
      <w:start w:val="1"/>
      <w:numFmt w:val="bullet"/>
      <w:lvlText w:val=""/>
      <w:lvlJc w:val="left"/>
      <w:pPr>
        <w:tabs>
          <w:tab w:val="num" w:pos="1383"/>
        </w:tabs>
        <w:ind w:left="683" w:firstLine="340"/>
      </w:pPr>
      <w:rPr>
        <w:rFonts w:ascii="Wingdings" w:hAnsi="Wingdings"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2" w15:restartNumberingAfterBreak="0">
    <w:nsid w:val="4A5F564A"/>
    <w:multiLevelType w:val="hybridMultilevel"/>
    <w:tmpl w:val="19C03E34"/>
    <w:lvl w:ilvl="0" w:tplc="B8089F6A">
      <w:start w:val="1"/>
      <w:numFmt w:val="bullet"/>
      <w:lvlText w:val=""/>
      <w:lvlJc w:val="left"/>
      <w:pPr>
        <w:tabs>
          <w:tab w:val="num" w:pos="6878"/>
        </w:tabs>
        <w:ind w:left="6878" w:hanging="357"/>
      </w:pPr>
      <w:rPr>
        <w:rFonts w:ascii="Wingdings" w:hAnsi="Wingdings" w:hint="default"/>
        <w:color w:val="auto"/>
        <w:sz w:val="28"/>
        <w:u w:color="FFFFFF"/>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B1C3D5E"/>
    <w:multiLevelType w:val="hybridMultilevel"/>
    <w:tmpl w:val="05085AC2"/>
    <w:lvl w:ilvl="0" w:tplc="EDA44120">
      <w:start w:val="1"/>
      <w:numFmt w:val="bullet"/>
      <w:lvlText w:val="-"/>
      <w:lvlJc w:val="left"/>
      <w:pPr>
        <w:tabs>
          <w:tab w:val="num" w:pos="700"/>
        </w:tabs>
        <w:ind w:left="700" w:hanging="360"/>
      </w:pPr>
      <w:rPr>
        <w:rFonts w:ascii="Mangal" w:hAnsi="Mangal" w:hint="default"/>
      </w:rPr>
    </w:lvl>
    <w:lvl w:ilvl="1" w:tplc="C7466056">
      <w:start w:val="1"/>
      <w:numFmt w:val="bullet"/>
      <w:lvlText w:val=""/>
      <w:lvlJc w:val="left"/>
      <w:pPr>
        <w:tabs>
          <w:tab w:val="num" w:pos="1440"/>
        </w:tabs>
        <w:ind w:left="740" w:firstLine="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EB1EBB"/>
    <w:multiLevelType w:val="hybridMultilevel"/>
    <w:tmpl w:val="00982DA8"/>
    <w:lvl w:ilvl="0" w:tplc="F5B6D06A">
      <w:start w:val="1"/>
      <w:numFmt w:val="bullet"/>
      <w:lvlText w:val=""/>
      <w:lvlJc w:val="left"/>
      <w:pPr>
        <w:tabs>
          <w:tab w:val="num" w:pos="540"/>
        </w:tabs>
        <w:ind w:left="540" w:hanging="360"/>
      </w:pPr>
      <w:rPr>
        <w:rFonts w:ascii="Wingdings" w:hAnsi="Wingdings" w:hint="default"/>
        <w:color w:val="auto"/>
        <w:sz w:val="24"/>
      </w:rPr>
    </w:lvl>
    <w:lvl w:ilvl="1" w:tplc="60389F10">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D05421"/>
    <w:multiLevelType w:val="hybridMultilevel"/>
    <w:tmpl w:val="82BC036E"/>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15:restartNumberingAfterBreak="0">
    <w:nsid w:val="53A41434"/>
    <w:multiLevelType w:val="hybridMultilevel"/>
    <w:tmpl w:val="D4069CA2"/>
    <w:lvl w:ilvl="0" w:tplc="AB6E2D68">
      <w:start w:val="1"/>
      <w:numFmt w:val="bullet"/>
      <w:lvlText w:val=""/>
      <w:lvlJc w:val="left"/>
      <w:pPr>
        <w:tabs>
          <w:tab w:val="num" w:pos="7650"/>
        </w:tabs>
        <w:ind w:left="7650" w:hanging="360"/>
      </w:pPr>
      <w:rPr>
        <w:rFonts w:ascii="Wingdings" w:hAnsi="Wingdings" w:hint="default"/>
        <w:color w:val="auto"/>
        <w:sz w:val="24"/>
        <w:szCs w:val="24"/>
      </w:rPr>
    </w:lvl>
    <w:lvl w:ilvl="1" w:tplc="7DDCFFB6">
      <w:start w:val="1"/>
      <w:numFmt w:val="bullet"/>
      <w:lvlText w:val=""/>
      <w:lvlJc w:val="left"/>
      <w:pPr>
        <w:tabs>
          <w:tab w:val="num" w:pos="1440"/>
        </w:tabs>
        <w:ind w:left="1440" w:hanging="360"/>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6E25D3"/>
    <w:multiLevelType w:val="hybridMultilevel"/>
    <w:tmpl w:val="27BA74F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55D92F24"/>
    <w:multiLevelType w:val="hybridMultilevel"/>
    <w:tmpl w:val="C3E23384"/>
    <w:lvl w:ilvl="0" w:tplc="0402000D">
      <w:start w:val="1"/>
      <w:numFmt w:val="bullet"/>
      <w:lvlText w:val=""/>
      <w:lvlJc w:val="left"/>
      <w:pPr>
        <w:ind w:left="2250" w:hanging="360"/>
      </w:pPr>
      <w:rPr>
        <w:rFonts w:ascii="Wingdings" w:hAnsi="Wingdings" w:hint="default"/>
      </w:rPr>
    </w:lvl>
    <w:lvl w:ilvl="1" w:tplc="04020003" w:tentative="1">
      <w:start w:val="1"/>
      <w:numFmt w:val="bullet"/>
      <w:lvlText w:val="o"/>
      <w:lvlJc w:val="left"/>
      <w:pPr>
        <w:ind w:left="2040" w:hanging="360"/>
      </w:pPr>
      <w:rPr>
        <w:rFonts w:ascii="Courier New" w:hAnsi="Courier New" w:cs="Courier New" w:hint="default"/>
      </w:rPr>
    </w:lvl>
    <w:lvl w:ilvl="2" w:tplc="04020005" w:tentative="1">
      <w:start w:val="1"/>
      <w:numFmt w:val="bullet"/>
      <w:lvlText w:val=""/>
      <w:lvlJc w:val="left"/>
      <w:pPr>
        <w:ind w:left="2760" w:hanging="360"/>
      </w:pPr>
      <w:rPr>
        <w:rFonts w:ascii="Wingdings" w:hAnsi="Wingdings" w:hint="default"/>
      </w:rPr>
    </w:lvl>
    <w:lvl w:ilvl="3" w:tplc="04020001" w:tentative="1">
      <w:start w:val="1"/>
      <w:numFmt w:val="bullet"/>
      <w:lvlText w:val=""/>
      <w:lvlJc w:val="left"/>
      <w:pPr>
        <w:ind w:left="3480" w:hanging="360"/>
      </w:pPr>
      <w:rPr>
        <w:rFonts w:ascii="Symbol" w:hAnsi="Symbol" w:hint="default"/>
      </w:rPr>
    </w:lvl>
    <w:lvl w:ilvl="4" w:tplc="04020003" w:tentative="1">
      <w:start w:val="1"/>
      <w:numFmt w:val="bullet"/>
      <w:lvlText w:val="o"/>
      <w:lvlJc w:val="left"/>
      <w:pPr>
        <w:ind w:left="4200" w:hanging="360"/>
      </w:pPr>
      <w:rPr>
        <w:rFonts w:ascii="Courier New" w:hAnsi="Courier New" w:cs="Courier New" w:hint="default"/>
      </w:rPr>
    </w:lvl>
    <w:lvl w:ilvl="5" w:tplc="04020005" w:tentative="1">
      <w:start w:val="1"/>
      <w:numFmt w:val="bullet"/>
      <w:lvlText w:val=""/>
      <w:lvlJc w:val="left"/>
      <w:pPr>
        <w:ind w:left="4920" w:hanging="360"/>
      </w:pPr>
      <w:rPr>
        <w:rFonts w:ascii="Wingdings" w:hAnsi="Wingdings" w:hint="default"/>
      </w:rPr>
    </w:lvl>
    <w:lvl w:ilvl="6" w:tplc="04020001" w:tentative="1">
      <w:start w:val="1"/>
      <w:numFmt w:val="bullet"/>
      <w:lvlText w:val=""/>
      <w:lvlJc w:val="left"/>
      <w:pPr>
        <w:ind w:left="5640" w:hanging="360"/>
      </w:pPr>
      <w:rPr>
        <w:rFonts w:ascii="Symbol" w:hAnsi="Symbol" w:hint="default"/>
      </w:rPr>
    </w:lvl>
    <w:lvl w:ilvl="7" w:tplc="04020003" w:tentative="1">
      <w:start w:val="1"/>
      <w:numFmt w:val="bullet"/>
      <w:lvlText w:val="o"/>
      <w:lvlJc w:val="left"/>
      <w:pPr>
        <w:ind w:left="6360" w:hanging="360"/>
      </w:pPr>
      <w:rPr>
        <w:rFonts w:ascii="Courier New" w:hAnsi="Courier New" w:cs="Courier New" w:hint="default"/>
      </w:rPr>
    </w:lvl>
    <w:lvl w:ilvl="8" w:tplc="04020005" w:tentative="1">
      <w:start w:val="1"/>
      <w:numFmt w:val="bullet"/>
      <w:lvlText w:val=""/>
      <w:lvlJc w:val="left"/>
      <w:pPr>
        <w:ind w:left="7080" w:hanging="360"/>
      </w:pPr>
      <w:rPr>
        <w:rFonts w:ascii="Wingdings" w:hAnsi="Wingdings" w:hint="default"/>
      </w:rPr>
    </w:lvl>
  </w:abstractNum>
  <w:abstractNum w:abstractNumId="19" w15:restartNumberingAfterBreak="0">
    <w:nsid w:val="582E15B7"/>
    <w:multiLevelType w:val="hybridMultilevel"/>
    <w:tmpl w:val="B862F89C"/>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0" w15:restartNumberingAfterBreak="0">
    <w:nsid w:val="5A4F4D20"/>
    <w:multiLevelType w:val="hybridMultilevel"/>
    <w:tmpl w:val="5E16FA84"/>
    <w:lvl w:ilvl="0" w:tplc="A314B01C">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637F5E06"/>
    <w:multiLevelType w:val="hybridMultilevel"/>
    <w:tmpl w:val="18803A0C"/>
    <w:lvl w:ilvl="0" w:tplc="F934C166">
      <w:numFmt w:val="bullet"/>
      <w:lvlText w:val="-"/>
      <w:lvlJc w:val="left"/>
      <w:pPr>
        <w:ind w:left="898" w:hanging="360"/>
      </w:pPr>
      <w:rPr>
        <w:rFonts w:ascii="Times New Roman" w:eastAsia="Times New Roman" w:hAnsi="Times New Roman" w:cs="Times New Roman" w:hint="default"/>
      </w:rPr>
    </w:lvl>
    <w:lvl w:ilvl="1" w:tplc="04020003" w:tentative="1">
      <w:start w:val="1"/>
      <w:numFmt w:val="bullet"/>
      <w:lvlText w:val="o"/>
      <w:lvlJc w:val="left"/>
      <w:pPr>
        <w:ind w:left="1618" w:hanging="360"/>
      </w:pPr>
      <w:rPr>
        <w:rFonts w:ascii="Courier New" w:hAnsi="Courier New" w:cs="Courier New" w:hint="default"/>
      </w:rPr>
    </w:lvl>
    <w:lvl w:ilvl="2" w:tplc="04020005" w:tentative="1">
      <w:start w:val="1"/>
      <w:numFmt w:val="bullet"/>
      <w:lvlText w:val=""/>
      <w:lvlJc w:val="left"/>
      <w:pPr>
        <w:ind w:left="2338" w:hanging="360"/>
      </w:pPr>
      <w:rPr>
        <w:rFonts w:ascii="Wingdings" w:hAnsi="Wingdings" w:hint="default"/>
      </w:rPr>
    </w:lvl>
    <w:lvl w:ilvl="3" w:tplc="04020001" w:tentative="1">
      <w:start w:val="1"/>
      <w:numFmt w:val="bullet"/>
      <w:lvlText w:val=""/>
      <w:lvlJc w:val="left"/>
      <w:pPr>
        <w:ind w:left="3058" w:hanging="360"/>
      </w:pPr>
      <w:rPr>
        <w:rFonts w:ascii="Symbol" w:hAnsi="Symbol" w:hint="default"/>
      </w:rPr>
    </w:lvl>
    <w:lvl w:ilvl="4" w:tplc="04020003" w:tentative="1">
      <w:start w:val="1"/>
      <w:numFmt w:val="bullet"/>
      <w:lvlText w:val="o"/>
      <w:lvlJc w:val="left"/>
      <w:pPr>
        <w:ind w:left="3778" w:hanging="360"/>
      </w:pPr>
      <w:rPr>
        <w:rFonts w:ascii="Courier New" w:hAnsi="Courier New" w:cs="Courier New" w:hint="default"/>
      </w:rPr>
    </w:lvl>
    <w:lvl w:ilvl="5" w:tplc="04020005" w:tentative="1">
      <w:start w:val="1"/>
      <w:numFmt w:val="bullet"/>
      <w:lvlText w:val=""/>
      <w:lvlJc w:val="left"/>
      <w:pPr>
        <w:ind w:left="4498" w:hanging="360"/>
      </w:pPr>
      <w:rPr>
        <w:rFonts w:ascii="Wingdings" w:hAnsi="Wingdings" w:hint="default"/>
      </w:rPr>
    </w:lvl>
    <w:lvl w:ilvl="6" w:tplc="04020001" w:tentative="1">
      <w:start w:val="1"/>
      <w:numFmt w:val="bullet"/>
      <w:lvlText w:val=""/>
      <w:lvlJc w:val="left"/>
      <w:pPr>
        <w:ind w:left="5218" w:hanging="360"/>
      </w:pPr>
      <w:rPr>
        <w:rFonts w:ascii="Symbol" w:hAnsi="Symbol" w:hint="default"/>
      </w:rPr>
    </w:lvl>
    <w:lvl w:ilvl="7" w:tplc="04020003" w:tentative="1">
      <w:start w:val="1"/>
      <w:numFmt w:val="bullet"/>
      <w:lvlText w:val="o"/>
      <w:lvlJc w:val="left"/>
      <w:pPr>
        <w:ind w:left="5938" w:hanging="360"/>
      </w:pPr>
      <w:rPr>
        <w:rFonts w:ascii="Courier New" w:hAnsi="Courier New" w:cs="Courier New" w:hint="default"/>
      </w:rPr>
    </w:lvl>
    <w:lvl w:ilvl="8" w:tplc="04020005" w:tentative="1">
      <w:start w:val="1"/>
      <w:numFmt w:val="bullet"/>
      <w:lvlText w:val=""/>
      <w:lvlJc w:val="left"/>
      <w:pPr>
        <w:ind w:left="6658" w:hanging="360"/>
      </w:pPr>
      <w:rPr>
        <w:rFonts w:ascii="Wingdings" w:hAnsi="Wingdings" w:hint="default"/>
      </w:rPr>
    </w:lvl>
  </w:abstractNum>
  <w:abstractNum w:abstractNumId="22" w15:restartNumberingAfterBreak="0">
    <w:nsid w:val="643A5E75"/>
    <w:multiLevelType w:val="hybridMultilevel"/>
    <w:tmpl w:val="EDD48416"/>
    <w:lvl w:ilvl="0" w:tplc="D1B81C84">
      <w:start w:val="1"/>
      <w:numFmt w:val="bullet"/>
      <w:lvlText w:val=""/>
      <w:lvlJc w:val="left"/>
      <w:pPr>
        <w:tabs>
          <w:tab w:val="num" w:pos="1101"/>
        </w:tabs>
        <w:ind w:left="1101" w:hanging="360"/>
      </w:pPr>
      <w:rPr>
        <w:rFonts w:ascii="Symbol" w:hAnsi="Symbol" w:hint="default"/>
        <w:color w:val="auto"/>
      </w:rPr>
    </w:lvl>
    <w:lvl w:ilvl="1" w:tplc="04020003">
      <w:start w:val="1"/>
      <w:numFmt w:val="bullet"/>
      <w:lvlText w:val="o"/>
      <w:lvlJc w:val="left"/>
      <w:pPr>
        <w:tabs>
          <w:tab w:val="num" w:pos="1821"/>
        </w:tabs>
        <w:ind w:left="1821" w:hanging="360"/>
      </w:pPr>
      <w:rPr>
        <w:rFonts w:ascii="Courier New" w:hAnsi="Courier New" w:cs="Courier New" w:hint="default"/>
      </w:rPr>
    </w:lvl>
    <w:lvl w:ilvl="2" w:tplc="04020005" w:tentative="1">
      <w:start w:val="1"/>
      <w:numFmt w:val="bullet"/>
      <w:lvlText w:val=""/>
      <w:lvlJc w:val="left"/>
      <w:pPr>
        <w:tabs>
          <w:tab w:val="num" w:pos="2541"/>
        </w:tabs>
        <w:ind w:left="2541" w:hanging="360"/>
      </w:pPr>
      <w:rPr>
        <w:rFonts w:ascii="Wingdings" w:hAnsi="Wingdings" w:hint="default"/>
      </w:rPr>
    </w:lvl>
    <w:lvl w:ilvl="3" w:tplc="04020001" w:tentative="1">
      <w:start w:val="1"/>
      <w:numFmt w:val="bullet"/>
      <w:lvlText w:val=""/>
      <w:lvlJc w:val="left"/>
      <w:pPr>
        <w:tabs>
          <w:tab w:val="num" w:pos="3261"/>
        </w:tabs>
        <w:ind w:left="3261" w:hanging="360"/>
      </w:pPr>
      <w:rPr>
        <w:rFonts w:ascii="Symbol" w:hAnsi="Symbol" w:hint="default"/>
      </w:rPr>
    </w:lvl>
    <w:lvl w:ilvl="4" w:tplc="04020003" w:tentative="1">
      <w:start w:val="1"/>
      <w:numFmt w:val="bullet"/>
      <w:lvlText w:val="o"/>
      <w:lvlJc w:val="left"/>
      <w:pPr>
        <w:tabs>
          <w:tab w:val="num" w:pos="3981"/>
        </w:tabs>
        <w:ind w:left="3981" w:hanging="360"/>
      </w:pPr>
      <w:rPr>
        <w:rFonts w:ascii="Courier New" w:hAnsi="Courier New" w:cs="Courier New" w:hint="default"/>
      </w:rPr>
    </w:lvl>
    <w:lvl w:ilvl="5" w:tplc="04020005" w:tentative="1">
      <w:start w:val="1"/>
      <w:numFmt w:val="bullet"/>
      <w:lvlText w:val=""/>
      <w:lvlJc w:val="left"/>
      <w:pPr>
        <w:tabs>
          <w:tab w:val="num" w:pos="4701"/>
        </w:tabs>
        <w:ind w:left="4701" w:hanging="360"/>
      </w:pPr>
      <w:rPr>
        <w:rFonts w:ascii="Wingdings" w:hAnsi="Wingdings" w:hint="default"/>
      </w:rPr>
    </w:lvl>
    <w:lvl w:ilvl="6" w:tplc="04020001" w:tentative="1">
      <w:start w:val="1"/>
      <w:numFmt w:val="bullet"/>
      <w:lvlText w:val=""/>
      <w:lvlJc w:val="left"/>
      <w:pPr>
        <w:tabs>
          <w:tab w:val="num" w:pos="5421"/>
        </w:tabs>
        <w:ind w:left="5421" w:hanging="360"/>
      </w:pPr>
      <w:rPr>
        <w:rFonts w:ascii="Symbol" w:hAnsi="Symbol" w:hint="default"/>
      </w:rPr>
    </w:lvl>
    <w:lvl w:ilvl="7" w:tplc="04020003" w:tentative="1">
      <w:start w:val="1"/>
      <w:numFmt w:val="bullet"/>
      <w:lvlText w:val="o"/>
      <w:lvlJc w:val="left"/>
      <w:pPr>
        <w:tabs>
          <w:tab w:val="num" w:pos="6141"/>
        </w:tabs>
        <w:ind w:left="6141" w:hanging="360"/>
      </w:pPr>
      <w:rPr>
        <w:rFonts w:ascii="Courier New" w:hAnsi="Courier New" w:cs="Courier New" w:hint="default"/>
      </w:rPr>
    </w:lvl>
    <w:lvl w:ilvl="8" w:tplc="04020005" w:tentative="1">
      <w:start w:val="1"/>
      <w:numFmt w:val="bullet"/>
      <w:lvlText w:val=""/>
      <w:lvlJc w:val="left"/>
      <w:pPr>
        <w:tabs>
          <w:tab w:val="num" w:pos="6861"/>
        </w:tabs>
        <w:ind w:left="6861" w:hanging="360"/>
      </w:pPr>
      <w:rPr>
        <w:rFonts w:ascii="Wingdings" w:hAnsi="Wingdings" w:hint="default"/>
      </w:rPr>
    </w:lvl>
  </w:abstractNum>
  <w:abstractNum w:abstractNumId="23" w15:restartNumberingAfterBreak="0">
    <w:nsid w:val="65CD370F"/>
    <w:multiLevelType w:val="hybridMultilevel"/>
    <w:tmpl w:val="F0D23F02"/>
    <w:lvl w:ilvl="0" w:tplc="708AF0F2">
      <w:start w:val="1"/>
      <w:numFmt w:val="bullet"/>
      <w:lvlText w:val=""/>
      <w:lvlJc w:val="left"/>
      <w:pPr>
        <w:tabs>
          <w:tab w:val="num" w:pos="700"/>
        </w:tabs>
        <w:ind w:left="700" w:hanging="360"/>
      </w:pPr>
      <w:rPr>
        <w:rFonts w:ascii="Symbol" w:hAnsi="Symbol" w:hint="default"/>
      </w:rPr>
    </w:lvl>
    <w:lvl w:ilvl="1" w:tplc="C7466056">
      <w:start w:val="1"/>
      <w:numFmt w:val="bullet"/>
      <w:lvlText w:val=""/>
      <w:lvlJc w:val="left"/>
      <w:pPr>
        <w:tabs>
          <w:tab w:val="num" w:pos="1440"/>
        </w:tabs>
        <w:ind w:left="740" w:firstLine="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9E6BBC"/>
    <w:multiLevelType w:val="hybridMultilevel"/>
    <w:tmpl w:val="A3186A2C"/>
    <w:lvl w:ilvl="0" w:tplc="3B28C328">
      <w:start w:val="1"/>
      <w:numFmt w:val="bullet"/>
      <w:lvlText w:val="♦"/>
      <w:lvlJc w:val="left"/>
      <w:pPr>
        <w:tabs>
          <w:tab w:val="num" w:pos="2880"/>
        </w:tabs>
        <w:ind w:left="2880" w:hanging="360"/>
      </w:pPr>
      <w:rPr>
        <w:rFonts w:ascii="Courier New" w:hAnsi="Courier New" w:hint="default"/>
        <w:sz w:val="24"/>
        <w:szCs w:val="24"/>
      </w:rPr>
    </w:lvl>
    <w:lvl w:ilvl="1" w:tplc="8D0EC7F8">
      <w:start w:val="1"/>
      <w:numFmt w:val="bullet"/>
      <w:lvlText w:val=""/>
      <w:lvlJc w:val="left"/>
      <w:pPr>
        <w:tabs>
          <w:tab w:val="num" w:pos="2160"/>
        </w:tabs>
        <w:ind w:left="2160" w:hanging="360"/>
      </w:pPr>
      <w:rPr>
        <w:rFonts w:ascii="Wingdings" w:hAnsi="Wingdings" w:hint="default"/>
        <w:color w:val="auto"/>
        <w:sz w:val="24"/>
        <w:szCs w:val="24"/>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82E6D57"/>
    <w:multiLevelType w:val="hybridMultilevel"/>
    <w:tmpl w:val="F2B0049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68B65AC9"/>
    <w:multiLevelType w:val="hybridMultilevel"/>
    <w:tmpl w:val="313EA526"/>
    <w:lvl w:ilvl="0" w:tplc="257A31AA">
      <w:start w:val="1"/>
      <w:numFmt w:val="bullet"/>
      <w:lvlText w:val=""/>
      <w:lvlJc w:val="left"/>
      <w:pPr>
        <w:tabs>
          <w:tab w:val="num" w:pos="540"/>
        </w:tabs>
        <w:ind w:left="30" w:firstLine="15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C836AB"/>
    <w:multiLevelType w:val="hybridMultilevel"/>
    <w:tmpl w:val="11FA283A"/>
    <w:lvl w:ilvl="0" w:tplc="BF8C18B4">
      <w:numFmt w:val="bullet"/>
      <w:lvlText w:val="-"/>
      <w:lvlJc w:val="left"/>
      <w:pPr>
        <w:ind w:left="643"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8" w15:restartNumberingAfterBreak="0">
    <w:nsid w:val="6E544B1C"/>
    <w:multiLevelType w:val="hybridMultilevel"/>
    <w:tmpl w:val="F19A58DE"/>
    <w:lvl w:ilvl="0" w:tplc="0402000B">
      <w:start w:val="1"/>
      <w:numFmt w:val="bullet"/>
      <w:lvlText w:val=""/>
      <w:lvlJc w:val="left"/>
      <w:pPr>
        <w:ind w:left="928" w:hanging="360"/>
      </w:pPr>
      <w:rPr>
        <w:rFonts w:ascii="Wingdings" w:hAnsi="Wingdings"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29" w15:restartNumberingAfterBreak="0">
    <w:nsid w:val="6F78209C"/>
    <w:multiLevelType w:val="hybridMultilevel"/>
    <w:tmpl w:val="5624217C"/>
    <w:lvl w:ilvl="0" w:tplc="CA968970">
      <w:start w:val="43"/>
      <w:numFmt w:val="bullet"/>
      <w:lvlText w:val="-"/>
      <w:lvlJc w:val="left"/>
      <w:pPr>
        <w:ind w:left="1429" w:hanging="360"/>
      </w:pPr>
      <w:rPr>
        <w:rFonts w:ascii="Times New Roman" w:eastAsia="Times New Roman" w:hAnsi="Times New Roman" w:cs="Times New Roman" w:hint="default"/>
      </w:rPr>
    </w:lvl>
    <w:lvl w:ilvl="1" w:tplc="04020003">
      <w:start w:val="1"/>
      <w:numFmt w:val="bullet"/>
      <w:lvlText w:val="o"/>
      <w:lvlJc w:val="left"/>
      <w:pPr>
        <w:ind w:left="2149" w:hanging="360"/>
      </w:pPr>
      <w:rPr>
        <w:rFonts w:ascii="Courier New" w:hAnsi="Courier New" w:cs="Courier New" w:hint="default"/>
      </w:rPr>
    </w:lvl>
    <w:lvl w:ilvl="2" w:tplc="04020005">
      <w:start w:val="1"/>
      <w:numFmt w:val="bullet"/>
      <w:lvlText w:val=""/>
      <w:lvlJc w:val="left"/>
      <w:pPr>
        <w:ind w:left="2869" w:hanging="360"/>
      </w:pPr>
      <w:rPr>
        <w:rFonts w:ascii="Wingdings" w:hAnsi="Wingdings" w:hint="default"/>
      </w:rPr>
    </w:lvl>
    <w:lvl w:ilvl="3" w:tplc="04020001">
      <w:start w:val="1"/>
      <w:numFmt w:val="bullet"/>
      <w:lvlText w:val=""/>
      <w:lvlJc w:val="left"/>
      <w:pPr>
        <w:ind w:left="3589" w:hanging="360"/>
      </w:pPr>
      <w:rPr>
        <w:rFonts w:ascii="Symbol" w:hAnsi="Symbol" w:hint="default"/>
      </w:rPr>
    </w:lvl>
    <w:lvl w:ilvl="4" w:tplc="04020003">
      <w:start w:val="1"/>
      <w:numFmt w:val="bullet"/>
      <w:lvlText w:val="o"/>
      <w:lvlJc w:val="left"/>
      <w:pPr>
        <w:ind w:left="4309" w:hanging="360"/>
      </w:pPr>
      <w:rPr>
        <w:rFonts w:ascii="Courier New" w:hAnsi="Courier New" w:cs="Courier New" w:hint="default"/>
      </w:rPr>
    </w:lvl>
    <w:lvl w:ilvl="5" w:tplc="04020005">
      <w:start w:val="1"/>
      <w:numFmt w:val="bullet"/>
      <w:lvlText w:val=""/>
      <w:lvlJc w:val="left"/>
      <w:pPr>
        <w:ind w:left="5029" w:hanging="360"/>
      </w:pPr>
      <w:rPr>
        <w:rFonts w:ascii="Wingdings" w:hAnsi="Wingdings" w:hint="default"/>
      </w:rPr>
    </w:lvl>
    <w:lvl w:ilvl="6" w:tplc="04020001">
      <w:start w:val="1"/>
      <w:numFmt w:val="bullet"/>
      <w:lvlText w:val=""/>
      <w:lvlJc w:val="left"/>
      <w:pPr>
        <w:ind w:left="5749" w:hanging="360"/>
      </w:pPr>
      <w:rPr>
        <w:rFonts w:ascii="Symbol" w:hAnsi="Symbol" w:hint="default"/>
      </w:rPr>
    </w:lvl>
    <w:lvl w:ilvl="7" w:tplc="04020003">
      <w:start w:val="1"/>
      <w:numFmt w:val="bullet"/>
      <w:lvlText w:val="o"/>
      <w:lvlJc w:val="left"/>
      <w:pPr>
        <w:ind w:left="6469" w:hanging="360"/>
      </w:pPr>
      <w:rPr>
        <w:rFonts w:ascii="Courier New" w:hAnsi="Courier New" w:cs="Courier New" w:hint="default"/>
      </w:rPr>
    </w:lvl>
    <w:lvl w:ilvl="8" w:tplc="04020005">
      <w:start w:val="1"/>
      <w:numFmt w:val="bullet"/>
      <w:lvlText w:val=""/>
      <w:lvlJc w:val="left"/>
      <w:pPr>
        <w:ind w:left="7189" w:hanging="360"/>
      </w:pPr>
      <w:rPr>
        <w:rFonts w:ascii="Wingdings" w:hAnsi="Wingdings" w:hint="default"/>
      </w:rPr>
    </w:lvl>
  </w:abstractNum>
  <w:abstractNum w:abstractNumId="30" w15:restartNumberingAfterBreak="0">
    <w:nsid w:val="71812127"/>
    <w:multiLevelType w:val="multilevel"/>
    <w:tmpl w:val="FDE86A66"/>
    <w:lvl w:ilvl="0">
      <w:start w:val="1"/>
      <w:numFmt w:val="decimal"/>
      <w:lvlText w:val="%1."/>
      <w:lvlJc w:val="left"/>
      <w:pPr>
        <w:tabs>
          <w:tab w:val="num" w:pos="532"/>
        </w:tabs>
        <w:ind w:left="532" w:hanging="39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31" w15:restartNumberingAfterBreak="0">
    <w:nsid w:val="71B2073A"/>
    <w:multiLevelType w:val="hybridMultilevel"/>
    <w:tmpl w:val="E6A85A7C"/>
    <w:lvl w:ilvl="0" w:tplc="0402000D">
      <w:start w:val="1"/>
      <w:numFmt w:val="bullet"/>
      <w:lvlText w:val=""/>
      <w:lvlJc w:val="left"/>
      <w:pPr>
        <w:ind w:left="1004" w:hanging="360"/>
      </w:pPr>
      <w:rPr>
        <w:rFonts w:ascii="Wingdings" w:hAnsi="Wingdings"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32" w15:restartNumberingAfterBreak="0">
    <w:nsid w:val="73265B88"/>
    <w:multiLevelType w:val="hybridMultilevel"/>
    <w:tmpl w:val="898C426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3" w15:restartNumberingAfterBreak="0">
    <w:nsid w:val="76F030F1"/>
    <w:multiLevelType w:val="hybridMultilevel"/>
    <w:tmpl w:val="7FFC6D20"/>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79AF700C"/>
    <w:multiLevelType w:val="hybridMultilevel"/>
    <w:tmpl w:val="96CA66F8"/>
    <w:lvl w:ilvl="0" w:tplc="CB981592">
      <w:start w:val="11"/>
      <w:numFmt w:val="bullet"/>
      <w:lvlText w:val="-"/>
      <w:lvlJc w:val="left"/>
      <w:pPr>
        <w:ind w:left="720" w:hanging="360"/>
      </w:pPr>
      <w:rPr>
        <w:rFonts w:ascii="Times New Roman" w:eastAsia="Times New Roman" w:hAnsi="Times New Roman" w:cs="Times New Roman" w:hint="default"/>
        <w:sz w:val="24"/>
        <w:szCs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79F336A1"/>
    <w:multiLevelType w:val="hybridMultilevel"/>
    <w:tmpl w:val="AF282760"/>
    <w:lvl w:ilvl="0" w:tplc="17CA124E">
      <w:start w:val="1"/>
      <w:numFmt w:val="bullet"/>
      <w:lvlText w:val=""/>
      <w:lvlJc w:val="left"/>
      <w:pPr>
        <w:ind w:left="786" w:hanging="360"/>
      </w:pPr>
      <w:rPr>
        <w:rFonts w:ascii="Symbol" w:hAnsi="Symbo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26"/>
  </w:num>
  <w:num w:numId="4">
    <w:abstractNumId w:val="7"/>
  </w:num>
  <w:num w:numId="5">
    <w:abstractNumId w:val="16"/>
  </w:num>
  <w:num w:numId="6">
    <w:abstractNumId w:val="23"/>
  </w:num>
  <w:num w:numId="7">
    <w:abstractNumId w:val="14"/>
  </w:num>
  <w:num w:numId="8">
    <w:abstractNumId w:val="30"/>
  </w:num>
  <w:num w:numId="9">
    <w:abstractNumId w:val="24"/>
  </w:num>
  <w:num w:numId="10">
    <w:abstractNumId w:val="22"/>
  </w:num>
  <w:num w:numId="11">
    <w:abstractNumId w:val="12"/>
  </w:num>
  <w:num w:numId="12">
    <w:abstractNumId w:val="3"/>
  </w:num>
  <w:num w:numId="13">
    <w:abstractNumId w:val="4"/>
  </w:num>
  <w:num w:numId="14">
    <w:abstractNumId w:val="13"/>
  </w:num>
  <w:num w:numId="15">
    <w:abstractNumId w:val="18"/>
  </w:num>
  <w:num w:numId="16">
    <w:abstractNumId w:val="28"/>
  </w:num>
  <w:num w:numId="17">
    <w:abstractNumId w:val="19"/>
  </w:num>
  <w:num w:numId="18">
    <w:abstractNumId w:val="0"/>
  </w:num>
  <w:num w:numId="19">
    <w:abstractNumId w:val="2"/>
  </w:num>
  <w:num w:numId="20">
    <w:abstractNumId w:val="21"/>
  </w:num>
  <w:num w:numId="21">
    <w:abstractNumId w:val="10"/>
  </w:num>
  <w:num w:numId="22">
    <w:abstractNumId w:val="29"/>
  </w:num>
  <w:num w:numId="23">
    <w:abstractNumId w:val="5"/>
  </w:num>
  <w:num w:numId="24">
    <w:abstractNumId w:val="15"/>
  </w:num>
  <w:num w:numId="25">
    <w:abstractNumId w:val="33"/>
  </w:num>
  <w:num w:numId="26">
    <w:abstractNumId w:val="25"/>
  </w:num>
  <w:num w:numId="27">
    <w:abstractNumId w:val="27"/>
  </w:num>
  <w:num w:numId="28">
    <w:abstractNumId w:val="35"/>
  </w:num>
  <w:num w:numId="29">
    <w:abstractNumId w:val="17"/>
  </w:num>
  <w:num w:numId="30">
    <w:abstractNumId w:val="6"/>
  </w:num>
  <w:num w:numId="31">
    <w:abstractNumId w:val="20"/>
  </w:num>
  <w:num w:numId="32">
    <w:abstractNumId w:val="31"/>
  </w:num>
  <w:num w:numId="33">
    <w:abstractNumId w:val="9"/>
  </w:num>
  <w:num w:numId="34">
    <w:abstractNumId w:val="32"/>
  </w:num>
  <w:num w:numId="35">
    <w:abstractNumId w:val="8"/>
  </w:num>
  <w:num w:numId="36">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E15"/>
    <w:rsid w:val="00000EF0"/>
    <w:rsid w:val="00000FE1"/>
    <w:rsid w:val="000010D2"/>
    <w:rsid w:val="00001580"/>
    <w:rsid w:val="000016BE"/>
    <w:rsid w:val="00001ABF"/>
    <w:rsid w:val="00001CF0"/>
    <w:rsid w:val="00002A93"/>
    <w:rsid w:val="00002BD7"/>
    <w:rsid w:val="00002D9C"/>
    <w:rsid w:val="00003489"/>
    <w:rsid w:val="00003B52"/>
    <w:rsid w:val="00004264"/>
    <w:rsid w:val="00004788"/>
    <w:rsid w:val="00005544"/>
    <w:rsid w:val="00005A85"/>
    <w:rsid w:val="000063FC"/>
    <w:rsid w:val="000065C6"/>
    <w:rsid w:val="0000691E"/>
    <w:rsid w:val="00006956"/>
    <w:rsid w:val="00006A56"/>
    <w:rsid w:val="00006EBC"/>
    <w:rsid w:val="00007886"/>
    <w:rsid w:val="00007F94"/>
    <w:rsid w:val="000100F0"/>
    <w:rsid w:val="000111D3"/>
    <w:rsid w:val="00011383"/>
    <w:rsid w:val="000119C6"/>
    <w:rsid w:val="000122E0"/>
    <w:rsid w:val="00012431"/>
    <w:rsid w:val="00012533"/>
    <w:rsid w:val="000126AC"/>
    <w:rsid w:val="0001276F"/>
    <w:rsid w:val="00012AE6"/>
    <w:rsid w:val="00012C07"/>
    <w:rsid w:val="0001332F"/>
    <w:rsid w:val="00013357"/>
    <w:rsid w:val="0001356B"/>
    <w:rsid w:val="00013677"/>
    <w:rsid w:val="00013834"/>
    <w:rsid w:val="00013ADD"/>
    <w:rsid w:val="00013B93"/>
    <w:rsid w:val="00013C59"/>
    <w:rsid w:val="00014355"/>
    <w:rsid w:val="000146EA"/>
    <w:rsid w:val="0001499C"/>
    <w:rsid w:val="000158A2"/>
    <w:rsid w:val="00015C0F"/>
    <w:rsid w:val="00015D5B"/>
    <w:rsid w:val="000164C8"/>
    <w:rsid w:val="0001664B"/>
    <w:rsid w:val="00017412"/>
    <w:rsid w:val="000175C7"/>
    <w:rsid w:val="0001768F"/>
    <w:rsid w:val="000178CA"/>
    <w:rsid w:val="00017C9A"/>
    <w:rsid w:val="00017EA1"/>
    <w:rsid w:val="00020053"/>
    <w:rsid w:val="0002050E"/>
    <w:rsid w:val="000206AE"/>
    <w:rsid w:val="000215BD"/>
    <w:rsid w:val="00021A5F"/>
    <w:rsid w:val="000221B7"/>
    <w:rsid w:val="00022856"/>
    <w:rsid w:val="000229E1"/>
    <w:rsid w:val="00022CAC"/>
    <w:rsid w:val="00022D9E"/>
    <w:rsid w:val="00023244"/>
    <w:rsid w:val="0002351F"/>
    <w:rsid w:val="00023A4B"/>
    <w:rsid w:val="00023BF6"/>
    <w:rsid w:val="00023D31"/>
    <w:rsid w:val="00024065"/>
    <w:rsid w:val="0002444B"/>
    <w:rsid w:val="0002477E"/>
    <w:rsid w:val="0002478B"/>
    <w:rsid w:val="000249B9"/>
    <w:rsid w:val="00024D9E"/>
    <w:rsid w:val="000252F3"/>
    <w:rsid w:val="000256B4"/>
    <w:rsid w:val="00025953"/>
    <w:rsid w:val="000259F6"/>
    <w:rsid w:val="00025C03"/>
    <w:rsid w:val="00025E07"/>
    <w:rsid w:val="00025F45"/>
    <w:rsid w:val="000262DF"/>
    <w:rsid w:val="000263E9"/>
    <w:rsid w:val="00026903"/>
    <w:rsid w:val="0002693A"/>
    <w:rsid w:val="00026AD5"/>
    <w:rsid w:val="00027951"/>
    <w:rsid w:val="00027B74"/>
    <w:rsid w:val="00030353"/>
    <w:rsid w:val="00030658"/>
    <w:rsid w:val="000307D3"/>
    <w:rsid w:val="000311EA"/>
    <w:rsid w:val="00031377"/>
    <w:rsid w:val="00031593"/>
    <w:rsid w:val="00031710"/>
    <w:rsid w:val="000319CB"/>
    <w:rsid w:val="000320C8"/>
    <w:rsid w:val="00032966"/>
    <w:rsid w:val="00032B7F"/>
    <w:rsid w:val="00033525"/>
    <w:rsid w:val="00033590"/>
    <w:rsid w:val="00033ACB"/>
    <w:rsid w:val="0003403B"/>
    <w:rsid w:val="000340ED"/>
    <w:rsid w:val="00034135"/>
    <w:rsid w:val="00034396"/>
    <w:rsid w:val="00034B8C"/>
    <w:rsid w:val="00034FE3"/>
    <w:rsid w:val="0003586B"/>
    <w:rsid w:val="000359FA"/>
    <w:rsid w:val="0003621F"/>
    <w:rsid w:val="000363A8"/>
    <w:rsid w:val="0003685F"/>
    <w:rsid w:val="000369D6"/>
    <w:rsid w:val="00036A1B"/>
    <w:rsid w:val="00037141"/>
    <w:rsid w:val="000377BC"/>
    <w:rsid w:val="000378DC"/>
    <w:rsid w:val="0003798B"/>
    <w:rsid w:val="000379BC"/>
    <w:rsid w:val="00037FDD"/>
    <w:rsid w:val="00040164"/>
    <w:rsid w:val="000406B2"/>
    <w:rsid w:val="0004080C"/>
    <w:rsid w:val="0004098D"/>
    <w:rsid w:val="00040C20"/>
    <w:rsid w:val="000411D9"/>
    <w:rsid w:val="00041338"/>
    <w:rsid w:val="00042634"/>
    <w:rsid w:val="00042825"/>
    <w:rsid w:val="00042853"/>
    <w:rsid w:val="00042C9E"/>
    <w:rsid w:val="00042E57"/>
    <w:rsid w:val="0004338F"/>
    <w:rsid w:val="000436DD"/>
    <w:rsid w:val="000439F5"/>
    <w:rsid w:val="00043A1B"/>
    <w:rsid w:val="00043AA0"/>
    <w:rsid w:val="00043AB2"/>
    <w:rsid w:val="00043E35"/>
    <w:rsid w:val="00043E3A"/>
    <w:rsid w:val="00044147"/>
    <w:rsid w:val="00044187"/>
    <w:rsid w:val="0004426E"/>
    <w:rsid w:val="00044273"/>
    <w:rsid w:val="00044543"/>
    <w:rsid w:val="00044584"/>
    <w:rsid w:val="0004481C"/>
    <w:rsid w:val="00044A32"/>
    <w:rsid w:val="00044C57"/>
    <w:rsid w:val="00045116"/>
    <w:rsid w:val="0004521E"/>
    <w:rsid w:val="0004559E"/>
    <w:rsid w:val="00045688"/>
    <w:rsid w:val="000458F0"/>
    <w:rsid w:val="00045B4C"/>
    <w:rsid w:val="000465FC"/>
    <w:rsid w:val="000467B1"/>
    <w:rsid w:val="00046C36"/>
    <w:rsid w:val="0004753C"/>
    <w:rsid w:val="000478FB"/>
    <w:rsid w:val="000500CE"/>
    <w:rsid w:val="0005045E"/>
    <w:rsid w:val="000504F4"/>
    <w:rsid w:val="0005066A"/>
    <w:rsid w:val="00050A1B"/>
    <w:rsid w:val="00051D05"/>
    <w:rsid w:val="00051E5E"/>
    <w:rsid w:val="00052449"/>
    <w:rsid w:val="00052485"/>
    <w:rsid w:val="0005284D"/>
    <w:rsid w:val="00052B23"/>
    <w:rsid w:val="00052C5C"/>
    <w:rsid w:val="000538A6"/>
    <w:rsid w:val="00053B0F"/>
    <w:rsid w:val="00053C71"/>
    <w:rsid w:val="00053D51"/>
    <w:rsid w:val="000542B4"/>
    <w:rsid w:val="00054555"/>
    <w:rsid w:val="000546BF"/>
    <w:rsid w:val="000548B8"/>
    <w:rsid w:val="00054CE2"/>
    <w:rsid w:val="00054E02"/>
    <w:rsid w:val="00055007"/>
    <w:rsid w:val="000551E4"/>
    <w:rsid w:val="00055A61"/>
    <w:rsid w:val="00055DD1"/>
    <w:rsid w:val="00055DF0"/>
    <w:rsid w:val="000561EA"/>
    <w:rsid w:val="00056221"/>
    <w:rsid w:val="00056B58"/>
    <w:rsid w:val="00056D9D"/>
    <w:rsid w:val="00056EF0"/>
    <w:rsid w:val="0005737D"/>
    <w:rsid w:val="0005756A"/>
    <w:rsid w:val="00057886"/>
    <w:rsid w:val="0006057F"/>
    <w:rsid w:val="00060627"/>
    <w:rsid w:val="00060A02"/>
    <w:rsid w:val="00060B42"/>
    <w:rsid w:val="000613BA"/>
    <w:rsid w:val="0006166E"/>
    <w:rsid w:val="00061758"/>
    <w:rsid w:val="000621DE"/>
    <w:rsid w:val="00062315"/>
    <w:rsid w:val="00062A61"/>
    <w:rsid w:val="00062A78"/>
    <w:rsid w:val="00063093"/>
    <w:rsid w:val="00063235"/>
    <w:rsid w:val="00063248"/>
    <w:rsid w:val="000638DE"/>
    <w:rsid w:val="00063C56"/>
    <w:rsid w:val="00063CF1"/>
    <w:rsid w:val="00063E15"/>
    <w:rsid w:val="000642B9"/>
    <w:rsid w:val="0006432D"/>
    <w:rsid w:val="00064472"/>
    <w:rsid w:val="0006477A"/>
    <w:rsid w:val="00064785"/>
    <w:rsid w:val="00064AF3"/>
    <w:rsid w:val="00064C44"/>
    <w:rsid w:val="00064E39"/>
    <w:rsid w:val="00064F71"/>
    <w:rsid w:val="0006584F"/>
    <w:rsid w:val="00065A46"/>
    <w:rsid w:val="00065A9B"/>
    <w:rsid w:val="00065DF8"/>
    <w:rsid w:val="000660D5"/>
    <w:rsid w:val="0006611E"/>
    <w:rsid w:val="000661BD"/>
    <w:rsid w:val="000663D1"/>
    <w:rsid w:val="000666C0"/>
    <w:rsid w:val="00066909"/>
    <w:rsid w:val="000669D8"/>
    <w:rsid w:val="00066EED"/>
    <w:rsid w:val="00067283"/>
    <w:rsid w:val="00067469"/>
    <w:rsid w:val="0006785C"/>
    <w:rsid w:val="0007007C"/>
    <w:rsid w:val="0007047E"/>
    <w:rsid w:val="000709C1"/>
    <w:rsid w:val="00070A97"/>
    <w:rsid w:val="00071C3B"/>
    <w:rsid w:val="00071F12"/>
    <w:rsid w:val="0007251B"/>
    <w:rsid w:val="00072C4F"/>
    <w:rsid w:val="00072D22"/>
    <w:rsid w:val="00073108"/>
    <w:rsid w:val="00073DF5"/>
    <w:rsid w:val="00074744"/>
    <w:rsid w:val="0007481D"/>
    <w:rsid w:val="00074B7D"/>
    <w:rsid w:val="000751C1"/>
    <w:rsid w:val="00075256"/>
    <w:rsid w:val="0007526B"/>
    <w:rsid w:val="000756FB"/>
    <w:rsid w:val="000768B3"/>
    <w:rsid w:val="00076B59"/>
    <w:rsid w:val="0007780E"/>
    <w:rsid w:val="000801C8"/>
    <w:rsid w:val="00080AB2"/>
    <w:rsid w:val="00080EF5"/>
    <w:rsid w:val="0008155D"/>
    <w:rsid w:val="0008165A"/>
    <w:rsid w:val="000819F9"/>
    <w:rsid w:val="00081AFD"/>
    <w:rsid w:val="00082392"/>
    <w:rsid w:val="00082679"/>
    <w:rsid w:val="000827A4"/>
    <w:rsid w:val="000829EB"/>
    <w:rsid w:val="00082BD9"/>
    <w:rsid w:val="00082F40"/>
    <w:rsid w:val="0008327E"/>
    <w:rsid w:val="000832E5"/>
    <w:rsid w:val="000833A2"/>
    <w:rsid w:val="0008357F"/>
    <w:rsid w:val="00083CC9"/>
    <w:rsid w:val="00084394"/>
    <w:rsid w:val="00084827"/>
    <w:rsid w:val="000853B1"/>
    <w:rsid w:val="00085704"/>
    <w:rsid w:val="00085715"/>
    <w:rsid w:val="00085734"/>
    <w:rsid w:val="00085B96"/>
    <w:rsid w:val="00085D31"/>
    <w:rsid w:val="00085E01"/>
    <w:rsid w:val="00085E1A"/>
    <w:rsid w:val="00086A8E"/>
    <w:rsid w:val="00086FA7"/>
    <w:rsid w:val="0008710A"/>
    <w:rsid w:val="00087295"/>
    <w:rsid w:val="0008745A"/>
    <w:rsid w:val="000878C4"/>
    <w:rsid w:val="00087924"/>
    <w:rsid w:val="00087ED6"/>
    <w:rsid w:val="0009002F"/>
    <w:rsid w:val="000900E3"/>
    <w:rsid w:val="000901EA"/>
    <w:rsid w:val="000902B5"/>
    <w:rsid w:val="00090536"/>
    <w:rsid w:val="00090D1D"/>
    <w:rsid w:val="000910CA"/>
    <w:rsid w:val="00091196"/>
    <w:rsid w:val="00091BAB"/>
    <w:rsid w:val="00091BCE"/>
    <w:rsid w:val="000931C8"/>
    <w:rsid w:val="000937AB"/>
    <w:rsid w:val="000937E0"/>
    <w:rsid w:val="00093CFC"/>
    <w:rsid w:val="00093F6F"/>
    <w:rsid w:val="00094376"/>
    <w:rsid w:val="000943E4"/>
    <w:rsid w:val="000949D3"/>
    <w:rsid w:val="00094A6C"/>
    <w:rsid w:val="00094A78"/>
    <w:rsid w:val="00094D57"/>
    <w:rsid w:val="00095164"/>
    <w:rsid w:val="0009519B"/>
    <w:rsid w:val="000959DC"/>
    <w:rsid w:val="00095CA2"/>
    <w:rsid w:val="00095EF0"/>
    <w:rsid w:val="0009649D"/>
    <w:rsid w:val="00096CF2"/>
    <w:rsid w:val="0009743A"/>
    <w:rsid w:val="0009773F"/>
    <w:rsid w:val="000979B5"/>
    <w:rsid w:val="00097C52"/>
    <w:rsid w:val="000A052A"/>
    <w:rsid w:val="000A09BA"/>
    <w:rsid w:val="000A10E1"/>
    <w:rsid w:val="000A301B"/>
    <w:rsid w:val="000A3426"/>
    <w:rsid w:val="000A394C"/>
    <w:rsid w:val="000A3F57"/>
    <w:rsid w:val="000A4432"/>
    <w:rsid w:val="000A5B32"/>
    <w:rsid w:val="000A6DB7"/>
    <w:rsid w:val="000A6E4D"/>
    <w:rsid w:val="000A7446"/>
    <w:rsid w:val="000A7841"/>
    <w:rsid w:val="000A7E18"/>
    <w:rsid w:val="000B0616"/>
    <w:rsid w:val="000B0815"/>
    <w:rsid w:val="000B09E5"/>
    <w:rsid w:val="000B0BED"/>
    <w:rsid w:val="000B0CE6"/>
    <w:rsid w:val="000B11FB"/>
    <w:rsid w:val="000B12F6"/>
    <w:rsid w:val="000B175F"/>
    <w:rsid w:val="000B1A24"/>
    <w:rsid w:val="000B1E59"/>
    <w:rsid w:val="000B25CC"/>
    <w:rsid w:val="000B2CBE"/>
    <w:rsid w:val="000B330C"/>
    <w:rsid w:val="000B4481"/>
    <w:rsid w:val="000B460F"/>
    <w:rsid w:val="000B474D"/>
    <w:rsid w:val="000B49EE"/>
    <w:rsid w:val="000B511A"/>
    <w:rsid w:val="000B511E"/>
    <w:rsid w:val="000B5123"/>
    <w:rsid w:val="000B52FA"/>
    <w:rsid w:val="000B5F1E"/>
    <w:rsid w:val="000B62C7"/>
    <w:rsid w:val="000B64BA"/>
    <w:rsid w:val="000B67EA"/>
    <w:rsid w:val="000B6D3A"/>
    <w:rsid w:val="000B7234"/>
    <w:rsid w:val="000B7447"/>
    <w:rsid w:val="000B75C1"/>
    <w:rsid w:val="000B7C4F"/>
    <w:rsid w:val="000B7E66"/>
    <w:rsid w:val="000C019B"/>
    <w:rsid w:val="000C06FE"/>
    <w:rsid w:val="000C0A44"/>
    <w:rsid w:val="000C0E2B"/>
    <w:rsid w:val="000C0FA1"/>
    <w:rsid w:val="000C13A5"/>
    <w:rsid w:val="000C20BA"/>
    <w:rsid w:val="000C244E"/>
    <w:rsid w:val="000C2FAC"/>
    <w:rsid w:val="000C3011"/>
    <w:rsid w:val="000C3451"/>
    <w:rsid w:val="000C3D73"/>
    <w:rsid w:val="000C4760"/>
    <w:rsid w:val="000C4CBB"/>
    <w:rsid w:val="000C56B9"/>
    <w:rsid w:val="000C5ACF"/>
    <w:rsid w:val="000C5C6D"/>
    <w:rsid w:val="000C6079"/>
    <w:rsid w:val="000C6742"/>
    <w:rsid w:val="000C69AE"/>
    <w:rsid w:val="000C6A7A"/>
    <w:rsid w:val="000C6CB5"/>
    <w:rsid w:val="000C6CF3"/>
    <w:rsid w:val="000C6EFE"/>
    <w:rsid w:val="000C72DC"/>
    <w:rsid w:val="000C7303"/>
    <w:rsid w:val="000C736E"/>
    <w:rsid w:val="000C75A5"/>
    <w:rsid w:val="000C75DD"/>
    <w:rsid w:val="000C773E"/>
    <w:rsid w:val="000C7914"/>
    <w:rsid w:val="000C7BB6"/>
    <w:rsid w:val="000D01A6"/>
    <w:rsid w:val="000D0538"/>
    <w:rsid w:val="000D06A6"/>
    <w:rsid w:val="000D0AB1"/>
    <w:rsid w:val="000D0EA5"/>
    <w:rsid w:val="000D13E1"/>
    <w:rsid w:val="000D14F3"/>
    <w:rsid w:val="000D23F8"/>
    <w:rsid w:val="000D2516"/>
    <w:rsid w:val="000D26D5"/>
    <w:rsid w:val="000D2B33"/>
    <w:rsid w:val="000D2BE7"/>
    <w:rsid w:val="000D2D39"/>
    <w:rsid w:val="000D3407"/>
    <w:rsid w:val="000D3942"/>
    <w:rsid w:val="000D39CE"/>
    <w:rsid w:val="000D3C4D"/>
    <w:rsid w:val="000D3FA7"/>
    <w:rsid w:val="000D4203"/>
    <w:rsid w:val="000D46FD"/>
    <w:rsid w:val="000D46FF"/>
    <w:rsid w:val="000D49F5"/>
    <w:rsid w:val="000D4BEB"/>
    <w:rsid w:val="000D4CF8"/>
    <w:rsid w:val="000D50EA"/>
    <w:rsid w:val="000D5449"/>
    <w:rsid w:val="000D5722"/>
    <w:rsid w:val="000D5EE2"/>
    <w:rsid w:val="000D621C"/>
    <w:rsid w:val="000D6C9C"/>
    <w:rsid w:val="000D6D92"/>
    <w:rsid w:val="000D725A"/>
    <w:rsid w:val="000D740D"/>
    <w:rsid w:val="000D7520"/>
    <w:rsid w:val="000D78E4"/>
    <w:rsid w:val="000D7B46"/>
    <w:rsid w:val="000E0187"/>
    <w:rsid w:val="000E0B42"/>
    <w:rsid w:val="000E0EBA"/>
    <w:rsid w:val="000E0EE9"/>
    <w:rsid w:val="000E1529"/>
    <w:rsid w:val="000E1EAF"/>
    <w:rsid w:val="000E1FB5"/>
    <w:rsid w:val="000E2207"/>
    <w:rsid w:val="000E234B"/>
    <w:rsid w:val="000E2869"/>
    <w:rsid w:val="000E2894"/>
    <w:rsid w:val="000E2B21"/>
    <w:rsid w:val="000E2BF2"/>
    <w:rsid w:val="000E39DF"/>
    <w:rsid w:val="000E3BA7"/>
    <w:rsid w:val="000E3CDC"/>
    <w:rsid w:val="000E3DA0"/>
    <w:rsid w:val="000E4599"/>
    <w:rsid w:val="000E4CFE"/>
    <w:rsid w:val="000E4EB4"/>
    <w:rsid w:val="000E5205"/>
    <w:rsid w:val="000E5295"/>
    <w:rsid w:val="000E5483"/>
    <w:rsid w:val="000E5EE9"/>
    <w:rsid w:val="000E632B"/>
    <w:rsid w:val="000E6968"/>
    <w:rsid w:val="000E69D1"/>
    <w:rsid w:val="000E76B3"/>
    <w:rsid w:val="000E773D"/>
    <w:rsid w:val="000F04F4"/>
    <w:rsid w:val="000F0610"/>
    <w:rsid w:val="000F0BD7"/>
    <w:rsid w:val="000F0FAC"/>
    <w:rsid w:val="000F1488"/>
    <w:rsid w:val="000F1EB1"/>
    <w:rsid w:val="000F26DE"/>
    <w:rsid w:val="000F32E9"/>
    <w:rsid w:val="000F3534"/>
    <w:rsid w:val="000F3A6E"/>
    <w:rsid w:val="000F3CB4"/>
    <w:rsid w:val="000F3EA1"/>
    <w:rsid w:val="000F4571"/>
    <w:rsid w:val="000F47A8"/>
    <w:rsid w:val="000F4AE4"/>
    <w:rsid w:val="000F4DCA"/>
    <w:rsid w:val="000F4E05"/>
    <w:rsid w:val="000F4F46"/>
    <w:rsid w:val="000F5080"/>
    <w:rsid w:val="000F57CC"/>
    <w:rsid w:val="000F5EC6"/>
    <w:rsid w:val="000F5EF4"/>
    <w:rsid w:val="000F5F76"/>
    <w:rsid w:val="000F68AF"/>
    <w:rsid w:val="000F6975"/>
    <w:rsid w:val="000F6B35"/>
    <w:rsid w:val="0010026D"/>
    <w:rsid w:val="0010055E"/>
    <w:rsid w:val="001006E1"/>
    <w:rsid w:val="00100931"/>
    <w:rsid w:val="00100CE5"/>
    <w:rsid w:val="00100D97"/>
    <w:rsid w:val="001011A4"/>
    <w:rsid w:val="00101301"/>
    <w:rsid w:val="001017B7"/>
    <w:rsid w:val="00101B1C"/>
    <w:rsid w:val="00101BE4"/>
    <w:rsid w:val="00101D61"/>
    <w:rsid w:val="0010212B"/>
    <w:rsid w:val="00102523"/>
    <w:rsid w:val="0010261A"/>
    <w:rsid w:val="00102869"/>
    <w:rsid w:val="001028F7"/>
    <w:rsid w:val="00102BA6"/>
    <w:rsid w:val="0010358B"/>
    <w:rsid w:val="00103BC3"/>
    <w:rsid w:val="0010424C"/>
    <w:rsid w:val="00104331"/>
    <w:rsid w:val="001046B0"/>
    <w:rsid w:val="00104921"/>
    <w:rsid w:val="00104A12"/>
    <w:rsid w:val="00104BB5"/>
    <w:rsid w:val="00104D7F"/>
    <w:rsid w:val="00104ED0"/>
    <w:rsid w:val="00104F02"/>
    <w:rsid w:val="0010539A"/>
    <w:rsid w:val="001053A6"/>
    <w:rsid w:val="00105B38"/>
    <w:rsid w:val="00106009"/>
    <w:rsid w:val="00106081"/>
    <w:rsid w:val="001060C0"/>
    <w:rsid w:val="0010649F"/>
    <w:rsid w:val="0010683E"/>
    <w:rsid w:val="00106E64"/>
    <w:rsid w:val="00106F55"/>
    <w:rsid w:val="00107065"/>
    <w:rsid w:val="00107258"/>
    <w:rsid w:val="0010743D"/>
    <w:rsid w:val="00107498"/>
    <w:rsid w:val="001077FA"/>
    <w:rsid w:val="00107A38"/>
    <w:rsid w:val="00107C9F"/>
    <w:rsid w:val="00107F93"/>
    <w:rsid w:val="00110619"/>
    <w:rsid w:val="00110E74"/>
    <w:rsid w:val="0011137B"/>
    <w:rsid w:val="00111AA9"/>
    <w:rsid w:val="0011244D"/>
    <w:rsid w:val="00112882"/>
    <w:rsid w:val="00112CAC"/>
    <w:rsid w:val="00112E96"/>
    <w:rsid w:val="00113FD8"/>
    <w:rsid w:val="00114D25"/>
    <w:rsid w:val="00114D27"/>
    <w:rsid w:val="00114DE5"/>
    <w:rsid w:val="0011515C"/>
    <w:rsid w:val="00116AF1"/>
    <w:rsid w:val="00116D77"/>
    <w:rsid w:val="00116E10"/>
    <w:rsid w:val="001173BA"/>
    <w:rsid w:val="001179C1"/>
    <w:rsid w:val="00117A49"/>
    <w:rsid w:val="00117C68"/>
    <w:rsid w:val="00117CA6"/>
    <w:rsid w:val="001202E6"/>
    <w:rsid w:val="00120BC1"/>
    <w:rsid w:val="00120CC7"/>
    <w:rsid w:val="00120DB2"/>
    <w:rsid w:val="00121946"/>
    <w:rsid w:val="00122BBB"/>
    <w:rsid w:val="00122F3A"/>
    <w:rsid w:val="00122FCA"/>
    <w:rsid w:val="00123862"/>
    <w:rsid w:val="00123B59"/>
    <w:rsid w:val="00123CED"/>
    <w:rsid w:val="00123E2A"/>
    <w:rsid w:val="00124548"/>
    <w:rsid w:val="00124777"/>
    <w:rsid w:val="00124831"/>
    <w:rsid w:val="00124B98"/>
    <w:rsid w:val="00124FAC"/>
    <w:rsid w:val="00124FB9"/>
    <w:rsid w:val="00125B7A"/>
    <w:rsid w:val="00125CD6"/>
    <w:rsid w:val="00125F45"/>
    <w:rsid w:val="001260AA"/>
    <w:rsid w:val="001264C3"/>
    <w:rsid w:val="00126707"/>
    <w:rsid w:val="00126805"/>
    <w:rsid w:val="001269AE"/>
    <w:rsid w:val="00127D25"/>
    <w:rsid w:val="001301B6"/>
    <w:rsid w:val="001305A6"/>
    <w:rsid w:val="0013129C"/>
    <w:rsid w:val="00131B05"/>
    <w:rsid w:val="00131C51"/>
    <w:rsid w:val="00132423"/>
    <w:rsid w:val="00132AD1"/>
    <w:rsid w:val="00132CE0"/>
    <w:rsid w:val="00132ECD"/>
    <w:rsid w:val="00133013"/>
    <w:rsid w:val="00133033"/>
    <w:rsid w:val="0013308F"/>
    <w:rsid w:val="00133183"/>
    <w:rsid w:val="00133478"/>
    <w:rsid w:val="00133644"/>
    <w:rsid w:val="001342F2"/>
    <w:rsid w:val="00134B48"/>
    <w:rsid w:val="0013522E"/>
    <w:rsid w:val="0013588C"/>
    <w:rsid w:val="00135A23"/>
    <w:rsid w:val="00135B90"/>
    <w:rsid w:val="00135E72"/>
    <w:rsid w:val="00135E92"/>
    <w:rsid w:val="001366E5"/>
    <w:rsid w:val="00136893"/>
    <w:rsid w:val="00136966"/>
    <w:rsid w:val="00136C08"/>
    <w:rsid w:val="00136DA4"/>
    <w:rsid w:val="00137162"/>
    <w:rsid w:val="001371FA"/>
    <w:rsid w:val="0013776C"/>
    <w:rsid w:val="00137FDA"/>
    <w:rsid w:val="001400F3"/>
    <w:rsid w:val="00140F18"/>
    <w:rsid w:val="00140F61"/>
    <w:rsid w:val="0014108F"/>
    <w:rsid w:val="00141B03"/>
    <w:rsid w:val="001423F5"/>
    <w:rsid w:val="00142540"/>
    <w:rsid w:val="00142979"/>
    <w:rsid w:val="00142ABD"/>
    <w:rsid w:val="00142EDB"/>
    <w:rsid w:val="00142FD3"/>
    <w:rsid w:val="00143002"/>
    <w:rsid w:val="001434EA"/>
    <w:rsid w:val="00143814"/>
    <w:rsid w:val="001445AC"/>
    <w:rsid w:val="00144B67"/>
    <w:rsid w:val="00144BF2"/>
    <w:rsid w:val="0014585D"/>
    <w:rsid w:val="00145944"/>
    <w:rsid w:val="00145AD1"/>
    <w:rsid w:val="00145F05"/>
    <w:rsid w:val="001462A0"/>
    <w:rsid w:val="00146314"/>
    <w:rsid w:val="001466F3"/>
    <w:rsid w:val="00146C11"/>
    <w:rsid w:val="00147195"/>
    <w:rsid w:val="00147250"/>
    <w:rsid w:val="001477C2"/>
    <w:rsid w:val="0015009D"/>
    <w:rsid w:val="00150706"/>
    <w:rsid w:val="00150793"/>
    <w:rsid w:val="00150D38"/>
    <w:rsid w:val="00151260"/>
    <w:rsid w:val="001514CB"/>
    <w:rsid w:val="00151757"/>
    <w:rsid w:val="00152672"/>
    <w:rsid w:val="001528EE"/>
    <w:rsid w:val="00152B9C"/>
    <w:rsid w:val="00153077"/>
    <w:rsid w:val="001535F3"/>
    <w:rsid w:val="00153CA6"/>
    <w:rsid w:val="00153DF3"/>
    <w:rsid w:val="00154247"/>
    <w:rsid w:val="001543D7"/>
    <w:rsid w:val="00154B29"/>
    <w:rsid w:val="00154BD9"/>
    <w:rsid w:val="00154DE5"/>
    <w:rsid w:val="00154FA1"/>
    <w:rsid w:val="00155948"/>
    <w:rsid w:val="00155A70"/>
    <w:rsid w:val="00155B06"/>
    <w:rsid w:val="00156356"/>
    <w:rsid w:val="00156A3B"/>
    <w:rsid w:val="00156B18"/>
    <w:rsid w:val="00156F40"/>
    <w:rsid w:val="00157673"/>
    <w:rsid w:val="00157743"/>
    <w:rsid w:val="00157B70"/>
    <w:rsid w:val="00157EC4"/>
    <w:rsid w:val="00157EF5"/>
    <w:rsid w:val="0016023C"/>
    <w:rsid w:val="001606A4"/>
    <w:rsid w:val="00160A10"/>
    <w:rsid w:val="00160C5B"/>
    <w:rsid w:val="00160EC6"/>
    <w:rsid w:val="00160FBD"/>
    <w:rsid w:val="0016116C"/>
    <w:rsid w:val="0016122A"/>
    <w:rsid w:val="0016140B"/>
    <w:rsid w:val="0016194D"/>
    <w:rsid w:val="00161F90"/>
    <w:rsid w:val="001623A2"/>
    <w:rsid w:val="00162970"/>
    <w:rsid w:val="00162F68"/>
    <w:rsid w:val="00163645"/>
    <w:rsid w:val="00164220"/>
    <w:rsid w:val="001643F8"/>
    <w:rsid w:val="0016452C"/>
    <w:rsid w:val="001647E9"/>
    <w:rsid w:val="00164961"/>
    <w:rsid w:val="00164FAD"/>
    <w:rsid w:val="001652A9"/>
    <w:rsid w:val="0016560A"/>
    <w:rsid w:val="00165DB5"/>
    <w:rsid w:val="00165FF0"/>
    <w:rsid w:val="00166023"/>
    <w:rsid w:val="001662FB"/>
    <w:rsid w:val="001663F9"/>
    <w:rsid w:val="001668BD"/>
    <w:rsid w:val="001671E2"/>
    <w:rsid w:val="0017086C"/>
    <w:rsid w:val="00170A50"/>
    <w:rsid w:val="00170EFE"/>
    <w:rsid w:val="00171333"/>
    <w:rsid w:val="00171F8E"/>
    <w:rsid w:val="0017216E"/>
    <w:rsid w:val="001721EA"/>
    <w:rsid w:val="0017261A"/>
    <w:rsid w:val="0017293F"/>
    <w:rsid w:val="001729BB"/>
    <w:rsid w:val="00172AEE"/>
    <w:rsid w:val="00173987"/>
    <w:rsid w:val="00173C2D"/>
    <w:rsid w:val="00174441"/>
    <w:rsid w:val="00174693"/>
    <w:rsid w:val="0017483F"/>
    <w:rsid w:val="00174C24"/>
    <w:rsid w:val="0017545F"/>
    <w:rsid w:val="00175494"/>
    <w:rsid w:val="00175539"/>
    <w:rsid w:val="00175890"/>
    <w:rsid w:val="00175A73"/>
    <w:rsid w:val="00175E50"/>
    <w:rsid w:val="00176340"/>
    <w:rsid w:val="00176403"/>
    <w:rsid w:val="0017681A"/>
    <w:rsid w:val="00176AE7"/>
    <w:rsid w:val="00176CB6"/>
    <w:rsid w:val="00176E98"/>
    <w:rsid w:val="00177307"/>
    <w:rsid w:val="00177400"/>
    <w:rsid w:val="00180811"/>
    <w:rsid w:val="001808E6"/>
    <w:rsid w:val="00180AEF"/>
    <w:rsid w:val="00180DC9"/>
    <w:rsid w:val="0018154E"/>
    <w:rsid w:val="00181857"/>
    <w:rsid w:val="00181D1E"/>
    <w:rsid w:val="00181E4B"/>
    <w:rsid w:val="00181FCA"/>
    <w:rsid w:val="001820C4"/>
    <w:rsid w:val="001824F0"/>
    <w:rsid w:val="001827BB"/>
    <w:rsid w:val="00182A2B"/>
    <w:rsid w:val="00182A94"/>
    <w:rsid w:val="00182C1A"/>
    <w:rsid w:val="00182D63"/>
    <w:rsid w:val="00182F27"/>
    <w:rsid w:val="00183392"/>
    <w:rsid w:val="0018347C"/>
    <w:rsid w:val="0018398A"/>
    <w:rsid w:val="00183D5F"/>
    <w:rsid w:val="00183EA5"/>
    <w:rsid w:val="00183FAF"/>
    <w:rsid w:val="00184091"/>
    <w:rsid w:val="00184502"/>
    <w:rsid w:val="0018452B"/>
    <w:rsid w:val="001845D5"/>
    <w:rsid w:val="001846D1"/>
    <w:rsid w:val="00184DF2"/>
    <w:rsid w:val="001850C5"/>
    <w:rsid w:val="001851AE"/>
    <w:rsid w:val="0018526D"/>
    <w:rsid w:val="001855F5"/>
    <w:rsid w:val="001858CD"/>
    <w:rsid w:val="001859FA"/>
    <w:rsid w:val="00185A12"/>
    <w:rsid w:val="00185BF6"/>
    <w:rsid w:val="00185D08"/>
    <w:rsid w:val="00185E33"/>
    <w:rsid w:val="001864AF"/>
    <w:rsid w:val="00186536"/>
    <w:rsid w:val="001869BB"/>
    <w:rsid w:val="00186C81"/>
    <w:rsid w:val="00186D39"/>
    <w:rsid w:val="00186DF9"/>
    <w:rsid w:val="00187AC9"/>
    <w:rsid w:val="00187C31"/>
    <w:rsid w:val="001902B3"/>
    <w:rsid w:val="00190983"/>
    <w:rsid w:val="0019151C"/>
    <w:rsid w:val="00191AA6"/>
    <w:rsid w:val="00191AB6"/>
    <w:rsid w:val="00191B55"/>
    <w:rsid w:val="00191EC8"/>
    <w:rsid w:val="00191F79"/>
    <w:rsid w:val="0019213B"/>
    <w:rsid w:val="0019232E"/>
    <w:rsid w:val="0019239F"/>
    <w:rsid w:val="001924F6"/>
    <w:rsid w:val="00192CDB"/>
    <w:rsid w:val="00192F6E"/>
    <w:rsid w:val="00193D9B"/>
    <w:rsid w:val="00193F20"/>
    <w:rsid w:val="0019413C"/>
    <w:rsid w:val="001941E4"/>
    <w:rsid w:val="00194AF7"/>
    <w:rsid w:val="00194C1F"/>
    <w:rsid w:val="00194DAF"/>
    <w:rsid w:val="001953AC"/>
    <w:rsid w:val="00195517"/>
    <w:rsid w:val="00195AE3"/>
    <w:rsid w:val="00195B15"/>
    <w:rsid w:val="00195BE8"/>
    <w:rsid w:val="00195CF2"/>
    <w:rsid w:val="00195E11"/>
    <w:rsid w:val="00195F99"/>
    <w:rsid w:val="00195FB3"/>
    <w:rsid w:val="00196263"/>
    <w:rsid w:val="001965AA"/>
    <w:rsid w:val="0019667B"/>
    <w:rsid w:val="001968E4"/>
    <w:rsid w:val="00197031"/>
    <w:rsid w:val="001971AE"/>
    <w:rsid w:val="00197278"/>
    <w:rsid w:val="00197392"/>
    <w:rsid w:val="00197764"/>
    <w:rsid w:val="00197EC3"/>
    <w:rsid w:val="00197FB1"/>
    <w:rsid w:val="001A0601"/>
    <w:rsid w:val="001A0BB0"/>
    <w:rsid w:val="001A1837"/>
    <w:rsid w:val="001A1B2F"/>
    <w:rsid w:val="001A1C51"/>
    <w:rsid w:val="001A2023"/>
    <w:rsid w:val="001A236F"/>
    <w:rsid w:val="001A28BA"/>
    <w:rsid w:val="001A3051"/>
    <w:rsid w:val="001A314B"/>
    <w:rsid w:val="001A3387"/>
    <w:rsid w:val="001A3398"/>
    <w:rsid w:val="001A38D5"/>
    <w:rsid w:val="001A3DED"/>
    <w:rsid w:val="001A4493"/>
    <w:rsid w:val="001A4589"/>
    <w:rsid w:val="001A469D"/>
    <w:rsid w:val="001A4935"/>
    <w:rsid w:val="001A5350"/>
    <w:rsid w:val="001A5398"/>
    <w:rsid w:val="001A5553"/>
    <w:rsid w:val="001A59AF"/>
    <w:rsid w:val="001A5E96"/>
    <w:rsid w:val="001A6777"/>
    <w:rsid w:val="001A6D21"/>
    <w:rsid w:val="001A718A"/>
    <w:rsid w:val="001A718F"/>
    <w:rsid w:val="001A75B9"/>
    <w:rsid w:val="001A7DC2"/>
    <w:rsid w:val="001A7E84"/>
    <w:rsid w:val="001B09A8"/>
    <w:rsid w:val="001B0A90"/>
    <w:rsid w:val="001B124D"/>
    <w:rsid w:val="001B1694"/>
    <w:rsid w:val="001B18C3"/>
    <w:rsid w:val="001B1C70"/>
    <w:rsid w:val="001B20E4"/>
    <w:rsid w:val="001B2D1F"/>
    <w:rsid w:val="001B2E77"/>
    <w:rsid w:val="001B2FCD"/>
    <w:rsid w:val="001B3285"/>
    <w:rsid w:val="001B370A"/>
    <w:rsid w:val="001B39DD"/>
    <w:rsid w:val="001B3BA9"/>
    <w:rsid w:val="001B3E1C"/>
    <w:rsid w:val="001B4165"/>
    <w:rsid w:val="001B427B"/>
    <w:rsid w:val="001B44DB"/>
    <w:rsid w:val="001B4640"/>
    <w:rsid w:val="001B56BB"/>
    <w:rsid w:val="001B5EA6"/>
    <w:rsid w:val="001B6203"/>
    <w:rsid w:val="001B688A"/>
    <w:rsid w:val="001B7112"/>
    <w:rsid w:val="001B72FB"/>
    <w:rsid w:val="001B73BD"/>
    <w:rsid w:val="001B7BB1"/>
    <w:rsid w:val="001C0277"/>
    <w:rsid w:val="001C0F05"/>
    <w:rsid w:val="001C110F"/>
    <w:rsid w:val="001C129D"/>
    <w:rsid w:val="001C15B0"/>
    <w:rsid w:val="001C18D4"/>
    <w:rsid w:val="001C1A52"/>
    <w:rsid w:val="001C239A"/>
    <w:rsid w:val="001C2554"/>
    <w:rsid w:val="001C2BD9"/>
    <w:rsid w:val="001C2EE5"/>
    <w:rsid w:val="001C395A"/>
    <w:rsid w:val="001C3A25"/>
    <w:rsid w:val="001C3BE9"/>
    <w:rsid w:val="001C486C"/>
    <w:rsid w:val="001C4AE1"/>
    <w:rsid w:val="001C4B35"/>
    <w:rsid w:val="001C4CCF"/>
    <w:rsid w:val="001C501A"/>
    <w:rsid w:val="001C510D"/>
    <w:rsid w:val="001C5CC2"/>
    <w:rsid w:val="001C61DB"/>
    <w:rsid w:val="001C6573"/>
    <w:rsid w:val="001C6BA6"/>
    <w:rsid w:val="001C6D97"/>
    <w:rsid w:val="001C726D"/>
    <w:rsid w:val="001C78CA"/>
    <w:rsid w:val="001D01FB"/>
    <w:rsid w:val="001D0221"/>
    <w:rsid w:val="001D03BA"/>
    <w:rsid w:val="001D13AD"/>
    <w:rsid w:val="001D15E5"/>
    <w:rsid w:val="001D21EB"/>
    <w:rsid w:val="001D2381"/>
    <w:rsid w:val="001D29EA"/>
    <w:rsid w:val="001D2AFB"/>
    <w:rsid w:val="001D2CE9"/>
    <w:rsid w:val="001D34AF"/>
    <w:rsid w:val="001D3C01"/>
    <w:rsid w:val="001D3E63"/>
    <w:rsid w:val="001D40DA"/>
    <w:rsid w:val="001D419F"/>
    <w:rsid w:val="001D43D0"/>
    <w:rsid w:val="001D516B"/>
    <w:rsid w:val="001D5A4E"/>
    <w:rsid w:val="001D5C57"/>
    <w:rsid w:val="001D5D9A"/>
    <w:rsid w:val="001D6081"/>
    <w:rsid w:val="001D6684"/>
    <w:rsid w:val="001D6B29"/>
    <w:rsid w:val="001D6F2E"/>
    <w:rsid w:val="001D71BC"/>
    <w:rsid w:val="001D7346"/>
    <w:rsid w:val="001D755A"/>
    <w:rsid w:val="001E0367"/>
    <w:rsid w:val="001E094C"/>
    <w:rsid w:val="001E0FF6"/>
    <w:rsid w:val="001E11E2"/>
    <w:rsid w:val="001E11F6"/>
    <w:rsid w:val="001E1857"/>
    <w:rsid w:val="001E2231"/>
    <w:rsid w:val="001E27FB"/>
    <w:rsid w:val="001E2B1A"/>
    <w:rsid w:val="001E2C12"/>
    <w:rsid w:val="001E2FB8"/>
    <w:rsid w:val="001E3485"/>
    <w:rsid w:val="001E373E"/>
    <w:rsid w:val="001E3753"/>
    <w:rsid w:val="001E383E"/>
    <w:rsid w:val="001E4011"/>
    <w:rsid w:val="001E4060"/>
    <w:rsid w:val="001E4456"/>
    <w:rsid w:val="001E44C8"/>
    <w:rsid w:val="001E4518"/>
    <w:rsid w:val="001E467A"/>
    <w:rsid w:val="001E4C32"/>
    <w:rsid w:val="001E4E88"/>
    <w:rsid w:val="001E4FFF"/>
    <w:rsid w:val="001E5747"/>
    <w:rsid w:val="001E5BEE"/>
    <w:rsid w:val="001E619D"/>
    <w:rsid w:val="001E66E6"/>
    <w:rsid w:val="001E6889"/>
    <w:rsid w:val="001E68EE"/>
    <w:rsid w:val="001E751C"/>
    <w:rsid w:val="001E77C4"/>
    <w:rsid w:val="001E7EA4"/>
    <w:rsid w:val="001F00B7"/>
    <w:rsid w:val="001F0187"/>
    <w:rsid w:val="001F1092"/>
    <w:rsid w:val="001F18AA"/>
    <w:rsid w:val="001F1E88"/>
    <w:rsid w:val="001F200A"/>
    <w:rsid w:val="001F2337"/>
    <w:rsid w:val="001F2FB5"/>
    <w:rsid w:val="001F367C"/>
    <w:rsid w:val="001F4DE8"/>
    <w:rsid w:val="001F4EB9"/>
    <w:rsid w:val="001F4FD4"/>
    <w:rsid w:val="001F4FDB"/>
    <w:rsid w:val="001F52E5"/>
    <w:rsid w:val="001F540A"/>
    <w:rsid w:val="001F58AB"/>
    <w:rsid w:val="001F5D2F"/>
    <w:rsid w:val="001F5E20"/>
    <w:rsid w:val="001F5FA3"/>
    <w:rsid w:val="001F60AC"/>
    <w:rsid w:val="001F6E1E"/>
    <w:rsid w:val="001F6F0C"/>
    <w:rsid w:val="001F73E9"/>
    <w:rsid w:val="001F74B9"/>
    <w:rsid w:val="001F7F82"/>
    <w:rsid w:val="002002AA"/>
    <w:rsid w:val="002003C3"/>
    <w:rsid w:val="00200D50"/>
    <w:rsid w:val="002019D1"/>
    <w:rsid w:val="00201A8D"/>
    <w:rsid w:val="00201AB8"/>
    <w:rsid w:val="00201E8F"/>
    <w:rsid w:val="00201FFF"/>
    <w:rsid w:val="002023B3"/>
    <w:rsid w:val="00202CDB"/>
    <w:rsid w:val="00203052"/>
    <w:rsid w:val="0020342F"/>
    <w:rsid w:val="002034CC"/>
    <w:rsid w:val="00203D9B"/>
    <w:rsid w:val="00204381"/>
    <w:rsid w:val="002045FE"/>
    <w:rsid w:val="00204779"/>
    <w:rsid w:val="00204799"/>
    <w:rsid w:val="00204B8D"/>
    <w:rsid w:val="00204EBE"/>
    <w:rsid w:val="00205131"/>
    <w:rsid w:val="002051EA"/>
    <w:rsid w:val="00205B05"/>
    <w:rsid w:val="002060C2"/>
    <w:rsid w:val="00206D91"/>
    <w:rsid w:val="00206EED"/>
    <w:rsid w:val="00207023"/>
    <w:rsid w:val="0020765F"/>
    <w:rsid w:val="00207674"/>
    <w:rsid w:val="002076D5"/>
    <w:rsid w:val="00207C9E"/>
    <w:rsid w:val="00210B8A"/>
    <w:rsid w:val="002111F3"/>
    <w:rsid w:val="002117F4"/>
    <w:rsid w:val="002118E8"/>
    <w:rsid w:val="00212024"/>
    <w:rsid w:val="00212116"/>
    <w:rsid w:val="002125AD"/>
    <w:rsid w:val="00212798"/>
    <w:rsid w:val="00213180"/>
    <w:rsid w:val="002136EF"/>
    <w:rsid w:val="00213A5A"/>
    <w:rsid w:val="00213C0E"/>
    <w:rsid w:val="00213D58"/>
    <w:rsid w:val="00213EB4"/>
    <w:rsid w:val="002142CA"/>
    <w:rsid w:val="0021481A"/>
    <w:rsid w:val="00214D1A"/>
    <w:rsid w:val="00214EEA"/>
    <w:rsid w:val="00214FBE"/>
    <w:rsid w:val="00215254"/>
    <w:rsid w:val="00215ADA"/>
    <w:rsid w:val="00216326"/>
    <w:rsid w:val="00216648"/>
    <w:rsid w:val="00216651"/>
    <w:rsid w:val="0021671E"/>
    <w:rsid w:val="00216AAD"/>
    <w:rsid w:val="00216C9A"/>
    <w:rsid w:val="00216D51"/>
    <w:rsid w:val="00217096"/>
    <w:rsid w:val="00217C7A"/>
    <w:rsid w:val="00217E93"/>
    <w:rsid w:val="00217FC2"/>
    <w:rsid w:val="00220265"/>
    <w:rsid w:val="0022027B"/>
    <w:rsid w:val="00220699"/>
    <w:rsid w:val="00220CF8"/>
    <w:rsid w:val="00220D8D"/>
    <w:rsid w:val="0022151A"/>
    <w:rsid w:val="002215FD"/>
    <w:rsid w:val="002216C7"/>
    <w:rsid w:val="00221E48"/>
    <w:rsid w:val="00222173"/>
    <w:rsid w:val="00222228"/>
    <w:rsid w:val="00222370"/>
    <w:rsid w:val="00222CBD"/>
    <w:rsid w:val="002233F8"/>
    <w:rsid w:val="00223892"/>
    <w:rsid w:val="00223940"/>
    <w:rsid w:val="00223C1B"/>
    <w:rsid w:val="00223F09"/>
    <w:rsid w:val="00223FDF"/>
    <w:rsid w:val="002245C8"/>
    <w:rsid w:val="0022465E"/>
    <w:rsid w:val="00224A58"/>
    <w:rsid w:val="00225164"/>
    <w:rsid w:val="00225168"/>
    <w:rsid w:val="00226F59"/>
    <w:rsid w:val="00227A5C"/>
    <w:rsid w:val="0023041D"/>
    <w:rsid w:val="00231057"/>
    <w:rsid w:val="00231363"/>
    <w:rsid w:val="00231385"/>
    <w:rsid w:val="002313F3"/>
    <w:rsid w:val="002316E9"/>
    <w:rsid w:val="00231877"/>
    <w:rsid w:val="00231ADE"/>
    <w:rsid w:val="0023269D"/>
    <w:rsid w:val="002326C1"/>
    <w:rsid w:val="00232A8A"/>
    <w:rsid w:val="00233032"/>
    <w:rsid w:val="002332F7"/>
    <w:rsid w:val="00233986"/>
    <w:rsid w:val="00233D50"/>
    <w:rsid w:val="00234372"/>
    <w:rsid w:val="002346A5"/>
    <w:rsid w:val="002346FD"/>
    <w:rsid w:val="00234798"/>
    <w:rsid w:val="002358B6"/>
    <w:rsid w:val="00236146"/>
    <w:rsid w:val="00240C29"/>
    <w:rsid w:val="00240C3D"/>
    <w:rsid w:val="00240D9B"/>
    <w:rsid w:val="002413A5"/>
    <w:rsid w:val="00241466"/>
    <w:rsid w:val="00241F56"/>
    <w:rsid w:val="002421FC"/>
    <w:rsid w:val="00242239"/>
    <w:rsid w:val="00242676"/>
    <w:rsid w:val="00243076"/>
    <w:rsid w:val="0024319E"/>
    <w:rsid w:val="002433B0"/>
    <w:rsid w:val="002433D6"/>
    <w:rsid w:val="00243641"/>
    <w:rsid w:val="00243BE3"/>
    <w:rsid w:val="0024415B"/>
    <w:rsid w:val="00244642"/>
    <w:rsid w:val="00244D15"/>
    <w:rsid w:val="00244E1B"/>
    <w:rsid w:val="00245445"/>
    <w:rsid w:val="00245474"/>
    <w:rsid w:val="00245FB5"/>
    <w:rsid w:val="0024629F"/>
    <w:rsid w:val="002462FC"/>
    <w:rsid w:val="00246417"/>
    <w:rsid w:val="002466EF"/>
    <w:rsid w:val="00246916"/>
    <w:rsid w:val="00247270"/>
    <w:rsid w:val="0024752F"/>
    <w:rsid w:val="00247C3E"/>
    <w:rsid w:val="002500E6"/>
    <w:rsid w:val="00250178"/>
    <w:rsid w:val="00250302"/>
    <w:rsid w:val="002503BA"/>
    <w:rsid w:val="00250600"/>
    <w:rsid w:val="002509DA"/>
    <w:rsid w:val="00251005"/>
    <w:rsid w:val="0025173F"/>
    <w:rsid w:val="00251963"/>
    <w:rsid w:val="00251F57"/>
    <w:rsid w:val="0025203C"/>
    <w:rsid w:val="0025220D"/>
    <w:rsid w:val="002529E3"/>
    <w:rsid w:val="00252E78"/>
    <w:rsid w:val="00252F17"/>
    <w:rsid w:val="00253194"/>
    <w:rsid w:val="00253238"/>
    <w:rsid w:val="0025359A"/>
    <w:rsid w:val="002539F9"/>
    <w:rsid w:val="00253D47"/>
    <w:rsid w:val="002545AB"/>
    <w:rsid w:val="00254667"/>
    <w:rsid w:val="0025469B"/>
    <w:rsid w:val="00254BBE"/>
    <w:rsid w:val="00254DAC"/>
    <w:rsid w:val="00254F00"/>
    <w:rsid w:val="00255101"/>
    <w:rsid w:val="002553EF"/>
    <w:rsid w:val="0025556C"/>
    <w:rsid w:val="002555A1"/>
    <w:rsid w:val="002557F9"/>
    <w:rsid w:val="002559EF"/>
    <w:rsid w:val="0025637F"/>
    <w:rsid w:val="002567D3"/>
    <w:rsid w:val="00256C8E"/>
    <w:rsid w:val="00256E58"/>
    <w:rsid w:val="002572C6"/>
    <w:rsid w:val="00257669"/>
    <w:rsid w:val="00257837"/>
    <w:rsid w:val="00257A26"/>
    <w:rsid w:val="00257C58"/>
    <w:rsid w:val="002605A7"/>
    <w:rsid w:val="00260847"/>
    <w:rsid w:val="00261653"/>
    <w:rsid w:val="0026189C"/>
    <w:rsid w:val="002622CC"/>
    <w:rsid w:val="00262391"/>
    <w:rsid w:val="00263152"/>
    <w:rsid w:val="0026368D"/>
    <w:rsid w:val="00263A27"/>
    <w:rsid w:val="0026424C"/>
    <w:rsid w:val="002642FC"/>
    <w:rsid w:val="0026495C"/>
    <w:rsid w:val="0026544D"/>
    <w:rsid w:val="00265FB5"/>
    <w:rsid w:val="002669E7"/>
    <w:rsid w:val="00266AF5"/>
    <w:rsid w:val="00266D04"/>
    <w:rsid w:val="002672C4"/>
    <w:rsid w:val="002674FC"/>
    <w:rsid w:val="00267651"/>
    <w:rsid w:val="00267867"/>
    <w:rsid w:val="002701ED"/>
    <w:rsid w:val="0027076E"/>
    <w:rsid w:val="0027080C"/>
    <w:rsid w:val="00270FD8"/>
    <w:rsid w:val="002710FF"/>
    <w:rsid w:val="002715E5"/>
    <w:rsid w:val="00271642"/>
    <w:rsid w:val="00271A30"/>
    <w:rsid w:val="00271AF4"/>
    <w:rsid w:val="00272747"/>
    <w:rsid w:val="00272812"/>
    <w:rsid w:val="0027321F"/>
    <w:rsid w:val="00273557"/>
    <w:rsid w:val="00273AE1"/>
    <w:rsid w:val="00273AF1"/>
    <w:rsid w:val="00273EB1"/>
    <w:rsid w:val="002742C4"/>
    <w:rsid w:val="002744A6"/>
    <w:rsid w:val="002745D1"/>
    <w:rsid w:val="0027478C"/>
    <w:rsid w:val="002747FE"/>
    <w:rsid w:val="002749F4"/>
    <w:rsid w:val="00274CEA"/>
    <w:rsid w:val="00275441"/>
    <w:rsid w:val="00275BE1"/>
    <w:rsid w:val="002762BC"/>
    <w:rsid w:val="002763DB"/>
    <w:rsid w:val="00276E87"/>
    <w:rsid w:val="00277842"/>
    <w:rsid w:val="00277E99"/>
    <w:rsid w:val="00280101"/>
    <w:rsid w:val="00280569"/>
    <w:rsid w:val="002807FE"/>
    <w:rsid w:val="00281237"/>
    <w:rsid w:val="0028159B"/>
    <w:rsid w:val="002818C1"/>
    <w:rsid w:val="002822BC"/>
    <w:rsid w:val="00282934"/>
    <w:rsid w:val="00283343"/>
    <w:rsid w:val="00283475"/>
    <w:rsid w:val="00283765"/>
    <w:rsid w:val="002841B8"/>
    <w:rsid w:val="00284232"/>
    <w:rsid w:val="002843A3"/>
    <w:rsid w:val="00284488"/>
    <w:rsid w:val="0028457F"/>
    <w:rsid w:val="00284996"/>
    <w:rsid w:val="00284D15"/>
    <w:rsid w:val="00285044"/>
    <w:rsid w:val="002852B7"/>
    <w:rsid w:val="0028534D"/>
    <w:rsid w:val="00285594"/>
    <w:rsid w:val="00285654"/>
    <w:rsid w:val="00285B0D"/>
    <w:rsid w:val="00285BC7"/>
    <w:rsid w:val="0028636E"/>
    <w:rsid w:val="00286740"/>
    <w:rsid w:val="00286AC4"/>
    <w:rsid w:val="00286C29"/>
    <w:rsid w:val="00287643"/>
    <w:rsid w:val="00287F6C"/>
    <w:rsid w:val="002900F3"/>
    <w:rsid w:val="00290163"/>
    <w:rsid w:val="002904C4"/>
    <w:rsid w:val="002907AE"/>
    <w:rsid w:val="002907DC"/>
    <w:rsid w:val="00290876"/>
    <w:rsid w:val="00290C55"/>
    <w:rsid w:val="00290EE6"/>
    <w:rsid w:val="00291A08"/>
    <w:rsid w:val="00291FA2"/>
    <w:rsid w:val="002924AD"/>
    <w:rsid w:val="0029281E"/>
    <w:rsid w:val="00292884"/>
    <w:rsid w:val="00292971"/>
    <w:rsid w:val="00292EC1"/>
    <w:rsid w:val="00293051"/>
    <w:rsid w:val="00293385"/>
    <w:rsid w:val="0029338A"/>
    <w:rsid w:val="002939EB"/>
    <w:rsid w:val="00293D1E"/>
    <w:rsid w:val="00294726"/>
    <w:rsid w:val="0029481A"/>
    <w:rsid w:val="00294B02"/>
    <w:rsid w:val="00294C99"/>
    <w:rsid w:val="00294D83"/>
    <w:rsid w:val="00295917"/>
    <w:rsid w:val="0029593D"/>
    <w:rsid w:val="00295A11"/>
    <w:rsid w:val="00295C97"/>
    <w:rsid w:val="002961BB"/>
    <w:rsid w:val="0029628E"/>
    <w:rsid w:val="002968B1"/>
    <w:rsid w:val="002968FE"/>
    <w:rsid w:val="00296AE1"/>
    <w:rsid w:val="00296F46"/>
    <w:rsid w:val="0029717D"/>
    <w:rsid w:val="00297899"/>
    <w:rsid w:val="00297C07"/>
    <w:rsid w:val="002A1277"/>
    <w:rsid w:val="002A1772"/>
    <w:rsid w:val="002A204B"/>
    <w:rsid w:val="002A2161"/>
    <w:rsid w:val="002A29F2"/>
    <w:rsid w:val="002A33F6"/>
    <w:rsid w:val="002A3BD8"/>
    <w:rsid w:val="002A3C2E"/>
    <w:rsid w:val="002A4706"/>
    <w:rsid w:val="002A4845"/>
    <w:rsid w:val="002A4F45"/>
    <w:rsid w:val="002A50A9"/>
    <w:rsid w:val="002A561C"/>
    <w:rsid w:val="002A5F57"/>
    <w:rsid w:val="002A6CBF"/>
    <w:rsid w:val="002A6D63"/>
    <w:rsid w:val="002A7048"/>
    <w:rsid w:val="002A70B7"/>
    <w:rsid w:val="002A748F"/>
    <w:rsid w:val="002A7D49"/>
    <w:rsid w:val="002B0238"/>
    <w:rsid w:val="002B02E8"/>
    <w:rsid w:val="002B0384"/>
    <w:rsid w:val="002B05FE"/>
    <w:rsid w:val="002B1060"/>
    <w:rsid w:val="002B1377"/>
    <w:rsid w:val="002B14CD"/>
    <w:rsid w:val="002B2304"/>
    <w:rsid w:val="002B2551"/>
    <w:rsid w:val="002B25B2"/>
    <w:rsid w:val="002B25DE"/>
    <w:rsid w:val="002B2668"/>
    <w:rsid w:val="002B2B8E"/>
    <w:rsid w:val="002B2EF8"/>
    <w:rsid w:val="002B323C"/>
    <w:rsid w:val="002B3244"/>
    <w:rsid w:val="002B3E0D"/>
    <w:rsid w:val="002B3E89"/>
    <w:rsid w:val="002B484C"/>
    <w:rsid w:val="002B490A"/>
    <w:rsid w:val="002B4D3E"/>
    <w:rsid w:val="002B4F73"/>
    <w:rsid w:val="002B5227"/>
    <w:rsid w:val="002B5B1A"/>
    <w:rsid w:val="002B5B7A"/>
    <w:rsid w:val="002B5C17"/>
    <w:rsid w:val="002B5D34"/>
    <w:rsid w:val="002B6133"/>
    <w:rsid w:val="002B6745"/>
    <w:rsid w:val="002B695A"/>
    <w:rsid w:val="002B6BB4"/>
    <w:rsid w:val="002B6E51"/>
    <w:rsid w:val="002B73E2"/>
    <w:rsid w:val="002B7904"/>
    <w:rsid w:val="002B79DA"/>
    <w:rsid w:val="002B7F97"/>
    <w:rsid w:val="002C0110"/>
    <w:rsid w:val="002C0304"/>
    <w:rsid w:val="002C079D"/>
    <w:rsid w:val="002C096A"/>
    <w:rsid w:val="002C12D6"/>
    <w:rsid w:val="002C12D9"/>
    <w:rsid w:val="002C18B7"/>
    <w:rsid w:val="002C1B26"/>
    <w:rsid w:val="002C1EB8"/>
    <w:rsid w:val="002C1F28"/>
    <w:rsid w:val="002C23BF"/>
    <w:rsid w:val="002C24D7"/>
    <w:rsid w:val="002C286D"/>
    <w:rsid w:val="002C2CAC"/>
    <w:rsid w:val="002C2F4E"/>
    <w:rsid w:val="002C30BA"/>
    <w:rsid w:val="002C33B7"/>
    <w:rsid w:val="002C3578"/>
    <w:rsid w:val="002C3AD2"/>
    <w:rsid w:val="002C3ED6"/>
    <w:rsid w:val="002C418B"/>
    <w:rsid w:val="002C4201"/>
    <w:rsid w:val="002C468E"/>
    <w:rsid w:val="002C4D33"/>
    <w:rsid w:val="002C522A"/>
    <w:rsid w:val="002C52BD"/>
    <w:rsid w:val="002C6075"/>
    <w:rsid w:val="002C64F3"/>
    <w:rsid w:val="002C6996"/>
    <w:rsid w:val="002C69F6"/>
    <w:rsid w:val="002C6C5B"/>
    <w:rsid w:val="002C7537"/>
    <w:rsid w:val="002C7F07"/>
    <w:rsid w:val="002D00C7"/>
    <w:rsid w:val="002D030C"/>
    <w:rsid w:val="002D0399"/>
    <w:rsid w:val="002D0882"/>
    <w:rsid w:val="002D0CBD"/>
    <w:rsid w:val="002D1067"/>
    <w:rsid w:val="002D11C6"/>
    <w:rsid w:val="002D1252"/>
    <w:rsid w:val="002D17E3"/>
    <w:rsid w:val="002D2739"/>
    <w:rsid w:val="002D2B07"/>
    <w:rsid w:val="002D2CAE"/>
    <w:rsid w:val="002D2DC4"/>
    <w:rsid w:val="002D2FA5"/>
    <w:rsid w:val="002D31D9"/>
    <w:rsid w:val="002D3AE3"/>
    <w:rsid w:val="002D3F6E"/>
    <w:rsid w:val="002D3FB5"/>
    <w:rsid w:val="002D4760"/>
    <w:rsid w:val="002D516B"/>
    <w:rsid w:val="002D51C1"/>
    <w:rsid w:val="002D527A"/>
    <w:rsid w:val="002D5811"/>
    <w:rsid w:val="002D5FBC"/>
    <w:rsid w:val="002D6978"/>
    <w:rsid w:val="002D6A0C"/>
    <w:rsid w:val="002D6A9D"/>
    <w:rsid w:val="002D72DE"/>
    <w:rsid w:val="002D7651"/>
    <w:rsid w:val="002D7656"/>
    <w:rsid w:val="002D7BAD"/>
    <w:rsid w:val="002D7BFC"/>
    <w:rsid w:val="002E029F"/>
    <w:rsid w:val="002E090F"/>
    <w:rsid w:val="002E0A5C"/>
    <w:rsid w:val="002E0E3A"/>
    <w:rsid w:val="002E11C3"/>
    <w:rsid w:val="002E130D"/>
    <w:rsid w:val="002E18ED"/>
    <w:rsid w:val="002E1ADD"/>
    <w:rsid w:val="002E1AFB"/>
    <w:rsid w:val="002E1EDB"/>
    <w:rsid w:val="002E20E4"/>
    <w:rsid w:val="002E2255"/>
    <w:rsid w:val="002E2470"/>
    <w:rsid w:val="002E2C27"/>
    <w:rsid w:val="002E2D64"/>
    <w:rsid w:val="002E2EA4"/>
    <w:rsid w:val="002E2F63"/>
    <w:rsid w:val="002E339C"/>
    <w:rsid w:val="002E4150"/>
    <w:rsid w:val="002E43D0"/>
    <w:rsid w:val="002E49A6"/>
    <w:rsid w:val="002E4C11"/>
    <w:rsid w:val="002E5800"/>
    <w:rsid w:val="002E5EF1"/>
    <w:rsid w:val="002E6B9E"/>
    <w:rsid w:val="002E6EAB"/>
    <w:rsid w:val="002E7799"/>
    <w:rsid w:val="002E7F57"/>
    <w:rsid w:val="002F013B"/>
    <w:rsid w:val="002F03EF"/>
    <w:rsid w:val="002F0511"/>
    <w:rsid w:val="002F0637"/>
    <w:rsid w:val="002F094A"/>
    <w:rsid w:val="002F0E98"/>
    <w:rsid w:val="002F1617"/>
    <w:rsid w:val="002F1B9F"/>
    <w:rsid w:val="002F209C"/>
    <w:rsid w:val="002F2AA4"/>
    <w:rsid w:val="002F2D6B"/>
    <w:rsid w:val="002F37A8"/>
    <w:rsid w:val="002F37D0"/>
    <w:rsid w:val="002F3E25"/>
    <w:rsid w:val="002F4243"/>
    <w:rsid w:val="002F49EC"/>
    <w:rsid w:val="002F4E32"/>
    <w:rsid w:val="002F5021"/>
    <w:rsid w:val="002F50A5"/>
    <w:rsid w:val="002F50FC"/>
    <w:rsid w:val="002F5497"/>
    <w:rsid w:val="002F5679"/>
    <w:rsid w:val="002F56B6"/>
    <w:rsid w:val="002F58B5"/>
    <w:rsid w:val="002F5B09"/>
    <w:rsid w:val="002F6391"/>
    <w:rsid w:val="002F63E7"/>
    <w:rsid w:val="002F68BA"/>
    <w:rsid w:val="002F6AC3"/>
    <w:rsid w:val="002F6D4A"/>
    <w:rsid w:val="002F6DCF"/>
    <w:rsid w:val="002F748D"/>
    <w:rsid w:val="002F781A"/>
    <w:rsid w:val="002F7920"/>
    <w:rsid w:val="002F7EAC"/>
    <w:rsid w:val="00300566"/>
    <w:rsid w:val="003006DA"/>
    <w:rsid w:val="0030071E"/>
    <w:rsid w:val="00300C77"/>
    <w:rsid w:val="00300DE1"/>
    <w:rsid w:val="00300E8B"/>
    <w:rsid w:val="0030108C"/>
    <w:rsid w:val="003015BA"/>
    <w:rsid w:val="003016E2"/>
    <w:rsid w:val="00301C17"/>
    <w:rsid w:val="00301E6A"/>
    <w:rsid w:val="00301FBA"/>
    <w:rsid w:val="00302CD2"/>
    <w:rsid w:val="00302D9D"/>
    <w:rsid w:val="0030300D"/>
    <w:rsid w:val="00303208"/>
    <w:rsid w:val="00303427"/>
    <w:rsid w:val="0030350B"/>
    <w:rsid w:val="00303543"/>
    <w:rsid w:val="00303716"/>
    <w:rsid w:val="00303B0B"/>
    <w:rsid w:val="00303BB4"/>
    <w:rsid w:val="00303BC4"/>
    <w:rsid w:val="00303EAD"/>
    <w:rsid w:val="00304129"/>
    <w:rsid w:val="00304177"/>
    <w:rsid w:val="00304DDA"/>
    <w:rsid w:val="00304E0B"/>
    <w:rsid w:val="00304EE1"/>
    <w:rsid w:val="00305CF4"/>
    <w:rsid w:val="00305F56"/>
    <w:rsid w:val="003064E1"/>
    <w:rsid w:val="00306D28"/>
    <w:rsid w:val="00306DB1"/>
    <w:rsid w:val="00307064"/>
    <w:rsid w:val="00307759"/>
    <w:rsid w:val="00307BFD"/>
    <w:rsid w:val="00307CF9"/>
    <w:rsid w:val="00307E09"/>
    <w:rsid w:val="00307E4B"/>
    <w:rsid w:val="00307F21"/>
    <w:rsid w:val="00310430"/>
    <w:rsid w:val="00310740"/>
    <w:rsid w:val="003114FA"/>
    <w:rsid w:val="00311BEA"/>
    <w:rsid w:val="00311D79"/>
    <w:rsid w:val="00311DD4"/>
    <w:rsid w:val="00312B38"/>
    <w:rsid w:val="00312D70"/>
    <w:rsid w:val="00313754"/>
    <w:rsid w:val="00313799"/>
    <w:rsid w:val="003138A8"/>
    <w:rsid w:val="00313907"/>
    <w:rsid w:val="00313A44"/>
    <w:rsid w:val="00313E37"/>
    <w:rsid w:val="00314D1E"/>
    <w:rsid w:val="00315073"/>
    <w:rsid w:val="00315206"/>
    <w:rsid w:val="00315241"/>
    <w:rsid w:val="003153BB"/>
    <w:rsid w:val="003159D9"/>
    <w:rsid w:val="003168CD"/>
    <w:rsid w:val="00316A16"/>
    <w:rsid w:val="0031729F"/>
    <w:rsid w:val="003174F8"/>
    <w:rsid w:val="003175E9"/>
    <w:rsid w:val="00317FD8"/>
    <w:rsid w:val="00320053"/>
    <w:rsid w:val="00320487"/>
    <w:rsid w:val="003204FD"/>
    <w:rsid w:val="00320AE3"/>
    <w:rsid w:val="00320B2A"/>
    <w:rsid w:val="00320F20"/>
    <w:rsid w:val="00320F88"/>
    <w:rsid w:val="00321558"/>
    <w:rsid w:val="00321743"/>
    <w:rsid w:val="0032190B"/>
    <w:rsid w:val="00322176"/>
    <w:rsid w:val="00322BE4"/>
    <w:rsid w:val="00322F9A"/>
    <w:rsid w:val="00322FA8"/>
    <w:rsid w:val="00323599"/>
    <w:rsid w:val="0032450A"/>
    <w:rsid w:val="00324C8C"/>
    <w:rsid w:val="00324DD1"/>
    <w:rsid w:val="00325472"/>
    <w:rsid w:val="00325769"/>
    <w:rsid w:val="00325AC3"/>
    <w:rsid w:val="00326155"/>
    <w:rsid w:val="0032616B"/>
    <w:rsid w:val="003266F9"/>
    <w:rsid w:val="00326B55"/>
    <w:rsid w:val="003271C5"/>
    <w:rsid w:val="00327425"/>
    <w:rsid w:val="003275E0"/>
    <w:rsid w:val="00330207"/>
    <w:rsid w:val="00330509"/>
    <w:rsid w:val="00330863"/>
    <w:rsid w:val="003308A9"/>
    <w:rsid w:val="00330C3A"/>
    <w:rsid w:val="00330C3B"/>
    <w:rsid w:val="0033105F"/>
    <w:rsid w:val="003310A7"/>
    <w:rsid w:val="003311C5"/>
    <w:rsid w:val="00331432"/>
    <w:rsid w:val="00331492"/>
    <w:rsid w:val="00331696"/>
    <w:rsid w:val="00331D03"/>
    <w:rsid w:val="00332024"/>
    <w:rsid w:val="0033273D"/>
    <w:rsid w:val="00332972"/>
    <w:rsid w:val="00332FF3"/>
    <w:rsid w:val="0033309B"/>
    <w:rsid w:val="00333789"/>
    <w:rsid w:val="00333B5E"/>
    <w:rsid w:val="00334087"/>
    <w:rsid w:val="0033470F"/>
    <w:rsid w:val="00334766"/>
    <w:rsid w:val="00334776"/>
    <w:rsid w:val="00334B36"/>
    <w:rsid w:val="00334E1E"/>
    <w:rsid w:val="00335066"/>
    <w:rsid w:val="003352CE"/>
    <w:rsid w:val="00335348"/>
    <w:rsid w:val="00335F25"/>
    <w:rsid w:val="00336631"/>
    <w:rsid w:val="003368A9"/>
    <w:rsid w:val="00336E61"/>
    <w:rsid w:val="00337244"/>
    <w:rsid w:val="0033756B"/>
    <w:rsid w:val="00337793"/>
    <w:rsid w:val="00337851"/>
    <w:rsid w:val="00337863"/>
    <w:rsid w:val="00337CA7"/>
    <w:rsid w:val="00340786"/>
    <w:rsid w:val="00340CE0"/>
    <w:rsid w:val="003410AA"/>
    <w:rsid w:val="00341500"/>
    <w:rsid w:val="003418A7"/>
    <w:rsid w:val="00341B05"/>
    <w:rsid w:val="00342205"/>
    <w:rsid w:val="003423EB"/>
    <w:rsid w:val="00342901"/>
    <w:rsid w:val="003429F1"/>
    <w:rsid w:val="00342B71"/>
    <w:rsid w:val="00342EDD"/>
    <w:rsid w:val="0034309B"/>
    <w:rsid w:val="00343737"/>
    <w:rsid w:val="00343BB6"/>
    <w:rsid w:val="00344117"/>
    <w:rsid w:val="00344353"/>
    <w:rsid w:val="0034493D"/>
    <w:rsid w:val="00344A52"/>
    <w:rsid w:val="00344B38"/>
    <w:rsid w:val="00344F04"/>
    <w:rsid w:val="0034521D"/>
    <w:rsid w:val="003459AC"/>
    <w:rsid w:val="00345FA1"/>
    <w:rsid w:val="003464BD"/>
    <w:rsid w:val="00346D46"/>
    <w:rsid w:val="00346E32"/>
    <w:rsid w:val="0034755B"/>
    <w:rsid w:val="003475F8"/>
    <w:rsid w:val="00347982"/>
    <w:rsid w:val="00347A59"/>
    <w:rsid w:val="00347EC1"/>
    <w:rsid w:val="0035004A"/>
    <w:rsid w:val="00350336"/>
    <w:rsid w:val="00350EF3"/>
    <w:rsid w:val="003510C4"/>
    <w:rsid w:val="00351513"/>
    <w:rsid w:val="00351BD9"/>
    <w:rsid w:val="00351D96"/>
    <w:rsid w:val="003524F3"/>
    <w:rsid w:val="00352C2B"/>
    <w:rsid w:val="00352F76"/>
    <w:rsid w:val="0035338B"/>
    <w:rsid w:val="003533A4"/>
    <w:rsid w:val="0035368F"/>
    <w:rsid w:val="00353FDC"/>
    <w:rsid w:val="00354E8D"/>
    <w:rsid w:val="0035525B"/>
    <w:rsid w:val="003554A7"/>
    <w:rsid w:val="0035551E"/>
    <w:rsid w:val="00355651"/>
    <w:rsid w:val="00355C2D"/>
    <w:rsid w:val="00355C89"/>
    <w:rsid w:val="00355EBB"/>
    <w:rsid w:val="00356698"/>
    <w:rsid w:val="003566BC"/>
    <w:rsid w:val="00356CE8"/>
    <w:rsid w:val="00356E6D"/>
    <w:rsid w:val="00357974"/>
    <w:rsid w:val="003579F2"/>
    <w:rsid w:val="003579F9"/>
    <w:rsid w:val="00360058"/>
    <w:rsid w:val="00360470"/>
    <w:rsid w:val="00360BE6"/>
    <w:rsid w:val="00360D78"/>
    <w:rsid w:val="00361524"/>
    <w:rsid w:val="003615A7"/>
    <w:rsid w:val="00361EAF"/>
    <w:rsid w:val="00361FC7"/>
    <w:rsid w:val="00362463"/>
    <w:rsid w:val="0036257D"/>
    <w:rsid w:val="003628B0"/>
    <w:rsid w:val="00363014"/>
    <w:rsid w:val="0036316C"/>
    <w:rsid w:val="00363306"/>
    <w:rsid w:val="00363315"/>
    <w:rsid w:val="0036333F"/>
    <w:rsid w:val="003636BA"/>
    <w:rsid w:val="003637A5"/>
    <w:rsid w:val="00363C1A"/>
    <w:rsid w:val="00363D3D"/>
    <w:rsid w:val="00363E99"/>
    <w:rsid w:val="003641A6"/>
    <w:rsid w:val="00364563"/>
    <w:rsid w:val="00364580"/>
    <w:rsid w:val="00364D6E"/>
    <w:rsid w:val="00365690"/>
    <w:rsid w:val="0036577B"/>
    <w:rsid w:val="00365959"/>
    <w:rsid w:val="0036645D"/>
    <w:rsid w:val="00366ACD"/>
    <w:rsid w:val="00367033"/>
    <w:rsid w:val="00367362"/>
    <w:rsid w:val="003674D9"/>
    <w:rsid w:val="00367850"/>
    <w:rsid w:val="0037001F"/>
    <w:rsid w:val="0037017F"/>
    <w:rsid w:val="00370192"/>
    <w:rsid w:val="00370377"/>
    <w:rsid w:val="00370A1C"/>
    <w:rsid w:val="00370CE8"/>
    <w:rsid w:val="003710A2"/>
    <w:rsid w:val="00371321"/>
    <w:rsid w:val="00371384"/>
    <w:rsid w:val="00371EEF"/>
    <w:rsid w:val="00372965"/>
    <w:rsid w:val="00372C6F"/>
    <w:rsid w:val="00373A0B"/>
    <w:rsid w:val="00373E32"/>
    <w:rsid w:val="0037459F"/>
    <w:rsid w:val="003748CB"/>
    <w:rsid w:val="00374CB3"/>
    <w:rsid w:val="003750F8"/>
    <w:rsid w:val="00375136"/>
    <w:rsid w:val="00375929"/>
    <w:rsid w:val="00375A02"/>
    <w:rsid w:val="00375C31"/>
    <w:rsid w:val="00376467"/>
    <w:rsid w:val="0037671F"/>
    <w:rsid w:val="00376A38"/>
    <w:rsid w:val="00376DED"/>
    <w:rsid w:val="00376FB7"/>
    <w:rsid w:val="003770CC"/>
    <w:rsid w:val="0037735E"/>
    <w:rsid w:val="00377580"/>
    <w:rsid w:val="00377B9F"/>
    <w:rsid w:val="00377E04"/>
    <w:rsid w:val="00377FA0"/>
    <w:rsid w:val="00380210"/>
    <w:rsid w:val="00380F3E"/>
    <w:rsid w:val="00380F49"/>
    <w:rsid w:val="003810AB"/>
    <w:rsid w:val="00381745"/>
    <w:rsid w:val="00381764"/>
    <w:rsid w:val="00382167"/>
    <w:rsid w:val="003823D5"/>
    <w:rsid w:val="00382926"/>
    <w:rsid w:val="0038300C"/>
    <w:rsid w:val="0038363F"/>
    <w:rsid w:val="00383E33"/>
    <w:rsid w:val="003849E0"/>
    <w:rsid w:val="00384DDA"/>
    <w:rsid w:val="00384F56"/>
    <w:rsid w:val="00385316"/>
    <w:rsid w:val="00385328"/>
    <w:rsid w:val="003854E9"/>
    <w:rsid w:val="0038577D"/>
    <w:rsid w:val="00385BBA"/>
    <w:rsid w:val="00385C8A"/>
    <w:rsid w:val="003862A1"/>
    <w:rsid w:val="00386827"/>
    <w:rsid w:val="00386BAA"/>
    <w:rsid w:val="003870FA"/>
    <w:rsid w:val="003873C6"/>
    <w:rsid w:val="003873E3"/>
    <w:rsid w:val="0038746F"/>
    <w:rsid w:val="003878ED"/>
    <w:rsid w:val="00387FF5"/>
    <w:rsid w:val="00390575"/>
    <w:rsid w:val="003906CD"/>
    <w:rsid w:val="00390798"/>
    <w:rsid w:val="00390DAE"/>
    <w:rsid w:val="00391125"/>
    <w:rsid w:val="0039136E"/>
    <w:rsid w:val="003913BD"/>
    <w:rsid w:val="00391F0E"/>
    <w:rsid w:val="0039211A"/>
    <w:rsid w:val="003922B1"/>
    <w:rsid w:val="0039296F"/>
    <w:rsid w:val="00392AFB"/>
    <w:rsid w:val="00392B31"/>
    <w:rsid w:val="003930B5"/>
    <w:rsid w:val="0039334A"/>
    <w:rsid w:val="00393394"/>
    <w:rsid w:val="00393468"/>
    <w:rsid w:val="00393585"/>
    <w:rsid w:val="003935B9"/>
    <w:rsid w:val="003935CB"/>
    <w:rsid w:val="00395CCF"/>
    <w:rsid w:val="00396338"/>
    <w:rsid w:val="00396749"/>
    <w:rsid w:val="003967B0"/>
    <w:rsid w:val="003967F8"/>
    <w:rsid w:val="00396958"/>
    <w:rsid w:val="00396B1E"/>
    <w:rsid w:val="00396BCA"/>
    <w:rsid w:val="00396E17"/>
    <w:rsid w:val="0039723A"/>
    <w:rsid w:val="00397280"/>
    <w:rsid w:val="003973DD"/>
    <w:rsid w:val="00397536"/>
    <w:rsid w:val="00397654"/>
    <w:rsid w:val="003978B3"/>
    <w:rsid w:val="003A0314"/>
    <w:rsid w:val="003A06C5"/>
    <w:rsid w:val="003A0890"/>
    <w:rsid w:val="003A0A29"/>
    <w:rsid w:val="003A0C97"/>
    <w:rsid w:val="003A1AF7"/>
    <w:rsid w:val="003A221F"/>
    <w:rsid w:val="003A257E"/>
    <w:rsid w:val="003A25F4"/>
    <w:rsid w:val="003A295A"/>
    <w:rsid w:val="003A3159"/>
    <w:rsid w:val="003A39C7"/>
    <w:rsid w:val="003A3A4D"/>
    <w:rsid w:val="003A3AC4"/>
    <w:rsid w:val="003A3D0E"/>
    <w:rsid w:val="003A3D9A"/>
    <w:rsid w:val="003A409D"/>
    <w:rsid w:val="003A4129"/>
    <w:rsid w:val="003A420E"/>
    <w:rsid w:val="003A4801"/>
    <w:rsid w:val="003A48A3"/>
    <w:rsid w:val="003A4AAF"/>
    <w:rsid w:val="003A4B2E"/>
    <w:rsid w:val="003A50BB"/>
    <w:rsid w:val="003A54BC"/>
    <w:rsid w:val="003A5737"/>
    <w:rsid w:val="003A589B"/>
    <w:rsid w:val="003A58AF"/>
    <w:rsid w:val="003A6AAA"/>
    <w:rsid w:val="003A6CAE"/>
    <w:rsid w:val="003A7236"/>
    <w:rsid w:val="003A7320"/>
    <w:rsid w:val="003A7911"/>
    <w:rsid w:val="003B019B"/>
    <w:rsid w:val="003B01E4"/>
    <w:rsid w:val="003B088E"/>
    <w:rsid w:val="003B0AE3"/>
    <w:rsid w:val="003B0DA9"/>
    <w:rsid w:val="003B1014"/>
    <w:rsid w:val="003B106B"/>
    <w:rsid w:val="003B1188"/>
    <w:rsid w:val="003B1EA1"/>
    <w:rsid w:val="003B1F25"/>
    <w:rsid w:val="003B22EF"/>
    <w:rsid w:val="003B27DF"/>
    <w:rsid w:val="003B2E07"/>
    <w:rsid w:val="003B3656"/>
    <w:rsid w:val="003B3951"/>
    <w:rsid w:val="003B3BDF"/>
    <w:rsid w:val="003B43D8"/>
    <w:rsid w:val="003B44AF"/>
    <w:rsid w:val="003B46C7"/>
    <w:rsid w:val="003B4719"/>
    <w:rsid w:val="003B4787"/>
    <w:rsid w:val="003B4C32"/>
    <w:rsid w:val="003B4F0C"/>
    <w:rsid w:val="003B50BA"/>
    <w:rsid w:val="003B5452"/>
    <w:rsid w:val="003B570C"/>
    <w:rsid w:val="003B5717"/>
    <w:rsid w:val="003B58FE"/>
    <w:rsid w:val="003B5B2E"/>
    <w:rsid w:val="003B5CAF"/>
    <w:rsid w:val="003B5EA5"/>
    <w:rsid w:val="003B6166"/>
    <w:rsid w:val="003B64E5"/>
    <w:rsid w:val="003B6534"/>
    <w:rsid w:val="003B6927"/>
    <w:rsid w:val="003B696F"/>
    <w:rsid w:val="003B6D41"/>
    <w:rsid w:val="003B768B"/>
    <w:rsid w:val="003B76CE"/>
    <w:rsid w:val="003B7749"/>
    <w:rsid w:val="003B7C7B"/>
    <w:rsid w:val="003B7CA4"/>
    <w:rsid w:val="003C0E58"/>
    <w:rsid w:val="003C0F84"/>
    <w:rsid w:val="003C11B2"/>
    <w:rsid w:val="003C12D2"/>
    <w:rsid w:val="003C1300"/>
    <w:rsid w:val="003C14B1"/>
    <w:rsid w:val="003C1591"/>
    <w:rsid w:val="003C199E"/>
    <w:rsid w:val="003C218F"/>
    <w:rsid w:val="003C2280"/>
    <w:rsid w:val="003C2AA7"/>
    <w:rsid w:val="003C2F47"/>
    <w:rsid w:val="003C3846"/>
    <w:rsid w:val="003C38C8"/>
    <w:rsid w:val="003C44D1"/>
    <w:rsid w:val="003C4572"/>
    <w:rsid w:val="003C4733"/>
    <w:rsid w:val="003C48A1"/>
    <w:rsid w:val="003C4E8C"/>
    <w:rsid w:val="003C4F06"/>
    <w:rsid w:val="003C5A14"/>
    <w:rsid w:val="003C5D9C"/>
    <w:rsid w:val="003C5DE7"/>
    <w:rsid w:val="003C6080"/>
    <w:rsid w:val="003C634A"/>
    <w:rsid w:val="003C6592"/>
    <w:rsid w:val="003C667C"/>
    <w:rsid w:val="003C6AB1"/>
    <w:rsid w:val="003C717C"/>
    <w:rsid w:val="003C7335"/>
    <w:rsid w:val="003C7651"/>
    <w:rsid w:val="003C7879"/>
    <w:rsid w:val="003C79DB"/>
    <w:rsid w:val="003D029E"/>
    <w:rsid w:val="003D067C"/>
    <w:rsid w:val="003D0906"/>
    <w:rsid w:val="003D13D8"/>
    <w:rsid w:val="003D140A"/>
    <w:rsid w:val="003D15B7"/>
    <w:rsid w:val="003D15ED"/>
    <w:rsid w:val="003D1608"/>
    <w:rsid w:val="003D20E1"/>
    <w:rsid w:val="003D2486"/>
    <w:rsid w:val="003D295A"/>
    <w:rsid w:val="003D2A35"/>
    <w:rsid w:val="003D2A9A"/>
    <w:rsid w:val="003D2D5A"/>
    <w:rsid w:val="003D321B"/>
    <w:rsid w:val="003D35FA"/>
    <w:rsid w:val="003D39EF"/>
    <w:rsid w:val="003D41BA"/>
    <w:rsid w:val="003D41C7"/>
    <w:rsid w:val="003D420B"/>
    <w:rsid w:val="003D45E1"/>
    <w:rsid w:val="003D4CC1"/>
    <w:rsid w:val="003D529E"/>
    <w:rsid w:val="003D5427"/>
    <w:rsid w:val="003D6474"/>
    <w:rsid w:val="003D664F"/>
    <w:rsid w:val="003D6670"/>
    <w:rsid w:val="003D6A09"/>
    <w:rsid w:val="003D6B36"/>
    <w:rsid w:val="003D6D63"/>
    <w:rsid w:val="003D6F67"/>
    <w:rsid w:val="003D707F"/>
    <w:rsid w:val="003D70B9"/>
    <w:rsid w:val="003D71D5"/>
    <w:rsid w:val="003D74EF"/>
    <w:rsid w:val="003D7671"/>
    <w:rsid w:val="003D7C9F"/>
    <w:rsid w:val="003E0086"/>
    <w:rsid w:val="003E0CAF"/>
    <w:rsid w:val="003E1122"/>
    <w:rsid w:val="003E1207"/>
    <w:rsid w:val="003E12C9"/>
    <w:rsid w:val="003E1604"/>
    <w:rsid w:val="003E1766"/>
    <w:rsid w:val="003E1858"/>
    <w:rsid w:val="003E18F5"/>
    <w:rsid w:val="003E1A61"/>
    <w:rsid w:val="003E21C5"/>
    <w:rsid w:val="003E279B"/>
    <w:rsid w:val="003E2AB7"/>
    <w:rsid w:val="003E2F36"/>
    <w:rsid w:val="003E2FB3"/>
    <w:rsid w:val="003E37A0"/>
    <w:rsid w:val="003E393E"/>
    <w:rsid w:val="003E3CFE"/>
    <w:rsid w:val="003E4066"/>
    <w:rsid w:val="003E46CB"/>
    <w:rsid w:val="003E4AE0"/>
    <w:rsid w:val="003E507E"/>
    <w:rsid w:val="003E5394"/>
    <w:rsid w:val="003E54F0"/>
    <w:rsid w:val="003E5CF4"/>
    <w:rsid w:val="003E678B"/>
    <w:rsid w:val="003E6923"/>
    <w:rsid w:val="003E6CCA"/>
    <w:rsid w:val="003E6D5E"/>
    <w:rsid w:val="003E6D93"/>
    <w:rsid w:val="003E73AA"/>
    <w:rsid w:val="003E76C6"/>
    <w:rsid w:val="003E7FBC"/>
    <w:rsid w:val="003F0186"/>
    <w:rsid w:val="003F038A"/>
    <w:rsid w:val="003F0555"/>
    <w:rsid w:val="003F09E9"/>
    <w:rsid w:val="003F0D0F"/>
    <w:rsid w:val="003F11D8"/>
    <w:rsid w:val="003F1222"/>
    <w:rsid w:val="003F1303"/>
    <w:rsid w:val="003F14E3"/>
    <w:rsid w:val="003F1AAC"/>
    <w:rsid w:val="003F1C6D"/>
    <w:rsid w:val="003F1D12"/>
    <w:rsid w:val="003F1E3F"/>
    <w:rsid w:val="003F1ECD"/>
    <w:rsid w:val="003F2C12"/>
    <w:rsid w:val="003F3195"/>
    <w:rsid w:val="003F32A8"/>
    <w:rsid w:val="003F34C4"/>
    <w:rsid w:val="003F3673"/>
    <w:rsid w:val="003F3760"/>
    <w:rsid w:val="003F3F81"/>
    <w:rsid w:val="003F442C"/>
    <w:rsid w:val="003F465F"/>
    <w:rsid w:val="003F47AB"/>
    <w:rsid w:val="003F47D1"/>
    <w:rsid w:val="003F4B6C"/>
    <w:rsid w:val="003F4DAF"/>
    <w:rsid w:val="003F5A39"/>
    <w:rsid w:val="003F5EE6"/>
    <w:rsid w:val="003F6039"/>
    <w:rsid w:val="003F62B7"/>
    <w:rsid w:val="003F67D7"/>
    <w:rsid w:val="003F7144"/>
    <w:rsid w:val="003F74EF"/>
    <w:rsid w:val="003F769F"/>
    <w:rsid w:val="00400195"/>
    <w:rsid w:val="00400758"/>
    <w:rsid w:val="00400A77"/>
    <w:rsid w:val="00401262"/>
    <w:rsid w:val="00401B6E"/>
    <w:rsid w:val="0040291B"/>
    <w:rsid w:val="0040364C"/>
    <w:rsid w:val="00404123"/>
    <w:rsid w:val="00404550"/>
    <w:rsid w:val="00404B91"/>
    <w:rsid w:val="00404BB2"/>
    <w:rsid w:val="0040541F"/>
    <w:rsid w:val="00405424"/>
    <w:rsid w:val="00405C8A"/>
    <w:rsid w:val="00406889"/>
    <w:rsid w:val="00406DEE"/>
    <w:rsid w:val="00406E48"/>
    <w:rsid w:val="004072DC"/>
    <w:rsid w:val="004075B4"/>
    <w:rsid w:val="00407C6C"/>
    <w:rsid w:val="00410081"/>
    <w:rsid w:val="00410502"/>
    <w:rsid w:val="00410971"/>
    <w:rsid w:val="00410E96"/>
    <w:rsid w:val="00410F5C"/>
    <w:rsid w:val="00411C1D"/>
    <w:rsid w:val="00411FD7"/>
    <w:rsid w:val="0041213F"/>
    <w:rsid w:val="0041214B"/>
    <w:rsid w:val="0041242B"/>
    <w:rsid w:val="00412681"/>
    <w:rsid w:val="00412A04"/>
    <w:rsid w:val="00412C22"/>
    <w:rsid w:val="00412C54"/>
    <w:rsid w:val="00412DB7"/>
    <w:rsid w:val="0041307A"/>
    <w:rsid w:val="00413397"/>
    <w:rsid w:val="00413D02"/>
    <w:rsid w:val="00413DF7"/>
    <w:rsid w:val="004141EF"/>
    <w:rsid w:val="00414721"/>
    <w:rsid w:val="00414AA9"/>
    <w:rsid w:val="00414FC0"/>
    <w:rsid w:val="004150A8"/>
    <w:rsid w:val="0041538F"/>
    <w:rsid w:val="0041554C"/>
    <w:rsid w:val="004158E1"/>
    <w:rsid w:val="00415B20"/>
    <w:rsid w:val="00417B00"/>
    <w:rsid w:val="00417D0F"/>
    <w:rsid w:val="00417E9B"/>
    <w:rsid w:val="00417ECD"/>
    <w:rsid w:val="0042007E"/>
    <w:rsid w:val="00420473"/>
    <w:rsid w:val="00420694"/>
    <w:rsid w:val="00420703"/>
    <w:rsid w:val="0042081E"/>
    <w:rsid w:val="00420E0C"/>
    <w:rsid w:val="00421989"/>
    <w:rsid w:val="00421B40"/>
    <w:rsid w:val="00421C02"/>
    <w:rsid w:val="00422163"/>
    <w:rsid w:val="00422B00"/>
    <w:rsid w:val="00422BB2"/>
    <w:rsid w:val="00422F9A"/>
    <w:rsid w:val="0042331A"/>
    <w:rsid w:val="00423479"/>
    <w:rsid w:val="004240BB"/>
    <w:rsid w:val="00424B49"/>
    <w:rsid w:val="00424BC0"/>
    <w:rsid w:val="00424CD9"/>
    <w:rsid w:val="00424EE9"/>
    <w:rsid w:val="00424F6E"/>
    <w:rsid w:val="00425365"/>
    <w:rsid w:val="00425A9F"/>
    <w:rsid w:val="00425BF0"/>
    <w:rsid w:val="00425C82"/>
    <w:rsid w:val="004261C5"/>
    <w:rsid w:val="004267BD"/>
    <w:rsid w:val="00426D00"/>
    <w:rsid w:val="00427071"/>
    <w:rsid w:val="00427AC9"/>
    <w:rsid w:val="00427DF3"/>
    <w:rsid w:val="0043000A"/>
    <w:rsid w:val="0043033C"/>
    <w:rsid w:val="004304BD"/>
    <w:rsid w:val="00430A35"/>
    <w:rsid w:val="00430E1F"/>
    <w:rsid w:val="00431223"/>
    <w:rsid w:val="004312F7"/>
    <w:rsid w:val="004318F3"/>
    <w:rsid w:val="00431CF1"/>
    <w:rsid w:val="0043232C"/>
    <w:rsid w:val="00432C14"/>
    <w:rsid w:val="00432D80"/>
    <w:rsid w:val="00432EC8"/>
    <w:rsid w:val="00433ACC"/>
    <w:rsid w:val="004341E9"/>
    <w:rsid w:val="00434323"/>
    <w:rsid w:val="00434720"/>
    <w:rsid w:val="00434C76"/>
    <w:rsid w:val="00434CA4"/>
    <w:rsid w:val="00434F97"/>
    <w:rsid w:val="00435664"/>
    <w:rsid w:val="00436AF2"/>
    <w:rsid w:val="00436C1D"/>
    <w:rsid w:val="00436D44"/>
    <w:rsid w:val="00437233"/>
    <w:rsid w:val="004379FE"/>
    <w:rsid w:val="00440002"/>
    <w:rsid w:val="00440C07"/>
    <w:rsid w:val="00440C48"/>
    <w:rsid w:val="00440D0E"/>
    <w:rsid w:val="00440D83"/>
    <w:rsid w:val="00440E3B"/>
    <w:rsid w:val="0044111B"/>
    <w:rsid w:val="00441985"/>
    <w:rsid w:val="00441E7C"/>
    <w:rsid w:val="00441F13"/>
    <w:rsid w:val="00441FF4"/>
    <w:rsid w:val="004437DC"/>
    <w:rsid w:val="00443A4C"/>
    <w:rsid w:val="004443AB"/>
    <w:rsid w:val="00444520"/>
    <w:rsid w:val="00444624"/>
    <w:rsid w:val="0044486A"/>
    <w:rsid w:val="004448DB"/>
    <w:rsid w:val="004450D0"/>
    <w:rsid w:val="0044527B"/>
    <w:rsid w:val="004452F2"/>
    <w:rsid w:val="00445D17"/>
    <w:rsid w:val="00445E64"/>
    <w:rsid w:val="00445F93"/>
    <w:rsid w:val="0044645D"/>
    <w:rsid w:val="00446746"/>
    <w:rsid w:val="00446778"/>
    <w:rsid w:val="00446AD1"/>
    <w:rsid w:val="00446FF5"/>
    <w:rsid w:val="004473E1"/>
    <w:rsid w:val="00447435"/>
    <w:rsid w:val="00447467"/>
    <w:rsid w:val="00447BE4"/>
    <w:rsid w:val="00447CC7"/>
    <w:rsid w:val="004501C4"/>
    <w:rsid w:val="0045342A"/>
    <w:rsid w:val="00453531"/>
    <w:rsid w:val="004539F3"/>
    <w:rsid w:val="00453E52"/>
    <w:rsid w:val="00453F61"/>
    <w:rsid w:val="00454DCF"/>
    <w:rsid w:val="00454F37"/>
    <w:rsid w:val="00455072"/>
    <w:rsid w:val="004551C5"/>
    <w:rsid w:val="0045526D"/>
    <w:rsid w:val="0045536D"/>
    <w:rsid w:val="0045563A"/>
    <w:rsid w:val="00455C0B"/>
    <w:rsid w:val="00455F0D"/>
    <w:rsid w:val="00455F76"/>
    <w:rsid w:val="0045615C"/>
    <w:rsid w:val="00456918"/>
    <w:rsid w:val="00457452"/>
    <w:rsid w:val="00457468"/>
    <w:rsid w:val="00457539"/>
    <w:rsid w:val="00460676"/>
    <w:rsid w:val="00460959"/>
    <w:rsid w:val="00460A2F"/>
    <w:rsid w:val="00460DFC"/>
    <w:rsid w:val="00461390"/>
    <w:rsid w:val="00462344"/>
    <w:rsid w:val="00462792"/>
    <w:rsid w:val="00462882"/>
    <w:rsid w:val="00462DBD"/>
    <w:rsid w:val="00462DFC"/>
    <w:rsid w:val="00462EC3"/>
    <w:rsid w:val="00463713"/>
    <w:rsid w:val="00464A54"/>
    <w:rsid w:val="00464B57"/>
    <w:rsid w:val="00464CB3"/>
    <w:rsid w:val="00464F15"/>
    <w:rsid w:val="00465E1C"/>
    <w:rsid w:val="00466288"/>
    <w:rsid w:val="00466633"/>
    <w:rsid w:val="00466917"/>
    <w:rsid w:val="00466A68"/>
    <w:rsid w:val="00466E1F"/>
    <w:rsid w:val="0046788A"/>
    <w:rsid w:val="00467A07"/>
    <w:rsid w:val="00467DDF"/>
    <w:rsid w:val="00467E6F"/>
    <w:rsid w:val="0047033D"/>
    <w:rsid w:val="0047087C"/>
    <w:rsid w:val="004709CF"/>
    <w:rsid w:val="00470D72"/>
    <w:rsid w:val="0047104F"/>
    <w:rsid w:val="004712BA"/>
    <w:rsid w:val="004715DB"/>
    <w:rsid w:val="004717FC"/>
    <w:rsid w:val="00471DBD"/>
    <w:rsid w:val="00472AD8"/>
    <w:rsid w:val="00472C6D"/>
    <w:rsid w:val="00472D57"/>
    <w:rsid w:val="0047319E"/>
    <w:rsid w:val="0047343D"/>
    <w:rsid w:val="004737AB"/>
    <w:rsid w:val="004737D2"/>
    <w:rsid w:val="00474861"/>
    <w:rsid w:val="004749D1"/>
    <w:rsid w:val="004750E2"/>
    <w:rsid w:val="004756A4"/>
    <w:rsid w:val="0047572F"/>
    <w:rsid w:val="004757DD"/>
    <w:rsid w:val="00475A00"/>
    <w:rsid w:val="00475DE8"/>
    <w:rsid w:val="0047620B"/>
    <w:rsid w:val="004765C1"/>
    <w:rsid w:val="00476839"/>
    <w:rsid w:val="00477156"/>
    <w:rsid w:val="00477658"/>
    <w:rsid w:val="00477886"/>
    <w:rsid w:val="00480042"/>
    <w:rsid w:val="00480314"/>
    <w:rsid w:val="00480836"/>
    <w:rsid w:val="0048093C"/>
    <w:rsid w:val="00480C6C"/>
    <w:rsid w:val="00481166"/>
    <w:rsid w:val="004813F4"/>
    <w:rsid w:val="00481755"/>
    <w:rsid w:val="00481909"/>
    <w:rsid w:val="0048269A"/>
    <w:rsid w:val="00483B4A"/>
    <w:rsid w:val="00483CE2"/>
    <w:rsid w:val="00483E6B"/>
    <w:rsid w:val="00483EBC"/>
    <w:rsid w:val="004842F9"/>
    <w:rsid w:val="004847E2"/>
    <w:rsid w:val="00484846"/>
    <w:rsid w:val="00484C46"/>
    <w:rsid w:val="004856FD"/>
    <w:rsid w:val="0048633C"/>
    <w:rsid w:val="004865F3"/>
    <w:rsid w:val="00486A57"/>
    <w:rsid w:val="00486E0F"/>
    <w:rsid w:val="00487507"/>
    <w:rsid w:val="00487663"/>
    <w:rsid w:val="004877CE"/>
    <w:rsid w:val="00487AA1"/>
    <w:rsid w:val="00487AA5"/>
    <w:rsid w:val="00487D87"/>
    <w:rsid w:val="0049005A"/>
    <w:rsid w:val="0049089F"/>
    <w:rsid w:val="0049099D"/>
    <w:rsid w:val="00490E4A"/>
    <w:rsid w:val="00490E94"/>
    <w:rsid w:val="00490EE9"/>
    <w:rsid w:val="004913DD"/>
    <w:rsid w:val="004914C9"/>
    <w:rsid w:val="00491AF2"/>
    <w:rsid w:val="00491DE1"/>
    <w:rsid w:val="00491F25"/>
    <w:rsid w:val="00491FB0"/>
    <w:rsid w:val="00492077"/>
    <w:rsid w:val="004920BE"/>
    <w:rsid w:val="004922CB"/>
    <w:rsid w:val="004923E3"/>
    <w:rsid w:val="00492652"/>
    <w:rsid w:val="00492788"/>
    <w:rsid w:val="00492CC9"/>
    <w:rsid w:val="004930C9"/>
    <w:rsid w:val="004937B0"/>
    <w:rsid w:val="00493F13"/>
    <w:rsid w:val="00494169"/>
    <w:rsid w:val="00494702"/>
    <w:rsid w:val="004948F2"/>
    <w:rsid w:val="004954B5"/>
    <w:rsid w:val="00495607"/>
    <w:rsid w:val="00495774"/>
    <w:rsid w:val="00495F75"/>
    <w:rsid w:val="00496151"/>
    <w:rsid w:val="00496379"/>
    <w:rsid w:val="0049641A"/>
    <w:rsid w:val="004968A8"/>
    <w:rsid w:val="004969CB"/>
    <w:rsid w:val="00496CB2"/>
    <w:rsid w:val="00496D6D"/>
    <w:rsid w:val="00497689"/>
    <w:rsid w:val="00497861"/>
    <w:rsid w:val="00497B8B"/>
    <w:rsid w:val="00497DD4"/>
    <w:rsid w:val="004A0111"/>
    <w:rsid w:val="004A0A58"/>
    <w:rsid w:val="004A0E9E"/>
    <w:rsid w:val="004A0FBA"/>
    <w:rsid w:val="004A1431"/>
    <w:rsid w:val="004A16AC"/>
    <w:rsid w:val="004A1B28"/>
    <w:rsid w:val="004A1C37"/>
    <w:rsid w:val="004A20D4"/>
    <w:rsid w:val="004A2BF9"/>
    <w:rsid w:val="004A2C3A"/>
    <w:rsid w:val="004A39B3"/>
    <w:rsid w:val="004A3A16"/>
    <w:rsid w:val="004A443B"/>
    <w:rsid w:val="004A5BC6"/>
    <w:rsid w:val="004A606E"/>
    <w:rsid w:val="004A6087"/>
    <w:rsid w:val="004A67DF"/>
    <w:rsid w:val="004A69F3"/>
    <w:rsid w:val="004A73AA"/>
    <w:rsid w:val="004B014F"/>
    <w:rsid w:val="004B0A99"/>
    <w:rsid w:val="004B0B98"/>
    <w:rsid w:val="004B14D9"/>
    <w:rsid w:val="004B1BF9"/>
    <w:rsid w:val="004B20AC"/>
    <w:rsid w:val="004B2450"/>
    <w:rsid w:val="004B26C7"/>
    <w:rsid w:val="004B317D"/>
    <w:rsid w:val="004B32FC"/>
    <w:rsid w:val="004B3567"/>
    <w:rsid w:val="004B39AC"/>
    <w:rsid w:val="004B3A7D"/>
    <w:rsid w:val="004B3CEC"/>
    <w:rsid w:val="004B4071"/>
    <w:rsid w:val="004B41CA"/>
    <w:rsid w:val="004B41D3"/>
    <w:rsid w:val="004B4228"/>
    <w:rsid w:val="004B4767"/>
    <w:rsid w:val="004B4A3D"/>
    <w:rsid w:val="004B5ADF"/>
    <w:rsid w:val="004B5DC2"/>
    <w:rsid w:val="004B5EF3"/>
    <w:rsid w:val="004B6067"/>
    <w:rsid w:val="004B66C4"/>
    <w:rsid w:val="004B67FA"/>
    <w:rsid w:val="004B702C"/>
    <w:rsid w:val="004B7411"/>
    <w:rsid w:val="004B74DA"/>
    <w:rsid w:val="004B7782"/>
    <w:rsid w:val="004B7A23"/>
    <w:rsid w:val="004B7C2B"/>
    <w:rsid w:val="004C009E"/>
    <w:rsid w:val="004C031E"/>
    <w:rsid w:val="004C0413"/>
    <w:rsid w:val="004C1928"/>
    <w:rsid w:val="004C1C10"/>
    <w:rsid w:val="004C1CED"/>
    <w:rsid w:val="004C1F3B"/>
    <w:rsid w:val="004C2707"/>
    <w:rsid w:val="004C30CA"/>
    <w:rsid w:val="004C376F"/>
    <w:rsid w:val="004C431E"/>
    <w:rsid w:val="004C43B3"/>
    <w:rsid w:val="004C458A"/>
    <w:rsid w:val="004C4C7A"/>
    <w:rsid w:val="004C4E08"/>
    <w:rsid w:val="004C4F65"/>
    <w:rsid w:val="004C5347"/>
    <w:rsid w:val="004C5DDA"/>
    <w:rsid w:val="004C5F4E"/>
    <w:rsid w:val="004C60F8"/>
    <w:rsid w:val="004C6320"/>
    <w:rsid w:val="004C65C9"/>
    <w:rsid w:val="004C65F2"/>
    <w:rsid w:val="004C665A"/>
    <w:rsid w:val="004C6876"/>
    <w:rsid w:val="004C6BE5"/>
    <w:rsid w:val="004C6EDF"/>
    <w:rsid w:val="004C6F08"/>
    <w:rsid w:val="004C75F6"/>
    <w:rsid w:val="004C7DEF"/>
    <w:rsid w:val="004D0198"/>
    <w:rsid w:val="004D0314"/>
    <w:rsid w:val="004D0661"/>
    <w:rsid w:val="004D0892"/>
    <w:rsid w:val="004D0E36"/>
    <w:rsid w:val="004D0E83"/>
    <w:rsid w:val="004D15F0"/>
    <w:rsid w:val="004D1ABC"/>
    <w:rsid w:val="004D1AD3"/>
    <w:rsid w:val="004D311F"/>
    <w:rsid w:val="004D377C"/>
    <w:rsid w:val="004D47C1"/>
    <w:rsid w:val="004D4B5F"/>
    <w:rsid w:val="004D4EF0"/>
    <w:rsid w:val="004D52E2"/>
    <w:rsid w:val="004D54BD"/>
    <w:rsid w:val="004D6524"/>
    <w:rsid w:val="004D68B9"/>
    <w:rsid w:val="004D68BE"/>
    <w:rsid w:val="004D6BD9"/>
    <w:rsid w:val="004D6CE6"/>
    <w:rsid w:val="004D6F25"/>
    <w:rsid w:val="004D7264"/>
    <w:rsid w:val="004D789A"/>
    <w:rsid w:val="004D7B89"/>
    <w:rsid w:val="004E0134"/>
    <w:rsid w:val="004E0695"/>
    <w:rsid w:val="004E081A"/>
    <w:rsid w:val="004E09DC"/>
    <w:rsid w:val="004E0C7A"/>
    <w:rsid w:val="004E0E50"/>
    <w:rsid w:val="004E0F90"/>
    <w:rsid w:val="004E1162"/>
    <w:rsid w:val="004E13CC"/>
    <w:rsid w:val="004E15AE"/>
    <w:rsid w:val="004E1731"/>
    <w:rsid w:val="004E1D47"/>
    <w:rsid w:val="004E20A2"/>
    <w:rsid w:val="004E24CA"/>
    <w:rsid w:val="004E2A05"/>
    <w:rsid w:val="004E31BA"/>
    <w:rsid w:val="004E3436"/>
    <w:rsid w:val="004E3872"/>
    <w:rsid w:val="004E3966"/>
    <w:rsid w:val="004E39F8"/>
    <w:rsid w:val="004E3AFB"/>
    <w:rsid w:val="004E3D62"/>
    <w:rsid w:val="004E3DBA"/>
    <w:rsid w:val="004E4295"/>
    <w:rsid w:val="004E43D2"/>
    <w:rsid w:val="004E45A3"/>
    <w:rsid w:val="004E4646"/>
    <w:rsid w:val="004E46DA"/>
    <w:rsid w:val="004E4A1A"/>
    <w:rsid w:val="004E4E79"/>
    <w:rsid w:val="004E59B2"/>
    <w:rsid w:val="004E5B4A"/>
    <w:rsid w:val="004E5E56"/>
    <w:rsid w:val="004E604F"/>
    <w:rsid w:val="004E73E8"/>
    <w:rsid w:val="004E74EC"/>
    <w:rsid w:val="004E7BF8"/>
    <w:rsid w:val="004E7DEA"/>
    <w:rsid w:val="004F03AF"/>
    <w:rsid w:val="004F04CD"/>
    <w:rsid w:val="004F0789"/>
    <w:rsid w:val="004F0914"/>
    <w:rsid w:val="004F141F"/>
    <w:rsid w:val="004F14BF"/>
    <w:rsid w:val="004F2000"/>
    <w:rsid w:val="004F2318"/>
    <w:rsid w:val="004F24FB"/>
    <w:rsid w:val="004F26ED"/>
    <w:rsid w:val="004F2A65"/>
    <w:rsid w:val="004F2AF2"/>
    <w:rsid w:val="004F2F44"/>
    <w:rsid w:val="004F2F68"/>
    <w:rsid w:val="004F3176"/>
    <w:rsid w:val="004F3D32"/>
    <w:rsid w:val="004F4735"/>
    <w:rsid w:val="004F51D3"/>
    <w:rsid w:val="004F539C"/>
    <w:rsid w:val="004F5B6B"/>
    <w:rsid w:val="004F5B94"/>
    <w:rsid w:val="004F5BC4"/>
    <w:rsid w:val="004F63B9"/>
    <w:rsid w:val="004F663C"/>
    <w:rsid w:val="004F6C88"/>
    <w:rsid w:val="004F709F"/>
    <w:rsid w:val="004F7104"/>
    <w:rsid w:val="004F7288"/>
    <w:rsid w:val="004F767C"/>
    <w:rsid w:val="00500010"/>
    <w:rsid w:val="005001BC"/>
    <w:rsid w:val="00500BFA"/>
    <w:rsid w:val="00500DD6"/>
    <w:rsid w:val="005013E6"/>
    <w:rsid w:val="00501648"/>
    <w:rsid w:val="00501C83"/>
    <w:rsid w:val="005024E0"/>
    <w:rsid w:val="0050271A"/>
    <w:rsid w:val="00502E71"/>
    <w:rsid w:val="00502EA5"/>
    <w:rsid w:val="00503A88"/>
    <w:rsid w:val="005042A1"/>
    <w:rsid w:val="005042BC"/>
    <w:rsid w:val="00504C80"/>
    <w:rsid w:val="0050503C"/>
    <w:rsid w:val="00505568"/>
    <w:rsid w:val="0050598A"/>
    <w:rsid w:val="00505CD7"/>
    <w:rsid w:val="005061E5"/>
    <w:rsid w:val="005062B4"/>
    <w:rsid w:val="00506384"/>
    <w:rsid w:val="00506F08"/>
    <w:rsid w:val="005074FD"/>
    <w:rsid w:val="00507B6A"/>
    <w:rsid w:val="005104CF"/>
    <w:rsid w:val="005109A6"/>
    <w:rsid w:val="00510E7E"/>
    <w:rsid w:val="00510F27"/>
    <w:rsid w:val="00511504"/>
    <w:rsid w:val="005119C0"/>
    <w:rsid w:val="00511B57"/>
    <w:rsid w:val="00511EE9"/>
    <w:rsid w:val="00512653"/>
    <w:rsid w:val="005133D4"/>
    <w:rsid w:val="00513759"/>
    <w:rsid w:val="005137A8"/>
    <w:rsid w:val="00514262"/>
    <w:rsid w:val="00514327"/>
    <w:rsid w:val="0051485D"/>
    <w:rsid w:val="00514D54"/>
    <w:rsid w:val="00515430"/>
    <w:rsid w:val="00515531"/>
    <w:rsid w:val="005156C2"/>
    <w:rsid w:val="005159CD"/>
    <w:rsid w:val="00515C6E"/>
    <w:rsid w:val="005160E2"/>
    <w:rsid w:val="005161AD"/>
    <w:rsid w:val="00516BBA"/>
    <w:rsid w:val="00516CBD"/>
    <w:rsid w:val="00516EB9"/>
    <w:rsid w:val="005170B4"/>
    <w:rsid w:val="0051752A"/>
    <w:rsid w:val="00517CD0"/>
    <w:rsid w:val="00517F39"/>
    <w:rsid w:val="00517FBF"/>
    <w:rsid w:val="005203E7"/>
    <w:rsid w:val="005210FA"/>
    <w:rsid w:val="005211AC"/>
    <w:rsid w:val="0052127C"/>
    <w:rsid w:val="00521371"/>
    <w:rsid w:val="00521401"/>
    <w:rsid w:val="005214E2"/>
    <w:rsid w:val="00521531"/>
    <w:rsid w:val="00521617"/>
    <w:rsid w:val="005217E8"/>
    <w:rsid w:val="00522945"/>
    <w:rsid w:val="00523070"/>
    <w:rsid w:val="00523380"/>
    <w:rsid w:val="005239B7"/>
    <w:rsid w:val="00523BC0"/>
    <w:rsid w:val="00523BD2"/>
    <w:rsid w:val="00523CBE"/>
    <w:rsid w:val="00523FAF"/>
    <w:rsid w:val="00524146"/>
    <w:rsid w:val="00524613"/>
    <w:rsid w:val="00524713"/>
    <w:rsid w:val="00524C53"/>
    <w:rsid w:val="00524CB9"/>
    <w:rsid w:val="00524E6C"/>
    <w:rsid w:val="00524EA5"/>
    <w:rsid w:val="00525071"/>
    <w:rsid w:val="00525257"/>
    <w:rsid w:val="00525343"/>
    <w:rsid w:val="00525345"/>
    <w:rsid w:val="00525B14"/>
    <w:rsid w:val="00525B7E"/>
    <w:rsid w:val="00525D95"/>
    <w:rsid w:val="005260E6"/>
    <w:rsid w:val="0052633F"/>
    <w:rsid w:val="0052674D"/>
    <w:rsid w:val="00526B74"/>
    <w:rsid w:val="00526DB4"/>
    <w:rsid w:val="0052707E"/>
    <w:rsid w:val="00527144"/>
    <w:rsid w:val="00527332"/>
    <w:rsid w:val="00527901"/>
    <w:rsid w:val="00527AC5"/>
    <w:rsid w:val="00527EDB"/>
    <w:rsid w:val="005300D2"/>
    <w:rsid w:val="00530216"/>
    <w:rsid w:val="0053043B"/>
    <w:rsid w:val="0053046E"/>
    <w:rsid w:val="00530B61"/>
    <w:rsid w:val="00530FDE"/>
    <w:rsid w:val="0053152B"/>
    <w:rsid w:val="00531A98"/>
    <w:rsid w:val="00531CF0"/>
    <w:rsid w:val="00531E6A"/>
    <w:rsid w:val="005320F7"/>
    <w:rsid w:val="00532623"/>
    <w:rsid w:val="0053266E"/>
    <w:rsid w:val="0053269F"/>
    <w:rsid w:val="0053288C"/>
    <w:rsid w:val="00532B67"/>
    <w:rsid w:val="00532B8D"/>
    <w:rsid w:val="00532E70"/>
    <w:rsid w:val="00533A1F"/>
    <w:rsid w:val="005342A1"/>
    <w:rsid w:val="005349F6"/>
    <w:rsid w:val="00534CF1"/>
    <w:rsid w:val="0053580A"/>
    <w:rsid w:val="0053590B"/>
    <w:rsid w:val="00535D0B"/>
    <w:rsid w:val="0053607E"/>
    <w:rsid w:val="00536119"/>
    <w:rsid w:val="00536390"/>
    <w:rsid w:val="0053646A"/>
    <w:rsid w:val="0053674A"/>
    <w:rsid w:val="00536EB8"/>
    <w:rsid w:val="0053709A"/>
    <w:rsid w:val="0053720F"/>
    <w:rsid w:val="00537407"/>
    <w:rsid w:val="00537415"/>
    <w:rsid w:val="00537739"/>
    <w:rsid w:val="00537E6A"/>
    <w:rsid w:val="00540A25"/>
    <w:rsid w:val="00540B24"/>
    <w:rsid w:val="005415DB"/>
    <w:rsid w:val="005416BB"/>
    <w:rsid w:val="005418E2"/>
    <w:rsid w:val="00541A87"/>
    <w:rsid w:val="00541CC7"/>
    <w:rsid w:val="00541D3C"/>
    <w:rsid w:val="005420B3"/>
    <w:rsid w:val="00542445"/>
    <w:rsid w:val="005426DA"/>
    <w:rsid w:val="0054272F"/>
    <w:rsid w:val="00542F7E"/>
    <w:rsid w:val="00543B10"/>
    <w:rsid w:val="00543FE7"/>
    <w:rsid w:val="00544139"/>
    <w:rsid w:val="00544D59"/>
    <w:rsid w:val="00545235"/>
    <w:rsid w:val="005452F5"/>
    <w:rsid w:val="00545A46"/>
    <w:rsid w:val="00545DC6"/>
    <w:rsid w:val="00546054"/>
    <w:rsid w:val="005466DD"/>
    <w:rsid w:val="00546765"/>
    <w:rsid w:val="00546871"/>
    <w:rsid w:val="00547229"/>
    <w:rsid w:val="00547850"/>
    <w:rsid w:val="00547879"/>
    <w:rsid w:val="005478E6"/>
    <w:rsid w:val="005479F1"/>
    <w:rsid w:val="00547B59"/>
    <w:rsid w:val="00547D22"/>
    <w:rsid w:val="00547E58"/>
    <w:rsid w:val="00547FD8"/>
    <w:rsid w:val="00550288"/>
    <w:rsid w:val="005509A3"/>
    <w:rsid w:val="00550D79"/>
    <w:rsid w:val="005517D2"/>
    <w:rsid w:val="00551840"/>
    <w:rsid w:val="00551A8A"/>
    <w:rsid w:val="00551AB3"/>
    <w:rsid w:val="00551D2E"/>
    <w:rsid w:val="00552143"/>
    <w:rsid w:val="005523C9"/>
    <w:rsid w:val="00552767"/>
    <w:rsid w:val="0055294B"/>
    <w:rsid w:val="005529F1"/>
    <w:rsid w:val="00552DD1"/>
    <w:rsid w:val="00553279"/>
    <w:rsid w:val="0055332C"/>
    <w:rsid w:val="0055349C"/>
    <w:rsid w:val="005536CF"/>
    <w:rsid w:val="0055394B"/>
    <w:rsid w:val="00553B17"/>
    <w:rsid w:val="00553C93"/>
    <w:rsid w:val="00553FA6"/>
    <w:rsid w:val="0055409C"/>
    <w:rsid w:val="00554124"/>
    <w:rsid w:val="0055413D"/>
    <w:rsid w:val="005544B3"/>
    <w:rsid w:val="005548D7"/>
    <w:rsid w:val="00554D59"/>
    <w:rsid w:val="00554E40"/>
    <w:rsid w:val="00554F97"/>
    <w:rsid w:val="00554FAB"/>
    <w:rsid w:val="005550E1"/>
    <w:rsid w:val="005554C2"/>
    <w:rsid w:val="00555ED2"/>
    <w:rsid w:val="00556745"/>
    <w:rsid w:val="00556C0A"/>
    <w:rsid w:val="00556D80"/>
    <w:rsid w:val="00557038"/>
    <w:rsid w:val="00557071"/>
    <w:rsid w:val="005571CE"/>
    <w:rsid w:val="0055775F"/>
    <w:rsid w:val="00557B21"/>
    <w:rsid w:val="00557E0E"/>
    <w:rsid w:val="00557E48"/>
    <w:rsid w:val="00560B35"/>
    <w:rsid w:val="00560BE0"/>
    <w:rsid w:val="005613FE"/>
    <w:rsid w:val="00561891"/>
    <w:rsid w:val="00562A60"/>
    <w:rsid w:val="00562AE4"/>
    <w:rsid w:val="00563B11"/>
    <w:rsid w:val="00564889"/>
    <w:rsid w:val="00564B27"/>
    <w:rsid w:val="00564C46"/>
    <w:rsid w:val="00564C9B"/>
    <w:rsid w:val="00564DE4"/>
    <w:rsid w:val="00564EF6"/>
    <w:rsid w:val="00564FA7"/>
    <w:rsid w:val="00565365"/>
    <w:rsid w:val="00565386"/>
    <w:rsid w:val="0056542C"/>
    <w:rsid w:val="005655D3"/>
    <w:rsid w:val="005657D7"/>
    <w:rsid w:val="00565A20"/>
    <w:rsid w:val="00565BA1"/>
    <w:rsid w:val="00565BFE"/>
    <w:rsid w:val="005661AF"/>
    <w:rsid w:val="005668D1"/>
    <w:rsid w:val="0056691D"/>
    <w:rsid w:val="00567355"/>
    <w:rsid w:val="0056756C"/>
    <w:rsid w:val="005679D6"/>
    <w:rsid w:val="00567D22"/>
    <w:rsid w:val="00567F9E"/>
    <w:rsid w:val="00567FC1"/>
    <w:rsid w:val="00570058"/>
    <w:rsid w:val="0057013D"/>
    <w:rsid w:val="0057038E"/>
    <w:rsid w:val="00570A13"/>
    <w:rsid w:val="00570B11"/>
    <w:rsid w:val="005710C0"/>
    <w:rsid w:val="005718EC"/>
    <w:rsid w:val="00571C23"/>
    <w:rsid w:val="00572252"/>
    <w:rsid w:val="00572297"/>
    <w:rsid w:val="00572482"/>
    <w:rsid w:val="005727F7"/>
    <w:rsid w:val="005728D8"/>
    <w:rsid w:val="00572C96"/>
    <w:rsid w:val="00572D93"/>
    <w:rsid w:val="005730AB"/>
    <w:rsid w:val="005730C8"/>
    <w:rsid w:val="00573521"/>
    <w:rsid w:val="00573774"/>
    <w:rsid w:val="00573EAB"/>
    <w:rsid w:val="0057434E"/>
    <w:rsid w:val="005748E5"/>
    <w:rsid w:val="005750C2"/>
    <w:rsid w:val="0057515A"/>
    <w:rsid w:val="00575BC1"/>
    <w:rsid w:val="005766AA"/>
    <w:rsid w:val="00576B32"/>
    <w:rsid w:val="00576DE4"/>
    <w:rsid w:val="00576FB2"/>
    <w:rsid w:val="00577129"/>
    <w:rsid w:val="00577721"/>
    <w:rsid w:val="005777C5"/>
    <w:rsid w:val="0058007A"/>
    <w:rsid w:val="00580937"/>
    <w:rsid w:val="00580CD8"/>
    <w:rsid w:val="00580F61"/>
    <w:rsid w:val="00580F93"/>
    <w:rsid w:val="00581832"/>
    <w:rsid w:val="00582103"/>
    <w:rsid w:val="005828F1"/>
    <w:rsid w:val="00582E34"/>
    <w:rsid w:val="00582F0A"/>
    <w:rsid w:val="005830F2"/>
    <w:rsid w:val="005835DA"/>
    <w:rsid w:val="00583C3B"/>
    <w:rsid w:val="005843CD"/>
    <w:rsid w:val="005854A0"/>
    <w:rsid w:val="00585A77"/>
    <w:rsid w:val="00585ABE"/>
    <w:rsid w:val="00585DEE"/>
    <w:rsid w:val="00585E2D"/>
    <w:rsid w:val="00585EBF"/>
    <w:rsid w:val="00585F7D"/>
    <w:rsid w:val="00585FAF"/>
    <w:rsid w:val="0058606B"/>
    <w:rsid w:val="00586239"/>
    <w:rsid w:val="0058649D"/>
    <w:rsid w:val="005868D0"/>
    <w:rsid w:val="00586FF6"/>
    <w:rsid w:val="0058712F"/>
    <w:rsid w:val="005873D4"/>
    <w:rsid w:val="005875DB"/>
    <w:rsid w:val="00587800"/>
    <w:rsid w:val="00587993"/>
    <w:rsid w:val="00587B01"/>
    <w:rsid w:val="0059095A"/>
    <w:rsid w:val="00590BA5"/>
    <w:rsid w:val="00590F0B"/>
    <w:rsid w:val="00591077"/>
    <w:rsid w:val="005912B0"/>
    <w:rsid w:val="005914A0"/>
    <w:rsid w:val="0059164A"/>
    <w:rsid w:val="00591C47"/>
    <w:rsid w:val="00591C73"/>
    <w:rsid w:val="005922B5"/>
    <w:rsid w:val="005923EC"/>
    <w:rsid w:val="00592581"/>
    <w:rsid w:val="00592725"/>
    <w:rsid w:val="005928C5"/>
    <w:rsid w:val="00592E63"/>
    <w:rsid w:val="0059324C"/>
    <w:rsid w:val="00593297"/>
    <w:rsid w:val="005932E4"/>
    <w:rsid w:val="005935DA"/>
    <w:rsid w:val="0059381A"/>
    <w:rsid w:val="00593C34"/>
    <w:rsid w:val="00594879"/>
    <w:rsid w:val="005948A6"/>
    <w:rsid w:val="00594D73"/>
    <w:rsid w:val="00594E6B"/>
    <w:rsid w:val="00595AB2"/>
    <w:rsid w:val="00596854"/>
    <w:rsid w:val="00597031"/>
    <w:rsid w:val="005978A0"/>
    <w:rsid w:val="00597A30"/>
    <w:rsid w:val="00597A74"/>
    <w:rsid w:val="00597E5D"/>
    <w:rsid w:val="00597FA3"/>
    <w:rsid w:val="005A0129"/>
    <w:rsid w:val="005A0464"/>
    <w:rsid w:val="005A0EFB"/>
    <w:rsid w:val="005A1885"/>
    <w:rsid w:val="005A1DD2"/>
    <w:rsid w:val="005A21BC"/>
    <w:rsid w:val="005A2571"/>
    <w:rsid w:val="005A2B2D"/>
    <w:rsid w:val="005A3963"/>
    <w:rsid w:val="005A3CA5"/>
    <w:rsid w:val="005A44CA"/>
    <w:rsid w:val="005A4CCA"/>
    <w:rsid w:val="005A53AD"/>
    <w:rsid w:val="005A5A32"/>
    <w:rsid w:val="005A5C2A"/>
    <w:rsid w:val="005A5C9B"/>
    <w:rsid w:val="005A6AC4"/>
    <w:rsid w:val="005A6AE8"/>
    <w:rsid w:val="005A7007"/>
    <w:rsid w:val="005A72D7"/>
    <w:rsid w:val="005A73B5"/>
    <w:rsid w:val="005A7911"/>
    <w:rsid w:val="005A7BE4"/>
    <w:rsid w:val="005A7EBB"/>
    <w:rsid w:val="005B035A"/>
    <w:rsid w:val="005B0468"/>
    <w:rsid w:val="005B0BCF"/>
    <w:rsid w:val="005B10D9"/>
    <w:rsid w:val="005B1589"/>
    <w:rsid w:val="005B197F"/>
    <w:rsid w:val="005B1C5D"/>
    <w:rsid w:val="005B2017"/>
    <w:rsid w:val="005B2434"/>
    <w:rsid w:val="005B2748"/>
    <w:rsid w:val="005B2B3E"/>
    <w:rsid w:val="005B2C29"/>
    <w:rsid w:val="005B2DF0"/>
    <w:rsid w:val="005B32E1"/>
    <w:rsid w:val="005B3401"/>
    <w:rsid w:val="005B3653"/>
    <w:rsid w:val="005B3700"/>
    <w:rsid w:val="005B372F"/>
    <w:rsid w:val="005B3895"/>
    <w:rsid w:val="005B3AF5"/>
    <w:rsid w:val="005B4024"/>
    <w:rsid w:val="005B4114"/>
    <w:rsid w:val="005B415D"/>
    <w:rsid w:val="005B41BF"/>
    <w:rsid w:val="005B4374"/>
    <w:rsid w:val="005B4559"/>
    <w:rsid w:val="005B4689"/>
    <w:rsid w:val="005B4C2D"/>
    <w:rsid w:val="005B5237"/>
    <w:rsid w:val="005B54E9"/>
    <w:rsid w:val="005B5773"/>
    <w:rsid w:val="005B5BCD"/>
    <w:rsid w:val="005B6604"/>
    <w:rsid w:val="005B6999"/>
    <w:rsid w:val="005B6C1F"/>
    <w:rsid w:val="005B7212"/>
    <w:rsid w:val="005B77C7"/>
    <w:rsid w:val="005B79D1"/>
    <w:rsid w:val="005B7B29"/>
    <w:rsid w:val="005B7BF4"/>
    <w:rsid w:val="005B7D06"/>
    <w:rsid w:val="005C0F0A"/>
    <w:rsid w:val="005C109C"/>
    <w:rsid w:val="005C1D39"/>
    <w:rsid w:val="005C1D42"/>
    <w:rsid w:val="005C2439"/>
    <w:rsid w:val="005C2746"/>
    <w:rsid w:val="005C2B9F"/>
    <w:rsid w:val="005C2F7B"/>
    <w:rsid w:val="005C32A6"/>
    <w:rsid w:val="005C3A1E"/>
    <w:rsid w:val="005C3BF8"/>
    <w:rsid w:val="005C3FEE"/>
    <w:rsid w:val="005C408D"/>
    <w:rsid w:val="005C4796"/>
    <w:rsid w:val="005C4CC2"/>
    <w:rsid w:val="005C4E3B"/>
    <w:rsid w:val="005C4F64"/>
    <w:rsid w:val="005C5566"/>
    <w:rsid w:val="005C5AE4"/>
    <w:rsid w:val="005C5C59"/>
    <w:rsid w:val="005C5E87"/>
    <w:rsid w:val="005C5F0E"/>
    <w:rsid w:val="005C60CB"/>
    <w:rsid w:val="005C63FC"/>
    <w:rsid w:val="005C64A4"/>
    <w:rsid w:val="005C6A2F"/>
    <w:rsid w:val="005C70EE"/>
    <w:rsid w:val="005C71AA"/>
    <w:rsid w:val="005C72C3"/>
    <w:rsid w:val="005C73FB"/>
    <w:rsid w:val="005C7A94"/>
    <w:rsid w:val="005C7C55"/>
    <w:rsid w:val="005C7FB2"/>
    <w:rsid w:val="005D051A"/>
    <w:rsid w:val="005D0878"/>
    <w:rsid w:val="005D08F9"/>
    <w:rsid w:val="005D0A1C"/>
    <w:rsid w:val="005D114B"/>
    <w:rsid w:val="005D1767"/>
    <w:rsid w:val="005D2250"/>
    <w:rsid w:val="005D25CB"/>
    <w:rsid w:val="005D30DB"/>
    <w:rsid w:val="005D3640"/>
    <w:rsid w:val="005D3712"/>
    <w:rsid w:val="005D3747"/>
    <w:rsid w:val="005D4088"/>
    <w:rsid w:val="005D43CB"/>
    <w:rsid w:val="005D4951"/>
    <w:rsid w:val="005D6209"/>
    <w:rsid w:val="005D6312"/>
    <w:rsid w:val="005D6890"/>
    <w:rsid w:val="005D707E"/>
    <w:rsid w:val="005D7574"/>
    <w:rsid w:val="005D7577"/>
    <w:rsid w:val="005D77BD"/>
    <w:rsid w:val="005D7867"/>
    <w:rsid w:val="005D7AF3"/>
    <w:rsid w:val="005D7E0B"/>
    <w:rsid w:val="005D7EEA"/>
    <w:rsid w:val="005D7F1C"/>
    <w:rsid w:val="005E019A"/>
    <w:rsid w:val="005E0670"/>
    <w:rsid w:val="005E0989"/>
    <w:rsid w:val="005E09E5"/>
    <w:rsid w:val="005E0A3F"/>
    <w:rsid w:val="005E0EE0"/>
    <w:rsid w:val="005E0F68"/>
    <w:rsid w:val="005E0F9B"/>
    <w:rsid w:val="005E0FB0"/>
    <w:rsid w:val="005E12E0"/>
    <w:rsid w:val="005E1717"/>
    <w:rsid w:val="005E1A9F"/>
    <w:rsid w:val="005E1E33"/>
    <w:rsid w:val="005E2907"/>
    <w:rsid w:val="005E2B9E"/>
    <w:rsid w:val="005E3057"/>
    <w:rsid w:val="005E3200"/>
    <w:rsid w:val="005E3375"/>
    <w:rsid w:val="005E3957"/>
    <w:rsid w:val="005E3A2A"/>
    <w:rsid w:val="005E3EA2"/>
    <w:rsid w:val="005E42E3"/>
    <w:rsid w:val="005E5002"/>
    <w:rsid w:val="005E50DF"/>
    <w:rsid w:val="005E53B2"/>
    <w:rsid w:val="005E53F6"/>
    <w:rsid w:val="005E59EE"/>
    <w:rsid w:val="005E5D7B"/>
    <w:rsid w:val="005E6014"/>
    <w:rsid w:val="005E6143"/>
    <w:rsid w:val="005E618A"/>
    <w:rsid w:val="005E6419"/>
    <w:rsid w:val="005E6475"/>
    <w:rsid w:val="005E661E"/>
    <w:rsid w:val="005E670D"/>
    <w:rsid w:val="005E6B8D"/>
    <w:rsid w:val="005E6F26"/>
    <w:rsid w:val="005E6FE6"/>
    <w:rsid w:val="005E7922"/>
    <w:rsid w:val="005E7AC0"/>
    <w:rsid w:val="005E7BE5"/>
    <w:rsid w:val="005E7E1E"/>
    <w:rsid w:val="005F08B1"/>
    <w:rsid w:val="005F09AA"/>
    <w:rsid w:val="005F0E48"/>
    <w:rsid w:val="005F120A"/>
    <w:rsid w:val="005F1247"/>
    <w:rsid w:val="005F12B4"/>
    <w:rsid w:val="005F162B"/>
    <w:rsid w:val="005F1F3A"/>
    <w:rsid w:val="005F282D"/>
    <w:rsid w:val="005F2BC6"/>
    <w:rsid w:val="005F32FC"/>
    <w:rsid w:val="005F33C2"/>
    <w:rsid w:val="005F374A"/>
    <w:rsid w:val="005F3781"/>
    <w:rsid w:val="005F3C83"/>
    <w:rsid w:val="005F4066"/>
    <w:rsid w:val="005F411A"/>
    <w:rsid w:val="005F480E"/>
    <w:rsid w:val="005F49D8"/>
    <w:rsid w:val="005F4CC4"/>
    <w:rsid w:val="005F4EE3"/>
    <w:rsid w:val="005F5068"/>
    <w:rsid w:val="005F585D"/>
    <w:rsid w:val="005F5AD1"/>
    <w:rsid w:val="005F5F63"/>
    <w:rsid w:val="005F6133"/>
    <w:rsid w:val="005F65F9"/>
    <w:rsid w:val="005F661F"/>
    <w:rsid w:val="005F6BAB"/>
    <w:rsid w:val="005F6D10"/>
    <w:rsid w:val="005F6E29"/>
    <w:rsid w:val="005F6EDE"/>
    <w:rsid w:val="005F7245"/>
    <w:rsid w:val="005F76BD"/>
    <w:rsid w:val="005F770F"/>
    <w:rsid w:val="005F7C0E"/>
    <w:rsid w:val="0060032E"/>
    <w:rsid w:val="006004E2"/>
    <w:rsid w:val="006006E5"/>
    <w:rsid w:val="00600794"/>
    <w:rsid w:val="00600C91"/>
    <w:rsid w:val="0060171A"/>
    <w:rsid w:val="00601B4A"/>
    <w:rsid w:val="00601BD0"/>
    <w:rsid w:val="00601C10"/>
    <w:rsid w:val="00601C6D"/>
    <w:rsid w:val="00601D77"/>
    <w:rsid w:val="00601E0C"/>
    <w:rsid w:val="00601E59"/>
    <w:rsid w:val="00601F31"/>
    <w:rsid w:val="006029EF"/>
    <w:rsid w:val="00602B13"/>
    <w:rsid w:val="006031AD"/>
    <w:rsid w:val="00603524"/>
    <w:rsid w:val="00603C32"/>
    <w:rsid w:val="00603C8F"/>
    <w:rsid w:val="00603D3A"/>
    <w:rsid w:val="006040AB"/>
    <w:rsid w:val="006043AE"/>
    <w:rsid w:val="00604699"/>
    <w:rsid w:val="006046D4"/>
    <w:rsid w:val="0060482E"/>
    <w:rsid w:val="00604F99"/>
    <w:rsid w:val="00605251"/>
    <w:rsid w:val="00605D5C"/>
    <w:rsid w:val="00606298"/>
    <w:rsid w:val="006062A6"/>
    <w:rsid w:val="00606840"/>
    <w:rsid w:val="00606DF1"/>
    <w:rsid w:val="006073CE"/>
    <w:rsid w:val="0060764B"/>
    <w:rsid w:val="00607658"/>
    <w:rsid w:val="00607B0C"/>
    <w:rsid w:val="00607CA2"/>
    <w:rsid w:val="00610BF6"/>
    <w:rsid w:val="00610DF4"/>
    <w:rsid w:val="00610E61"/>
    <w:rsid w:val="00611140"/>
    <w:rsid w:val="006114AE"/>
    <w:rsid w:val="00611FC1"/>
    <w:rsid w:val="006124DD"/>
    <w:rsid w:val="006127AB"/>
    <w:rsid w:val="0061290D"/>
    <w:rsid w:val="00612DE7"/>
    <w:rsid w:val="006130EE"/>
    <w:rsid w:val="00613123"/>
    <w:rsid w:val="006131CE"/>
    <w:rsid w:val="006138C0"/>
    <w:rsid w:val="00613A29"/>
    <w:rsid w:val="00613AA5"/>
    <w:rsid w:val="00613EF5"/>
    <w:rsid w:val="0061441E"/>
    <w:rsid w:val="00614434"/>
    <w:rsid w:val="006147E5"/>
    <w:rsid w:val="006149DB"/>
    <w:rsid w:val="00615836"/>
    <w:rsid w:val="00615D2C"/>
    <w:rsid w:val="00615DFD"/>
    <w:rsid w:val="00615E6C"/>
    <w:rsid w:val="00616104"/>
    <w:rsid w:val="0061611D"/>
    <w:rsid w:val="00616AAF"/>
    <w:rsid w:val="00616BDD"/>
    <w:rsid w:val="00616F74"/>
    <w:rsid w:val="006173C1"/>
    <w:rsid w:val="00617584"/>
    <w:rsid w:val="006176D9"/>
    <w:rsid w:val="00617B03"/>
    <w:rsid w:val="00617B9C"/>
    <w:rsid w:val="00617E61"/>
    <w:rsid w:val="0062059F"/>
    <w:rsid w:val="00620605"/>
    <w:rsid w:val="00620751"/>
    <w:rsid w:val="006207FA"/>
    <w:rsid w:val="00620ACB"/>
    <w:rsid w:val="006211CD"/>
    <w:rsid w:val="00621247"/>
    <w:rsid w:val="006226A2"/>
    <w:rsid w:val="00622BD3"/>
    <w:rsid w:val="00622E44"/>
    <w:rsid w:val="00623453"/>
    <w:rsid w:val="00623C52"/>
    <w:rsid w:val="00623CD9"/>
    <w:rsid w:val="00623E83"/>
    <w:rsid w:val="00624692"/>
    <w:rsid w:val="006248CA"/>
    <w:rsid w:val="00624A65"/>
    <w:rsid w:val="00625445"/>
    <w:rsid w:val="00625876"/>
    <w:rsid w:val="0062612B"/>
    <w:rsid w:val="006267F7"/>
    <w:rsid w:val="00626D7D"/>
    <w:rsid w:val="0062731C"/>
    <w:rsid w:val="006308FC"/>
    <w:rsid w:val="006309E0"/>
    <w:rsid w:val="006311F1"/>
    <w:rsid w:val="006314C2"/>
    <w:rsid w:val="00631843"/>
    <w:rsid w:val="00631C37"/>
    <w:rsid w:val="0063209E"/>
    <w:rsid w:val="006320EC"/>
    <w:rsid w:val="0063233E"/>
    <w:rsid w:val="0063260C"/>
    <w:rsid w:val="006326C5"/>
    <w:rsid w:val="00632A6F"/>
    <w:rsid w:val="00632AF3"/>
    <w:rsid w:val="00633754"/>
    <w:rsid w:val="006337E6"/>
    <w:rsid w:val="00633965"/>
    <w:rsid w:val="0063405A"/>
    <w:rsid w:val="00635029"/>
    <w:rsid w:val="00635743"/>
    <w:rsid w:val="00635AD4"/>
    <w:rsid w:val="00636B48"/>
    <w:rsid w:val="00636CD7"/>
    <w:rsid w:val="00636CE4"/>
    <w:rsid w:val="0063794E"/>
    <w:rsid w:val="00637AF9"/>
    <w:rsid w:val="00640454"/>
    <w:rsid w:val="0064046C"/>
    <w:rsid w:val="006406EE"/>
    <w:rsid w:val="00641023"/>
    <w:rsid w:val="006412EB"/>
    <w:rsid w:val="00641482"/>
    <w:rsid w:val="00641A26"/>
    <w:rsid w:val="00641E21"/>
    <w:rsid w:val="0064274E"/>
    <w:rsid w:val="00642AF6"/>
    <w:rsid w:val="00642E5B"/>
    <w:rsid w:val="00642EEF"/>
    <w:rsid w:val="0064302D"/>
    <w:rsid w:val="006438FE"/>
    <w:rsid w:val="006440AB"/>
    <w:rsid w:val="00644788"/>
    <w:rsid w:val="00644D2E"/>
    <w:rsid w:val="006459AD"/>
    <w:rsid w:val="00645E9B"/>
    <w:rsid w:val="00646469"/>
    <w:rsid w:val="006464AC"/>
    <w:rsid w:val="006466C6"/>
    <w:rsid w:val="006469C2"/>
    <w:rsid w:val="00646A3A"/>
    <w:rsid w:val="00646F69"/>
    <w:rsid w:val="00647013"/>
    <w:rsid w:val="00647516"/>
    <w:rsid w:val="00647C7E"/>
    <w:rsid w:val="00650178"/>
    <w:rsid w:val="006502ED"/>
    <w:rsid w:val="006505BB"/>
    <w:rsid w:val="00650C67"/>
    <w:rsid w:val="006512F0"/>
    <w:rsid w:val="00651354"/>
    <w:rsid w:val="0065135E"/>
    <w:rsid w:val="006517D3"/>
    <w:rsid w:val="00651ADF"/>
    <w:rsid w:val="00651FFE"/>
    <w:rsid w:val="006525FA"/>
    <w:rsid w:val="00652861"/>
    <w:rsid w:val="00652911"/>
    <w:rsid w:val="00652B05"/>
    <w:rsid w:val="00652BF0"/>
    <w:rsid w:val="00652F60"/>
    <w:rsid w:val="00652FB4"/>
    <w:rsid w:val="00653B3C"/>
    <w:rsid w:val="00653F1C"/>
    <w:rsid w:val="0065423E"/>
    <w:rsid w:val="006544D0"/>
    <w:rsid w:val="00654637"/>
    <w:rsid w:val="0065486D"/>
    <w:rsid w:val="00654A03"/>
    <w:rsid w:val="00654CF7"/>
    <w:rsid w:val="00654D82"/>
    <w:rsid w:val="00654FEE"/>
    <w:rsid w:val="0065544D"/>
    <w:rsid w:val="006554E5"/>
    <w:rsid w:val="00655915"/>
    <w:rsid w:val="00656380"/>
    <w:rsid w:val="00656AE0"/>
    <w:rsid w:val="00656BDE"/>
    <w:rsid w:val="00656DBF"/>
    <w:rsid w:val="00657160"/>
    <w:rsid w:val="006573F5"/>
    <w:rsid w:val="006576B5"/>
    <w:rsid w:val="006577D7"/>
    <w:rsid w:val="006577FA"/>
    <w:rsid w:val="006600B7"/>
    <w:rsid w:val="00660629"/>
    <w:rsid w:val="006608F8"/>
    <w:rsid w:val="00660987"/>
    <w:rsid w:val="00660C93"/>
    <w:rsid w:val="00661B4C"/>
    <w:rsid w:val="00661BE3"/>
    <w:rsid w:val="00662282"/>
    <w:rsid w:val="006629AB"/>
    <w:rsid w:val="00662ECD"/>
    <w:rsid w:val="0066339D"/>
    <w:rsid w:val="006637F7"/>
    <w:rsid w:val="00663E3B"/>
    <w:rsid w:val="00663ECC"/>
    <w:rsid w:val="00664431"/>
    <w:rsid w:val="00664474"/>
    <w:rsid w:val="0066448E"/>
    <w:rsid w:val="0066459B"/>
    <w:rsid w:val="00664D95"/>
    <w:rsid w:val="00664FC5"/>
    <w:rsid w:val="00665539"/>
    <w:rsid w:val="00665594"/>
    <w:rsid w:val="0066586D"/>
    <w:rsid w:val="006658F0"/>
    <w:rsid w:val="00665DDF"/>
    <w:rsid w:val="00665F0E"/>
    <w:rsid w:val="006662BA"/>
    <w:rsid w:val="00666332"/>
    <w:rsid w:val="0066642F"/>
    <w:rsid w:val="006666FD"/>
    <w:rsid w:val="00666DDF"/>
    <w:rsid w:val="006673D9"/>
    <w:rsid w:val="00667620"/>
    <w:rsid w:val="006678C9"/>
    <w:rsid w:val="00667962"/>
    <w:rsid w:val="00667C1A"/>
    <w:rsid w:val="00667D51"/>
    <w:rsid w:val="00667DB3"/>
    <w:rsid w:val="006703D5"/>
    <w:rsid w:val="00670491"/>
    <w:rsid w:val="00670B23"/>
    <w:rsid w:val="00670F01"/>
    <w:rsid w:val="00670F08"/>
    <w:rsid w:val="00671112"/>
    <w:rsid w:val="006711CD"/>
    <w:rsid w:val="00671274"/>
    <w:rsid w:val="006714CE"/>
    <w:rsid w:val="00671C11"/>
    <w:rsid w:val="00671FC2"/>
    <w:rsid w:val="00672021"/>
    <w:rsid w:val="006724B7"/>
    <w:rsid w:val="00672626"/>
    <w:rsid w:val="00672876"/>
    <w:rsid w:val="006729FC"/>
    <w:rsid w:val="00672DD5"/>
    <w:rsid w:val="00672F78"/>
    <w:rsid w:val="0067339C"/>
    <w:rsid w:val="006734BE"/>
    <w:rsid w:val="006735F3"/>
    <w:rsid w:val="00673A06"/>
    <w:rsid w:val="00673C08"/>
    <w:rsid w:val="00673D32"/>
    <w:rsid w:val="00674859"/>
    <w:rsid w:val="00675366"/>
    <w:rsid w:val="006759CB"/>
    <w:rsid w:val="006759E0"/>
    <w:rsid w:val="00675D32"/>
    <w:rsid w:val="00675DD6"/>
    <w:rsid w:val="00675E99"/>
    <w:rsid w:val="006760DF"/>
    <w:rsid w:val="0067611A"/>
    <w:rsid w:val="00676157"/>
    <w:rsid w:val="0067626D"/>
    <w:rsid w:val="0067642C"/>
    <w:rsid w:val="00676777"/>
    <w:rsid w:val="00676A74"/>
    <w:rsid w:val="00676B58"/>
    <w:rsid w:val="00676BDC"/>
    <w:rsid w:val="00676D5D"/>
    <w:rsid w:val="00680148"/>
    <w:rsid w:val="0068057F"/>
    <w:rsid w:val="00680F5B"/>
    <w:rsid w:val="006815AE"/>
    <w:rsid w:val="00682164"/>
    <w:rsid w:val="006821A3"/>
    <w:rsid w:val="0068230C"/>
    <w:rsid w:val="0068246C"/>
    <w:rsid w:val="00682617"/>
    <w:rsid w:val="00682BA5"/>
    <w:rsid w:val="00682FA5"/>
    <w:rsid w:val="0068316A"/>
    <w:rsid w:val="006834D8"/>
    <w:rsid w:val="006835B1"/>
    <w:rsid w:val="00683AC0"/>
    <w:rsid w:val="00683CCE"/>
    <w:rsid w:val="00683DEA"/>
    <w:rsid w:val="00683F05"/>
    <w:rsid w:val="006843EE"/>
    <w:rsid w:val="00684B43"/>
    <w:rsid w:val="00684D70"/>
    <w:rsid w:val="0068510C"/>
    <w:rsid w:val="006858F0"/>
    <w:rsid w:val="00685937"/>
    <w:rsid w:val="00685DBD"/>
    <w:rsid w:val="0068612F"/>
    <w:rsid w:val="00686EF0"/>
    <w:rsid w:val="00687B93"/>
    <w:rsid w:val="00687E4C"/>
    <w:rsid w:val="00687F21"/>
    <w:rsid w:val="0069072A"/>
    <w:rsid w:val="00690A36"/>
    <w:rsid w:val="00690B2B"/>
    <w:rsid w:val="00690C85"/>
    <w:rsid w:val="0069106C"/>
    <w:rsid w:val="0069113C"/>
    <w:rsid w:val="00691433"/>
    <w:rsid w:val="006914E7"/>
    <w:rsid w:val="006916AA"/>
    <w:rsid w:val="00691C48"/>
    <w:rsid w:val="00691D6E"/>
    <w:rsid w:val="00692436"/>
    <w:rsid w:val="00692D16"/>
    <w:rsid w:val="00692FF7"/>
    <w:rsid w:val="006930BD"/>
    <w:rsid w:val="0069324C"/>
    <w:rsid w:val="006932EF"/>
    <w:rsid w:val="006935B3"/>
    <w:rsid w:val="0069394E"/>
    <w:rsid w:val="006943A2"/>
    <w:rsid w:val="00694761"/>
    <w:rsid w:val="00694840"/>
    <w:rsid w:val="00694B05"/>
    <w:rsid w:val="00694DF8"/>
    <w:rsid w:val="00694E7F"/>
    <w:rsid w:val="0069509B"/>
    <w:rsid w:val="006951E2"/>
    <w:rsid w:val="00695A32"/>
    <w:rsid w:val="006960FC"/>
    <w:rsid w:val="006964C6"/>
    <w:rsid w:val="00696852"/>
    <w:rsid w:val="00696EFE"/>
    <w:rsid w:val="00696F4C"/>
    <w:rsid w:val="00697379"/>
    <w:rsid w:val="00697393"/>
    <w:rsid w:val="006976BB"/>
    <w:rsid w:val="006977BF"/>
    <w:rsid w:val="006978ED"/>
    <w:rsid w:val="00697A08"/>
    <w:rsid w:val="00697A85"/>
    <w:rsid w:val="00697AF3"/>
    <w:rsid w:val="006A015F"/>
    <w:rsid w:val="006A02AE"/>
    <w:rsid w:val="006A09C3"/>
    <w:rsid w:val="006A09E5"/>
    <w:rsid w:val="006A114F"/>
    <w:rsid w:val="006A1509"/>
    <w:rsid w:val="006A1624"/>
    <w:rsid w:val="006A184C"/>
    <w:rsid w:val="006A2C78"/>
    <w:rsid w:val="006A3481"/>
    <w:rsid w:val="006A361D"/>
    <w:rsid w:val="006A3870"/>
    <w:rsid w:val="006A3AF9"/>
    <w:rsid w:val="006A433E"/>
    <w:rsid w:val="006A454B"/>
    <w:rsid w:val="006A46C0"/>
    <w:rsid w:val="006A4D83"/>
    <w:rsid w:val="006A4E72"/>
    <w:rsid w:val="006A4F97"/>
    <w:rsid w:val="006A52EE"/>
    <w:rsid w:val="006A5859"/>
    <w:rsid w:val="006A6D94"/>
    <w:rsid w:val="006A6E5D"/>
    <w:rsid w:val="006A756A"/>
    <w:rsid w:val="006A770E"/>
    <w:rsid w:val="006A7E3F"/>
    <w:rsid w:val="006B012B"/>
    <w:rsid w:val="006B01DA"/>
    <w:rsid w:val="006B020C"/>
    <w:rsid w:val="006B07A9"/>
    <w:rsid w:val="006B0BAB"/>
    <w:rsid w:val="006B1105"/>
    <w:rsid w:val="006B1158"/>
    <w:rsid w:val="006B15AD"/>
    <w:rsid w:val="006B1B76"/>
    <w:rsid w:val="006B1C5D"/>
    <w:rsid w:val="006B21C9"/>
    <w:rsid w:val="006B3446"/>
    <w:rsid w:val="006B38BE"/>
    <w:rsid w:val="006B3921"/>
    <w:rsid w:val="006B3D8C"/>
    <w:rsid w:val="006B4618"/>
    <w:rsid w:val="006B4AFB"/>
    <w:rsid w:val="006B4F01"/>
    <w:rsid w:val="006B510E"/>
    <w:rsid w:val="006B58A1"/>
    <w:rsid w:val="006B5C2D"/>
    <w:rsid w:val="006B618C"/>
    <w:rsid w:val="006B70F4"/>
    <w:rsid w:val="006B7470"/>
    <w:rsid w:val="006B74D3"/>
    <w:rsid w:val="006B7656"/>
    <w:rsid w:val="006B7810"/>
    <w:rsid w:val="006B7845"/>
    <w:rsid w:val="006B7867"/>
    <w:rsid w:val="006C00BB"/>
    <w:rsid w:val="006C0638"/>
    <w:rsid w:val="006C09E4"/>
    <w:rsid w:val="006C0B2A"/>
    <w:rsid w:val="006C0ED8"/>
    <w:rsid w:val="006C102B"/>
    <w:rsid w:val="006C1144"/>
    <w:rsid w:val="006C1185"/>
    <w:rsid w:val="006C16F4"/>
    <w:rsid w:val="006C1B63"/>
    <w:rsid w:val="006C1F97"/>
    <w:rsid w:val="006C2872"/>
    <w:rsid w:val="006C2881"/>
    <w:rsid w:val="006C2E25"/>
    <w:rsid w:val="006C2EB8"/>
    <w:rsid w:val="006C3147"/>
    <w:rsid w:val="006C3181"/>
    <w:rsid w:val="006C3DDE"/>
    <w:rsid w:val="006C4C5E"/>
    <w:rsid w:val="006C54A6"/>
    <w:rsid w:val="006C57B2"/>
    <w:rsid w:val="006C6503"/>
    <w:rsid w:val="006C6B6F"/>
    <w:rsid w:val="006C722C"/>
    <w:rsid w:val="006C7528"/>
    <w:rsid w:val="006C77ED"/>
    <w:rsid w:val="006C783F"/>
    <w:rsid w:val="006C798A"/>
    <w:rsid w:val="006C7A48"/>
    <w:rsid w:val="006C7E40"/>
    <w:rsid w:val="006D05DB"/>
    <w:rsid w:val="006D0894"/>
    <w:rsid w:val="006D1564"/>
    <w:rsid w:val="006D179A"/>
    <w:rsid w:val="006D1C4F"/>
    <w:rsid w:val="006D1EAB"/>
    <w:rsid w:val="006D21E9"/>
    <w:rsid w:val="006D21EB"/>
    <w:rsid w:val="006D22F6"/>
    <w:rsid w:val="006D257F"/>
    <w:rsid w:val="006D303B"/>
    <w:rsid w:val="006D311A"/>
    <w:rsid w:val="006D341F"/>
    <w:rsid w:val="006D35EA"/>
    <w:rsid w:val="006D37AF"/>
    <w:rsid w:val="006D3A1F"/>
    <w:rsid w:val="006D3A52"/>
    <w:rsid w:val="006D4177"/>
    <w:rsid w:val="006D4403"/>
    <w:rsid w:val="006D4720"/>
    <w:rsid w:val="006D47E1"/>
    <w:rsid w:val="006D4DF2"/>
    <w:rsid w:val="006D4FA9"/>
    <w:rsid w:val="006D5019"/>
    <w:rsid w:val="006D501E"/>
    <w:rsid w:val="006D50CD"/>
    <w:rsid w:val="006D5274"/>
    <w:rsid w:val="006D539F"/>
    <w:rsid w:val="006D5A63"/>
    <w:rsid w:val="006D5B26"/>
    <w:rsid w:val="006D5D56"/>
    <w:rsid w:val="006D66F4"/>
    <w:rsid w:val="006D6D49"/>
    <w:rsid w:val="006D6DB7"/>
    <w:rsid w:val="006D70E0"/>
    <w:rsid w:val="006D7856"/>
    <w:rsid w:val="006D7A8B"/>
    <w:rsid w:val="006E0181"/>
    <w:rsid w:val="006E0F71"/>
    <w:rsid w:val="006E13AE"/>
    <w:rsid w:val="006E16AA"/>
    <w:rsid w:val="006E1F6D"/>
    <w:rsid w:val="006E1F92"/>
    <w:rsid w:val="006E2A14"/>
    <w:rsid w:val="006E3227"/>
    <w:rsid w:val="006E3498"/>
    <w:rsid w:val="006E34A1"/>
    <w:rsid w:val="006E3841"/>
    <w:rsid w:val="006E3C64"/>
    <w:rsid w:val="006E3D8A"/>
    <w:rsid w:val="006E4199"/>
    <w:rsid w:val="006E4332"/>
    <w:rsid w:val="006E43F6"/>
    <w:rsid w:val="006E450A"/>
    <w:rsid w:val="006E46D5"/>
    <w:rsid w:val="006E4CA2"/>
    <w:rsid w:val="006E4D80"/>
    <w:rsid w:val="006E4E3E"/>
    <w:rsid w:val="006E50B6"/>
    <w:rsid w:val="006E532B"/>
    <w:rsid w:val="006E5464"/>
    <w:rsid w:val="006E5EE8"/>
    <w:rsid w:val="006E6B3E"/>
    <w:rsid w:val="006E6D3C"/>
    <w:rsid w:val="006E6E49"/>
    <w:rsid w:val="006E7108"/>
    <w:rsid w:val="006E718A"/>
    <w:rsid w:val="006E71F1"/>
    <w:rsid w:val="006E72B3"/>
    <w:rsid w:val="006E78A2"/>
    <w:rsid w:val="006E7D1E"/>
    <w:rsid w:val="006F061A"/>
    <w:rsid w:val="006F0766"/>
    <w:rsid w:val="006F0B1D"/>
    <w:rsid w:val="006F0C05"/>
    <w:rsid w:val="006F0F53"/>
    <w:rsid w:val="006F195F"/>
    <w:rsid w:val="006F1CEE"/>
    <w:rsid w:val="006F1F96"/>
    <w:rsid w:val="006F21DA"/>
    <w:rsid w:val="006F2870"/>
    <w:rsid w:val="006F28CA"/>
    <w:rsid w:val="006F2A14"/>
    <w:rsid w:val="006F2CB5"/>
    <w:rsid w:val="006F2D05"/>
    <w:rsid w:val="006F2DD0"/>
    <w:rsid w:val="006F3552"/>
    <w:rsid w:val="006F3AED"/>
    <w:rsid w:val="006F3F61"/>
    <w:rsid w:val="006F402B"/>
    <w:rsid w:val="006F434D"/>
    <w:rsid w:val="006F5A43"/>
    <w:rsid w:val="006F618D"/>
    <w:rsid w:val="006F61DF"/>
    <w:rsid w:val="006F650B"/>
    <w:rsid w:val="006F67AF"/>
    <w:rsid w:val="006F69CF"/>
    <w:rsid w:val="006F70EF"/>
    <w:rsid w:val="007014EC"/>
    <w:rsid w:val="007018F0"/>
    <w:rsid w:val="007019F6"/>
    <w:rsid w:val="00701BBC"/>
    <w:rsid w:val="00701F04"/>
    <w:rsid w:val="007024FD"/>
    <w:rsid w:val="0070267F"/>
    <w:rsid w:val="00702733"/>
    <w:rsid w:val="00702CAB"/>
    <w:rsid w:val="00703521"/>
    <w:rsid w:val="00703732"/>
    <w:rsid w:val="0070383F"/>
    <w:rsid w:val="00703DA0"/>
    <w:rsid w:val="0070438D"/>
    <w:rsid w:val="00704407"/>
    <w:rsid w:val="0070493B"/>
    <w:rsid w:val="00704983"/>
    <w:rsid w:val="00704D58"/>
    <w:rsid w:val="00704FF7"/>
    <w:rsid w:val="007052B0"/>
    <w:rsid w:val="00705558"/>
    <w:rsid w:val="00705B86"/>
    <w:rsid w:val="00705E27"/>
    <w:rsid w:val="00705F5D"/>
    <w:rsid w:val="007061E9"/>
    <w:rsid w:val="007064D2"/>
    <w:rsid w:val="00706583"/>
    <w:rsid w:val="007069ED"/>
    <w:rsid w:val="007077AD"/>
    <w:rsid w:val="00707AA3"/>
    <w:rsid w:val="00707B2E"/>
    <w:rsid w:val="00707DF0"/>
    <w:rsid w:val="00707FBE"/>
    <w:rsid w:val="007102A7"/>
    <w:rsid w:val="007103DD"/>
    <w:rsid w:val="007107DF"/>
    <w:rsid w:val="007108F1"/>
    <w:rsid w:val="00710FA6"/>
    <w:rsid w:val="00710FBC"/>
    <w:rsid w:val="007110D8"/>
    <w:rsid w:val="00711275"/>
    <w:rsid w:val="0071162B"/>
    <w:rsid w:val="00711F81"/>
    <w:rsid w:val="0071251B"/>
    <w:rsid w:val="007125DE"/>
    <w:rsid w:val="00712750"/>
    <w:rsid w:val="00712967"/>
    <w:rsid w:val="00712E4D"/>
    <w:rsid w:val="0071312F"/>
    <w:rsid w:val="0071384D"/>
    <w:rsid w:val="00713A49"/>
    <w:rsid w:val="00713A52"/>
    <w:rsid w:val="00713B49"/>
    <w:rsid w:val="00713BA4"/>
    <w:rsid w:val="00713BAD"/>
    <w:rsid w:val="00713CCA"/>
    <w:rsid w:val="00713ED4"/>
    <w:rsid w:val="00713EF8"/>
    <w:rsid w:val="00714427"/>
    <w:rsid w:val="007144E6"/>
    <w:rsid w:val="00714741"/>
    <w:rsid w:val="00714C37"/>
    <w:rsid w:val="00714C8E"/>
    <w:rsid w:val="007156A6"/>
    <w:rsid w:val="0071574D"/>
    <w:rsid w:val="00715DF7"/>
    <w:rsid w:val="00715E0F"/>
    <w:rsid w:val="00716094"/>
    <w:rsid w:val="00716262"/>
    <w:rsid w:val="00716567"/>
    <w:rsid w:val="00716847"/>
    <w:rsid w:val="00716F33"/>
    <w:rsid w:val="0071747F"/>
    <w:rsid w:val="00717754"/>
    <w:rsid w:val="00717B7A"/>
    <w:rsid w:val="00720327"/>
    <w:rsid w:val="00720B5B"/>
    <w:rsid w:val="00720BDD"/>
    <w:rsid w:val="00720E66"/>
    <w:rsid w:val="0072101F"/>
    <w:rsid w:val="007212CB"/>
    <w:rsid w:val="0072166A"/>
    <w:rsid w:val="00721ACD"/>
    <w:rsid w:val="00721EE9"/>
    <w:rsid w:val="00721FB6"/>
    <w:rsid w:val="007220FA"/>
    <w:rsid w:val="00722732"/>
    <w:rsid w:val="007233EF"/>
    <w:rsid w:val="0072369E"/>
    <w:rsid w:val="007238A9"/>
    <w:rsid w:val="00723B94"/>
    <w:rsid w:val="00723E35"/>
    <w:rsid w:val="00723E43"/>
    <w:rsid w:val="00724089"/>
    <w:rsid w:val="007240EE"/>
    <w:rsid w:val="007243FC"/>
    <w:rsid w:val="00724512"/>
    <w:rsid w:val="00724D36"/>
    <w:rsid w:val="00724E80"/>
    <w:rsid w:val="00724F48"/>
    <w:rsid w:val="00724FD0"/>
    <w:rsid w:val="00725400"/>
    <w:rsid w:val="0072547C"/>
    <w:rsid w:val="00725EF0"/>
    <w:rsid w:val="0072604F"/>
    <w:rsid w:val="007263D3"/>
    <w:rsid w:val="007267EC"/>
    <w:rsid w:val="00726BFF"/>
    <w:rsid w:val="00727213"/>
    <w:rsid w:val="0072742F"/>
    <w:rsid w:val="00727EC9"/>
    <w:rsid w:val="00727F78"/>
    <w:rsid w:val="007303D5"/>
    <w:rsid w:val="00730E54"/>
    <w:rsid w:val="0073139C"/>
    <w:rsid w:val="0073154D"/>
    <w:rsid w:val="0073162B"/>
    <w:rsid w:val="00731881"/>
    <w:rsid w:val="00731913"/>
    <w:rsid w:val="00731DB2"/>
    <w:rsid w:val="007321D1"/>
    <w:rsid w:val="0073226A"/>
    <w:rsid w:val="007326BB"/>
    <w:rsid w:val="00732B3D"/>
    <w:rsid w:val="00733045"/>
    <w:rsid w:val="0073326B"/>
    <w:rsid w:val="007337E1"/>
    <w:rsid w:val="00733F24"/>
    <w:rsid w:val="00733FA3"/>
    <w:rsid w:val="00734032"/>
    <w:rsid w:val="007342AC"/>
    <w:rsid w:val="00734713"/>
    <w:rsid w:val="00734AE3"/>
    <w:rsid w:val="00734D2F"/>
    <w:rsid w:val="00734DD9"/>
    <w:rsid w:val="00734F0F"/>
    <w:rsid w:val="0073510D"/>
    <w:rsid w:val="0073518A"/>
    <w:rsid w:val="00735226"/>
    <w:rsid w:val="00735609"/>
    <w:rsid w:val="007358D6"/>
    <w:rsid w:val="00735BBB"/>
    <w:rsid w:val="00735C53"/>
    <w:rsid w:val="00736743"/>
    <w:rsid w:val="00736E50"/>
    <w:rsid w:val="007373FD"/>
    <w:rsid w:val="00737A7A"/>
    <w:rsid w:val="00737FE5"/>
    <w:rsid w:val="007401D9"/>
    <w:rsid w:val="00740460"/>
    <w:rsid w:val="0074051D"/>
    <w:rsid w:val="00740F24"/>
    <w:rsid w:val="00741B45"/>
    <w:rsid w:val="00741D80"/>
    <w:rsid w:val="00741E2F"/>
    <w:rsid w:val="00741EC9"/>
    <w:rsid w:val="00742082"/>
    <w:rsid w:val="0074246F"/>
    <w:rsid w:val="007429ED"/>
    <w:rsid w:val="00742A67"/>
    <w:rsid w:val="007430CA"/>
    <w:rsid w:val="007436A4"/>
    <w:rsid w:val="00743C7B"/>
    <w:rsid w:val="00743DC3"/>
    <w:rsid w:val="00743F94"/>
    <w:rsid w:val="007443B6"/>
    <w:rsid w:val="00744E39"/>
    <w:rsid w:val="00744F5B"/>
    <w:rsid w:val="007450A7"/>
    <w:rsid w:val="00745692"/>
    <w:rsid w:val="007464FB"/>
    <w:rsid w:val="00746832"/>
    <w:rsid w:val="0074694C"/>
    <w:rsid w:val="0074704B"/>
    <w:rsid w:val="007474DC"/>
    <w:rsid w:val="00747741"/>
    <w:rsid w:val="00747A9B"/>
    <w:rsid w:val="00747C42"/>
    <w:rsid w:val="00747D86"/>
    <w:rsid w:val="007501D2"/>
    <w:rsid w:val="0075064B"/>
    <w:rsid w:val="00750C6B"/>
    <w:rsid w:val="00750DF9"/>
    <w:rsid w:val="00750EB3"/>
    <w:rsid w:val="00751212"/>
    <w:rsid w:val="0075198E"/>
    <w:rsid w:val="00751A2A"/>
    <w:rsid w:val="00751C4D"/>
    <w:rsid w:val="00751DEC"/>
    <w:rsid w:val="00752066"/>
    <w:rsid w:val="00752071"/>
    <w:rsid w:val="007529C8"/>
    <w:rsid w:val="007534AC"/>
    <w:rsid w:val="00753B48"/>
    <w:rsid w:val="00753D5A"/>
    <w:rsid w:val="00753E9C"/>
    <w:rsid w:val="00753EB2"/>
    <w:rsid w:val="0075428E"/>
    <w:rsid w:val="007542B0"/>
    <w:rsid w:val="00754429"/>
    <w:rsid w:val="00754696"/>
    <w:rsid w:val="00754B16"/>
    <w:rsid w:val="00754D0A"/>
    <w:rsid w:val="007553B1"/>
    <w:rsid w:val="00756395"/>
    <w:rsid w:val="00756772"/>
    <w:rsid w:val="00756A0A"/>
    <w:rsid w:val="0075719C"/>
    <w:rsid w:val="0075766C"/>
    <w:rsid w:val="007577CE"/>
    <w:rsid w:val="007579E1"/>
    <w:rsid w:val="00757B91"/>
    <w:rsid w:val="00757EC1"/>
    <w:rsid w:val="007607CE"/>
    <w:rsid w:val="00760AD3"/>
    <w:rsid w:val="00760DF0"/>
    <w:rsid w:val="00760F06"/>
    <w:rsid w:val="007615E4"/>
    <w:rsid w:val="0076186B"/>
    <w:rsid w:val="00761AEA"/>
    <w:rsid w:val="00761E0D"/>
    <w:rsid w:val="00762133"/>
    <w:rsid w:val="0076230C"/>
    <w:rsid w:val="00762DD6"/>
    <w:rsid w:val="00762F71"/>
    <w:rsid w:val="00762FDB"/>
    <w:rsid w:val="00763152"/>
    <w:rsid w:val="00763529"/>
    <w:rsid w:val="00763648"/>
    <w:rsid w:val="00763693"/>
    <w:rsid w:val="00763A62"/>
    <w:rsid w:val="007640A5"/>
    <w:rsid w:val="007642FF"/>
    <w:rsid w:val="0076489E"/>
    <w:rsid w:val="007648E6"/>
    <w:rsid w:val="00764B7C"/>
    <w:rsid w:val="007650A2"/>
    <w:rsid w:val="00765995"/>
    <w:rsid w:val="00765E01"/>
    <w:rsid w:val="00765E98"/>
    <w:rsid w:val="00766416"/>
    <w:rsid w:val="00766422"/>
    <w:rsid w:val="00766573"/>
    <w:rsid w:val="00766B23"/>
    <w:rsid w:val="00766B5F"/>
    <w:rsid w:val="00766CA5"/>
    <w:rsid w:val="00767582"/>
    <w:rsid w:val="00767697"/>
    <w:rsid w:val="00767736"/>
    <w:rsid w:val="00767D7B"/>
    <w:rsid w:val="00767F3E"/>
    <w:rsid w:val="00770427"/>
    <w:rsid w:val="0077045B"/>
    <w:rsid w:val="00770887"/>
    <w:rsid w:val="007708DC"/>
    <w:rsid w:val="00770982"/>
    <w:rsid w:val="00771C2B"/>
    <w:rsid w:val="007727F1"/>
    <w:rsid w:val="00772CAA"/>
    <w:rsid w:val="00772D55"/>
    <w:rsid w:val="00772EF8"/>
    <w:rsid w:val="00772F5E"/>
    <w:rsid w:val="007730CC"/>
    <w:rsid w:val="0077322E"/>
    <w:rsid w:val="00773772"/>
    <w:rsid w:val="00773907"/>
    <w:rsid w:val="00774020"/>
    <w:rsid w:val="00774716"/>
    <w:rsid w:val="0077484D"/>
    <w:rsid w:val="00774DE7"/>
    <w:rsid w:val="007752F8"/>
    <w:rsid w:val="0077546D"/>
    <w:rsid w:val="007759E0"/>
    <w:rsid w:val="00775AF6"/>
    <w:rsid w:val="00776409"/>
    <w:rsid w:val="007766A4"/>
    <w:rsid w:val="00776784"/>
    <w:rsid w:val="007767C5"/>
    <w:rsid w:val="00776B05"/>
    <w:rsid w:val="007770A7"/>
    <w:rsid w:val="0077785A"/>
    <w:rsid w:val="00777E17"/>
    <w:rsid w:val="00780319"/>
    <w:rsid w:val="007803D0"/>
    <w:rsid w:val="00780ABC"/>
    <w:rsid w:val="00780C15"/>
    <w:rsid w:val="00780EBC"/>
    <w:rsid w:val="0078138E"/>
    <w:rsid w:val="007815EB"/>
    <w:rsid w:val="00781659"/>
    <w:rsid w:val="0078251F"/>
    <w:rsid w:val="00782523"/>
    <w:rsid w:val="007827F1"/>
    <w:rsid w:val="00782842"/>
    <w:rsid w:val="00783029"/>
    <w:rsid w:val="007830F5"/>
    <w:rsid w:val="007832BD"/>
    <w:rsid w:val="0078359E"/>
    <w:rsid w:val="007837AB"/>
    <w:rsid w:val="00783ECE"/>
    <w:rsid w:val="007841D6"/>
    <w:rsid w:val="00784A2F"/>
    <w:rsid w:val="00784CD2"/>
    <w:rsid w:val="00784D35"/>
    <w:rsid w:val="00784E3D"/>
    <w:rsid w:val="007850B5"/>
    <w:rsid w:val="00785EEE"/>
    <w:rsid w:val="00786292"/>
    <w:rsid w:val="00786515"/>
    <w:rsid w:val="007866E5"/>
    <w:rsid w:val="00786C75"/>
    <w:rsid w:val="00787276"/>
    <w:rsid w:val="0078727E"/>
    <w:rsid w:val="00787CCA"/>
    <w:rsid w:val="00790251"/>
    <w:rsid w:val="00790C39"/>
    <w:rsid w:val="00791101"/>
    <w:rsid w:val="00791215"/>
    <w:rsid w:val="0079130C"/>
    <w:rsid w:val="007919BA"/>
    <w:rsid w:val="00791EE4"/>
    <w:rsid w:val="00792348"/>
    <w:rsid w:val="00792849"/>
    <w:rsid w:val="00792BF4"/>
    <w:rsid w:val="00792C85"/>
    <w:rsid w:val="00792F8D"/>
    <w:rsid w:val="00793281"/>
    <w:rsid w:val="007950CE"/>
    <w:rsid w:val="007957B6"/>
    <w:rsid w:val="007961AA"/>
    <w:rsid w:val="0079645D"/>
    <w:rsid w:val="00796BDD"/>
    <w:rsid w:val="00796C8D"/>
    <w:rsid w:val="00797250"/>
    <w:rsid w:val="007975CA"/>
    <w:rsid w:val="00797675"/>
    <w:rsid w:val="007977B0"/>
    <w:rsid w:val="00797848"/>
    <w:rsid w:val="0079786D"/>
    <w:rsid w:val="00797A09"/>
    <w:rsid w:val="00797A1F"/>
    <w:rsid w:val="007A0867"/>
    <w:rsid w:val="007A098C"/>
    <w:rsid w:val="007A0DF3"/>
    <w:rsid w:val="007A10A3"/>
    <w:rsid w:val="007A126F"/>
    <w:rsid w:val="007A12F9"/>
    <w:rsid w:val="007A1518"/>
    <w:rsid w:val="007A1642"/>
    <w:rsid w:val="007A1BEE"/>
    <w:rsid w:val="007A2B3E"/>
    <w:rsid w:val="007A3260"/>
    <w:rsid w:val="007A3376"/>
    <w:rsid w:val="007A34B2"/>
    <w:rsid w:val="007A38E9"/>
    <w:rsid w:val="007A41D4"/>
    <w:rsid w:val="007A4208"/>
    <w:rsid w:val="007A445E"/>
    <w:rsid w:val="007A4A89"/>
    <w:rsid w:val="007A4EC2"/>
    <w:rsid w:val="007A50B2"/>
    <w:rsid w:val="007A627D"/>
    <w:rsid w:val="007A62E3"/>
    <w:rsid w:val="007A6536"/>
    <w:rsid w:val="007A6B37"/>
    <w:rsid w:val="007A7191"/>
    <w:rsid w:val="007A7205"/>
    <w:rsid w:val="007A7314"/>
    <w:rsid w:val="007A78EA"/>
    <w:rsid w:val="007B008F"/>
    <w:rsid w:val="007B0121"/>
    <w:rsid w:val="007B04F5"/>
    <w:rsid w:val="007B10F3"/>
    <w:rsid w:val="007B110E"/>
    <w:rsid w:val="007B24B5"/>
    <w:rsid w:val="007B3315"/>
    <w:rsid w:val="007B3369"/>
    <w:rsid w:val="007B3549"/>
    <w:rsid w:val="007B3621"/>
    <w:rsid w:val="007B36EF"/>
    <w:rsid w:val="007B442C"/>
    <w:rsid w:val="007B4A82"/>
    <w:rsid w:val="007B523F"/>
    <w:rsid w:val="007B52A7"/>
    <w:rsid w:val="007B6007"/>
    <w:rsid w:val="007B626B"/>
    <w:rsid w:val="007B64AA"/>
    <w:rsid w:val="007B7198"/>
    <w:rsid w:val="007B71FE"/>
    <w:rsid w:val="007B7302"/>
    <w:rsid w:val="007B7451"/>
    <w:rsid w:val="007B7497"/>
    <w:rsid w:val="007B776B"/>
    <w:rsid w:val="007B7D81"/>
    <w:rsid w:val="007B7F69"/>
    <w:rsid w:val="007C0D38"/>
    <w:rsid w:val="007C1025"/>
    <w:rsid w:val="007C1321"/>
    <w:rsid w:val="007C16FE"/>
    <w:rsid w:val="007C1790"/>
    <w:rsid w:val="007C18CB"/>
    <w:rsid w:val="007C1FFB"/>
    <w:rsid w:val="007C2392"/>
    <w:rsid w:val="007C24EE"/>
    <w:rsid w:val="007C2A25"/>
    <w:rsid w:val="007C2C2B"/>
    <w:rsid w:val="007C2E28"/>
    <w:rsid w:val="007C2E2E"/>
    <w:rsid w:val="007C3B8A"/>
    <w:rsid w:val="007C4568"/>
    <w:rsid w:val="007C4657"/>
    <w:rsid w:val="007C5818"/>
    <w:rsid w:val="007C5910"/>
    <w:rsid w:val="007C5951"/>
    <w:rsid w:val="007C59F7"/>
    <w:rsid w:val="007C618E"/>
    <w:rsid w:val="007C6C83"/>
    <w:rsid w:val="007C6DCF"/>
    <w:rsid w:val="007C6E65"/>
    <w:rsid w:val="007C73AC"/>
    <w:rsid w:val="007C7737"/>
    <w:rsid w:val="007C7A6C"/>
    <w:rsid w:val="007C7BB9"/>
    <w:rsid w:val="007C7C33"/>
    <w:rsid w:val="007C7F1F"/>
    <w:rsid w:val="007D0044"/>
    <w:rsid w:val="007D06F4"/>
    <w:rsid w:val="007D125B"/>
    <w:rsid w:val="007D17CC"/>
    <w:rsid w:val="007D18FE"/>
    <w:rsid w:val="007D1BFA"/>
    <w:rsid w:val="007D1FA3"/>
    <w:rsid w:val="007D2455"/>
    <w:rsid w:val="007D32B4"/>
    <w:rsid w:val="007D3AF7"/>
    <w:rsid w:val="007D434E"/>
    <w:rsid w:val="007D45C8"/>
    <w:rsid w:val="007D4BA8"/>
    <w:rsid w:val="007D4C28"/>
    <w:rsid w:val="007D4DEE"/>
    <w:rsid w:val="007D569F"/>
    <w:rsid w:val="007D59BC"/>
    <w:rsid w:val="007D5B05"/>
    <w:rsid w:val="007D653F"/>
    <w:rsid w:val="007D6A22"/>
    <w:rsid w:val="007D6F9A"/>
    <w:rsid w:val="007D716C"/>
    <w:rsid w:val="007D79D5"/>
    <w:rsid w:val="007E00E9"/>
    <w:rsid w:val="007E04BF"/>
    <w:rsid w:val="007E0DBB"/>
    <w:rsid w:val="007E0F97"/>
    <w:rsid w:val="007E100E"/>
    <w:rsid w:val="007E127A"/>
    <w:rsid w:val="007E1753"/>
    <w:rsid w:val="007E1904"/>
    <w:rsid w:val="007E1B84"/>
    <w:rsid w:val="007E1DD6"/>
    <w:rsid w:val="007E1F9F"/>
    <w:rsid w:val="007E2108"/>
    <w:rsid w:val="007E22C2"/>
    <w:rsid w:val="007E28C4"/>
    <w:rsid w:val="007E2B0A"/>
    <w:rsid w:val="007E2F61"/>
    <w:rsid w:val="007E301B"/>
    <w:rsid w:val="007E323F"/>
    <w:rsid w:val="007E35E4"/>
    <w:rsid w:val="007E376B"/>
    <w:rsid w:val="007E3A9E"/>
    <w:rsid w:val="007E3CBB"/>
    <w:rsid w:val="007E413C"/>
    <w:rsid w:val="007E41FB"/>
    <w:rsid w:val="007E474B"/>
    <w:rsid w:val="007E4B68"/>
    <w:rsid w:val="007E4CC0"/>
    <w:rsid w:val="007E4DD3"/>
    <w:rsid w:val="007E56AE"/>
    <w:rsid w:val="007E59CA"/>
    <w:rsid w:val="007E5F7B"/>
    <w:rsid w:val="007E6365"/>
    <w:rsid w:val="007E66D8"/>
    <w:rsid w:val="007E6D6D"/>
    <w:rsid w:val="007E75C0"/>
    <w:rsid w:val="007E786E"/>
    <w:rsid w:val="007F00CF"/>
    <w:rsid w:val="007F052C"/>
    <w:rsid w:val="007F07F3"/>
    <w:rsid w:val="007F083E"/>
    <w:rsid w:val="007F1203"/>
    <w:rsid w:val="007F1230"/>
    <w:rsid w:val="007F178D"/>
    <w:rsid w:val="007F1A1F"/>
    <w:rsid w:val="007F1D41"/>
    <w:rsid w:val="007F1F03"/>
    <w:rsid w:val="007F24B0"/>
    <w:rsid w:val="007F2625"/>
    <w:rsid w:val="007F2766"/>
    <w:rsid w:val="007F29F1"/>
    <w:rsid w:val="007F2F76"/>
    <w:rsid w:val="007F35DF"/>
    <w:rsid w:val="007F3E5C"/>
    <w:rsid w:val="007F406A"/>
    <w:rsid w:val="007F45BC"/>
    <w:rsid w:val="007F4EEF"/>
    <w:rsid w:val="007F5114"/>
    <w:rsid w:val="007F54B2"/>
    <w:rsid w:val="007F54DE"/>
    <w:rsid w:val="007F5506"/>
    <w:rsid w:val="007F5609"/>
    <w:rsid w:val="007F59DB"/>
    <w:rsid w:val="007F6592"/>
    <w:rsid w:val="007F65F9"/>
    <w:rsid w:val="007F65FF"/>
    <w:rsid w:val="007F68B7"/>
    <w:rsid w:val="007F6C61"/>
    <w:rsid w:val="007F6E44"/>
    <w:rsid w:val="007F78D5"/>
    <w:rsid w:val="007F7902"/>
    <w:rsid w:val="007F7CD3"/>
    <w:rsid w:val="007F7F48"/>
    <w:rsid w:val="0080016B"/>
    <w:rsid w:val="00800DAF"/>
    <w:rsid w:val="00800FB7"/>
    <w:rsid w:val="00801259"/>
    <w:rsid w:val="00801265"/>
    <w:rsid w:val="008013CE"/>
    <w:rsid w:val="00801843"/>
    <w:rsid w:val="00801A73"/>
    <w:rsid w:val="008024AE"/>
    <w:rsid w:val="00802E04"/>
    <w:rsid w:val="0080396D"/>
    <w:rsid w:val="00803CEE"/>
    <w:rsid w:val="00803F6D"/>
    <w:rsid w:val="00803F9C"/>
    <w:rsid w:val="00804350"/>
    <w:rsid w:val="0080444A"/>
    <w:rsid w:val="008045CF"/>
    <w:rsid w:val="008045ED"/>
    <w:rsid w:val="00805103"/>
    <w:rsid w:val="008051F0"/>
    <w:rsid w:val="00805E97"/>
    <w:rsid w:val="00805FD3"/>
    <w:rsid w:val="00805FFE"/>
    <w:rsid w:val="00806119"/>
    <w:rsid w:val="00806131"/>
    <w:rsid w:val="00806800"/>
    <w:rsid w:val="008069A6"/>
    <w:rsid w:val="00806CC1"/>
    <w:rsid w:val="00807560"/>
    <w:rsid w:val="00810546"/>
    <w:rsid w:val="00810653"/>
    <w:rsid w:val="00810935"/>
    <w:rsid w:val="00810B19"/>
    <w:rsid w:val="00810D7B"/>
    <w:rsid w:val="00810DC0"/>
    <w:rsid w:val="00810E3C"/>
    <w:rsid w:val="00811441"/>
    <w:rsid w:val="00811799"/>
    <w:rsid w:val="00812597"/>
    <w:rsid w:val="00812786"/>
    <w:rsid w:val="008128C4"/>
    <w:rsid w:val="00813038"/>
    <w:rsid w:val="008134F1"/>
    <w:rsid w:val="008138E4"/>
    <w:rsid w:val="00813BBB"/>
    <w:rsid w:val="00813F65"/>
    <w:rsid w:val="00815063"/>
    <w:rsid w:val="00815198"/>
    <w:rsid w:val="008153F6"/>
    <w:rsid w:val="00815CEC"/>
    <w:rsid w:val="008168A5"/>
    <w:rsid w:val="00816D7C"/>
    <w:rsid w:val="00817036"/>
    <w:rsid w:val="008170AA"/>
    <w:rsid w:val="008170E9"/>
    <w:rsid w:val="00817314"/>
    <w:rsid w:val="00817AEB"/>
    <w:rsid w:val="00817C76"/>
    <w:rsid w:val="0082004A"/>
    <w:rsid w:val="008202BA"/>
    <w:rsid w:val="008202F3"/>
    <w:rsid w:val="0082037E"/>
    <w:rsid w:val="0082079C"/>
    <w:rsid w:val="00820875"/>
    <w:rsid w:val="00820962"/>
    <w:rsid w:val="00820BE6"/>
    <w:rsid w:val="008210D3"/>
    <w:rsid w:val="008213AF"/>
    <w:rsid w:val="00821444"/>
    <w:rsid w:val="008215B9"/>
    <w:rsid w:val="008216BC"/>
    <w:rsid w:val="00821747"/>
    <w:rsid w:val="00821749"/>
    <w:rsid w:val="00821B89"/>
    <w:rsid w:val="0082235A"/>
    <w:rsid w:val="00822B95"/>
    <w:rsid w:val="00822EDB"/>
    <w:rsid w:val="008234DD"/>
    <w:rsid w:val="0082393B"/>
    <w:rsid w:val="00823976"/>
    <w:rsid w:val="00823B36"/>
    <w:rsid w:val="00823C82"/>
    <w:rsid w:val="00823E43"/>
    <w:rsid w:val="00823F07"/>
    <w:rsid w:val="00824070"/>
    <w:rsid w:val="008241D8"/>
    <w:rsid w:val="008242AC"/>
    <w:rsid w:val="0082454A"/>
    <w:rsid w:val="00825F9C"/>
    <w:rsid w:val="00826094"/>
    <w:rsid w:val="008262D2"/>
    <w:rsid w:val="0082661D"/>
    <w:rsid w:val="00826E50"/>
    <w:rsid w:val="00830151"/>
    <w:rsid w:val="0083023D"/>
    <w:rsid w:val="00830423"/>
    <w:rsid w:val="008306CF"/>
    <w:rsid w:val="0083082F"/>
    <w:rsid w:val="00830D15"/>
    <w:rsid w:val="00830E17"/>
    <w:rsid w:val="008314D1"/>
    <w:rsid w:val="0083168F"/>
    <w:rsid w:val="00831EED"/>
    <w:rsid w:val="00832056"/>
    <w:rsid w:val="00832190"/>
    <w:rsid w:val="008326E7"/>
    <w:rsid w:val="008328E3"/>
    <w:rsid w:val="00832DEB"/>
    <w:rsid w:val="00833836"/>
    <w:rsid w:val="00834161"/>
    <w:rsid w:val="00834BCD"/>
    <w:rsid w:val="00834FB3"/>
    <w:rsid w:val="00835288"/>
    <w:rsid w:val="008354B6"/>
    <w:rsid w:val="00835CC8"/>
    <w:rsid w:val="00835DBD"/>
    <w:rsid w:val="0083601A"/>
    <w:rsid w:val="00836054"/>
    <w:rsid w:val="0083607D"/>
    <w:rsid w:val="008360FD"/>
    <w:rsid w:val="00836272"/>
    <w:rsid w:val="008362B6"/>
    <w:rsid w:val="00836D0F"/>
    <w:rsid w:val="008374FC"/>
    <w:rsid w:val="00837BEB"/>
    <w:rsid w:val="00840198"/>
    <w:rsid w:val="00840441"/>
    <w:rsid w:val="008405E0"/>
    <w:rsid w:val="00840BC5"/>
    <w:rsid w:val="00840C3C"/>
    <w:rsid w:val="00840F7F"/>
    <w:rsid w:val="00841150"/>
    <w:rsid w:val="008411A1"/>
    <w:rsid w:val="0084199D"/>
    <w:rsid w:val="00841CA2"/>
    <w:rsid w:val="00841D85"/>
    <w:rsid w:val="00841F1E"/>
    <w:rsid w:val="00842771"/>
    <w:rsid w:val="00842B7D"/>
    <w:rsid w:val="00842ECE"/>
    <w:rsid w:val="00842FDA"/>
    <w:rsid w:val="00843A4B"/>
    <w:rsid w:val="00843CBA"/>
    <w:rsid w:val="00843EAC"/>
    <w:rsid w:val="008442D2"/>
    <w:rsid w:val="00844697"/>
    <w:rsid w:val="00844985"/>
    <w:rsid w:val="00844A9F"/>
    <w:rsid w:val="00844E9A"/>
    <w:rsid w:val="00845606"/>
    <w:rsid w:val="0084568A"/>
    <w:rsid w:val="00845BDB"/>
    <w:rsid w:val="008461BF"/>
    <w:rsid w:val="008461C8"/>
    <w:rsid w:val="008469B1"/>
    <w:rsid w:val="00846A1C"/>
    <w:rsid w:val="00846E82"/>
    <w:rsid w:val="00846F2F"/>
    <w:rsid w:val="00847A74"/>
    <w:rsid w:val="00847E54"/>
    <w:rsid w:val="00850A7B"/>
    <w:rsid w:val="00850E23"/>
    <w:rsid w:val="00850FB1"/>
    <w:rsid w:val="00850FB2"/>
    <w:rsid w:val="00851388"/>
    <w:rsid w:val="008519BC"/>
    <w:rsid w:val="00851BF8"/>
    <w:rsid w:val="00851E4E"/>
    <w:rsid w:val="00851E6C"/>
    <w:rsid w:val="00851F93"/>
    <w:rsid w:val="00852345"/>
    <w:rsid w:val="00852638"/>
    <w:rsid w:val="00852D5C"/>
    <w:rsid w:val="00852F05"/>
    <w:rsid w:val="00853090"/>
    <w:rsid w:val="00853329"/>
    <w:rsid w:val="00853509"/>
    <w:rsid w:val="00853ABB"/>
    <w:rsid w:val="00853AF2"/>
    <w:rsid w:val="00853B02"/>
    <w:rsid w:val="00853BC8"/>
    <w:rsid w:val="0085437C"/>
    <w:rsid w:val="008549B5"/>
    <w:rsid w:val="00854CCB"/>
    <w:rsid w:val="0085580B"/>
    <w:rsid w:val="008559B2"/>
    <w:rsid w:val="00855C1C"/>
    <w:rsid w:val="00856043"/>
    <w:rsid w:val="008562F6"/>
    <w:rsid w:val="00856595"/>
    <w:rsid w:val="00856D8A"/>
    <w:rsid w:val="00856F53"/>
    <w:rsid w:val="00856FC6"/>
    <w:rsid w:val="0085756E"/>
    <w:rsid w:val="008575D8"/>
    <w:rsid w:val="008576D3"/>
    <w:rsid w:val="00860156"/>
    <w:rsid w:val="00860F01"/>
    <w:rsid w:val="00860F36"/>
    <w:rsid w:val="00861072"/>
    <w:rsid w:val="008612A8"/>
    <w:rsid w:val="008613E8"/>
    <w:rsid w:val="008625C0"/>
    <w:rsid w:val="008629B1"/>
    <w:rsid w:val="00862B00"/>
    <w:rsid w:val="008634DA"/>
    <w:rsid w:val="00863FA2"/>
    <w:rsid w:val="00864133"/>
    <w:rsid w:val="00864189"/>
    <w:rsid w:val="0086438A"/>
    <w:rsid w:val="00864BAC"/>
    <w:rsid w:val="00864C1A"/>
    <w:rsid w:val="00865223"/>
    <w:rsid w:val="00865250"/>
    <w:rsid w:val="00865264"/>
    <w:rsid w:val="0086592B"/>
    <w:rsid w:val="00865D8C"/>
    <w:rsid w:val="00866142"/>
    <w:rsid w:val="0086660F"/>
    <w:rsid w:val="00866836"/>
    <w:rsid w:val="00866972"/>
    <w:rsid w:val="00867040"/>
    <w:rsid w:val="00867071"/>
    <w:rsid w:val="00867198"/>
    <w:rsid w:val="0086751D"/>
    <w:rsid w:val="00867903"/>
    <w:rsid w:val="00867EE1"/>
    <w:rsid w:val="00870084"/>
    <w:rsid w:val="00870638"/>
    <w:rsid w:val="0087081F"/>
    <w:rsid w:val="00870888"/>
    <w:rsid w:val="00870FA2"/>
    <w:rsid w:val="008714DD"/>
    <w:rsid w:val="00871528"/>
    <w:rsid w:val="0087158E"/>
    <w:rsid w:val="008715A1"/>
    <w:rsid w:val="0087193A"/>
    <w:rsid w:val="00871B9F"/>
    <w:rsid w:val="00871CA8"/>
    <w:rsid w:val="008722DD"/>
    <w:rsid w:val="00872D49"/>
    <w:rsid w:val="008734C1"/>
    <w:rsid w:val="00873DED"/>
    <w:rsid w:val="00874500"/>
    <w:rsid w:val="0087488B"/>
    <w:rsid w:val="00874A2B"/>
    <w:rsid w:val="00874B1E"/>
    <w:rsid w:val="00874BAA"/>
    <w:rsid w:val="00875CB8"/>
    <w:rsid w:val="00876531"/>
    <w:rsid w:val="00876987"/>
    <w:rsid w:val="00877628"/>
    <w:rsid w:val="008777AC"/>
    <w:rsid w:val="00877A4E"/>
    <w:rsid w:val="00877F55"/>
    <w:rsid w:val="00880721"/>
    <w:rsid w:val="00880CE6"/>
    <w:rsid w:val="008811AC"/>
    <w:rsid w:val="00881978"/>
    <w:rsid w:val="00881A32"/>
    <w:rsid w:val="00881C12"/>
    <w:rsid w:val="00881D82"/>
    <w:rsid w:val="00881DA0"/>
    <w:rsid w:val="008820D1"/>
    <w:rsid w:val="008828B3"/>
    <w:rsid w:val="00882DCD"/>
    <w:rsid w:val="00883399"/>
    <w:rsid w:val="0088368D"/>
    <w:rsid w:val="00883A3D"/>
    <w:rsid w:val="00883A43"/>
    <w:rsid w:val="00884394"/>
    <w:rsid w:val="008844D2"/>
    <w:rsid w:val="0088475C"/>
    <w:rsid w:val="00884DE1"/>
    <w:rsid w:val="008856FD"/>
    <w:rsid w:val="00885C38"/>
    <w:rsid w:val="00886376"/>
    <w:rsid w:val="00886723"/>
    <w:rsid w:val="008867ED"/>
    <w:rsid w:val="00886D08"/>
    <w:rsid w:val="00887157"/>
    <w:rsid w:val="00887FDF"/>
    <w:rsid w:val="00891B29"/>
    <w:rsid w:val="00891C5D"/>
    <w:rsid w:val="00892422"/>
    <w:rsid w:val="0089296D"/>
    <w:rsid w:val="008930F0"/>
    <w:rsid w:val="008936B4"/>
    <w:rsid w:val="00893768"/>
    <w:rsid w:val="00893CBD"/>
    <w:rsid w:val="00893D2C"/>
    <w:rsid w:val="00893F6D"/>
    <w:rsid w:val="008943A7"/>
    <w:rsid w:val="008947AD"/>
    <w:rsid w:val="00895BF3"/>
    <w:rsid w:val="008967D5"/>
    <w:rsid w:val="008969AB"/>
    <w:rsid w:val="00896B3C"/>
    <w:rsid w:val="00896D37"/>
    <w:rsid w:val="008971B1"/>
    <w:rsid w:val="00897432"/>
    <w:rsid w:val="00897E53"/>
    <w:rsid w:val="008A0382"/>
    <w:rsid w:val="008A0606"/>
    <w:rsid w:val="008A0A31"/>
    <w:rsid w:val="008A0DA6"/>
    <w:rsid w:val="008A0FDF"/>
    <w:rsid w:val="008A10A4"/>
    <w:rsid w:val="008A1600"/>
    <w:rsid w:val="008A1EBC"/>
    <w:rsid w:val="008A1FA2"/>
    <w:rsid w:val="008A2293"/>
    <w:rsid w:val="008A2E1E"/>
    <w:rsid w:val="008A2E6F"/>
    <w:rsid w:val="008A33BB"/>
    <w:rsid w:val="008A3859"/>
    <w:rsid w:val="008A40CE"/>
    <w:rsid w:val="008A443A"/>
    <w:rsid w:val="008A4C9D"/>
    <w:rsid w:val="008A4F5D"/>
    <w:rsid w:val="008A4FD2"/>
    <w:rsid w:val="008A50AB"/>
    <w:rsid w:val="008A5701"/>
    <w:rsid w:val="008A5DC0"/>
    <w:rsid w:val="008A61E8"/>
    <w:rsid w:val="008A680B"/>
    <w:rsid w:val="008A68CE"/>
    <w:rsid w:val="008A6F20"/>
    <w:rsid w:val="008A706D"/>
    <w:rsid w:val="008A7090"/>
    <w:rsid w:val="008B012C"/>
    <w:rsid w:val="008B0190"/>
    <w:rsid w:val="008B041F"/>
    <w:rsid w:val="008B0629"/>
    <w:rsid w:val="008B07BC"/>
    <w:rsid w:val="008B0922"/>
    <w:rsid w:val="008B1242"/>
    <w:rsid w:val="008B165E"/>
    <w:rsid w:val="008B16CD"/>
    <w:rsid w:val="008B173A"/>
    <w:rsid w:val="008B19FD"/>
    <w:rsid w:val="008B1D39"/>
    <w:rsid w:val="008B21AD"/>
    <w:rsid w:val="008B2795"/>
    <w:rsid w:val="008B27CF"/>
    <w:rsid w:val="008B2B3C"/>
    <w:rsid w:val="008B30B0"/>
    <w:rsid w:val="008B320A"/>
    <w:rsid w:val="008B327D"/>
    <w:rsid w:val="008B3C26"/>
    <w:rsid w:val="008B3ECB"/>
    <w:rsid w:val="008B44A8"/>
    <w:rsid w:val="008B4705"/>
    <w:rsid w:val="008B4957"/>
    <w:rsid w:val="008B53F4"/>
    <w:rsid w:val="008B5D4B"/>
    <w:rsid w:val="008B6A86"/>
    <w:rsid w:val="008B70EF"/>
    <w:rsid w:val="008B7125"/>
    <w:rsid w:val="008C01D1"/>
    <w:rsid w:val="008C022C"/>
    <w:rsid w:val="008C0A2D"/>
    <w:rsid w:val="008C0F0C"/>
    <w:rsid w:val="008C1E94"/>
    <w:rsid w:val="008C248C"/>
    <w:rsid w:val="008C2561"/>
    <w:rsid w:val="008C298A"/>
    <w:rsid w:val="008C2C08"/>
    <w:rsid w:val="008C2D97"/>
    <w:rsid w:val="008C2F0D"/>
    <w:rsid w:val="008C30EB"/>
    <w:rsid w:val="008C326F"/>
    <w:rsid w:val="008C34B2"/>
    <w:rsid w:val="008C3788"/>
    <w:rsid w:val="008C3C39"/>
    <w:rsid w:val="008C46BF"/>
    <w:rsid w:val="008C48B0"/>
    <w:rsid w:val="008C50E6"/>
    <w:rsid w:val="008C541E"/>
    <w:rsid w:val="008C57A8"/>
    <w:rsid w:val="008C635B"/>
    <w:rsid w:val="008C6976"/>
    <w:rsid w:val="008C6B7D"/>
    <w:rsid w:val="008C7074"/>
    <w:rsid w:val="008C73F7"/>
    <w:rsid w:val="008C750D"/>
    <w:rsid w:val="008C7604"/>
    <w:rsid w:val="008C7A40"/>
    <w:rsid w:val="008D0028"/>
    <w:rsid w:val="008D006B"/>
    <w:rsid w:val="008D02CD"/>
    <w:rsid w:val="008D0DFE"/>
    <w:rsid w:val="008D1038"/>
    <w:rsid w:val="008D1112"/>
    <w:rsid w:val="008D14BB"/>
    <w:rsid w:val="008D176B"/>
    <w:rsid w:val="008D196A"/>
    <w:rsid w:val="008D1A01"/>
    <w:rsid w:val="008D1F29"/>
    <w:rsid w:val="008D22DF"/>
    <w:rsid w:val="008D25B4"/>
    <w:rsid w:val="008D2835"/>
    <w:rsid w:val="008D2E4C"/>
    <w:rsid w:val="008D2F84"/>
    <w:rsid w:val="008D3817"/>
    <w:rsid w:val="008D3836"/>
    <w:rsid w:val="008D3DDA"/>
    <w:rsid w:val="008D3FF4"/>
    <w:rsid w:val="008D4678"/>
    <w:rsid w:val="008D4831"/>
    <w:rsid w:val="008D48C6"/>
    <w:rsid w:val="008D4A24"/>
    <w:rsid w:val="008D53C2"/>
    <w:rsid w:val="008D53D8"/>
    <w:rsid w:val="008D5C9C"/>
    <w:rsid w:val="008D60BA"/>
    <w:rsid w:val="008D653F"/>
    <w:rsid w:val="008D67E9"/>
    <w:rsid w:val="008D7032"/>
    <w:rsid w:val="008D73C3"/>
    <w:rsid w:val="008D73D2"/>
    <w:rsid w:val="008D78AA"/>
    <w:rsid w:val="008D7E4C"/>
    <w:rsid w:val="008E09C3"/>
    <w:rsid w:val="008E0ACA"/>
    <w:rsid w:val="008E0C42"/>
    <w:rsid w:val="008E1192"/>
    <w:rsid w:val="008E13BD"/>
    <w:rsid w:val="008E16C7"/>
    <w:rsid w:val="008E182C"/>
    <w:rsid w:val="008E1C6A"/>
    <w:rsid w:val="008E20FF"/>
    <w:rsid w:val="008E272A"/>
    <w:rsid w:val="008E3521"/>
    <w:rsid w:val="008E3A2F"/>
    <w:rsid w:val="008E3AED"/>
    <w:rsid w:val="008E3C48"/>
    <w:rsid w:val="008E3CF5"/>
    <w:rsid w:val="008E3DEE"/>
    <w:rsid w:val="008E41B5"/>
    <w:rsid w:val="008E4C75"/>
    <w:rsid w:val="008E513C"/>
    <w:rsid w:val="008E56F4"/>
    <w:rsid w:val="008E69DA"/>
    <w:rsid w:val="008E6F55"/>
    <w:rsid w:val="008E7038"/>
    <w:rsid w:val="008E72DC"/>
    <w:rsid w:val="008E75BF"/>
    <w:rsid w:val="008E7703"/>
    <w:rsid w:val="008F0837"/>
    <w:rsid w:val="008F0D04"/>
    <w:rsid w:val="008F0DD5"/>
    <w:rsid w:val="008F1113"/>
    <w:rsid w:val="008F1134"/>
    <w:rsid w:val="008F1581"/>
    <w:rsid w:val="008F15D8"/>
    <w:rsid w:val="008F160D"/>
    <w:rsid w:val="008F1B20"/>
    <w:rsid w:val="008F1CA8"/>
    <w:rsid w:val="008F1D72"/>
    <w:rsid w:val="008F1D9B"/>
    <w:rsid w:val="008F1E68"/>
    <w:rsid w:val="008F1EA8"/>
    <w:rsid w:val="008F1EB5"/>
    <w:rsid w:val="008F209F"/>
    <w:rsid w:val="008F21BA"/>
    <w:rsid w:val="008F222A"/>
    <w:rsid w:val="008F29DC"/>
    <w:rsid w:val="008F2B13"/>
    <w:rsid w:val="008F2C55"/>
    <w:rsid w:val="008F3684"/>
    <w:rsid w:val="008F3E98"/>
    <w:rsid w:val="008F4D07"/>
    <w:rsid w:val="008F4F70"/>
    <w:rsid w:val="008F5136"/>
    <w:rsid w:val="008F51BB"/>
    <w:rsid w:val="008F542D"/>
    <w:rsid w:val="008F57F6"/>
    <w:rsid w:val="008F5CDA"/>
    <w:rsid w:val="008F5D76"/>
    <w:rsid w:val="008F5E15"/>
    <w:rsid w:val="008F62EF"/>
    <w:rsid w:val="008F6AA6"/>
    <w:rsid w:val="008F6CD8"/>
    <w:rsid w:val="008F6D8B"/>
    <w:rsid w:val="008F6F6F"/>
    <w:rsid w:val="008F7938"/>
    <w:rsid w:val="008F7B9C"/>
    <w:rsid w:val="008F7EBE"/>
    <w:rsid w:val="008F7F2C"/>
    <w:rsid w:val="009006AA"/>
    <w:rsid w:val="009012FB"/>
    <w:rsid w:val="009013FC"/>
    <w:rsid w:val="009020AD"/>
    <w:rsid w:val="009020C8"/>
    <w:rsid w:val="0090215C"/>
    <w:rsid w:val="00902DFD"/>
    <w:rsid w:val="00902F75"/>
    <w:rsid w:val="00903093"/>
    <w:rsid w:val="0090310A"/>
    <w:rsid w:val="00903548"/>
    <w:rsid w:val="009039C4"/>
    <w:rsid w:val="00903E34"/>
    <w:rsid w:val="0090512C"/>
    <w:rsid w:val="009051FB"/>
    <w:rsid w:val="0090557C"/>
    <w:rsid w:val="0090562D"/>
    <w:rsid w:val="00905B1C"/>
    <w:rsid w:val="00905E17"/>
    <w:rsid w:val="0090633F"/>
    <w:rsid w:val="0090641A"/>
    <w:rsid w:val="0090737E"/>
    <w:rsid w:val="00907E49"/>
    <w:rsid w:val="009108E1"/>
    <w:rsid w:val="00910E84"/>
    <w:rsid w:val="00911411"/>
    <w:rsid w:val="00911B8C"/>
    <w:rsid w:val="00911DA0"/>
    <w:rsid w:val="0091226D"/>
    <w:rsid w:val="0091286D"/>
    <w:rsid w:val="00913197"/>
    <w:rsid w:val="0091353B"/>
    <w:rsid w:val="0091366D"/>
    <w:rsid w:val="00913A18"/>
    <w:rsid w:val="00913C26"/>
    <w:rsid w:val="00914035"/>
    <w:rsid w:val="00914399"/>
    <w:rsid w:val="009144A5"/>
    <w:rsid w:val="009145A3"/>
    <w:rsid w:val="00914882"/>
    <w:rsid w:val="009149DD"/>
    <w:rsid w:val="00914A25"/>
    <w:rsid w:val="00914E08"/>
    <w:rsid w:val="00915071"/>
    <w:rsid w:val="0091562C"/>
    <w:rsid w:val="00915C6E"/>
    <w:rsid w:val="00915CB5"/>
    <w:rsid w:val="00915EB0"/>
    <w:rsid w:val="009160C9"/>
    <w:rsid w:val="0091667E"/>
    <w:rsid w:val="009167E2"/>
    <w:rsid w:val="0091680A"/>
    <w:rsid w:val="00916D65"/>
    <w:rsid w:val="00916F6B"/>
    <w:rsid w:val="00917990"/>
    <w:rsid w:val="00917A2E"/>
    <w:rsid w:val="00917A63"/>
    <w:rsid w:val="00917BC5"/>
    <w:rsid w:val="00920649"/>
    <w:rsid w:val="00921262"/>
    <w:rsid w:val="00921588"/>
    <w:rsid w:val="009223FB"/>
    <w:rsid w:val="00922902"/>
    <w:rsid w:val="00922FE6"/>
    <w:rsid w:val="009231A5"/>
    <w:rsid w:val="0092343F"/>
    <w:rsid w:val="00923559"/>
    <w:rsid w:val="009236A4"/>
    <w:rsid w:val="009240F6"/>
    <w:rsid w:val="0092429A"/>
    <w:rsid w:val="00924745"/>
    <w:rsid w:val="00924C97"/>
    <w:rsid w:val="0092503F"/>
    <w:rsid w:val="00925C80"/>
    <w:rsid w:val="00925E60"/>
    <w:rsid w:val="00926944"/>
    <w:rsid w:val="009269F4"/>
    <w:rsid w:val="00927292"/>
    <w:rsid w:val="009272C0"/>
    <w:rsid w:val="00927717"/>
    <w:rsid w:val="00927E90"/>
    <w:rsid w:val="00927EF1"/>
    <w:rsid w:val="0093004F"/>
    <w:rsid w:val="0093040B"/>
    <w:rsid w:val="00930DB4"/>
    <w:rsid w:val="00930E6C"/>
    <w:rsid w:val="0093163C"/>
    <w:rsid w:val="00931682"/>
    <w:rsid w:val="00931C83"/>
    <w:rsid w:val="00931FEB"/>
    <w:rsid w:val="0093211F"/>
    <w:rsid w:val="00932186"/>
    <w:rsid w:val="00932464"/>
    <w:rsid w:val="009325A8"/>
    <w:rsid w:val="00932897"/>
    <w:rsid w:val="0093296D"/>
    <w:rsid w:val="00932987"/>
    <w:rsid w:val="00932FB8"/>
    <w:rsid w:val="009333DC"/>
    <w:rsid w:val="009337DB"/>
    <w:rsid w:val="00933BBE"/>
    <w:rsid w:val="00934030"/>
    <w:rsid w:val="009343A4"/>
    <w:rsid w:val="009344DC"/>
    <w:rsid w:val="00934F91"/>
    <w:rsid w:val="00935767"/>
    <w:rsid w:val="00935852"/>
    <w:rsid w:val="009362C3"/>
    <w:rsid w:val="0093657A"/>
    <w:rsid w:val="0093667C"/>
    <w:rsid w:val="009366D4"/>
    <w:rsid w:val="009367C4"/>
    <w:rsid w:val="00936CD8"/>
    <w:rsid w:val="00937069"/>
    <w:rsid w:val="00937178"/>
    <w:rsid w:val="00937331"/>
    <w:rsid w:val="00937702"/>
    <w:rsid w:val="00937A89"/>
    <w:rsid w:val="00937E06"/>
    <w:rsid w:val="00937F0C"/>
    <w:rsid w:val="00940328"/>
    <w:rsid w:val="009403AD"/>
    <w:rsid w:val="00940EA8"/>
    <w:rsid w:val="00940FE5"/>
    <w:rsid w:val="00941E99"/>
    <w:rsid w:val="009420B2"/>
    <w:rsid w:val="009426F7"/>
    <w:rsid w:val="009427EB"/>
    <w:rsid w:val="00942C9B"/>
    <w:rsid w:val="0094308D"/>
    <w:rsid w:val="0094318A"/>
    <w:rsid w:val="009440AF"/>
    <w:rsid w:val="00944627"/>
    <w:rsid w:val="00944890"/>
    <w:rsid w:val="009448F8"/>
    <w:rsid w:val="00944B8F"/>
    <w:rsid w:val="0094633A"/>
    <w:rsid w:val="009463C3"/>
    <w:rsid w:val="00946883"/>
    <w:rsid w:val="009474E7"/>
    <w:rsid w:val="00947D06"/>
    <w:rsid w:val="00947FA0"/>
    <w:rsid w:val="00950167"/>
    <w:rsid w:val="009501B4"/>
    <w:rsid w:val="0095039D"/>
    <w:rsid w:val="009507B3"/>
    <w:rsid w:val="0095090A"/>
    <w:rsid w:val="00950CAC"/>
    <w:rsid w:val="00951176"/>
    <w:rsid w:val="0095140A"/>
    <w:rsid w:val="009519A6"/>
    <w:rsid w:val="00951C14"/>
    <w:rsid w:val="00951D98"/>
    <w:rsid w:val="00951E83"/>
    <w:rsid w:val="0095270C"/>
    <w:rsid w:val="00952CF9"/>
    <w:rsid w:val="00952D62"/>
    <w:rsid w:val="00953AB5"/>
    <w:rsid w:val="00953E5F"/>
    <w:rsid w:val="009544DF"/>
    <w:rsid w:val="00954BBF"/>
    <w:rsid w:val="00954CB6"/>
    <w:rsid w:val="00954CE2"/>
    <w:rsid w:val="00954FCD"/>
    <w:rsid w:val="009556AA"/>
    <w:rsid w:val="009557AE"/>
    <w:rsid w:val="009557EA"/>
    <w:rsid w:val="00955A05"/>
    <w:rsid w:val="00955C91"/>
    <w:rsid w:val="00955DC8"/>
    <w:rsid w:val="00955F05"/>
    <w:rsid w:val="00955F7B"/>
    <w:rsid w:val="009567AC"/>
    <w:rsid w:val="00956C35"/>
    <w:rsid w:val="00956CC1"/>
    <w:rsid w:val="00956D57"/>
    <w:rsid w:val="00956E59"/>
    <w:rsid w:val="00957AC8"/>
    <w:rsid w:val="0096006A"/>
    <w:rsid w:val="009606FD"/>
    <w:rsid w:val="00960E05"/>
    <w:rsid w:val="00961073"/>
    <w:rsid w:val="0096184C"/>
    <w:rsid w:val="009619E6"/>
    <w:rsid w:val="00961C92"/>
    <w:rsid w:val="00961D25"/>
    <w:rsid w:val="00962004"/>
    <w:rsid w:val="00962749"/>
    <w:rsid w:val="0096283A"/>
    <w:rsid w:val="00962D3D"/>
    <w:rsid w:val="00962F63"/>
    <w:rsid w:val="00962FD6"/>
    <w:rsid w:val="009635FF"/>
    <w:rsid w:val="00963633"/>
    <w:rsid w:val="00963799"/>
    <w:rsid w:val="00963E5A"/>
    <w:rsid w:val="00964232"/>
    <w:rsid w:val="009645CF"/>
    <w:rsid w:val="00964A12"/>
    <w:rsid w:val="0096512C"/>
    <w:rsid w:val="009651FA"/>
    <w:rsid w:val="009660E5"/>
    <w:rsid w:val="0096612D"/>
    <w:rsid w:val="009661FC"/>
    <w:rsid w:val="0096631B"/>
    <w:rsid w:val="00966977"/>
    <w:rsid w:val="00966F1B"/>
    <w:rsid w:val="009672EC"/>
    <w:rsid w:val="00967BB9"/>
    <w:rsid w:val="00967E84"/>
    <w:rsid w:val="00970EB8"/>
    <w:rsid w:val="00970FB3"/>
    <w:rsid w:val="00971228"/>
    <w:rsid w:val="00971857"/>
    <w:rsid w:val="00971C40"/>
    <w:rsid w:val="009722F3"/>
    <w:rsid w:val="0097264F"/>
    <w:rsid w:val="009727C2"/>
    <w:rsid w:val="00972B22"/>
    <w:rsid w:val="00973445"/>
    <w:rsid w:val="00973733"/>
    <w:rsid w:val="0097384D"/>
    <w:rsid w:val="00973902"/>
    <w:rsid w:val="00973B1F"/>
    <w:rsid w:val="009749AD"/>
    <w:rsid w:val="009750CE"/>
    <w:rsid w:val="009757B5"/>
    <w:rsid w:val="00975816"/>
    <w:rsid w:val="00975E09"/>
    <w:rsid w:val="00976910"/>
    <w:rsid w:val="00976DCD"/>
    <w:rsid w:val="00976EDA"/>
    <w:rsid w:val="009772CA"/>
    <w:rsid w:val="009772D1"/>
    <w:rsid w:val="0097747C"/>
    <w:rsid w:val="0097778D"/>
    <w:rsid w:val="009802F0"/>
    <w:rsid w:val="00980500"/>
    <w:rsid w:val="0098069D"/>
    <w:rsid w:val="00980A59"/>
    <w:rsid w:val="00980BA8"/>
    <w:rsid w:val="009810B3"/>
    <w:rsid w:val="009810FB"/>
    <w:rsid w:val="00981316"/>
    <w:rsid w:val="009814F8"/>
    <w:rsid w:val="009819FE"/>
    <w:rsid w:val="00982109"/>
    <w:rsid w:val="00982E94"/>
    <w:rsid w:val="0098306A"/>
    <w:rsid w:val="00983265"/>
    <w:rsid w:val="00983505"/>
    <w:rsid w:val="00983D5B"/>
    <w:rsid w:val="00983F71"/>
    <w:rsid w:val="0098489A"/>
    <w:rsid w:val="0098490F"/>
    <w:rsid w:val="00984AA2"/>
    <w:rsid w:val="0098552E"/>
    <w:rsid w:val="00985622"/>
    <w:rsid w:val="00986786"/>
    <w:rsid w:val="00986D0F"/>
    <w:rsid w:val="00986FE2"/>
    <w:rsid w:val="009875A2"/>
    <w:rsid w:val="009879E8"/>
    <w:rsid w:val="00987A25"/>
    <w:rsid w:val="00987A4B"/>
    <w:rsid w:val="00987AE4"/>
    <w:rsid w:val="00987CE4"/>
    <w:rsid w:val="00987D06"/>
    <w:rsid w:val="00987F6E"/>
    <w:rsid w:val="00990210"/>
    <w:rsid w:val="00990212"/>
    <w:rsid w:val="00990A2E"/>
    <w:rsid w:val="00990D38"/>
    <w:rsid w:val="00991234"/>
    <w:rsid w:val="00991439"/>
    <w:rsid w:val="00991448"/>
    <w:rsid w:val="0099199E"/>
    <w:rsid w:val="00991AB2"/>
    <w:rsid w:val="00991CB3"/>
    <w:rsid w:val="0099209A"/>
    <w:rsid w:val="00992478"/>
    <w:rsid w:val="009926DE"/>
    <w:rsid w:val="00992DC4"/>
    <w:rsid w:val="00992F41"/>
    <w:rsid w:val="00992FD7"/>
    <w:rsid w:val="0099311B"/>
    <w:rsid w:val="009931B5"/>
    <w:rsid w:val="009933E4"/>
    <w:rsid w:val="0099382C"/>
    <w:rsid w:val="00994293"/>
    <w:rsid w:val="009947C7"/>
    <w:rsid w:val="00994811"/>
    <w:rsid w:val="00994F58"/>
    <w:rsid w:val="009953A7"/>
    <w:rsid w:val="009955F2"/>
    <w:rsid w:val="00995B87"/>
    <w:rsid w:val="00995EA7"/>
    <w:rsid w:val="00995F2D"/>
    <w:rsid w:val="00996230"/>
    <w:rsid w:val="009965E2"/>
    <w:rsid w:val="00996BA8"/>
    <w:rsid w:val="00996DD7"/>
    <w:rsid w:val="00996FC9"/>
    <w:rsid w:val="009970F9"/>
    <w:rsid w:val="00997295"/>
    <w:rsid w:val="009973BB"/>
    <w:rsid w:val="009975EC"/>
    <w:rsid w:val="00997A43"/>
    <w:rsid w:val="00997C45"/>
    <w:rsid w:val="009A03A7"/>
    <w:rsid w:val="009A044E"/>
    <w:rsid w:val="009A067C"/>
    <w:rsid w:val="009A08C8"/>
    <w:rsid w:val="009A0A8A"/>
    <w:rsid w:val="009A1227"/>
    <w:rsid w:val="009A1307"/>
    <w:rsid w:val="009A158A"/>
    <w:rsid w:val="009A1E9B"/>
    <w:rsid w:val="009A2220"/>
    <w:rsid w:val="009A2248"/>
    <w:rsid w:val="009A269C"/>
    <w:rsid w:val="009A2AD3"/>
    <w:rsid w:val="009A2D3C"/>
    <w:rsid w:val="009A36B2"/>
    <w:rsid w:val="009A38EA"/>
    <w:rsid w:val="009A3E8B"/>
    <w:rsid w:val="009A3FA1"/>
    <w:rsid w:val="009A407E"/>
    <w:rsid w:val="009A4373"/>
    <w:rsid w:val="009A4971"/>
    <w:rsid w:val="009A4AC9"/>
    <w:rsid w:val="009A4D08"/>
    <w:rsid w:val="009A4E0F"/>
    <w:rsid w:val="009A50B6"/>
    <w:rsid w:val="009A5168"/>
    <w:rsid w:val="009A52F8"/>
    <w:rsid w:val="009A55D4"/>
    <w:rsid w:val="009A57DC"/>
    <w:rsid w:val="009A5B5D"/>
    <w:rsid w:val="009A5BBF"/>
    <w:rsid w:val="009A5BCC"/>
    <w:rsid w:val="009A5D58"/>
    <w:rsid w:val="009A5E4F"/>
    <w:rsid w:val="009A6453"/>
    <w:rsid w:val="009A6717"/>
    <w:rsid w:val="009A7350"/>
    <w:rsid w:val="009A76FE"/>
    <w:rsid w:val="009A7BBC"/>
    <w:rsid w:val="009A7CDC"/>
    <w:rsid w:val="009B0036"/>
    <w:rsid w:val="009B02F4"/>
    <w:rsid w:val="009B0519"/>
    <w:rsid w:val="009B051D"/>
    <w:rsid w:val="009B0738"/>
    <w:rsid w:val="009B08B9"/>
    <w:rsid w:val="009B08E4"/>
    <w:rsid w:val="009B0977"/>
    <w:rsid w:val="009B09EA"/>
    <w:rsid w:val="009B0A14"/>
    <w:rsid w:val="009B15F6"/>
    <w:rsid w:val="009B1713"/>
    <w:rsid w:val="009B1721"/>
    <w:rsid w:val="009B183A"/>
    <w:rsid w:val="009B18F4"/>
    <w:rsid w:val="009B1E96"/>
    <w:rsid w:val="009B23DC"/>
    <w:rsid w:val="009B25F5"/>
    <w:rsid w:val="009B27F7"/>
    <w:rsid w:val="009B2E77"/>
    <w:rsid w:val="009B2FC4"/>
    <w:rsid w:val="009B3383"/>
    <w:rsid w:val="009B367E"/>
    <w:rsid w:val="009B3F96"/>
    <w:rsid w:val="009B45A3"/>
    <w:rsid w:val="009B462D"/>
    <w:rsid w:val="009B46C0"/>
    <w:rsid w:val="009B479F"/>
    <w:rsid w:val="009B4DFD"/>
    <w:rsid w:val="009B50FB"/>
    <w:rsid w:val="009B536C"/>
    <w:rsid w:val="009B62F2"/>
    <w:rsid w:val="009B6D9A"/>
    <w:rsid w:val="009B6FE6"/>
    <w:rsid w:val="009B724D"/>
    <w:rsid w:val="009B753E"/>
    <w:rsid w:val="009B78BC"/>
    <w:rsid w:val="009B7E8C"/>
    <w:rsid w:val="009C0765"/>
    <w:rsid w:val="009C0F63"/>
    <w:rsid w:val="009C114E"/>
    <w:rsid w:val="009C12E9"/>
    <w:rsid w:val="009C1784"/>
    <w:rsid w:val="009C2054"/>
    <w:rsid w:val="009C2226"/>
    <w:rsid w:val="009C24EB"/>
    <w:rsid w:val="009C2594"/>
    <w:rsid w:val="009C2A6B"/>
    <w:rsid w:val="009C2BC1"/>
    <w:rsid w:val="009C2C3F"/>
    <w:rsid w:val="009C2DE0"/>
    <w:rsid w:val="009C2E5A"/>
    <w:rsid w:val="009C30A3"/>
    <w:rsid w:val="009C318D"/>
    <w:rsid w:val="009C341D"/>
    <w:rsid w:val="009C3B6A"/>
    <w:rsid w:val="009C3FD0"/>
    <w:rsid w:val="009C451B"/>
    <w:rsid w:val="009C547C"/>
    <w:rsid w:val="009C5806"/>
    <w:rsid w:val="009C5F2F"/>
    <w:rsid w:val="009C6341"/>
    <w:rsid w:val="009C653D"/>
    <w:rsid w:val="009C68D1"/>
    <w:rsid w:val="009C6A9E"/>
    <w:rsid w:val="009C6C06"/>
    <w:rsid w:val="009C721E"/>
    <w:rsid w:val="009C7B7E"/>
    <w:rsid w:val="009C7E43"/>
    <w:rsid w:val="009D0188"/>
    <w:rsid w:val="009D01BB"/>
    <w:rsid w:val="009D06E2"/>
    <w:rsid w:val="009D0ADA"/>
    <w:rsid w:val="009D0CF2"/>
    <w:rsid w:val="009D1292"/>
    <w:rsid w:val="009D192F"/>
    <w:rsid w:val="009D1F2C"/>
    <w:rsid w:val="009D1F8D"/>
    <w:rsid w:val="009D1FAB"/>
    <w:rsid w:val="009D2787"/>
    <w:rsid w:val="009D2C24"/>
    <w:rsid w:val="009D3660"/>
    <w:rsid w:val="009D3A22"/>
    <w:rsid w:val="009D3E39"/>
    <w:rsid w:val="009D4399"/>
    <w:rsid w:val="009D444A"/>
    <w:rsid w:val="009D464E"/>
    <w:rsid w:val="009D47D5"/>
    <w:rsid w:val="009D4E74"/>
    <w:rsid w:val="009D4F20"/>
    <w:rsid w:val="009D4F9E"/>
    <w:rsid w:val="009D56E3"/>
    <w:rsid w:val="009D59A8"/>
    <w:rsid w:val="009D5B81"/>
    <w:rsid w:val="009D62F2"/>
    <w:rsid w:val="009D6BBC"/>
    <w:rsid w:val="009D7B2B"/>
    <w:rsid w:val="009E0201"/>
    <w:rsid w:val="009E05D6"/>
    <w:rsid w:val="009E06CA"/>
    <w:rsid w:val="009E0DD4"/>
    <w:rsid w:val="009E0DED"/>
    <w:rsid w:val="009E12C8"/>
    <w:rsid w:val="009E13D7"/>
    <w:rsid w:val="009E1E3D"/>
    <w:rsid w:val="009E202C"/>
    <w:rsid w:val="009E28B9"/>
    <w:rsid w:val="009E2A8F"/>
    <w:rsid w:val="009E2E3B"/>
    <w:rsid w:val="009E3980"/>
    <w:rsid w:val="009E3B55"/>
    <w:rsid w:val="009E43F8"/>
    <w:rsid w:val="009E4599"/>
    <w:rsid w:val="009E469A"/>
    <w:rsid w:val="009E49E5"/>
    <w:rsid w:val="009E5646"/>
    <w:rsid w:val="009E5682"/>
    <w:rsid w:val="009E5806"/>
    <w:rsid w:val="009E5EFE"/>
    <w:rsid w:val="009E6012"/>
    <w:rsid w:val="009E6B24"/>
    <w:rsid w:val="009E7B1F"/>
    <w:rsid w:val="009E7C7C"/>
    <w:rsid w:val="009E7EDD"/>
    <w:rsid w:val="009F0907"/>
    <w:rsid w:val="009F0AA2"/>
    <w:rsid w:val="009F1097"/>
    <w:rsid w:val="009F13D5"/>
    <w:rsid w:val="009F1983"/>
    <w:rsid w:val="009F1F41"/>
    <w:rsid w:val="009F208D"/>
    <w:rsid w:val="009F23BD"/>
    <w:rsid w:val="009F24FC"/>
    <w:rsid w:val="009F2652"/>
    <w:rsid w:val="009F28DA"/>
    <w:rsid w:val="009F2913"/>
    <w:rsid w:val="009F2F4A"/>
    <w:rsid w:val="009F38CE"/>
    <w:rsid w:val="009F3C50"/>
    <w:rsid w:val="009F3FDB"/>
    <w:rsid w:val="009F421A"/>
    <w:rsid w:val="009F425D"/>
    <w:rsid w:val="009F42B3"/>
    <w:rsid w:val="009F48AA"/>
    <w:rsid w:val="009F4ACA"/>
    <w:rsid w:val="009F4E34"/>
    <w:rsid w:val="009F532D"/>
    <w:rsid w:val="009F5805"/>
    <w:rsid w:val="009F583B"/>
    <w:rsid w:val="009F5ABB"/>
    <w:rsid w:val="009F6253"/>
    <w:rsid w:val="009F6ACC"/>
    <w:rsid w:val="009F6B67"/>
    <w:rsid w:val="009F7087"/>
    <w:rsid w:val="009F73A1"/>
    <w:rsid w:val="009F76C4"/>
    <w:rsid w:val="009F7DA5"/>
    <w:rsid w:val="009F7F00"/>
    <w:rsid w:val="00A00330"/>
    <w:rsid w:val="00A00672"/>
    <w:rsid w:val="00A00F9E"/>
    <w:rsid w:val="00A012DB"/>
    <w:rsid w:val="00A01594"/>
    <w:rsid w:val="00A01832"/>
    <w:rsid w:val="00A01A2C"/>
    <w:rsid w:val="00A01B11"/>
    <w:rsid w:val="00A0283A"/>
    <w:rsid w:val="00A02887"/>
    <w:rsid w:val="00A02F1E"/>
    <w:rsid w:val="00A02FCC"/>
    <w:rsid w:val="00A03F4D"/>
    <w:rsid w:val="00A04017"/>
    <w:rsid w:val="00A04318"/>
    <w:rsid w:val="00A0457F"/>
    <w:rsid w:val="00A04927"/>
    <w:rsid w:val="00A0497C"/>
    <w:rsid w:val="00A04BBC"/>
    <w:rsid w:val="00A04BE9"/>
    <w:rsid w:val="00A04F4B"/>
    <w:rsid w:val="00A04FFB"/>
    <w:rsid w:val="00A0585A"/>
    <w:rsid w:val="00A05CBF"/>
    <w:rsid w:val="00A05E5A"/>
    <w:rsid w:val="00A06447"/>
    <w:rsid w:val="00A0695D"/>
    <w:rsid w:val="00A06E12"/>
    <w:rsid w:val="00A07483"/>
    <w:rsid w:val="00A07554"/>
    <w:rsid w:val="00A10AC7"/>
    <w:rsid w:val="00A10AEE"/>
    <w:rsid w:val="00A10B0B"/>
    <w:rsid w:val="00A10D9D"/>
    <w:rsid w:val="00A10DA5"/>
    <w:rsid w:val="00A11319"/>
    <w:rsid w:val="00A11A60"/>
    <w:rsid w:val="00A1248A"/>
    <w:rsid w:val="00A12A2D"/>
    <w:rsid w:val="00A12E81"/>
    <w:rsid w:val="00A13915"/>
    <w:rsid w:val="00A13C4E"/>
    <w:rsid w:val="00A13F87"/>
    <w:rsid w:val="00A14560"/>
    <w:rsid w:val="00A14628"/>
    <w:rsid w:val="00A14D7C"/>
    <w:rsid w:val="00A14E53"/>
    <w:rsid w:val="00A15418"/>
    <w:rsid w:val="00A16909"/>
    <w:rsid w:val="00A16B7B"/>
    <w:rsid w:val="00A178E7"/>
    <w:rsid w:val="00A178FD"/>
    <w:rsid w:val="00A17F7B"/>
    <w:rsid w:val="00A20195"/>
    <w:rsid w:val="00A2025F"/>
    <w:rsid w:val="00A20303"/>
    <w:rsid w:val="00A2032E"/>
    <w:rsid w:val="00A20829"/>
    <w:rsid w:val="00A20C72"/>
    <w:rsid w:val="00A22357"/>
    <w:rsid w:val="00A225C6"/>
    <w:rsid w:val="00A2333B"/>
    <w:rsid w:val="00A23B92"/>
    <w:rsid w:val="00A23F13"/>
    <w:rsid w:val="00A240BF"/>
    <w:rsid w:val="00A242E1"/>
    <w:rsid w:val="00A24643"/>
    <w:rsid w:val="00A248CA"/>
    <w:rsid w:val="00A249A0"/>
    <w:rsid w:val="00A249F7"/>
    <w:rsid w:val="00A24B24"/>
    <w:rsid w:val="00A24B51"/>
    <w:rsid w:val="00A24C80"/>
    <w:rsid w:val="00A24E4F"/>
    <w:rsid w:val="00A252C3"/>
    <w:rsid w:val="00A252CE"/>
    <w:rsid w:val="00A26199"/>
    <w:rsid w:val="00A26FE8"/>
    <w:rsid w:val="00A2728D"/>
    <w:rsid w:val="00A2746B"/>
    <w:rsid w:val="00A27EC4"/>
    <w:rsid w:val="00A27F83"/>
    <w:rsid w:val="00A3027C"/>
    <w:rsid w:val="00A307B9"/>
    <w:rsid w:val="00A30A76"/>
    <w:rsid w:val="00A30E02"/>
    <w:rsid w:val="00A30EB9"/>
    <w:rsid w:val="00A311AB"/>
    <w:rsid w:val="00A31367"/>
    <w:rsid w:val="00A3186F"/>
    <w:rsid w:val="00A31ED0"/>
    <w:rsid w:val="00A32CAE"/>
    <w:rsid w:val="00A3371D"/>
    <w:rsid w:val="00A33C2B"/>
    <w:rsid w:val="00A33EE9"/>
    <w:rsid w:val="00A341C0"/>
    <w:rsid w:val="00A348D3"/>
    <w:rsid w:val="00A34F21"/>
    <w:rsid w:val="00A34FA2"/>
    <w:rsid w:val="00A35037"/>
    <w:rsid w:val="00A3523E"/>
    <w:rsid w:val="00A352BC"/>
    <w:rsid w:val="00A35521"/>
    <w:rsid w:val="00A35C4E"/>
    <w:rsid w:val="00A3673A"/>
    <w:rsid w:val="00A367E1"/>
    <w:rsid w:val="00A36884"/>
    <w:rsid w:val="00A3707D"/>
    <w:rsid w:val="00A37822"/>
    <w:rsid w:val="00A37C8C"/>
    <w:rsid w:val="00A37DB5"/>
    <w:rsid w:val="00A37E59"/>
    <w:rsid w:val="00A37FEC"/>
    <w:rsid w:val="00A40757"/>
    <w:rsid w:val="00A4079A"/>
    <w:rsid w:val="00A40A62"/>
    <w:rsid w:val="00A40BF6"/>
    <w:rsid w:val="00A40C5B"/>
    <w:rsid w:val="00A40D9E"/>
    <w:rsid w:val="00A40E17"/>
    <w:rsid w:val="00A40FEF"/>
    <w:rsid w:val="00A412B4"/>
    <w:rsid w:val="00A415A9"/>
    <w:rsid w:val="00A41767"/>
    <w:rsid w:val="00A417AF"/>
    <w:rsid w:val="00A41EE2"/>
    <w:rsid w:val="00A42538"/>
    <w:rsid w:val="00A42AAE"/>
    <w:rsid w:val="00A42BE2"/>
    <w:rsid w:val="00A43680"/>
    <w:rsid w:val="00A43CB2"/>
    <w:rsid w:val="00A4422A"/>
    <w:rsid w:val="00A44286"/>
    <w:rsid w:val="00A4460E"/>
    <w:rsid w:val="00A446ED"/>
    <w:rsid w:val="00A44794"/>
    <w:rsid w:val="00A448EF"/>
    <w:rsid w:val="00A44E0A"/>
    <w:rsid w:val="00A44F16"/>
    <w:rsid w:val="00A4514A"/>
    <w:rsid w:val="00A4544B"/>
    <w:rsid w:val="00A45793"/>
    <w:rsid w:val="00A45AAA"/>
    <w:rsid w:val="00A4612A"/>
    <w:rsid w:val="00A461A9"/>
    <w:rsid w:val="00A463B8"/>
    <w:rsid w:val="00A46541"/>
    <w:rsid w:val="00A473A0"/>
    <w:rsid w:val="00A47613"/>
    <w:rsid w:val="00A50017"/>
    <w:rsid w:val="00A5097F"/>
    <w:rsid w:val="00A50A2F"/>
    <w:rsid w:val="00A51505"/>
    <w:rsid w:val="00A517D9"/>
    <w:rsid w:val="00A51A64"/>
    <w:rsid w:val="00A51A85"/>
    <w:rsid w:val="00A53E27"/>
    <w:rsid w:val="00A543EB"/>
    <w:rsid w:val="00A54707"/>
    <w:rsid w:val="00A54930"/>
    <w:rsid w:val="00A5527F"/>
    <w:rsid w:val="00A555A6"/>
    <w:rsid w:val="00A555DC"/>
    <w:rsid w:val="00A556DE"/>
    <w:rsid w:val="00A55B03"/>
    <w:rsid w:val="00A55DC7"/>
    <w:rsid w:val="00A56028"/>
    <w:rsid w:val="00A561FD"/>
    <w:rsid w:val="00A562E6"/>
    <w:rsid w:val="00A56DCA"/>
    <w:rsid w:val="00A56EB0"/>
    <w:rsid w:val="00A57135"/>
    <w:rsid w:val="00A57514"/>
    <w:rsid w:val="00A57602"/>
    <w:rsid w:val="00A57824"/>
    <w:rsid w:val="00A606AE"/>
    <w:rsid w:val="00A608D2"/>
    <w:rsid w:val="00A60A7C"/>
    <w:rsid w:val="00A60AD2"/>
    <w:rsid w:val="00A60DB5"/>
    <w:rsid w:val="00A60DE3"/>
    <w:rsid w:val="00A60EDD"/>
    <w:rsid w:val="00A62BA4"/>
    <w:rsid w:val="00A62F1B"/>
    <w:rsid w:val="00A63118"/>
    <w:rsid w:val="00A63947"/>
    <w:rsid w:val="00A63F11"/>
    <w:rsid w:val="00A64063"/>
    <w:rsid w:val="00A64B40"/>
    <w:rsid w:val="00A64DD4"/>
    <w:rsid w:val="00A6525E"/>
    <w:rsid w:val="00A6526E"/>
    <w:rsid w:val="00A6574A"/>
    <w:rsid w:val="00A66962"/>
    <w:rsid w:val="00A6696C"/>
    <w:rsid w:val="00A66988"/>
    <w:rsid w:val="00A66C6F"/>
    <w:rsid w:val="00A66F0B"/>
    <w:rsid w:val="00A674A2"/>
    <w:rsid w:val="00A67BA0"/>
    <w:rsid w:val="00A70049"/>
    <w:rsid w:val="00A700D2"/>
    <w:rsid w:val="00A70633"/>
    <w:rsid w:val="00A71831"/>
    <w:rsid w:val="00A72295"/>
    <w:rsid w:val="00A722AF"/>
    <w:rsid w:val="00A72310"/>
    <w:rsid w:val="00A72611"/>
    <w:rsid w:val="00A72FE5"/>
    <w:rsid w:val="00A73091"/>
    <w:rsid w:val="00A73156"/>
    <w:rsid w:val="00A7328B"/>
    <w:rsid w:val="00A7388F"/>
    <w:rsid w:val="00A73DA1"/>
    <w:rsid w:val="00A73EF0"/>
    <w:rsid w:val="00A74112"/>
    <w:rsid w:val="00A74B3D"/>
    <w:rsid w:val="00A74E2A"/>
    <w:rsid w:val="00A7504B"/>
    <w:rsid w:val="00A75A7C"/>
    <w:rsid w:val="00A76160"/>
    <w:rsid w:val="00A76521"/>
    <w:rsid w:val="00A77154"/>
    <w:rsid w:val="00A77462"/>
    <w:rsid w:val="00A775F1"/>
    <w:rsid w:val="00A7792B"/>
    <w:rsid w:val="00A77A58"/>
    <w:rsid w:val="00A77E37"/>
    <w:rsid w:val="00A8034E"/>
    <w:rsid w:val="00A80774"/>
    <w:rsid w:val="00A80BBE"/>
    <w:rsid w:val="00A80BD2"/>
    <w:rsid w:val="00A80E6F"/>
    <w:rsid w:val="00A81005"/>
    <w:rsid w:val="00A812B6"/>
    <w:rsid w:val="00A81543"/>
    <w:rsid w:val="00A81A39"/>
    <w:rsid w:val="00A8248C"/>
    <w:rsid w:val="00A825FF"/>
    <w:rsid w:val="00A8294F"/>
    <w:rsid w:val="00A8297B"/>
    <w:rsid w:val="00A83ED2"/>
    <w:rsid w:val="00A8413F"/>
    <w:rsid w:val="00A841C9"/>
    <w:rsid w:val="00A846F7"/>
    <w:rsid w:val="00A848B2"/>
    <w:rsid w:val="00A849A5"/>
    <w:rsid w:val="00A84E08"/>
    <w:rsid w:val="00A851FA"/>
    <w:rsid w:val="00A85204"/>
    <w:rsid w:val="00A85602"/>
    <w:rsid w:val="00A85A19"/>
    <w:rsid w:val="00A862B9"/>
    <w:rsid w:val="00A8631F"/>
    <w:rsid w:val="00A86452"/>
    <w:rsid w:val="00A87611"/>
    <w:rsid w:val="00A87C84"/>
    <w:rsid w:val="00A87D49"/>
    <w:rsid w:val="00A90030"/>
    <w:rsid w:val="00A90046"/>
    <w:rsid w:val="00A90542"/>
    <w:rsid w:val="00A909B5"/>
    <w:rsid w:val="00A90A3E"/>
    <w:rsid w:val="00A90AD0"/>
    <w:rsid w:val="00A9101B"/>
    <w:rsid w:val="00A91662"/>
    <w:rsid w:val="00A91A56"/>
    <w:rsid w:val="00A91A5F"/>
    <w:rsid w:val="00A91F90"/>
    <w:rsid w:val="00A91FD2"/>
    <w:rsid w:val="00A93845"/>
    <w:rsid w:val="00A93DD6"/>
    <w:rsid w:val="00A93E60"/>
    <w:rsid w:val="00A94AD1"/>
    <w:rsid w:val="00A94ED5"/>
    <w:rsid w:val="00A9525F"/>
    <w:rsid w:val="00A953AC"/>
    <w:rsid w:val="00A95437"/>
    <w:rsid w:val="00A95523"/>
    <w:rsid w:val="00A95852"/>
    <w:rsid w:val="00A95BDD"/>
    <w:rsid w:val="00A96705"/>
    <w:rsid w:val="00A968C9"/>
    <w:rsid w:val="00A9696C"/>
    <w:rsid w:val="00A974BC"/>
    <w:rsid w:val="00A977AE"/>
    <w:rsid w:val="00A977B0"/>
    <w:rsid w:val="00AA07C3"/>
    <w:rsid w:val="00AA0987"/>
    <w:rsid w:val="00AA0F40"/>
    <w:rsid w:val="00AA1283"/>
    <w:rsid w:val="00AA133C"/>
    <w:rsid w:val="00AA19A1"/>
    <w:rsid w:val="00AA1A2E"/>
    <w:rsid w:val="00AA1DE4"/>
    <w:rsid w:val="00AA1E72"/>
    <w:rsid w:val="00AA274A"/>
    <w:rsid w:val="00AA2F11"/>
    <w:rsid w:val="00AA3595"/>
    <w:rsid w:val="00AA39DB"/>
    <w:rsid w:val="00AA3F6D"/>
    <w:rsid w:val="00AA3FD0"/>
    <w:rsid w:val="00AA4582"/>
    <w:rsid w:val="00AA5177"/>
    <w:rsid w:val="00AA54D3"/>
    <w:rsid w:val="00AA55C7"/>
    <w:rsid w:val="00AA5D97"/>
    <w:rsid w:val="00AA6367"/>
    <w:rsid w:val="00AA6792"/>
    <w:rsid w:val="00AA67FF"/>
    <w:rsid w:val="00AA6F87"/>
    <w:rsid w:val="00AA7164"/>
    <w:rsid w:val="00AA7215"/>
    <w:rsid w:val="00AA7CAF"/>
    <w:rsid w:val="00AB0046"/>
    <w:rsid w:val="00AB08CE"/>
    <w:rsid w:val="00AB0C38"/>
    <w:rsid w:val="00AB1750"/>
    <w:rsid w:val="00AB1878"/>
    <w:rsid w:val="00AB1899"/>
    <w:rsid w:val="00AB1C75"/>
    <w:rsid w:val="00AB1DE7"/>
    <w:rsid w:val="00AB1E7B"/>
    <w:rsid w:val="00AB241B"/>
    <w:rsid w:val="00AB24F1"/>
    <w:rsid w:val="00AB257C"/>
    <w:rsid w:val="00AB2F28"/>
    <w:rsid w:val="00AB365E"/>
    <w:rsid w:val="00AB36B6"/>
    <w:rsid w:val="00AB3FE4"/>
    <w:rsid w:val="00AB443B"/>
    <w:rsid w:val="00AB44CD"/>
    <w:rsid w:val="00AB4667"/>
    <w:rsid w:val="00AB46C3"/>
    <w:rsid w:val="00AB4E1B"/>
    <w:rsid w:val="00AB4EA7"/>
    <w:rsid w:val="00AB4FEF"/>
    <w:rsid w:val="00AB57F6"/>
    <w:rsid w:val="00AB5AF3"/>
    <w:rsid w:val="00AB5DEE"/>
    <w:rsid w:val="00AB5E4E"/>
    <w:rsid w:val="00AB62E6"/>
    <w:rsid w:val="00AB638D"/>
    <w:rsid w:val="00AB6B43"/>
    <w:rsid w:val="00AB6E51"/>
    <w:rsid w:val="00AB76E0"/>
    <w:rsid w:val="00AB7A71"/>
    <w:rsid w:val="00AB7C65"/>
    <w:rsid w:val="00AB7CA4"/>
    <w:rsid w:val="00AC0076"/>
    <w:rsid w:val="00AC0A98"/>
    <w:rsid w:val="00AC0D24"/>
    <w:rsid w:val="00AC14EC"/>
    <w:rsid w:val="00AC1729"/>
    <w:rsid w:val="00AC18B9"/>
    <w:rsid w:val="00AC1F7D"/>
    <w:rsid w:val="00AC2954"/>
    <w:rsid w:val="00AC2E5B"/>
    <w:rsid w:val="00AC3200"/>
    <w:rsid w:val="00AC3300"/>
    <w:rsid w:val="00AC414B"/>
    <w:rsid w:val="00AC41AA"/>
    <w:rsid w:val="00AC420C"/>
    <w:rsid w:val="00AC4342"/>
    <w:rsid w:val="00AC49A6"/>
    <w:rsid w:val="00AC4BF9"/>
    <w:rsid w:val="00AC50F2"/>
    <w:rsid w:val="00AC535C"/>
    <w:rsid w:val="00AC539F"/>
    <w:rsid w:val="00AC559C"/>
    <w:rsid w:val="00AC563F"/>
    <w:rsid w:val="00AC6147"/>
    <w:rsid w:val="00AC6261"/>
    <w:rsid w:val="00AC63A4"/>
    <w:rsid w:val="00AC645F"/>
    <w:rsid w:val="00AC6DDB"/>
    <w:rsid w:val="00AC779C"/>
    <w:rsid w:val="00AD04FE"/>
    <w:rsid w:val="00AD06C1"/>
    <w:rsid w:val="00AD0B87"/>
    <w:rsid w:val="00AD119D"/>
    <w:rsid w:val="00AD12AC"/>
    <w:rsid w:val="00AD1536"/>
    <w:rsid w:val="00AD1C9E"/>
    <w:rsid w:val="00AD1CD5"/>
    <w:rsid w:val="00AD27B4"/>
    <w:rsid w:val="00AD3012"/>
    <w:rsid w:val="00AD3222"/>
    <w:rsid w:val="00AD32F7"/>
    <w:rsid w:val="00AD3A95"/>
    <w:rsid w:val="00AD3DB0"/>
    <w:rsid w:val="00AD44E5"/>
    <w:rsid w:val="00AD4519"/>
    <w:rsid w:val="00AD481E"/>
    <w:rsid w:val="00AD50E2"/>
    <w:rsid w:val="00AD584B"/>
    <w:rsid w:val="00AD5DC0"/>
    <w:rsid w:val="00AD5ED6"/>
    <w:rsid w:val="00AD5F24"/>
    <w:rsid w:val="00AD5FD7"/>
    <w:rsid w:val="00AD6061"/>
    <w:rsid w:val="00AD63D3"/>
    <w:rsid w:val="00AD65BA"/>
    <w:rsid w:val="00AD6851"/>
    <w:rsid w:val="00AD6B5D"/>
    <w:rsid w:val="00AD7027"/>
    <w:rsid w:val="00AD71D9"/>
    <w:rsid w:val="00AD7E85"/>
    <w:rsid w:val="00AE06A0"/>
    <w:rsid w:val="00AE0B67"/>
    <w:rsid w:val="00AE0EE7"/>
    <w:rsid w:val="00AE11ED"/>
    <w:rsid w:val="00AE120E"/>
    <w:rsid w:val="00AE17A1"/>
    <w:rsid w:val="00AE22BE"/>
    <w:rsid w:val="00AE244F"/>
    <w:rsid w:val="00AE24A2"/>
    <w:rsid w:val="00AE2AD5"/>
    <w:rsid w:val="00AE3436"/>
    <w:rsid w:val="00AE35CD"/>
    <w:rsid w:val="00AE4C21"/>
    <w:rsid w:val="00AE537F"/>
    <w:rsid w:val="00AE5544"/>
    <w:rsid w:val="00AE5DF9"/>
    <w:rsid w:val="00AE64A7"/>
    <w:rsid w:val="00AE6CA9"/>
    <w:rsid w:val="00AE6D16"/>
    <w:rsid w:val="00AE6E66"/>
    <w:rsid w:val="00AE70AA"/>
    <w:rsid w:val="00AE73F3"/>
    <w:rsid w:val="00AE7BC3"/>
    <w:rsid w:val="00AF0271"/>
    <w:rsid w:val="00AF099F"/>
    <w:rsid w:val="00AF10A8"/>
    <w:rsid w:val="00AF1218"/>
    <w:rsid w:val="00AF1248"/>
    <w:rsid w:val="00AF12CD"/>
    <w:rsid w:val="00AF164B"/>
    <w:rsid w:val="00AF16F5"/>
    <w:rsid w:val="00AF190A"/>
    <w:rsid w:val="00AF1BD5"/>
    <w:rsid w:val="00AF1CA0"/>
    <w:rsid w:val="00AF1E89"/>
    <w:rsid w:val="00AF1FFD"/>
    <w:rsid w:val="00AF205D"/>
    <w:rsid w:val="00AF242C"/>
    <w:rsid w:val="00AF26D1"/>
    <w:rsid w:val="00AF3022"/>
    <w:rsid w:val="00AF312A"/>
    <w:rsid w:val="00AF3241"/>
    <w:rsid w:val="00AF3A16"/>
    <w:rsid w:val="00AF3A3C"/>
    <w:rsid w:val="00AF3E31"/>
    <w:rsid w:val="00AF4109"/>
    <w:rsid w:val="00AF4235"/>
    <w:rsid w:val="00AF489E"/>
    <w:rsid w:val="00AF4B35"/>
    <w:rsid w:val="00AF5E98"/>
    <w:rsid w:val="00AF5ED0"/>
    <w:rsid w:val="00AF68D2"/>
    <w:rsid w:val="00AF71D6"/>
    <w:rsid w:val="00AF732C"/>
    <w:rsid w:val="00AF74C8"/>
    <w:rsid w:val="00AF7B4A"/>
    <w:rsid w:val="00AF7C95"/>
    <w:rsid w:val="00AF7DE7"/>
    <w:rsid w:val="00B00085"/>
    <w:rsid w:val="00B006A8"/>
    <w:rsid w:val="00B00966"/>
    <w:rsid w:val="00B00CC1"/>
    <w:rsid w:val="00B00DE8"/>
    <w:rsid w:val="00B010C7"/>
    <w:rsid w:val="00B011F2"/>
    <w:rsid w:val="00B012DD"/>
    <w:rsid w:val="00B019A1"/>
    <w:rsid w:val="00B01EA9"/>
    <w:rsid w:val="00B0214A"/>
    <w:rsid w:val="00B0247F"/>
    <w:rsid w:val="00B02711"/>
    <w:rsid w:val="00B02A41"/>
    <w:rsid w:val="00B02B0D"/>
    <w:rsid w:val="00B0343C"/>
    <w:rsid w:val="00B036E0"/>
    <w:rsid w:val="00B039F0"/>
    <w:rsid w:val="00B03AF2"/>
    <w:rsid w:val="00B03C0C"/>
    <w:rsid w:val="00B03D11"/>
    <w:rsid w:val="00B04268"/>
    <w:rsid w:val="00B049D7"/>
    <w:rsid w:val="00B04A6B"/>
    <w:rsid w:val="00B04F49"/>
    <w:rsid w:val="00B05191"/>
    <w:rsid w:val="00B0527D"/>
    <w:rsid w:val="00B0532B"/>
    <w:rsid w:val="00B0589E"/>
    <w:rsid w:val="00B05EF9"/>
    <w:rsid w:val="00B067C3"/>
    <w:rsid w:val="00B06952"/>
    <w:rsid w:val="00B06E02"/>
    <w:rsid w:val="00B07348"/>
    <w:rsid w:val="00B0772A"/>
    <w:rsid w:val="00B078A9"/>
    <w:rsid w:val="00B07CFD"/>
    <w:rsid w:val="00B100AC"/>
    <w:rsid w:val="00B103A6"/>
    <w:rsid w:val="00B1053E"/>
    <w:rsid w:val="00B10A38"/>
    <w:rsid w:val="00B10A61"/>
    <w:rsid w:val="00B10E27"/>
    <w:rsid w:val="00B110AB"/>
    <w:rsid w:val="00B110C1"/>
    <w:rsid w:val="00B110DB"/>
    <w:rsid w:val="00B1189B"/>
    <w:rsid w:val="00B12935"/>
    <w:rsid w:val="00B129B7"/>
    <w:rsid w:val="00B12B2D"/>
    <w:rsid w:val="00B13128"/>
    <w:rsid w:val="00B13721"/>
    <w:rsid w:val="00B139AE"/>
    <w:rsid w:val="00B13AC3"/>
    <w:rsid w:val="00B13C4B"/>
    <w:rsid w:val="00B14298"/>
    <w:rsid w:val="00B14BE9"/>
    <w:rsid w:val="00B14EA1"/>
    <w:rsid w:val="00B1577D"/>
    <w:rsid w:val="00B15C58"/>
    <w:rsid w:val="00B16262"/>
    <w:rsid w:val="00B16A1D"/>
    <w:rsid w:val="00B16AD0"/>
    <w:rsid w:val="00B16BE0"/>
    <w:rsid w:val="00B16C80"/>
    <w:rsid w:val="00B16D2E"/>
    <w:rsid w:val="00B170A3"/>
    <w:rsid w:val="00B1783A"/>
    <w:rsid w:val="00B17ADD"/>
    <w:rsid w:val="00B17B02"/>
    <w:rsid w:val="00B17DB6"/>
    <w:rsid w:val="00B20173"/>
    <w:rsid w:val="00B201FA"/>
    <w:rsid w:val="00B20366"/>
    <w:rsid w:val="00B209F4"/>
    <w:rsid w:val="00B20BB9"/>
    <w:rsid w:val="00B20F01"/>
    <w:rsid w:val="00B2122C"/>
    <w:rsid w:val="00B21242"/>
    <w:rsid w:val="00B213AF"/>
    <w:rsid w:val="00B21884"/>
    <w:rsid w:val="00B21E9A"/>
    <w:rsid w:val="00B2229F"/>
    <w:rsid w:val="00B223D6"/>
    <w:rsid w:val="00B22B62"/>
    <w:rsid w:val="00B22D04"/>
    <w:rsid w:val="00B23068"/>
    <w:rsid w:val="00B237FA"/>
    <w:rsid w:val="00B2387C"/>
    <w:rsid w:val="00B23E91"/>
    <w:rsid w:val="00B23FEF"/>
    <w:rsid w:val="00B240E7"/>
    <w:rsid w:val="00B24250"/>
    <w:rsid w:val="00B2429A"/>
    <w:rsid w:val="00B2443F"/>
    <w:rsid w:val="00B245F2"/>
    <w:rsid w:val="00B24950"/>
    <w:rsid w:val="00B24BF4"/>
    <w:rsid w:val="00B24D9B"/>
    <w:rsid w:val="00B24E45"/>
    <w:rsid w:val="00B24EA2"/>
    <w:rsid w:val="00B2623A"/>
    <w:rsid w:val="00B26519"/>
    <w:rsid w:val="00B267BB"/>
    <w:rsid w:val="00B26E23"/>
    <w:rsid w:val="00B270B6"/>
    <w:rsid w:val="00B2757E"/>
    <w:rsid w:val="00B27B66"/>
    <w:rsid w:val="00B27DEF"/>
    <w:rsid w:val="00B3002A"/>
    <w:rsid w:val="00B30909"/>
    <w:rsid w:val="00B30A94"/>
    <w:rsid w:val="00B30B56"/>
    <w:rsid w:val="00B30BDE"/>
    <w:rsid w:val="00B30CDD"/>
    <w:rsid w:val="00B30D6F"/>
    <w:rsid w:val="00B30FF5"/>
    <w:rsid w:val="00B31061"/>
    <w:rsid w:val="00B31287"/>
    <w:rsid w:val="00B31322"/>
    <w:rsid w:val="00B314D9"/>
    <w:rsid w:val="00B31606"/>
    <w:rsid w:val="00B31D49"/>
    <w:rsid w:val="00B32126"/>
    <w:rsid w:val="00B329C7"/>
    <w:rsid w:val="00B33729"/>
    <w:rsid w:val="00B33CE1"/>
    <w:rsid w:val="00B33DC4"/>
    <w:rsid w:val="00B34B04"/>
    <w:rsid w:val="00B34F16"/>
    <w:rsid w:val="00B35DC3"/>
    <w:rsid w:val="00B3669A"/>
    <w:rsid w:val="00B3677B"/>
    <w:rsid w:val="00B369D3"/>
    <w:rsid w:val="00B36A14"/>
    <w:rsid w:val="00B36C0C"/>
    <w:rsid w:val="00B3738D"/>
    <w:rsid w:val="00B378BA"/>
    <w:rsid w:val="00B378E7"/>
    <w:rsid w:val="00B378F9"/>
    <w:rsid w:val="00B37E05"/>
    <w:rsid w:val="00B37E10"/>
    <w:rsid w:val="00B37F65"/>
    <w:rsid w:val="00B37F8A"/>
    <w:rsid w:val="00B40B2F"/>
    <w:rsid w:val="00B40BE5"/>
    <w:rsid w:val="00B40C9B"/>
    <w:rsid w:val="00B40E29"/>
    <w:rsid w:val="00B40E83"/>
    <w:rsid w:val="00B414B6"/>
    <w:rsid w:val="00B4152F"/>
    <w:rsid w:val="00B417F7"/>
    <w:rsid w:val="00B418FB"/>
    <w:rsid w:val="00B41A74"/>
    <w:rsid w:val="00B41DDD"/>
    <w:rsid w:val="00B41FED"/>
    <w:rsid w:val="00B421CC"/>
    <w:rsid w:val="00B42914"/>
    <w:rsid w:val="00B429BD"/>
    <w:rsid w:val="00B42F86"/>
    <w:rsid w:val="00B432B9"/>
    <w:rsid w:val="00B4333D"/>
    <w:rsid w:val="00B43A5C"/>
    <w:rsid w:val="00B43CE3"/>
    <w:rsid w:val="00B43E7F"/>
    <w:rsid w:val="00B43EAE"/>
    <w:rsid w:val="00B44208"/>
    <w:rsid w:val="00B44C1C"/>
    <w:rsid w:val="00B44D0D"/>
    <w:rsid w:val="00B45414"/>
    <w:rsid w:val="00B45BCB"/>
    <w:rsid w:val="00B45C7E"/>
    <w:rsid w:val="00B45D1C"/>
    <w:rsid w:val="00B45E61"/>
    <w:rsid w:val="00B46240"/>
    <w:rsid w:val="00B4647C"/>
    <w:rsid w:val="00B466BC"/>
    <w:rsid w:val="00B47048"/>
    <w:rsid w:val="00B4726C"/>
    <w:rsid w:val="00B47270"/>
    <w:rsid w:val="00B476DE"/>
    <w:rsid w:val="00B47730"/>
    <w:rsid w:val="00B50E5D"/>
    <w:rsid w:val="00B50F25"/>
    <w:rsid w:val="00B50F32"/>
    <w:rsid w:val="00B5181A"/>
    <w:rsid w:val="00B51846"/>
    <w:rsid w:val="00B5196B"/>
    <w:rsid w:val="00B5197A"/>
    <w:rsid w:val="00B51B93"/>
    <w:rsid w:val="00B52123"/>
    <w:rsid w:val="00B52192"/>
    <w:rsid w:val="00B529DF"/>
    <w:rsid w:val="00B529E2"/>
    <w:rsid w:val="00B52E1C"/>
    <w:rsid w:val="00B53232"/>
    <w:rsid w:val="00B534FA"/>
    <w:rsid w:val="00B538A7"/>
    <w:rsid w:val="00B53984"/>
    <w:rsid w:val="00B53EDF"/>
    <w:rsid w:val="00B542CF"/>
    <w:rsid w:val="00B54562"/>
    <w:rsid w:val="00B5493B"/>
    <w:rsid w:val="00B54B62"/>
    <w:rsid w:val="00B5516C"/>
    <w:rsid w:val="00B554CE"/>
    <w:rsid w:val="00B5559A"/>
    <w:rsid w:val="00B5580F"/>
    <w:rsid w:val="00B5581C"/>
    <w:rsid w:val="00B55E9E"/>
    <w:rsid w:val="00B565F1"/>
    <w:rsid w:val="00B566E2"/>
    <w:rsid w:val="00B56995"/>
    <w:rsid w:val="00B56B53"/>
    <w:rsid w:val="00B56C71"/>
    <w:rsid w:val="00B56E2A"/>
    <w:rsid w:val="00B5703E"/>
    <w:rsid w:val="00B573FE"/>
    <w:rsid w:val="00B57DA2"/>
    <w:rsid w:val="00B57DC1"/>
    <w:rsid w:val="00B57EE0"/>
    <w:rsid w:val="00B57F17"/>
    <w:rsid w:val="00B602EC"/>
    <w:rsid w:val="00B6079A"/>
    <w:rsid w:val="00B608A3"/>
    <w:rsid w:val="00B609F3"/>
    <w:rsid w:val="00B60FE8"/>
    <w:rsid w:val="00B6108F"/>
    <w:rsid w:val="00B6120B"/>
    <w:rsid w:val="00B61317"/>
    <w:rsid w:val="00B61869"/>
    <w:rsid w:val="00B61C85"/>
    <w:rsid w:val="00B62244"/>
    <w:rsid w:val="00B625C3"/>
    <w:rsid w:val="00B62756"/>
    <w:rsid w:val="00B6277B"/>
    <w:rsid w:val="00B62C37"/>
    <w:rsid w:val="00B63FEA"/>
    <w:rsid w:val="00B64205"/>
    <w:rsid w:val="00B6423F"/>
    <w:rsid w:val="00B642CD"/>
    <w:rsid w:val="00B64340"/>
    <w:rsid w:val="00B64364"/>
    <w:rsid w:val="00B646BF"/>
    <w:rsid w:val="00B64906"/>
    <w:rsid w:val="00B64941"/>
    <w:rsid w:val="00B654DB"/>
    <w:rsid w:val="00B657E8"/>
    <w:rsid w:val="00B65833"/>
    <w:rsid w:val="00B65A2D"/>
    <w:rsid w:val="00B65BBE"/>
    <w:rsid w:val="00B66261"/>
    <w:rsid w:val="00B66672"/>
    <w:rsid w:val="00B669A6"/>
    <w:rsid w:val="00B669B3"/>
    <w:rsid w:val="00B66F09"/>
    <w:rsid w:val="00B67B77"/>
    <w:rsid w:val="00B67EBD"/>
    <w:rsid w:val="00B703AF"/>
    <w:rsid w:val="00B703C7"/>
    <w:rsid w:val="00B705CF"/>
    <w:rsid w:val="00B708FB"/>
    <w:rsid w:val="00B70BA5"/>
    <w:rsid w:val="00B711C3"/>
    <w:rsid w:val="00B711F0"/>
    <w:rsid w:val="00B714CA"/>
    <w:rsid w:val="00B716C8"/>
    <w:rsid w:val="00B721A5"/>
    <w:rsid w:val="00B721C7"/>
    <w:rsid w:val="00B727AD"/>
    <w:rsid w:val="00B72BCF"/>
    <w:rsid w:val="00B72E9D"/>
    <w:rsid w:val="00B7329D"/>
    <w:rsid w:val="00B73395"/>
    <w:rsid w:val="00B7353A"/>
    <w:rsid w:val="00B73850"/>
    <w:rsid w:val="00B738DC"/>
    <w:rsid w:val="00B7424D"/>
    <w:rsid w:val="00B743A0"/>
    <w:rsid w:val="00B74475"/>
    <w:rsid w:val="00B74858"/>
    <w:rsid w:val="00B74A09"/>
    <w:rsid w:val="00B74A3A"/>
    <w:rsid w:val="00B74CDA"/>
    <w:rsid w:val="00B74D9E"/>
    <w:rsid w:val="00B7572F"/>
    <w:rsid w:val="00B75DEF"/>
    <w:rsid w:val="00B76064"/>
    <w:rsid w:val="00B76D84"/>
    <w:rsid w:val="00B77876"/>
    <w:rsid w:val="00B7788E"/>
    <w:rsid w:val="00B80307"/>
    <w:rsid w:val="00B809F2"/>
    <w:rsid w:val="00B80E88"/>
    <w:rsid w:val="00B81096"/>
    <w:rsid w:val="00B81142"/>
    <w:rsid w:val="00B816B8"/>
    <w:rsid w:val="00B81BBB"/>
    <w:rsid w:val="00B82272"/>
    <w:rsid w:val="00B82360"/>
    <w:rsid w:val="00B82B4F"/>
    <w:rsid w:val="00B82B78"/>
    <w:rsid w:val="00B82EDC"/>
    <w:rsid w:val="00B832B4"/>
    <w:rsid w:val="00B834AF"/>
    <w:rsid w:val="00B83D67"/>
    <w:rsid w:val="00B83E74"/>
    <w:rsid w:val="00B843FE"/>
    <w:rsid w:val="00B849FA"/>
    <w:rsid w:val="00B84D8D"/>
    <w:rsid w:val="00B84E02"/>
    <w:rsid w:val="00B85129"/>
    <w:rsid w:val="00B8547C"/>
    <w:rsid w:val="00B85F9A"/>
    <w:rsid w:val="00B8608B"/>
    <w:rsid w:val="00B86279"/>
    <w:rsid w:val="00B86568"/>
    <w:rsid w:val="00B8675F"/>
    <w:rsid w:val="00B86928"/>
    <w:rsid w:val="00B869B1"/>
    <w:rsid w:val="00B86B13"/>
    <w:rsid w:val="00B873C9"/>
    <w:rsid w:val="00B87435"/>
    <w:rsid w:val="00B87481"/>
    <w:rsid w:val="00B87954"/>
    <w:rsid w:val="00B87995"/>
    <w:rsid w:val="00B90241"/>
    <w:rsid w:val="00B906CA"/>
    <w:rsid w:val="00B907BB"/>
    <w:rsid w:val="00B90A20"/>
    <w:rsid w:val="00B90D42"/>
    <w:rsid w:val="00B90E95"/>
    <w:rsid w:val="00B9144F"/>
    <w:rsid w:val="00B91922"/>
    <w:rsid w:val="00B9199C"/>
    <w:rsid w:val="00B91AC0"/>
    <w:rsid w:val="00B9248C"/>
    <w:rsid w:val="00B924EC"/>
    <w:rsid w:val="00B92E53"/>
    <w:rsid w:val="00B92E5A"/>
    <w:rsid w:val="00B92EF5"/>
    <w:rsid w:val="00B93166"/>
    <w:rsid w:val="00B93219"/>
    <w:rsid w:val="00B93271"/>
    <w:rsid w:val="00B9341C"/>
    <w:rsid w:val="00B9351A"/>
    <w:rsid w:val="00B93839"/>
    <w:rsid w:val="00B93973"/>
    <w:rsid w:val="00B93FD2"/>
    <w:rsid w:val="00B942AC"/>
    <w:rsid w:val="00B95110"/>
    <w:rsid w:val="00B95876"/>
    <w:rsid w:val="00B95D0F"/>
    <w:rsid w:val="00B96172"/>
    <w:rsid w:val="00B9621C"/>
    <w:rsid w:val="00B9632D"/>
    <w:rsid w:val="00B9667A"/>
    <w:rsid w:val="00B97227"/>
    <w:rsid w:val="00B976B5"/>
    <w:rsid w:val="00B979B5"/>
    <w:rsid w:val="00B97A81"/>
    <w:rsid w:val="00BA057E"/>
    <w:rsid w:val="00BA099B"/>
    <w:rsid w:val="00BA0B08"/>
    <w:rsid w:val="00BA0C6C"/>
    <w:rsid w:val="00BA1530"/>
    <w:rsid w:val="00BA173D"/>
    <w:rsid w:val="00BA1944"/>
    <w:rsid w:val="00BA1B27"/>
    <w:rsid w:val="00BA1E27"/>
    <w:rsid w:val="00BA2285"/>
    <w:rsid w:val="00BA288F"/>
    <w:rsid w:val="00BA28CC"/>
    <w:rsid w:val="00BA2FDE"/>
    <w:rsid w:val="00BA2FFA"/>
    <w:rsid w:val="00BA376D"/>
    <w:rsid w:val="00BA39C4"/>
    <w:rsid w:val="00BA4773"/>
    <w:rsid w:val="00BA501B"/>
    <w:rsid w:val="00BA5399"/>
    <w:rsid w:val="00BA5F4E"/>
    <w:rsid w:val="00BA5FDD"/>
    <w:rsid w:val="00BA6673"/>
    <w:rsid w:val="00BA66AD"/>
    <w:rsid w:val="00BA6AD2"/>
    <w:rsid w:val="00BA6B11"/>
    <w:rsid w:val="00BA6D69"/>
    <w:rsid w:val="00BA6F24"/>
    <w:rsid w:val="00BA707E"/>
    <w:rsid w:val="00BA74D8"/>
    <w:rsid w:val="00BA7B75"/>
    <w:rsid w:val="00BA7B94"/>
    <w:rsid w:val="00BA7E6D"/>
    <w:rsid w:val="00BB059C"/>
    <w:rsid w:val="00BB07AE"/>
    <w:rsid w:val="00BB0DAE"/>
    <w:rsid w:val="00BB0DBD"/>
    <w:rsid w:val="00BB0FA6"/>
    <w:rsid w:val="00BB1069"/>
    <w:rsid w:val="00BB106E"/>
    <w:rsid w:val="00BB11E9"/>
    <w:rsid w:val="00BB14D2"/>
    <w:rsid w:val="00BB1BC3"/>
    <w:rsid w:val="00BB27DB"/>
    <w:rsid w:val="00BB2AD2"/>
    <w:rsid w:val="00BB2DCA"/>
    <w:rsid w:val="00BB329E"/>
    <w:rsid w:val="00BB3D38"/>
    <w:rsid w:val="00BB3D3C"/>
    <w:rsid w:val="00BB45A9"/>
    <w:rsid w:val="00BB475C"/>
    <w:rsid w:val="00BB48E1"/>
    <w:rsid w:val="00BB4A49"/>
    <w:rsid w:val="00BB4F85"/>
    <w:rsid w:val="00BB5024"/>
    <w:rsid w:val="00BB55DF"/>
    <w:rsid w:val="00BB5AD6"/>
    <w:rsid w:val="00BB5FA3"/>
    <w:rsid w:val="00BB626A"/>
    <w:rsid w:val="00BB62FD"/>
    <w:rsid w:val="00BB69B8"/>
    <w:rsid w:val="00BB6BEE"/>
    <w:rsid w:val="00BB6DC9"/>
    <w:rsid w:val="00BB6EB8"/>
    <w:rsid w:val="00BB76BF"/>
    <w:rsid w:val="00BC02C9"/>
    <w:rsid w:val="00BC0416"/>
    <w:rsid w:val="00BC11F6"/>
    <w:rsid w:val="00BC1E67"/>
    <w:rsid w:val="00BC2554"/>
    <w:rsid w:val="00BC2583"/>
    <w:rsid w:val="00BC2620"/>
    <w:rsid w:val="00BC280E"/>
    <w:rsid w:val="00BC2D54"/>
    <w:rsid w:val="00BC3134"/>
    <w:rsid w:val="00BC364F"/>
    <w:rsid w:val="00BC376A"/>
    <w:rsid w:val="00BC392D"/>
    <w:rsid w:val="00BC4CB2"/>
    <w:rsid w:val="00BC5185"/>
    <w:rsid w:val="00BC5FC4"/>
    <w:rsid w:val="00BC6426"/>
    <w:rsid w:val="00BC65A3"/>
    <w:rsid w:val="00BC6902"/>
    <w:rsid w:val="00BC6B51"/>
    <w:rsid w:val="00BC7265"/>
    <w:rsid w:val="00BC728F"/>
    <w:rsid w:val="00BC7453"/>
    <w:rsid w:val="00BC7C00"/>
    <w:rsid w:val="00BD00AF"/>
    <w:rsid w:val="00BD01E6"/>
    <w:rsid w:val="00BD0223"/>
    <w:rsid w:val="00BD0265"/>
    <w:rsid w:val="00BD0457"/>
    <w:rsid w:val="00BD0864"/>
    <w:rsid w:val="00BD0C34"/>
    <w:rsid w:val="00BD0DFE"/>
    <w:rsid w:val="00BD174A"/>
    <w:rsid w:val="00BD1F2A"/>
    <w:rsid w:val="00BD209D"/>
    <w:rsid w:val="00BD25FB"/>
    <w:rsid w:val="00BD2711"/>
    <w:rsid w:val="00BD369D"/>
    <w:rsid w:val="00BD3834"/>
    <w:rsid w:val="00BD3B54"/>
    <w:rsid w:val="00BD3B97"/>
    <w:rsid w:val="00BD3E27"/>
    <w:rsid w:val="00BD462D"/>
    <w:rsid w:val="00BD4784"/>
    <w:rsid w:val="00BD4895"/>
    <w:rsid w:val="00BD4A93"/>
    <w:rsid w:val="00BD4A9D"/>
    <w:rsid w:val="00BD4E44"/>
    <w:rsid w:val="00BD68EF"/>
    <w:rsid w:val="00BD6A65"/>
    <w:rsid w:val="00BD6C15"/>
    <w:rsid w:val="00BD6F34"/>
    <w:rsid w:val="00BD712F"/>
    <w:rsid w:val="00BD7545"/>
    <w:rsid w:val="00BD756E"/>
    <w:rsid w:val="00BD76D4"/>
    <w:rsid w:val="00BD775F"/>
    <w:rsid w:val="00BD7A60"/>
    <w:rsid w:val="00BE040E"/>
    <w:rsid w:val="00BE0761"/>
    <w:rsid w:val="00BE0851"/>
    <w:rsid w:val="00BE08F4"/>
    <w:rsid w:val="00BE0C2E"/>
    <w:rsid w:val="00BE16B2"/>
    <w:rsid w:val="00BE183A"/>
    <w:rsid w:val="00BE1C49"/>
    <w:rsid w:val="00BE1D60"/>
    <w:rsid w:val="00BE1D66"/>
    <w:rsid w:val="00BE1F9B"/>
    <w:rsid w:val="00BE2024"/>
    <w:rsid w:val="00BE2100"/>
    <w:rsid w:val="00BE2721"/>
    <w:rsid w:val="00BE2C17"/>
    <w:rsid w:val="00BE3398"/>
    <w:rsid w:val="00BE3508"/>
    <w:rsid w:val="00BE3676"/>
    <w:rsid w:val="00BE37B7"/>
    <w:rsid w:val="00BE4005"/>
    <w:rsid w:val="00BE44BE"/>
    <w:rsid w:val="00BE4E66"/>
    <w:rsid w:val="00BE52A7"/>
    <w:rsid w:val="00BE564B"/>
    <w:rsid w:val="00BE58FC"/>
    <w:rsid w:val="00BE5A27"/>
    <w:rsid w:val="00BE5C73"/>
    <w:rsid w:val="00BE6021"/>
    <w:rsid w:val="00BE618A"/>
    <w:rsid w:val="00BE6677"/>
    <w:rsid w:val="00BE6D00"/>
    <w:rsid w:val="00BE7049"/>
    <w:rsid w:val="00BE708F"/>
    <w:rsid w:val="00BE748D"/>
    <w:rsid w:val="00BE74A3"/>
    <w:rsid w:val="00BE7723"/>
    <w:rsid w:val="00BE7A79"/>
    <w:rsid w:val="00BF10F5"/>
    <w:rsid w:val="00BF1593"/>
    <w:rsid w:val="00BF15DD"/>
    <w:rsid w:val="00BF16D5"/>
    <w:rsid w:val="00BF196E"/>
    <w:rsid w:val="00BF1D82"/>
    <w:rsid w:val="00BF2045"/>
    <w:rsid w:val="00BF3625"/>
    <w:rsid w:val="00BF3781"/>
    <w:rsid w:val="00BF3966"/>
    <w:rsid w:val="00BF3A53"/>
    <w:rsid w:val="00BF3B6B"/>
    <w:rsid w:val="00BF411F"/>
    <w:rsid w:val="00BF41E2"/>
    <w:rsid w:val="00BF466D"/>
    <w:rsid w:val="00BF51EA"/>
    <w:rsid w:val="00BF5443"/>
    <w:rsid w:val="00BF5671"/>
    <w:rsid w:val="00BF5729"/>
    <w:rsid w:val="00BF5936"/>
    <w:rsid w:val="00BF62D3"/>
    <w:rsid w:val="00BF662F"/>
    <w:rsid w:val="00BF6977"/>
    <w:rsid w:val="00BF6E7C"/>
    <w:rsid w:val="00BF7316"/>
    <w:rsid w:val="00BF7CC7"/>
    <w:rsid w:val="00BF7DD9"/>
    <w:rsid w:val="00C0025C"/>
    <w:rsid w:val="00C0099A"/>
    <w:rsid w:val="00C00B59"/>
    <w:rsid w:val="00C00BB2"/>
    <w:rsid w:val="00C00CBC"/>
    <w:rsid w:val="00C012E6"/>
    <w:rsid w:val="00C02276"/>
    <w:rsid w:val="00C024A9"/>
    <w:rsid w:val="00C02536"/>
    <w:rsid w:val="00C026FD"/>
    <w:rsid w:val="00C02C91"/>
    <w:rsid w:val="00C032BF"/>
    <w:rsid w:val="00C03941"/>
    <w:rsid w:val="00C0398A"/>
    <w:rsid w:val="00C03A0A"/>
    <w:rsid w:val="00C03B14"/>
    <w:rsid w:val="00C03C31"/>
    <w:rsid w:val="00C04181"/>
    <w:rsid w:val="00C0419A"/>
    <w:rsid w:val="00C04331"/>
    <w:rsid w:val="00C04363"/>
    <w:rsid w:val="00C04B0A"/>
    <w:rsid w:val="00C04E9D"/>
    <w:rsid w:val="00C05184"/>
    <w:rsid w:val="00C06F91"/>
    <w:rsid w:val="00C07085"/>
    <w:rsid w:val="00C07293"/>
    <w:rsid w:val="00C07459"/>
    <w:rsid w:val="00C07ACA"/>
    <w:rsid w:val="00C07C2B"/>
    <w:rsid w:val="00C1022A"/>
    <w:rsid w:val="00C10F9E"/>
    <w:rsid w:val="00C1149B"/>
    <w:rsid w:val="00C12A73"/>
    <w:rsid w:val="00C13515"/>
    <w:rsid w:val="00C13E1A"/>
    <w:rsid w:val="00C14078"/>
    <w:rsid w:val="00C14213"/>
    <w:rsid w:val="00C14CAF"/>
    <w:rsid w:val="00C14F79"/>
    <w:rsid w:val="00C1518C"/>
    <w:rsid w:val="00C156DF"/>
    <w:rsid w:val="00C157CD"/>
    <w:rsid w:val="00C15913"/>
    <w:rsid w:val="00C15AEF"/>
    <w:rsid w:val="00C16110"/>
    <w:rsid w:val="00C1636B"/>
    <w:rsid w:val="00C16442"/>
    <w:rsid w:val="00C1715B"/>
    <w:rsid w:val="00C17244"/>
    <w:rsid w:val="00C173DC"/>
    <w:rsid w:val="00C17491"/>
    <w:rsid w:val="00C17775"/>
    <w:rsid w:val="00C17D8D"/>
    <w:rsid w:val="00C17F22"/>
    <w:rsid w:val="00C20200"/>
    <w:rsid w:val="00C2042B"/>
    <w:rsid w:val="00C205BF"/>
    <w:rsid w:val="00C20631"/>
    <w:rsid w:val="00C20868"/>
    <w:rsid w:val="00C22489"/>
    <w:rsid w:val="00C22592"/>
    <w:rsid w:val="00C2259C"/>
    <w:rsid w:val="00C22672"/>
    <w:rsid w:val="00C227C7"/>
    <w:rsid w:val="00C22C28"/>
    <w:rsid w:val="00C22CC4"/>
    <w:rsid w:val="00C22CC7"/>
    <w:rsid w:val="00C22CFE"/>
    <w:rsid w:val="00C22E7A"/>
    <w:rsid w:val="00C23B2D"/>
    <w:rsid w:val="00C23E1C"/>
    <w:rsid w:val="00C23ED2"/>
    <w:rsid w:val="00C2406A"/>
    <w:rsid w:val="00C2409D"/>
    <w:rsid w:val="00C248F3"/>
    <w:rsid w:val="00C24A17"/>
    <w:rsid w:val="00C24AE4"/>
    <w:rsid w:val="00C24DBE"/>
    <w:rsid w:val="00C25290"/>
    <w:rsid w:val="00C25683"/>
    <w:rsid w:val="00C25B8B"/>
    <w:rsid w:val="00C25FA5"/>
    <w:rsid w:val="00C26351"/>
    <w:rsid w:val="00C26FED"/>
    <w:rsid w:val="00C27662"/>
    <w:rsid w:val="00C27DB0"/>
    <w:rsid w:val="00C27DEF"/>
    <w:rsid w:val="00C27E77"/>
    <w:rsid w:val="00C27E86"/>
    <w:rsid w:val="00C304B9"/>
    <w:rsid w:val="00C30D70"/>
    <w:rsid w:val="00C30F29"/>
    <w:rsid w:val="00C311D2"/>
    <w:rsid w:val="00C3169F"/>
    <w:rsid w:val="00C31729"/>
    <w:rsid w:val="00C31A7B"/>
    <w:rsid w:val="00C31DA6"/>
    <w:rsid w:val="00C320D1"/>
    <w:rsid w:val="00C32154"/>
    <w:rsid w:val="00C32173"/>
    <w:rsid w:val="00C331F6"/>
    <w:rsid w:val="00C3320C"/>
    <w:rsid w:val="00C33489"/>
    <w:rsid w:val="00C33A80"/>
    <w:rsid w:val="00C33FB1"/>
    <w:rsid w:val="00C346C5"/>
    <w:rsid w:val="00C347B7"/>
    <w:rsid w:val="00C34BD6"/>
    <w:rsid w:val="00C34BF2"/>
    <w:rsid w:val="00C34E44"/>
    <w:rsid w:val="00C35849"/>
    <w:rsid w:val="00C35BF5"/>
    <w:rsid w:val="00C35C17"/>
    <w:rsid w:val="00C35D84"/>
    <w:rsid w:val="00C35EB3"/>
    <w:rsid w:val="00C36431"/>
    <w:rsid w:val="00C3669A"/>
    <w:rsid w:val="00C36700"/>
    <w:rsid w:val="00C36718"/>
    <w:rsid w:val="00C3675D"/>
    <w:rsid w:val="00C36DB2"/>
    <w:rsid w:val="00C370BE"/>
    <w:rsid w:val="00C370E6"/>
    <w:rsid w:val="00C37249"/>
    <w:rsid w:val="00C3726E"/>
    <w:rsid w:val="00C373E3"/>
    <w:rsid w:val="00C3755D"/>
    <w:rsid w:val="00C376CF"/>
    <w:rsid w:val="00C37918"/>
    <w:rsid w:val="00C3796D"/>
    <w:rsid w:val="00C4018A"/>
    <w:rsid w:val="00C40557"/>
    <w:rsid w:val="00C41216"/>
    <w:rsid w:val="00C41F11"/>
    <w:rsid w:val="00C420F6"/>
    <w:rsid w:val="00C422BA"/>
    <w:rsid w:val="00C423D5"/>
    <w:rsid w:val="00C4277C"/>
    <w:rsid w:val="00C42992"/>
    <w:rsid w:val="00C42B66"/>
    <w:rsid w:val="00C430C7"/>
    <w:rsid w:val="00C431F9"/>
    <w:rsid w:val="00C4338C"/>
    <w:rsid w:val="00C4366D"/>
    <w:rsid w:val="00C437B7"/>
    <w:rsid w:val="00C4395A"/>
    <w:rsid w:val="00C43C1A"/>
    <w:rsid w:val="00C43E9D"/>
    <w:rsid w:val="00C43EE2"/>
    <w:rsid w:val="00C441F1"/>
    <w:rsid w:val="00C445D2"/>
    <w:rsid w:val="00C44DA0"/>
    <w:rsid w:val="00C44DA1"/>
    <w:rsid w:val="00C44EEA"/>
    <w:rsid w:val="00C45137"/>
    <w:rsid w:val="00C454D3"/>
    <w:rsid w:val="00C45602"/>
    <w:rsid w:val="00C45F7B"/>
    <w:rsid w:val="00C45F9A"/>
    <w:rsid w:val="00C47272"/>
    <w:rsid w:val="00C47283"/>
    <w:rsid w:val="00C4733D"/>
    <w:rsid w:val="00C474EF"/>
    <w:rsid w:val="00C47586"/>
    <w:rsid w:val="00C47D8D"/>
    <w:rsid w:val="00C47E0C"/>
    <w:rsid w:val="00C50227"/>
    <w:rsid w:val="00C50296"/>
    <w:rsid w:val="00C50631"/>
    <w:rsid w:val="00C5090E"/>
    <w:rsid w:val="00C50B51"/>
    <w:rsid w:val="00C50B99"/>
    <w:rsid w:val="00C50DB6"/>
    <w:rsid w:val="00C514DD"/>
    <w:rsid w:val="00C5196B"/>
    <w:rsid w:val="00C51F24"/>
    <w:rsid w:val="00C522AE"/>
    <w:rsid w:val="00C52625"/>
    <w:rsid w:val="00C52B8B"/>
    <w:rsid w:val="00C52C8E"/>
    <w:rsid w:val="00C52EE1"/>
    <w:rsid w:val="00C536AD"/>
    <w:rsid w:val="00C53A72"/>
    <w:rsid w:val="00C53B42"/>
    <w:rsid w:val="00C53FE2"/>
    <w:rsid w:val="00C54248"/>
    <w:rsid w:val="00C5430D"/>
    <w:rsid w:val="00C54440"/>
    <w:rsid w:val="00C544EB"/>
    <w:rsid w:val="00C54510"/>
    <w:rsid w:val="00C54573"/>
    <w:rsid w:val="00C5461E"/>
    <w:rsid w:val="00C54A11"/>
    <w:rsid w:val="00C54BB2"/>
    <w:rsid w:val="00C54FCA"/>
    <w:rsid w:val="00C5543F"/>
    <w:rsid w:val="00C55A10"/>
    <w:rsid w:val="00C562E5"/>
    <w:rsid w:val="00C5641A"/>
    <w:rsid w:val="00C56BDC"/>
    <w:rsid w:val="00C56BDE"/>
    <w:rsid w:val="00C56F44"/>
    <w:rsid w:val="00C56F84"/>
    <w:rsid w:val="00C57040"/>
    <w:rsid w:val="00C5705A"/>
    <w:rsid w:val="00C570F8"/>
    <w:rsid w:val="00C571FE"/>
    <w:rsid w:val="00C5757B"/>
    <w:rsid w:val="00C60682"/>
    <w:rsid w:val="00C60B25"/>
    <w:rsid w:val="00C610F1"/>
    <w:rsid w:val="00C61620"/>
    <w:rsid w:val="00C6163A"/>
    <w:rsid w:val="00C61C61"/>
    <w:rsid w:val="00C61CDC"/>
    <w:rsid w:val="00C6269A"/>
    <w:rsid w:val="00C62849"/>
    <w:rsid w:val="00C62B54"/>
    <w:rsid w:val="00C63188"/>
    <w:rsid w:val="00C634DB"/>
    <w:rsid w:val="00C637A9"/>
    <w:rsid w:val="00C63BFF"/>
    <w:rsid w:val="00C63E05"/>
    <w:rsid w:val="00C64164"/>
    <w:rsid w:val="00C64362"/>
    <w:rsid w:val="00C64633"/>
    <w:rsid w:val="00C646EF"/>
    <w:rsid w:val="00C647A9"/>
    <w:rsid w:val="00C652D4"/>
    <w:rsid w:val="00C65416"/>
    <w:rsid w:val="00C65450"/>
    <w:rsid w:val="00C65952"/>
    <w:rsid w:val="00C659A2"/>
    <w:rsid w:val="00C65FAA"/>
    <w:rsid w:val="00C660F5"/>
    <w:rsid w:val="00C664A3"/>
    <w:rsid w:val="00C66B1D"/>
    <w:rsid w:val="00C66F48"/>
    <w:rsid w:val="00C66F7C"/>
    <w:rsid w:val="00C671EF"/>
    <w:rsid w:val="00C678B2"/>
    <w:rsid w:val="00C67DE6"/>
    <w:rsid w:val="00C70400"/>
    <w:rsid w:val="00C707C2"/>
    <w:rsid w:val="00C70992"/>
    <w:rsid w:val="00C70A90"/>
    <w:rsid w:val="00C70DD2"/>
    <w:rsid w:val="00C70E7B"/>
    <w:rsid w:val="00C70FB7"/>
    <w:rsid w:val="00C71242"/>
    <w:rsid w:val="00C712FD"/>
    <w:rsid w:val="00C7158C"/>
    <w:rsid w:val="00C71A83"/>
    <w:rsid w:val="00C71C93"/>
    <w:rsid w:val="00C71ECC"/>
    <w:rsid w:val="00C7257C"/>
    <w:rsid w:val="00C72624"/>
    <w:rsid w:val="00C727A8"/>
    <w:rsid w:val="00C72B02"/>
    <w:rsid w:val="00C72F1B"/>
    <w:rsid w:val="00C73372"/>
    <w:rsid w:val="00C73541"/>
    <w:rsid w:val="00C73808"/>
    <w:rsid w:val="00C7384F"/>
    <w:rsid w:val="00C73984"/>
    <w:rsid w:val="00C74044"/>
    <w:rsid w:val="00C74314"/>
    <w:rsid w:val="00C747F6"/>
    <w:rsid w:val="00C74DAC"/>
    <w:rsid w:val="00C75557"/>
    <w:rsid w:val="00C75F99"/>
    <w:rsid w:val="00C76712"/>
    <w:rsid w:val="00C76DEC"/>
    <w:rsid w:val="00C76F0B"/>
    <w:rsid w:val="00C771EE"/>
    <w:rsid w:val="00C772BA"/>
    <w:rsid w:val="00C77324"/>
    <w:rsid w:val="00C77A13"/>
    <w:rsid w:val="00C80BC1"/>
    <w:rsid w:val="00C80C93"/>
    <w:rsid w:val="00C80F1A"/>
    <w:rsid w:val="00C813BD"/>
    <w:rsid w:val="00C818E7"/>
    <w:rsid w:val="00C81F7E"/>
    <w:rsid w:val="00C823FA"/>
    <w:rsid w:val="00C828FC"/>
    <w:rsid w:val="00C82AA2"/>
    <w:rsid w:val="00C82AD3"/>
    <w:rsid w:val="00C82FEC"/>
    <w:rsid w:val="00C83494"/>
    <w:rsid w:val="00C83498"/>
    <w:rsid w:val="00C8459A"/>
    <w:rsid w:val="00C846DA"/>
    <w:rsid w:val="00C84919"/>
    <w:rsid w:val="00C853E8"/>
    <w:rsid w:val="00C85452"/>
    <w:rsid w:val="00C860D0"/>
    <w:rsid w:val="00C86BF9"/>
    <w:rsid w:val="00C8701E"/>
    <w:rsid w:val="00C873BC"/>
    <w:rsid w:val="00C87725"/>
    <w:rsid w:val="00C87A81"/>
    <w:rsid w:val="00C87E68"/>
    <w:rsid w:val="00C87F8A"/>
    <w:rsid w:val="00C9046A"/>
    <w:rsid w:val="00C9048F"/>
    <w:rsid w:val="00C90693"/>
    <w:rsid w:val="00C909DB"/>
    <w:rsid w:val="00C90F2E"/>
    <w:rsid w:val="00C910DB"/>
    <w:rsid w:val="00C91166"/>
    <w:rsid w:val="00C913C1"/>
    <w:rsid w:val="00C917EE"/>
    <w:rsid w:val="00C9192D"/>
    <w:rsid w:val="00C91A45"/>
    <w:rsid w:val="00C92174"/>
    <w:rsid w:val="00C9330F"/>
    <w:rsid w:val="00C93692"/>
    <w:rsid w:val="00C93859"/>
    <w:rsid w:val="00C93B71"/>
    <w:rsid w:val="00C942FA"/>
    <w:rsid w:val="00C94BBF"/>
    <w:rsid w:val="00C94EC9"/>
    <w:rsid w:val="00C956DB"/>
    <w:rsid w:val="00C95C27"/>
    <w:rsid w:val="00C95DF8"/>
    <w:rsid w:val="00C95E32"/>
    <w:rsid w:val="00C9617A"/>
    <w:rsid w:val="00C96244"/>
    <w:rsid w:val="00C9678B"/>
    <w:rsid w:val="00C9680B"/>
    <w:rsid w:val="00C96981"/>
    <w:rsid w:val="00C96FF7"/>
    <w:rsid w:val="00C976DB"/>
    <w:rsid w:val="00C977E8"/>
    <w:rsid w:val="00C97F61"/>
    <w:rsid w:val="00CA0B2C"/>
    <w:rsid w:val="00CA0F20"/>
    <w:rsid w:val="00CA118D"/>
    <w:rsid w:val="00CA179F"/>
    <w:rsid w:val="00CA17BD"/>
    <w:rsid w:val="00CA1A2A"/>
    <w:rsid w:val="00CA1D02"/>
    <w:rsid w:val="00CA1DC5"/>
    <w:rsid w:val="00CA22C4"/>
    <w:rsid w:val="00CA2753"/>
    <w:rsid w:val="00CA2BE7"/>
    <w:rsid w:val="00CA2D3F"/>
    <w:rsid w:val="00CA2F18"/>
    <w:rsid w:val="00CA34CE"/>
    <w:rsid w:val="00CA34ED"/>
    <w:rsid w:val="00CA3F79"/>
    <w:rsid w:val="00CA413E"/>
    <w:rsid w:val="00CA4187"/>
    <w:rsid w:val="00CA41AB"/>
    <w:rsid w:val="00CA45AD"/>
    <w:rsid w:val="00CA46B8"/>
    <w:rsid w:val="00CA48B0"/>
    <w:rsid w:val="00CA4B97"/>
    <w:rsid w:val="00CA4C49"/>
    <w:rsid w:val="00CA4D46"/>
    <w:rsid w:val="00CA4EF0"/>
    <w:rsid w:val="00CA5471"/>
    <w:rsid w:val="00CA56AC"/>
    <w:rsid w:val="00CA5E8D"/>
    <w:rsid w:val="00CA6765"/>
    <w:rsid w:val="00CA680E"/>
    <w:rsid w:val="00CA68C9"/>
    <w:rsid w:val="00CA69AE"/>
    <w:rsid w:val="00CA6B7A"/>
    <w:rsid w:val="00CA71A3"/>
    <w:rsid w:val="00CA72D2"/>
    <w:rsid w:val="00CA75AB"/>
    <w:rsid w:val="00CA78F9"/>
    <w:rsid w:val="00CA7C01"/>
    <w:rsid w:val="00CA7CA8"/>
    <w:rsid w:val="00CA7EB4"/>
    <w:rsid w:val="00CB019A"/>
    <w:rsid w:val="00CB0395"/>
    <w:rsid w:val="00CB0A55"/>
    <w:rsid w:val="00CB0EAD"/>
    <w:rsid w:val="00CB0ED7"/>
    <w:rsid w:val="00CB0EFB"/>
    <w:rsid w:val="00CB10AF"/>
    <w:rsid w:val="00CB15CA"/>
    <w:rsid w:val="00CB19A5"/>
    <w:rsid w:val="00CB1C7E"/>
    <w:rsid w:val="00CB29B4"/>
    <w:rsid w:val="00CB2E15"/>
    <w:rsid w:val="00CB2E79"/>
    <w:rsid w:val="00CB2FA2"/>
    <w:rsid w:val="00CB3013"/>
    <w:rsid w:val="00CB312F"/>
    <w:rsid w:val="00CB39AF"/>
    <w:rsid w:val="00CB3AA1"/>
    <w:rsid w:val="00CB3CB9"/>
    <w:rsid w:val="00CB4730"/>
    <w:rsid w:val="00CB49E4"/>
    <w:rsid w:val="00CB4A79"/>
    <w:rsid w:val="00CB4B55"/>
    <w:rsid w:val="00CB54D4"/>
    <w:rsid w:val="00CB57A1"/>
    <w:rsid w:val="00CB57D8"/>
    <w:rsid w:val="00CB59ED"/>
    <w:rsid w:val="00CB5A40"/>
    <w:rsid w:val="00CB5EAF"/>
    <w:rsid w:val="00CB5FC6"/>
    <w:rsid w:val="00CB6D71"/>
    <w:rsid w:val="00CB6ED8"/>
    <w:rsid w:val="00CB7771"/>
    <w:rsid w:val="00CB7A7A"/>
    <w:rsid w:val="00CB7FEE"/>
    <w:rsid w:val="00CC0687"/>
    <w:rsid w:val="00CC0B06"/>
    <w:rsid w:val="00CC0ED4"/>
    <w:rsid w:val="00CC181C"/>
    <w:rsid w:val="00CC1AAA"/>
    <w:rsid w:val="00CC1E51"/>
    <w:rsid w:val="00CC1F5F"/>
    <w:rsid w:val="00CC20C0"/>
    <w:rsid w:val="00CC20CE"/>
    <w:rsid w:val="00CC2882"/>
    <w:rsid w:val="00CC2F61"/>
    <w:rsid w:val="00CC3186"/>
    <w:rsid w:val="00CC341C"/>
    <w:rsid w:val="00CC3D96"/>
    <w:rsid w:val="00CC4022"/>
    <w:rsid w:val="00CC404A"/>
    <w:rsid w:val="00CC4216"/>
    <w:rsid w:val="00CC42CE"/>
    <w:rsid w:val="00CC449A"/>
    <w:rsid w:val="00CC4BE9"/>
    <w:rsid w:val="00CC4D42"/>
    <w:rsid w:val="00CC4FE0"/>
    <w:rsid w:val="00CC51BE"/>
    <w:rsid w:val="00CC52AC"/>
    <w:rsid w:val="00CC5479"/>
    <w:rsid w:val="00CC564F"/>
    <w:rsid w:val="00CC5B57"/>
    <w:rsid w:val="00CC5BFC"/>
    <w:rsid w:val="00CC5F6E"/>
    <w:rsid w:val="00CC7420"/>
    <w:rsid w:val="00CC7486"/>
    <w:rsid w:val="00CC75BE"/>
    <w:rsid w:val="00CC75D4"/>
    <w:rsid w:val="00CC79D5"/>
    <w:rsid w:val="00CC7D7B"/>
    <w:rsid w:val="00CC7D8F"/>
    <w:rsid w:val="00CD031C"/>
    <w:rsid w:val="00CD03D6"/>
    <w:rsid w:val="00CD070B"/>
    <w:rsid w:val="00CD157C"/>
    <w:rsid w:val="00CD1BF5"/>
    <w:rsid w:val="00CD1C94"/>
    <w:rsid w:val="00CD22D3"/>
    <w:rsid w:val="00CD2A1F"/>
    <w:rsid w:val="00CD2F95"/>
    <w:rsid w:val="00CD3064"/>
    <w:rsid w:val="00CD3441"/>
    <w:rsid w:val="00CD35CC"/>
    <w:rsid w:val="00CD390B"/>
    <w:rsid w:val="00CD394B"/>
    <w:rsid w:val="00CD4006"/>
    <w:rsid w:val="00CD4152"/>
    <w:rsid w:val="00CD43A3"/>
    <w:rsid w:val="00CD4483"/>
    <w:rsid w:val="00CD46ED"/>
    <w:rsid w:val="00CD477E"/>
    <w:rsid w:val="00CD4B7F"/>
    <w:rsid w:val="00CD4C41"/>
    <w:rsid w:val="00CD4DB7"/>
    <w:rsid w:val="00CD5348"/>
    <w:rsid w:val="00CD5355"/>
    <w:rsid w:val="00CD5803"/>
    <w:rsid w:val="00CD5CE1"/>
    <w:rsid w:val="00CD5D72"/>
    <w:rsid w:val="00CD60FA"/>
    <w:rsid w:val="00CD61A5"/>
    <w:rsid w:val="00CD628F"/>
    <w:rsid w:val="00CD62FE"/>
    <w:rsid w:val="00CD766B"/>
    <w:rsid w:val="00CD7872"/>
    <w:rsid w:val="00CD7D58"/>
    <w:rsid w:val="00CD7EB6"/>
    <w:rsid w:val="00CD7FBB"/>
    <w:rsid w:val="00CE0350"/>
    <w:rsid w:val="00CE04DE"/>
    <w:rsid w:val="00CE0630"/>
    <w:rsid w:val="00CE09A2"/>
    <w:rsid w:val="00CE0E84"/>
    <w:rsid w:val="00CE1041"/>
    <w:rsid w:val="00CE10B1"/>
    <w:rsid w:val="00CE14D6"/>
    <w:rsid w:val="00CE153D"/>
    <w:rsid w:val="00CE1D7B"/>
    <w:rsid w:val="00CE2118"/>
    <w:rsid w:val="00CE243F"/>
    <w:rsid w:val="00CE2493"/>
    <w:rsid w:val="00CE2551"/>
    <w:rsid w:val="00CE25FD"/>
    <w:rsid w:val="00CE3175"/>
    <w:rsid w:val="00CE3293"/>
    <w:rsid w:val="00CE3C6D"/>
    <w:rsid w:val="00CE3C82"/>
    <w:rsid w:val="00CE43B1"/>
    <w:rsid w:val="00CE45DB"/>
    <w:rsid w:val="00CE4964"/>
    <w:rsid w:val="00CE4BCF"/>
    <w:rsid w:val="00CE4ED1"/>
    <w:rsid w:val="00CE537D"/>
    <w:rsid w:val="00CE5414"/>
    <w:rsid w:val="00CE55AA"/>
    <w:rsid w:val="00CE5E44"/>
    <w:rsid w:val="00CE6540"/>
    <w:rsid w:val="00CE6893"/>
    <w:rsid w:val="00CE6D9E"/>
    <w:rsid w:val="00CE6DB4"/>
    <w:rsid w:val="00CE70AB"/>
    <w:rsid w:val="00CE7426"/>
    <w:rsid w:val="00CE794B"/>
    <w:rsid w:val="00CE7C39"/>
    <w:rsid w:val="00CF021D"/>
    <w:rsid w:val="00CF05EA"/>
    <w:rsid w:val="00CF0731"/>
    <w:rsid w:val="00CF088B"/>
    <w:rsid w:val="00CF08DE"/>
    <w:rsid w:val="00CF0D7A"/>
    <w:rsid w:val="00CF0FB9"/>
    <w:rsid w:val="00CF204F"/>
    <w:rsid w:val="00CF21A8"/>
    <w:rsid w:val="00CF248F"/>
    <w:rsid w:val="00CF2A96"/>
    <w:rsid w:val="00CF2AB7"/>
    <w:rsid w:val="00CF3394"/>
    <w:rsid w:val="00CF3522"/>
    <w:rsid w:val="00CF370F"/>
    <w:rsid w:val="00CF3DAA"/>
    <w:rsid w:val="00CF3F37"/>
    <w:rsid w:val="00CF487F"/>
    <w:rsid w:val="00CF4A46"/>
    <w:rsid w:val="00CF4BD8"/>
    <w:rsid w:val="00CF4C97"/>
    <w:rsid w:val="00CF581A"/>
    <w:rsid w:val="00CF6248"/>
    <w:rsid w:val="00CF63D1"/>
    <w:rsid w:val="00CF6BBF"/>
    <w:rsid w:val="00CF6E5F"/>
    <w:rsid w:val="00CF74C0"/>
    <w:rsid w:val="00CF74FB"/>
    <w:rsid w:val="00CF7897"/>
    <w:rsid w:val="00CF7997"/>
    <w:rsid w:val="00CF7BFA"/>
    <w:rsid w:val="00D009E0"/>
    <w:rsid w:val="00D00DD6"/>
    <w:rsid w:val="00D01230"/>
    <w:rsid w:val="00D013D9"/>
    <w:rsid w:val="00D017A2"/>
    <w:rsid w:val="00D019BF"/>
    <w:rsid w:val="00D01CAD"/>
    <w:rsid w:val="00D01E38"/>
    <w:rsid w:val="00D022BA"/>
    <w:rsid w:val="00D026AB"/>
    <w:rsid w:val="00D0283B"/>
    <w:rsid w:val="00D02ABB"/>
    <w:rsid w:val="00D03A98"/>
    <w:rsid w:val="00D03BB9"/>
    <w:rsid w:val="00D03D4D"/>
    <w:rsid w:val="00D03E69"/>
    <w:rsid w:val="00D03F6C"/>
    <w:rsid w:val="00D0415C"/>
    <w:rsid w:val="00D0425D"/>
    <w:rsid w:val="00D04983"/>
    <w:rsid w:val="00D04CDF"/>
    <w:rsid w:val="00D05778"/>
    <w:rsid w:val="00D06378"/>
    <w:rsid w:val="00D06937"/>
    <w:rsid w:val="00D06F86"/>
    <w:rsid w:val="00D070FF"/>
    <w:rsid w:val="00D075A4"/>
    <w:rsid w:val="00D07D94"/>
    <w:rsid w:val="00D10407"/>
    <w:rsid w:val="00D1058E"/>
    <w:rsid w:val="00D109C1"/>
    <w:rsid w:val="00D10AE5"/>
    <w:rsid w:val="00D10CA3"/>
    <w:rsid w:val="00D11433"/>
    <w:rsid w:val="00D11542"/>
    <w:rsid w:val="00D11573"/>
    <w:rsid w:val="00D11EC5"/>
    <w:rsid w:val="00D12059"/>
    <w:rsid w:val="00D122E6"/>
    <w:rsid w:val="00D1239D"/>
    <w:rsid w:val="00D125DE"/>
    <w:rsid w:val="00D12DF5"/>
    <w:rsid w:val="00D13777"/>
    <w:rsid w:val="00D13BB6"/>
    <w:rsid w:val="00D13C2D"/>
    <w:rsid w:val="00D140A1"/>
    <w:rsid w:val="00D1459C"/>
    <w:rsid w:val="00D145DE"/>
    <w:rsid w:val="00D14E96"/>
    <w:rsid w:val="00D15083"/>
    <w:rsid w:val="00D151F0"/>
    <w:rsid w:val="00D156B6"/>
    <w:rsid w:val="00D15F8E"/>
    <w:rsid w:val="00D1690E"/>
    <w:rsid w:val="00D172D8"/>
    <w:rsid w:val="00D173A5"/>
    <w:rsid w:val="00D173FA"/>
    <w:rsid w:val="00D178E9"/>
    <w:rsid w:val="00D17AB7"/>
    <w:rsid w:val="00D17B3F"/>
    <w:rsid w:val="00D17BB9"/>
    <w:rsid w:val="00D17E74"/>
    <w:rsid w:val="00D17F1D"/>
    <w:rsid w:val="00D219D5"/>
    <w:rsid w:val="00D2203E"/>
    <w:rsid w:val="00D2231C"/>
    <w:rsid w:val="00D2254A"/>
    <w:rsid w:val="00D22704"/>
    <w:rsid w:val="00D230FC"/>
    <w:rsid w:val="00D23513"/>
    <w:rsid w:val="00D237C9"/>
    <w:rsid w:val="00D23C31"/>
    <w:rsid w:val="00D242CF"/>
    <w:rsid w:val="00D24573"/>
    <w:rsid w:val="00D245E2"/>
    <w:rsid w:val="00D24A53"/>
    <w:rsid w:val="00D24C69"/>
    <w:rsid w:val="00D25047"/>
    <w:rsid w:val="00D251CF"/>
    <w:rsid w:val="00D252B8"/>
    <w:rsid w:val="00D26621"/>
    <w:rsid w:val="00D267D6"/>
    <w:rsid w:val="00D26BEC"/>
    <w:rsid w:val="00D2729A"/>
    <w:rsid w:val="00D27506"/>
    <w:rsid w:val="00D2757B"/>
    <w:rsid w:val="00D27816"/>
    <w:rsid w:val="00D27E6C"/>
    <w:rsid w:val="00D305DF"/>
    <w:rsid w:val="00D306E6"/>
    <w:rsid w:val="00D30F5A"/>
    <w:rsid w:val="00D3198D"/>
    <w:rsid w:val="00D31FC6"/>
    <w:rsid w:val="00D323B7"/>
    <w:rsid w:val="00D32EAB"/>
    <w:rsid w:val="00D3357B"/>
    <w:rsid w:val="00D34338"/>
    <w:rsid w:val="00D34688"/>
    <w:rsid w:val="00D353A6"/>
    <w:rsid w:val="00D35601"/>
    <w:rsid w:val="00D35F3B"/>
    <w:rsid w:val="00D36027"/>
    <w:rsid w:val="00D36337"/>
    <w:rsid w:val="00D363AA"/>
    <w:rsid w:val="00D36522"/>
    <w:rsid w:val="00D365FA"/>
    <w:rsid w:val="00D366B7"/>
    <w:rsid w:val="00D367F5"/>
    <w:rsid w:val="00D36C23"/>
    <w:rsid w:val="00D36FB2"/>
    <w:rsid w:val="00D37072"/>
    <w:rsid w:val="00D375C7"/>
    <w:rsid w:val="00D3769E"/>
    <w:rsid w:val="00D37B7E"/>
    <w:rsid w:val="00D40081"/>
    <w:rsid w:val="00D4040E"/>
    <w:rsid w:val="00D40703"/>
    <w:rsid w:val="00D407D8"/>
    <w:rsid w:val="00D40E3B"/>
    <w:rsid w:val="00D40EAF"/>
    <w:rsid w:val="00D41034"/>
    <w:rsid w:val="00D411A8"/>
    <w:rsid w:val="00D412CF"/>
    <w:rsid w:val="00D413DA"/>
    <w:rsid w:val="00D418A3"/>
    <w:rsid w:val="00D41B99"/>
    <w:rsid w:val="00D42249"/>
    <w:rsid w:val="00D4244A"/>
    <w:rsid w:val="00D42487"/>
    <w:rsid w:val="00D430C6"/>
    <w:rsid w:val="00D4341B"/>
    <w:rsid w:val="00D43539"/>
    <w:rsid w:val="00D43FBC"/>
    <w:rsid w:val="00D440EE"/>
    <w:rsid w:val="00D4432C"/>
    <w:rsid w:val="00D44522"/>
    <w:rsid w:val="00D44CC7"/>
    <w:rsid w:val="00D45865"/>
    <w:rsid w:val="00D45867"/>
    <w:rsid w:val="00D458A5"/>
    <w:rsid w:val="00D4595F"/>
    <w:rsid w:val="00D45CE3"/>
    <w:rsid w:val="00D46157"/>
    <w:rsid w:val="00D46214"/>
    <w:rsid w:val="00D4646A"/>
    <w:rsid w:val="00D466A8"/>
    <w:rsid w:val="00D46A18"/>
    <w:rsid w:val="00D46BEF"/>
    <w:rsid w:val="00D47187"/>
    <w:rsid w:val="00D4751A"/>
    <w:rsid w:val="00D477E0"/>
    <w:rsid w:val="00D47805"/>
    <w:rsid w:val="00D47A56"/>
    <w:rsid w:val="00D47DDB"/>
    <w:rsid w:val="00D47FF2"/>
    <w:rsid w:val="00D50011"/>
    <w:rsid w:val="00D500F2"/>
    <w:rsid w:val="00D5017E"/>
    <w:rsid w:val="00D501F5"/>
    <w:rsid w:val="00D50728"/>
    <w:rsid w:val="00D508E4"/>
    <w:rsid w:val="00D50B2C"/>
    <w:rsid w:val="00D50EB3"/>
    <w:rsid w:val="00D51172"/>
    <w:rsid w:val="00D519D2"/>
    <w:rsid w:val="00D520B8"/>
    <w:rsid w:val="00D52284"/>
    <w:rsid w:val="00D528B5"/>
    <w:rsid w:val="00D52C6F"/>
    <w:rsid w:val="00D5322C"/>
    <w:rsid w:val="00D533A1"/>
    <w:rsid w:val="00D533BF"/>
    <w:rsid w:val="00D53841"/>
    <w:rsid w:val="00D53C05"/>
    <w:rsid w:val="00D544C2"/>
    <w:rsid w:val="00D546B8"/>
    <w:rsid w:val="00D55294"/>
    <w:rsid w:val="00D55C10"/>
    <w:rsid w:val="00D56273"/>
    <w:rsid w:val="00D567E0"/>
    <w:rsid w:val="00D56ACF"/>
    <w:rsid w:val="00D56BDE"/>
    <w:rsid w:val="00D57152"/>
    <w:rsid w:val="00D571A7"/>
    <w:rsid w:val="00D57692"/>
    <w:rsid w:val="00D576D7"/>
    <w:rsid w:val="00D57AF1"/>
    <w:rsid w:val="00D57CBB"/>
    <w:rsid w:val="00D57DBE"/>
    <w:rsid w:val="00D60236"/>
    <w:rsid w:val="00D6063B"/>
    <w:rsid w:val="00D60B43"/>
    <w:rsid w:val="00D60C45"/>
    <w:rsid w:val="00D60CC1"/>
    <w:rsid w:val="00D613F0"/>
    <w:rsid w:val="00D614C7"/>
    <w:rsid w:val="00D61A0C"/>
    <w:rsid w:val="00D61E9C"/>
    <w:rsid w:val="00D61F3D"/>
    <w:rsid w:val="00D61F93"/>
    <w:rsid w:val="00D623A8"/>
    <w:rsid w:val="00D62472"/>
    <w:rsid w:val="00D62545"/>
    <w:rsid w:val="00D62EEF"/>
    <w:rsid w:val="00D6312F"/>
    <w:rsid w:val="00D633BB"/>
    <w:rsid w:val="00D63A3E"/>
    <w:rsid w:val="00D63B7F"/>
    <w:rsid w:val="00D63D36"/>
    <w:rsid w:val="00D63D69"/>
    <w:rsid w:val="00D640F2"/>
    <w:rsid w:val="00D64236"/>
    <w:rsid w:val="00D64240"/>
    <w:rsid w:val="00D642AD"/>
    <w:rsid w:val="00D64A40"/>
    <w:rsid w:val="00D64BD4"/>
    <w:rsid w:val="00D64E02"/>
    <w:rsid w:val="00D654E8"/>
    <w:rsid w:val="00D654FB"/>
    <w:rsid w:val="00D65619"/>
    <w:rsid w:val="00D66229"/>
    <w:rsid w:val="00D667D9"/>
    <w:rsid w:val="00D66C42"/>
    <w:rsid w:val="00D670A2"/>
    <w:rsid w:val="00D6715C"/>
    <w:rsid w:val="00D671FA"/>
    <w:rsid w:val="00D67216"/>
    <w:rsid w:val="00D67780"/>
    <w:rsid w:val="00D701C2"/>
    <w:rsid w:val="00D7055C"/>
    <w:rsid w:val="00D709B0"/>
    <w:rsid w:val="00D70DED"/>
    <w:rsid w:val="00D70FDE"/>
    <w:rsid w:val="00D71468"/>
    <w:rsid w:val="00D71604"/>
    <w:rsid w:val="00D7160C"/>
    <w:rsid w:val="00D71741"/>
    <w:rsid w:val="00D71A0A"/>
    <w:rsid w:val="00D71A70"/>
    <w:rsid w:val="00D71C1F"/>
    <w:rsid w:val="00D71C8F"/>
    <w:rsid w:val="00D71CE6"/>
    <w:rsid w:val="00D71F03"/>
    <w:rsid w:val="00D72304"/>
    <w:rsid w:val="00D7249D"/>
    <w:rsid w:val="00D727B3"/>
    <w:rsid w:val="00D73210"/>
    <w:rsid w:val="00D73AD4"/>
    <w:rsid w:val="00D73C8C"/>
    <w:rsid w:val="00D74108"/>
    <w:rsid w:val="00D744AF"/>
    <w:rsid w:val="00D74862"/>
    <w:rsid w:val="00D74FD2"/>
    <w:rsid w:val="00D75172"/>
    <w:rsid w:val="00D7538F"/>
    <w:rsid w:val="00D7555D"/>
    <w:rsid w:val="00D756D2"/>
    <w:rsid w:val="00D75879"/>
    <w:rsid w:val="00D75908"/>
    <w:rsid w:val="00D75BF2"/>
    <w:rsid w:val="00D75C42"/>
    <w:rsid w:val="00D75CD0"/>
    <w:rsid w:val="00D75ECA"/>
    <w:rsid w:val="00D760B5"/>
    <w:rsid w:val="00D764EB"/>
    <w:rsid w:val="00D766A9"/>
    <w:rsid w:val="00D766D1"/>
    <w:rsid w:val="00D7731C"/>
    <w:rsid w:val="00D7733A"/>
    <w:rsid w:val="00D775CD"/>
    <w:rsid w:val="00D778F2"/>
    <w:rsid w:val="00D8005C"/>
    <w:rsid w:val="00D80539"/>
    <w:rsid w:val="00D808EE"/>
    <w:rsid w:val="00D80A72"/>
    <w:rsid w:val="00D80AF5"/>
    <w:rsid w:val="00D81003"/>
    <w:rsid w:val="00D81129"/>
    <w:rsid w:val="00D818D0"/>
    <w:rsid w:val="00D81A7D"/>
    <w:rsid w:val="00D8202C"/>
    <w:rsid w:val="00D82223"/>
    <w:rsid w:val="00D822E5"/>
    <w:rsid w:val="00D82F39"/>
    <w:rsid w:val="00D8300D"/>
    <w:rsid w:val="00D8378B"/>
    <w:rsid w:val="00D840BF"/>
    <w:rsid w:val="00D841CB"/>
    <w:rsid w:val="00D846D9"/>
    <w:rsid w:val="00D8480B"/>
    <w:rsid w:val="00D84B62"/>
    <w:rsid w:val="00D84CF1"/>
    <w:rsid w:val="00D84F1E"/>
    <w:rsid w:val="00D8538C"/>
    <w:rsid w:val="00D859E0"/>
    <w:rsid w:val="00D85CF7"/>
    <w:rsid w:val="00D85D18"/>
    <w:rsid w:val="00D863F7"/>
    <w:rsid w:val="00D87225"/>
    <w:rsid w:val="00D87307"/>
    <w:rsid w:val="00D87322"/>
    <w:rsid w:val="00D8792C"/>
    <w:rsid w:val="00D87974"/>
    <w:rsid w:val="00D87B4D"/>
    <w:rsid w:val="00D87C8F"/>
    <w:rsid w:val="00D87F7F"/>
    <w:rsid w:val="00D90235"/>
    <w:rsid w:val="00D90662"/>
    <w:rsid w:val="00D90712"/>
    <w:rsid w:val="00D9076C"/>
    <w:rsid w:val="00D90F3C"/>
    <w:rsid w:val="00D91043"/>
    <w:rsid w:val="00D911ED"/>
    <w:rsid w:val="00D91651"/>
    <w:rsid w:val="00D91686"/>
    <w:rsid w:val="00D9181C"/>
    <w:rsid w:val="00D91841"/>
    <w:rsid w:val="00D918BC"/>
    <w:rsid w:val="00D9191D"/>
    <w:rsid w:val="00D91A49"/>
    <w:rsid w:val="00D91D95"/>
    <w:rsid w:val="00D91E5A"/>
    <w:rsid w:val="00D921A2"/>
    <w:rsid w:val="00D92400"/>
    <w:rsid w:val="00D92454"/>
    <w:rsid w:val="00D9270B"/>
    <w:rsid w:val="00D927AB"/>
    <w:rsid w:val="00D93CB6"/>
    <w:rsid w:val="00D94506"/>
    <w:rsid w:val="00D947E8"/>
    <w:rsid w:val="00D94AA3"/>
    <w:rsid w:val="00D94C19"/>
    <w:rsid w:val="00D94DB2"/>
    <w:rsid w:val="00D94FA6"/>
    <w:rsid w:val="00D950AF"/>
    <w:rsid w:val="00D95DD1"/>
    <w:rsid w:val="00D96192"/>
    <w:rsid w:val="00D96A20"/>
    <w:rsid w:val="00D96D76"/>
    <w:rsid w:val="00D97020"/>
    <w:rsid w:val="00D9744D"/>
    <w:rsid w:val="00D97FAC"/>
    <w:rsid w:val="00DA10C4"/>
    <w:rsid w:val="00DA123A"/>
    <w:rsid w:val="00DA1442"/>
    <w:rsid w:val="00DA1662"/>
    <w:rsid w:val="00DA1F5A"/>
    <w:rsid w:val="00DA2813"/>
    <w:rsid w:val="00DA2C32"/>
    <w:rsid w:val="00DA2DF2"/>
    <w:rsid w:val="00DA31ED"/>
    <w:rsid w:val="00DA36B3"/>
    <w:rsid w:val="00DA4054"/>
    <w:rsid w:val="00DA467B"/>
    <w:rsid w:val="00DA4DDB"/>
    <w:rsid w:val="00DA53B9"/>
    <w:rsid w:val="00DA595B"/>
    <w:rsid w:val="00DA64C9"/>
    <w:rsid w:val="00DA66C7"/>
    <w:rsid w:val="00DA6B67"/>
    <w:rsid w:val="00DA7371"/>
    <w:rsid w:val="00DA74CE"/>
    <w:rsid w:val="00DA7705"/>
    <w:rsid w:val="00DA7878"/>
    <w:rsid w:val="00DA7ABE"/>
    <w:rsid w:val="00DA7D78"/>
    <w:rsid w:val="00DA7F35"/>
    <w:rsid w:val="00DB005E"/>
    <w:rsid w:val="00DB0592"/>
    <w:rsid w:val="00DB06F7"/>
    <w:rsid w:val="00DB0B44"/>
    <w:rsid w:val="00DB17F3"/>
    <w:rsid w:val="00DB1D21"/>
    <w:rsid w:val="00DB1FA4"/>
    <w:rsid w:val="00DB2A05"/>
    <w:rsid w:val="00DB2C57"/>
    <w:rsid w:val="00DB2DF8"/>
    <w:rsid w:val="00DB3023"/>
    <w:rsid w:val="00DB3562"/>
    <w:rsid w:val="00DB3613"/>
    <w:rsid w:val="00DB3DB1"/>
    <w:rsid w:val="00DB3E6A"/>
    <w:rsid w:val="00DB3FDB"/>
    <w:rsid w:val="00DB4274"/>
    <w:rsid w:val="00DB4D86"/>
    <w:rsid w:val="00DB4D89"/>
    <w:rsid w:val="00DB514B"/>
    <w:rsid w:val="00DB5712"/>
    <w:rsid w:val="00DB5C0E"/>
    <w:rsid w:val="00DB5E0E"/>
    <w:rsid w:val="00DB6379"/>
    <w:rsid w:val="00DB64AA"/>
    <w:rsid w:val="00DB657F"/>
    <w:rsid w:val="00DB65C2"/>
    <w:rsid w:val="00DB66CE"/>
    <w:rsid w:val="00DB6952"/>
    <w:rsid w:val="00DB70EE"/>
    <w:rsid w:val="00DB7503"/>
    <w:rsid w:val="00DB75A4"/>
    <w:rsid w:val="00DB7827"/>
    <w:rsid w:val="00DB7890"/>
    <w:rsid w:val="00DB7BF9"/>
    <w:rsid w:val="00DB7F54"/>
    <w:rsid w:val="00DC00C7"/>
    <w:rsid w:val="00DC023B"/>
    <w:rsid w:val="00DC0554"/>
    <w:rsid w:val="00DC07EC"/>
    <w:rsid w:val="00DC07F1"/>
    <w:rsid w:val="00DC0AEF"/>
    <w:rsid w:val="00DC128B"/>
    <w:rsid w:val="00DC1828"/>
    <w:rsid w:val="00DC1A6F"/>
    <w:rsid w:val="00DC2DC5"/>
    <w:rsid w:val="00DC2E98"/>
    <w:rsid w:val="00DC30EA"/>
    <w:rsid w:val="00DC33EC"/>
    <w:rsid w:val="00DC3764"/>
    <w:rsid w:val="00DC3F9B"/>
    <w:rsid w:val="00DC4D22"/>
    <w:rsid w:val="00DC5B2D"/>
    <w:rsid w:val="00DC6491"/>
    <w:rsid w:val="00DC6E16"/>
    <w:rsid w:val="00DC6ECC"/>
    <w:rsid w:val="00DC7045"/>
    <w:rsid w:val="00DC70CD"/>
    <w:rsid w:val="00DC7199"/>
    <w:rsid w:val="00DC7601"/>
    <w:rsid w:val="00DC7E6F"/>
    <w:rsid w:val="00DD00EA"/>
    <w:rsid w:val="00DD0208"/>
    <w:rsid w:val="00DD1524"/>
    <w:rsid w:val="00DD1635"/>
    <w:rsid w:val="00DD1728"/>
    <w:rsid w:val="00DD1BD3"/>
    <w:rsid w:val="00DD1EFE"/>
    <w:rsid w:val="00DD20DE"/>
    <w:rsid w:val="00DD2E4E"/>
    <w:rsid w:val="00DD35C4"/>
    <w:rsid w:val="00DD36AA"/>
    <w:rsid w:val="00DD389D"/>
    <w:rsid w:val="00DD3B6A"/>
    <w:rsid w:val="00DD405B"/>
    <w:rsid w:val="00DD40F9"/>
    <w:rsid w:val="00DD45BB"/>
    <w:rsid w:val="00DD4974"/>
    <w:rsid w:val="00DD4991"/>
    <w:rsid w:val="00DD553E"/>
    <w:rsid w:val="00DD564B"/>
    <w:rsid w:val="00DD638A"/>
    <w:rsid w:val="00DD64A2"/>
    <w:rsid w:val="00DD64CB"/>
    <w:rsid w:val="00DD6531"/>
    <w:rsid w:val="00DD671F"/>
    <w:rsid w:val="00DD6801"/>
    <w:rsid w:val="00DD6925"/>
    <w:rsid w:val="00DD6A21"/>
    <w:rsid w:val="00DD6E0E"/>
    <w:rsid w:val="00DD6E6C"/>
    <w:rsid w:val="00DD6F13"/>
    <w:rsid w:val="00DD7BF9"/>
    <w:rsid w:val="00DD7C13"/>
    <w:rsid w:val="00DD7C7A"/>
    <w:rsid w:val="00DE037E"/>
    <w:rsid w:val="00DE0759"/>
    <w:rsid w:val="00DE0DFB"/>
    <w:rsid w:val="00DE1550"/>
    <w:rsid w:val="00DE176E"/>
    <w:rsid w:val="00DE1EC9"/>
    <w:rsid w:val="00DE23F2"/>
    <w:rsid w:val="00DE24B0"/>
    <w:rsid w:val="00DE27C7"/>
    <w:rsid w:val="00DE28B1"/>
    <w:rsid w:val="00DE2D38"/>
    <w:rsid w:val="00DE38AA"/>
    <w:rsid w:val="00DE4CB8"/>
    <w:rsid w:val="00DE4E9C"/>
    <w:rsid w:val="00DE5A1E"/>
    <w:rsid w:val="00DE5EEE"/>
    <w:rsid w:val="00DE6721"/>
    <w:rsid w:val="00DE6912"/>
    <w:rsid w:val="00DE6F95"/>
    <w:rsid w:val="00DE7140"/>
    <w:rsid w:val="00DE7355"/>
    <w:rsid w:val="00DE77E7"/>
    <w:rsid w:val="00DE7E8B"/>
    <w:rsid w:val="00DF0365"/>
    <w:rsid w:val="00DF04A6"/>
    <w:rsid w:val="00DF0745"/>
    <w:rsid w:val="00DF0790"/>
    <w:rsid w:val="00DF0DF8"/>
    <w:rsid w:val="00DF1011"/>
    <w:rsid w:val="00DF15B6"/>
    <w:rsid w:val="00DF15EC"/>
    <w:rsid w:val="00DF1806"/>
    <w:rsid w:val="00DF1C2D"/>
    <w:rsid w:val="00DF1F17"/>
    <w:rsid w:val="00DF1F85"/>
    <w:rsid w:val="00DF20CE"/>
    <w:rsid w:val="00DF20EA"/>
    <w:rsid w:val="00DF2425"/>
    <w:rsid w:val="00DF2974"/>
    <w:rsid w:val="00DF297F"/>
    <w:rsid w:val="00DF2B4F"/>
    <w:rsid w:val="00DF3422"/>
    <w:rsid w:val="00DF3E3B"/>
    <w:rsid w:val="00DF45FF"/>
    <w:rsid w:val="00DF4AC7"/>
    <w:rsid w:val="00DF4CEB"/>
    <w:rsid w:val="00DF52F8"/>
    <w:rsid w:val="00DF6191"/>
    <w:rsid w:val="00DF73CF"/>
    <w:rsid w:val="00DF79A3"/>
    <w:rsid w:val="00DF7C8C"/>
    <w:rsid w:val="00E00282"/>
    <w:rsid w:val="00E0043E"/>
    <w:rsid w:val="00E00A75"/>
    <w:rsid w:val="00E00C22"/>
    <w:rsid w:val="00E0156F"/>
    <w:rsid w:val="00E019C8"/>
    <w:rsid w:val="00E01C97"/>
    <w:rsid w:val="00E01CF0"/>
    <w:rsid w:val="00E0263A"/>
    <w:rsid w:val="00E027C2"/>
    <w:rsid w:val="00E02F4E"/>
    <w:rsid w:val="00E031F0"/>
    <w:rsid w:val="00E0320F"/>
    <w:rsid w:val="00E037A1"/>
    <w:rsid w:val="00E04064"/>
    <w:rsid w:val="00E045EF"/>
    <w:rsid w:val="00E04E2B"/>
    <w:rsid w:val="00E0514D"/>
    <w:rsid w:val="00E052C4"/>
    <w:rsid w:val="00E05CBA"/>
    <w:rsid w:val="00E05D37"/>
    <w:rsid w:val="00E06166"/>
    <w:rsid w:val="00E0621A"/>
    <w:rsid w:val="00E06561"/>
    <w:rsid w:val="00E06583"/>
    <w:rsid w:val="00E065DC"/>
    <w:rsid w:val="00E06C17"/>
    <w:rsid w:val="00E06FDB"/>
    <w:rsid w:val="00E07228"/>
    <w:rsid w:val="00E0766D"/>
    <w:rsid w:val="00E07847"/>
    <w:rsid w:val="00E10090"/>
    <w:rsid w:val="00E102DD"/>
    <w:rsid w:val="00E10331"/>
    <w:rsid w:val="00E10935"/>
    <w:rsid w:val="00E10B43"/>
    <w:rsid w:val="00E10C1D"/>
    <w:rsid w:val="00E10D76"/>
    <w:rsid w:val="00E11A6C"/>
    <w:rsid w:val="00E11AE0"/>
    <w:rsid w:val="00E11E8D"/>
    <w:rsid w:val="00E12585"/>
    <w:rsid w:val="00E12613"/>
    <w:rsid w:val="00E126E5"/>
    <w:rsid w:val="00E13153"/>
    <w:rsid w:val="00E13C3D"/>
    <w:rsid w:val="00E13CC6"/>
    <w:rsid w:val="00E13E3F"/>
    <w:rsid w:val="00E1421F"/>
    <w:rsid w:val="00E1436D"/>
    <w:rsid w:val="00E14415"/>
    <w:rsid w:val="00E1449F"/>
    <w:rsid w:val="00E14A2C"/>
    <w:rsid w:val="00E14C3C"/>
    <w:rsid w:val="00E15157"/>
    <w:rsid w:val="00E15484"/>
    <w:rsid w:val="00E15680"/>
    <w:rsid w:val="00E15BCB"/>
    <w:rsid w:val="00E1644C"/>
    <w:rsid w:val="00E16730"/>
    <w:rsid w:val="00E16852"/>
    <w:rsid w:val="00E168FA"/>
    <w:rsid w:val="00E16DB7"/>
    <w:rsid w:val="00E177F1"/>
    <w:rsid w:val="00E17D33"/>
    <w:rsid w:val="00E202FC"/>
    <w:rsid w:val="00E203ED"/>
    <w:rsid w:val="00E20CD7"/>
    <w:rsid w:val="00E20D09"/>
    <w:rsid w:val="00E2106E"/>
    <w:rsid w:val="00E21495"/>
    <w:rsid w:val="00E219C6"/>
    <w:rsid w:val="00E21AD7"/>
    <w:rsid w:val="00E22183"/>
    <w:rsid w:val="00E22D0F"/>
    <w:rsid w:val="00E23482"/>
    <w:rsid w:val="00E23557"/>
    <w:rsid w:val="00E23D2E"/>
    <w:rsid w:val="00E23D4C"/>
    <w:rsid w:val="00E23E7D"/>
    <w:rsid w:val="00E24B81"/>
    <w:rsid w:val="00E24C2A"/>
    <w:rsid w:val="00E24F41"/>
    <w:rsid w:val="00E24FFE"/>
    <w:rsid w:val="00E251C3"/>
    <w:rsid w:val="00E252E5"/>
    <w:rsid w:val="00E25EB1"/>
    <w:rsid w:val="00E2604C"/>
    <w:rsid w:val="00E260B0"/>
    <w:rsid w:val="00E26382"/>
    <w:rsid w:val="00E264C0"/>
    <w:rsid w:val="00E264F9"/>
    <w:rsid w:val="00E267AA"/>
    <w:rsid w:val="00E26870"/>
    <w:rsid w:val="00E273E5"/>
    <w:rsid w:val="00E278E8"/>
    <w:rsid w:val="00E27FB8"/>
    <w:rsid w:val="00E30064"/>
    <w:rsid w:val="00E301E4"/>
    <w:rsid w:val="00E303BF"/>
    <w:rsid w:val="00E3078A"/>
    <w:rsid w:val="00E31099"/>
    <w:rsid w:val="00E31801"/>
    <w:rsid w:val="00E319E0"/>
    <w:rsid w:val="00E32209"/>
    <w:rsid w:val="00E32593"/>
    <w:rsid w:val="00E3275C"/>
    <w:rsid w:val="00E327B1"/>
    <w:rsid w:val="00E327B9"/>
    <w:rsid w:val="00E32A5A"/>
    <w:rsid w:val="00E32A5E"/>
    <w:rsid w:val="00E32E66"/>
    <w:rsid w:val="00E3307A"/>
    <w:rsid w:val="00E331E4"/>
    <w:rsid w:val="00E3328F"/>
    <w:rsid w:val="00E336AB"/>
    <w:rsid w:val="00E33880"/>
    <w:rsid w:val="00E33C15"/>
    <w:rsid w:val="00E3413D"/>
    <w:rsid w:val="00E341E2"/>
    <w:rsid w:val="00E34633"/>
    <w:rsid w:val="00E3470A"/>
    <w:rsid w:val="00E34977"/>
    <w:rsid w:val="00E34C64"/>
    <w:rsid w:val="00E34CED"/>
    <w:rsid w:val="00E35CBE"/>
    <w:rsid w:val="00E35DC5"/>
    <w:rsid w:val="00E36239"/>
    <w:rsid w:val="00E36C10"/>
    <w:rsid w:val="00E36EB8"/>
    <w:rsid w:val="00E374E2"/>
    <w:rsid w:val="00E37695"/>
    <w:rsid w:val="00E37830"/>
    <w:rsid w:val="00E37F55"/>
    <w:rsid w:val="00E40453"/>
    <w:rsid w:val="00E4059C"/>
    <w:rsid w:val="00E405F0"/>
    <w:rsid w:val="00E40680"/>
    <w:rsid w:val="00E40C15"/>
    <w:rsid w:val="00E40C1A"/>
    <w:rsid w:val="00E40DE8"/>
    <w:rsid w:val="00E41014"/>
    <w:rsid w:val="00E412B8"/>
    <w:rsid w:val="00E41601"/>
    <w:rsid w:val="00E421F2"/>
    <w:rsid w:val="00E42555"/>
    <w:rsid w:val="00E428CB"/>
    <w:rsid w:val="00E438C5"/>
    <w:rsid w:val="00E43C0A"/>
    <w:rsid w:val="00E4423D"/>
    <w:rsid w:val="00E44378"/>
    <w:rsid w:val="00E449C3"/>
    <w:rsid w:val="00E45020"/>
    <w:rsid w:val="00E450D8"/>
    <w:rsid w:val="00E4513D"/>
    <w:rsid w:val="00E4528A"/>
    <w:rsid w:val="00E45835"/>
    <w:rsid w:val="00E4591D"/>
    <w:rsid w:val="00E45C08"/>
    <w:rsid w:val="00E464DF"/>
    <w:rsid w:val="00E46502"/>
    <w:rsid w:val="00E46F6A"/>
    <w:rsid w:val="00E471E6"/>
    <w:rsid w:val="00E473AE"/>
    <w:rsid w:val="00E476A3"/>
    <w:rsid w:val="00E476E0"/>
    <w:rsid w:val="00E47DDE"/>
    <w:rsid w:val="00E50124"/>
    <w:rsid w:val="00E5134D"/>
    <w:rsid w:val="00E519D8"/>
    <w:rsid w:val="00E51DD3"/>
    <w:rsid w:val="00E5209E"/>
    <w:rsid w:val="00E5241D"/>
    <w:rsid w:val="00E5271E"/>
    <w:rsid w:val="00E5276F"/>
    <w:rsid w:val="00E52BC4"/>
    <w:rsid w:val="00E53315"/>
    <w:rsid w:val="00E5334A"/>
    <w:rsid w:val="00E53532"/>
    <w:rsid w:val="00E536C6"/>
    <w:rsid w:val="00E53B8E"/>
    <w:rsid w:val="00E53BBA"/>
    <w:rsid w:val="00E542AA"/>
    <w:rsid w:val="00E543EE"/>
    <w:rsid w:val="00E548D1"/>
    <w:rsid w:val="00E54D9C"/>
    <w:rsid w:val="00E54DFC"/>
    <w:rsid w:val="00E54DFF"/>
    <w:rsid w:val="00E54E59"/>
    <w:rsid w:val="00E54EA3"/>
    <w:rsid w:val="00E554DE"/>
    <w:rsid w:val="00E55626"/>
    <w:rsid w:val="00E55B02"/>
    <w:rsid w:val="00E55EA3"/>
    <w:rsid w:val="00E55FAC"/>
    <w:rsid w:val="00E56130"/>
    <w:rsid w:val="00E563F0"/>
    <w:rsid w:val="00E56574"/>
    <w:rsid w:val="00E565B4"/>
    <w:rsid w:val="00E56C0F"/>
    <w:rsid w:val="00E56D19"/>
    <w:rsid w:val="00E57012"/>
    <w:rsid w:val="00E5737A"/>
    <w:rsid w:val="00E57481"/>
    <w:rsid w:val="00E57704"/>
    <w:rsid w:val="00E5776E"/>
    <w:rsid w:val="00E57954"/>
    <w:rsid w:val="00E57AA2"/>
    <w:rsid w:val="00E57C07"/>
    <w:rsid w:val="00E57D82"/>
    <w:rsid w:val="00E57EE7"/>
    <w:rsid w:val="00E6032B"/>
    <w:rsid w:val="00E604CA"/>
    <w:rsid w:val="00E60D04"/>
    <w:rsid w:val="00E612CC"/>
    <w:rsid w:val="00E617FF"/>
    <w:rsid w:val="00E62268"/>
    <w:rsid w:val="00E6294C"/>
    <w:rsid w:val="00E62B0B"/>
    <w:rsid w:val="00E62C32"/>
    <w:rsid w:val="00E63504"/>
    <w:rsid w:val="00E635B9"/>
    <w:rsid w:val="00E638BA"/>
    <w:rsid w:val="00E6426E"/>
    <w:rsid w:val="00E64509"/>
    <w:rsid w:val="00E646E7"/>
    <w:rsid w:val="00E649FC"/>
    <w:rsid w:val="00E64AAF"/>
    <w:rsid w:val="00E64B6D"/>
    <w:rsid w:val="00E64EDF"/>
    <w:rsid w:val="00E65903"/>
    <w:rsid w:val="00E6592E"/>
    <w:rsid w:val="00E65958"/>
    <w:rsid w:val="00E65DDD"/>
    <w:rsid w:val="00E65EFB"/>
    <w:rsid w:val="00E66536"/>
    <w:rsid w:val="00E6668F"/>
    <w:rsid w:val="00E666DD"/>
    <w:rsid w:val="00E66856"/>
    <w:rsid w:val="00E66B4A"/>
    <w:rsid w:val="00E670C5"/>
    <w:rsid w:val="00E671F0"/>
    <w:rsid w:val="00E67B43"/>
    <w:rsid w:val="00E70402"/>
    <w:rsid w:val="00E707EA"/>
    <w:rsid w:val="00E70F07"/>
    <w:rsid w:val="00E7123B"/>
    <w:rsid w:val="00E712EA"/>
    <w:rsid w:val="00E7142E"/>
    <w:rsid w:val="00E71813"/>
    <w:rsid w:val="00E71F12"/>
    <w:rsid w:val="00E722A5"/>
    <w:rsid w:val="00E72478"/>
    <w:rsid w:val="00E726BE"/>
    <w:rsid w:val="00E7292C"/>
    <w:rsid w:val="00E72DBA"/>
    <w:rsid w:val="00E73482"/>
    <w:rsid w:val="00E73537"/>
    <w:rsid w:val="00E739A6"/>
    <w:rsid w:val="00E73AFD"/>
    <w:rsid w:val="00E740DA"/>
    <w:rsid w:val="00E7455D"/>
    <w:rsid w:val="00E745C0"/>
    <w:rsid w:val="00E747EA"/>
    <w:rsid w:val="00E747EE"/>
    <w:rsid w:val="00E74802"/>
    <w:rsid w:val="00E74B06"/>
    <w:rsid w:val="00E74D9F"/>
    <w:rsid w:val="00E74FA2"/>
    <w:rsid w:val="00E74FCB"/>
    <w:rsid w:val="00E75AAC"/>
    <w:rsid w:val="00E75D1F"/>
    <w:rsid w:val="00E76345"/>
    <w:rsid w:val="00E76625"/>
    <w:rsid w:val="00E76C41"/>
    <w:rsid w:val="00E76F7A"/>
    <w:rsid w:val="00E775FB"/>
    <w:rsid w:val="00E77687"/>
    <w:rsid w:val="00E776F4"/>
    <w:rsid w:val="00E77DAA"/>
    <w:rsid w:val="00E80094"/>
    <w:rsid w:val="00E804A3"/>
    <w:rsid w:val="00E80681"/>
    <w:rsid w:val="00E8086C"/>
    <w:rsid w:val="00E80B98"/>
    <w:rsid w:val="00E813A8"/>
    <w:rsid w:val="00E813F4"/>
    <w:rsid w:val="00E81822"/>
    <w:rsid w:val="00E819A8"/>
    <w:rsid w:val="00E819BE"/>
    <w:rsid w:val="00E81A7F"/>
    <w:rsid w:val="00E826D1"/>
    <w:rsid w:val="00E82815"/>
    <w:rsid w:val="00E8286D"/>
    <w:rsid w:val="00E828CB"/>
    <w:rsid w:val="00E828D8"/>
    <w:rsid w:val="00E83A5E"/>
    <w:rsid w:val="00E83AFD"/>
    <w:rsid w:val="00E844C3"/>
    <w:rsid w:val="00E845F8"/>
    <w:rsid w:val="00E846DB"/>
    <w:rsid w:val="00E85157"/>
    <w:rsid w:val="00E8521F"/>
    <w:rsid w:val="00E863AA"/>
    <w:rsid w:val="00E86555"/>
    <w:rsid w:val="00E86608"/>
    <w:rsid w:val="00E8695C"/>
    <w:rsid w:val="00E86FEA"/>
    <w:rsid w:val="00E87559"/>
    <w:rsid w:val="00E87A01"/>
    <w:rsid w:val="00E87DDD"/>
    <w:rsid w:val="00E9006C"/>
    <w:rsid w:val="00E9023B"/>
    <w:rsid w:val="00E9047A"/>
    <w:rsid w:val="00E90609"/>
    <w:rsid w:val="00E90A58"/>
    <w:rsid w:val="00E90B5E"/>
    <w:rsid w:val="00E90B82"/>
    <w:rsid w:val="00E90C89"/>
    <w:rsid w:val="00E913B3"/>
    <w:rsid w:val="00E918B7"/>
    <w:rsid w:val="00E92565"/>
    <w:rsid w:val="00E925EA"/>
    <w:rsid w:val="00E9260C"/>
    <w:rsid w:val="00E9266C"/>
    <w:rsid w:val="00E93001"/>
    <w:rsid w:val="00E932D1"/>
    <w:rsid w:val="00E93BEB"/>
    <w:rsid w:val="00E93C7E"/>
    <w:rsid w:val="00E93EB9"/>
    <w:rsid w:val="00E94084"/>
    <w:rsid w:val="00E94113"/>
    <w:rsid w:val="00E94BA7"/>
    <w:rsid w:val="00E94DAA"/>
    <w:rsid w:val="00E9526E"/>
    <w:rsid w:val="00E96468"/>
    <w:rsid w:val="00E96AEB"/>
    <w:rsid w:val="00E96F68"/>
    <w:rsid w:val="00E970D7"/>
    <w:rsid w:val="00E972EE"/>
    <w:rsid w:val="00E97779"/>
    <w:rsid w:val="00E978CC"/>
    <w:rsid w:val="00E97A9E"/>
    <w:rsid w:val="00E97AD7"/>
    <w:rsid w:val="00E97B84"/>
    <w:rsid w:val="00E97F38"/>
    <w:rsid w:val="00EA0289"/>
    <w:rsid w:val="00EA08EC"/>
    <w:rsid w:val="00EA0FCE"/>
    <w:rsid w:val="00EA18A8"/>
    <w:rsid w:val="00EA1FE5"/>
    <w:rsid w:val="00EA2142"/>
    <w:rsid w:val="00EA2ADD"/>
    <w:rsid w:val="00EA2D29"/>
    <w:rsid w:val="00EA3749"/>
    <w:rsid w:val="00EA3AB1"/>
    <w:rsid w:val="00EA3B00"/>
    <w:rsid w:val="00EA3CF5"/>
    <w:rsid w:val="00EA3D21"/>
    <w:rsid w:val="00EA48C9"/>
    <w:rsid w:val="00EA4BB6"/>
    <w:rsid w:val="00EA538B"/>
    <w:rsid w:val="00EA59B0"/>
    <w:rsid w:val="00EA6094"/>
    <w:rsid w:val="00EA6224"/>
    <w:rsid w:val="00EA69A5"/>
    <w:rsid w:val="00EA6D93"/>
    <w:rsid w:val="00EA70F7"/>
    <w:rsid w:val="00EA7446"/>
    <w:rsid w:val="00EA7509"/>
    <w:rsid w:val="00EB004D"/>
    <w:rsid w:val="00EB0146"/>
    <w:rsid w:val="00EB02C1"/>
    <w:rsid w:val="00EB0322"/>
    <w:rsid w:val="00EB05F5"/>
    <w:rsid w:val="00EB0ACA"/>
    <w:rsid w:val="00EB126D"/>
    <w:rsid w:val="00EB153B"/>
    <w:rsid w:val="00EB159C"/>
    <w:rsid w:val="00EB17F3"/>
    <w:rsid w:val="00EB1BE8"/>
    <w:rsid w:val="00EB292B"/>
    <w:rsid w:val="00EB2D5C"/>
    <w:rsid w:val="00EB2EF7"/>
    <w:rsid w:val="00EB3802"/>
    <w:rsid w:val="00EB3EAF"/>
    <w:rsid w:val="00EB46FA"/>
    <w:rsid w:val="00EB48F6"/>
    <w:rsid w:val="00EB4BEB"/>
    <w:rsid w:val="00EB4D75"/>
    <w:rsid w:val="00EB5287"/>
    <w:rsid w:val="00EB5B30"/>
    <w:rsid w:val="00EB6405"/>
    <w:rsid w:val="00EB6587"/>
    <w:rsid w:val="00EB66AC"/>
    <w:rsid w:val="00EB69B4"/>
    <w:rsid w:val="00EB6A0D"/>
    <w:rsid w:val="00EB704A"/>
    <w:rsid w:val="00EB7059"/>
    <w:rsid w:val="00EB75D2"/>
    <w:rsid w:val="00EB7932"/>
    <w:rsid w:val="00EB7DD0"/>
    <w:rsid w:val="00EB7E38"/>
    <w:rsid w:val="00EB7F02"/>
    <w:rsid w:val="00EB7F10"/>
    <w:rsid w:val="00EC0191"/>
    <w:rsid w:val="00EC0214"/>
    <w:rsid w:val="00EC05BA"/>
    <w:rsid w:val="00EC0B35"/>
    <w:rsid w:val="00EC0BAA"/>
    <w:rsid w:val="00EC0D64"/>
    <w:rsid w:val="00EC104C"/>
    <w:rsid w:val="00EC178C"/>
    <w:rsid w:val="00EC17E3"/>
    <w:rsid w:val="00EC1A16"/>
    <w:rsid w:val="00EC1D75"/>
    <w:rsid w:val="00EC20DA"/>
    <w:rsid w:val="00EC2127"/>
    <w:rsid w:val="00EC238B"/>
    <w:rsid w:val="00EC2B1A"/>
    <w:rsid w:val="00EC3117"/>
    <w:rsid w:val="00EC3329"/>
    <w:rsid w:val="00EC36BB"/>
    <w:rsid w:val="00EC3C44"/>
    <w:rsid w:val="00EC45DE"/>
    <w:rsid w:val="00EC478C"/>
    <w:rsid w:val="00EC498D"/>
    <w:rsid w:val="00EC4BC9"/>
    <w:rsid w:val="00EC4CE0"/>
    <w:rsid w:val="00EC517B"/>
    <w:rsid w:val="00EC5B0D"/>
    <w:rsid w:val="00EC5BB4"/>
    <w:rsid w:val="00EC6364"/>
    <w:rsid w:val="00EC654A"/>
    <w:rsid w:val="00EC7114"/>
    <w:rsid w:val="00EC7551"/>
    <w:rsid w:val="00EC7D15"/>
    <w:rsid w:val="00EC7DAA"/>
    <w:rsid w:val="00EC7DB0"/>
    <w:rsid w:val="00EC7EDB"/>
    <w:rsid w:val="00ED024A"/>
    <w:rsid w:val="00ED12B0"/>
    <w:rsid w:val="00ED1D36"/>
    <w:rsid w:val="00ED1F83"/>
    <w:rsid w:val="00ED213F"/>
    <w:rsid w:val="00ED2540"/>
    <w:rsid w:val="00ED2B9A"/>
    <w:rsid w:val="00ED2DB8"/>
    <w:rsid w:val="00ED379B"/>
    <w:rsid w:val="00ED38E3"/>
    <w:rsid w:val="00ED3A92"/>
    <w:rsid w:val="00ED4060"/>
    <w:rsid w:val="00ED45E3"/>
    <w:rsid w:val="00ED4783"/>
    <w:rsid w:val="00ED49B3"/>
    <w:rsid w:val="00ED51DE"/>
    <w:rsid w:val="00ED52CD"/>
    <w:rsid w:val="00ED539C"/>
    <w:rsid w:val="00ED53CB"/>
    <w:rsid w:val="00ED5447"/>
    <w:rsid w:val="00ED54B4"/>
    <w:rsid w:val="00ED5993"/>
    <w:rsid w:val="00ED5A24"/>
    <w:rsid w:val="00ED6222"/>
    <w:rsid w:val="00ED689C"/>
    <w:rsid w:val="00ED6D5F"/>
    <w:rsid w:val="00ED6F3C"/>
    <w:rsid w:val="00ED74B3"/>
    <w:rsid w:val="00ED74C3"/>
    <w:rsid w:val="00ED79B4"/>
    <w:rsid w:val="00ED7E44"/>
    <w:rsid w:val="00EE0456"/>
    <w:rsid w:val="00EE081A"/>
    <w:rsid w:val="00EE08CA"/>
    <w:rsid w:val="00EE0A57"/>
    <w:rsid w:val="00EE0C9C"/>
    <w:rsid w:val="00EE0CF3"/>
    <w:rsid w:val="00EE1228"/>
    <w:rsid w:val="00EE1B4A"/>
    <w:rsid w:val="00EE1C17"/>
    <w:rsid w:val="00EE1D56"/>
    <w:rsid w:val="00EE1F84"/>
    <w:rsid w:val="00EE20B1"/>
    <w:rsid w:val="00EE235A"/>
    <w:rsid w:val="00EE294E"/>
    <w:rsid w:val="00EE35B8"/>
    <w:rsid w:val="00EE3632"/>
    <w:rsid w:val="00EE3EC0"/>
    <w:rsid w:val="00EE427C"/>
    <w:rsid w:val="00EE4392"/>
    <w:rsid w:val="00EE43C1"/>
    <w:rsid w:val="00EE4B3F"/>
    <w:rsid w:val="00EE4DCC"/>
    <w:rsid w:val="00EE5425"/>
    <w:rsid w:val="00EE559E"/>
    <w:rsid w:val="00EE5BB3"/>
    <w:rsid w:val="00EE620B"/>
    <w:rsid w:val="00EE6D82"/>
    <w:rsid w:val="00EE715D"/>
    <w:rsid w:val="00EE7273"/>
    <w:rsid w:val="00EE74FC"/>
    <w:rsid w:val="00EE7916"/>
    <w:rsid w:val="00EE793A"/>
    <w:rsid w:val="00EE7A69"/>
    <w:rsid w:val="00EE7C99"/>
    <w:rsid w:val="00EF0A64"/>
    <w:rsid w:val="00EF132F"/>
    <w:rsid w:val="00EF1392"/>
    <w:rsid w:val="00EF150A"/>
    <w:rsid w:val="00EF18AD"/>
    <w:rsid w:val="00EF19D9"/>
    <w:rsid w:val="00EF1A80"/>
    <w:rsid w:val="00EF2467"/>
    <w:rsid w:val="00EF46BA"/>
    <w:rsid w:val="00EF4844"/>
    <w:rsid w:val="00EF4853"/>
    <w:rsid w:val="00EF4A5A"/>
    <w:rsid w:val="00EF4E5E"/>
    <w:rsid w:val="00EF4FCC"/>
    <w:rsid w:val="00EF5112"/>
    <w:rsid w:val="00EF5132"/>
    <w:rsid w:val="00EF5667"/>
    <w:rsid w:val="00EF5D5A"/>
    <w:rsid w:val="00EF5D5C"/>
    <w:rsid w:val="00EF61CF"/>
    <w:rsid w:val="00EF63BB"/>
    <w:rsid w:val="00EF6662"/>
    <w:rsid w:val="00EF6786"/>
    <w:rsid w:val="00EF6D04"/>
    <w:rsid w:val="00EF6D93"/>
    <w:rsid w:val="00EF6EEB"/>
    <w:rsid w:val="00EF760F"/>
    <w:rsid w:val="00EF7671"/>
    <w:rsid w:val="00EF77F0"/>
    <w:rsid w:val="00EF7E34"/>
    <w:rsid w:val="00F00002"/>
    <w:rsid w:val="00F001EC"/>
    <w:rsid w:val="00F003C1"/>
    <w:rsid w:val="00F00918"/>
    <w:rsid w:val="00F009C1"/>
    <w:rsid w:val="00F00EA8"/>
    <w:rsid w:val="00F01186"/>
    <w:rsid w:val="00F011DB"/>
    <w:rsid w:val="00F01A4D"/>
    <w:rsid w:val="00F01EB1"/>
    <w:rsid w:val="00F021AC"/>
    <w:rsid w:val="00F0223F"/>
    <w:rsid w:val="00F029BC"/>
    <w:rsid w:val="00F02BBD"/>
    <w:rsid w:val="00F02C66"/>
    <w:rsid w:val="00F02F44"/>
    <w:rsid w:val="00F0307D"/>
    <w:rsid w:val="00F031F5"/>
    <w:rsid w:val="00F036A3"/>
    <w:rsid w:val="00F0373C"/>
    <w:rsid w:val="00F03B42"/>
    <w:rsid w:val="00F047F5"/>
    <w:rsid w:val="00F04921"/>
    <w:rsid w:val="00F04E78"/>
    <w:rsid w:val="00F04FEF"/>
    <w:rsid w:val="00F05361"/>
    <w:rsid w:val="00F05B65"/>
    <w:rsid w:val="00F05D9F"/>
    <w:rsid w:val="00F0636F"/>
    <w:rsid w:val="00F06854"/>
    <w:rsid w:val="00F0710F"/>
    <w:rsid w:val="00F07604"/>
    <w:rsid w:val="00F07613"/>
    <w:rsid w:val="00F0767F"/>
    <w:rsid w:val="00F0785A"/>
    <w:rsid w:val="00F078EC"/>
    <w:rsid w:val="00F07B52"/>
    <w:rsid w:val="00F07B9B"/>
    <w:rsid w:val="00F07C18"/>
    <w:rsid w:val="00F11356"/>
    <w:rsid w:val="00F1160D"/>
    <w:rsid w:val="00F116D0"/>
    <w:rsid w:val="00F11778"/>
    <w:rsid w:val="00F121D1"/>
    <w:rsid w:val="00F12309"/>
    <w:rsid w:val="00F12629"/>
    <w:rsid w:val="00F12B69"/>
    <w:rsid w:val="00F1308B"/>
    <w:rsid w:val="00F134C6"/>
    <w:rsid w:val="00F1354C"/>
    <w:rsid w:val="00F143DE"/>
    <w:rsid w:val="00F1440B"/>
    <w:rsid w:val="00F14777"/>
    <w:rsid w:val="00F147E6"/>
    <w:rsid w:val="00F14D71"/>
    <w:rsid w:val="00F14FD5"/>
    <w:rsid w:val="00F152D3"/>
    <w:rsid w:val="00F15440"/>
    <w:rsid w:val="00F15515"/>
    <w:rsid w:val="00F15E67"/>
    <w:rsid w:val="00F15EFD"/>
    <w:rsid w:val="00F15EFE"/>
    <w:rsid w:val="00F164DE"/>
    <w:rsid w:val="00F16634"/>
    <w:rsid w:val="00F16853"/>
    <w:rsid w:val="00F171F9"/>
    <w:rsid w:val="00F1730F"/>
    <w:rsid w:val="00F178D2"/>
    <w:rsid w:val="00F17A79"/>
    <w:rsid w:val="00F17C66"/>
    <w:rsid w:val="00F202DD"/>
    <w:rsid w:val="00F209F8"/>
    <w:rsid w:val="00F20C34"/>
    <w:rsid w:val="00F2147E"/>
    <w:rsid w:val="00F21609"/>
    <w:rsid w:val="00F21A45"/>
    <w:rsid w:val="00F21B53"/>
    <w:rsid w:val="00F21EB0"/>
    <w:rsid w:val="00F2201B"/>
    <w:rsid w:val="00F22065"/>
    <w:rsid w:val="00F22313"/>
    <w:rsid w:val="00F22343"/>
    <w:rsid w:val="00F22404"/>
    <w:rsid w:val="00F226B6"/>
    <w:rsid w:val="00F22D6E"/>
    <w:rsid w:val="00F236D5"/>
    <w:rsid w:val="00F238EF"/>
    <w:rsid w:val="00F23DE7"/>
    <w:rsid w:val="00F23EBE"/>
    <w:rsid w:val="00F248C7"/>
    <w:rsid w:val="00F24B8E"/>
    <w:rsid w:val="00F24D6A"/>
    <w:rsid w:val="00F24FFD"/>
    <w:rsid w:val="00F2574A"/>
    <w:rsid w:val="00F25763"/>
    <w:rsid w:val="00F2594A"/>
    <w:rsid w:val="00F25CA3"/>
    <w:rsid w:val="00F25F64"/>
    <w:rsid w:val="00F25FC7"/>
    <w:rsid w:val="00F2630A"/>
    <w:rsid w:val="00F263AD"/>
    <w:rsid w:val="00F264B8"/>
    <w:rsid w:val="00F26A5A"/>
    <w:rsid w:val="00F26BBA"/>
    <w:rsid w:val="00F26C88"/>
    <w:rsid w:val="00F26D06"/>
    <w:rsid w:val="00F26D38"/>
    <w:rsid w:val="00F26E72"/>
    <w:rsid w:val="00F27536"/>
    <w:rsid w:val="00F27B76"/>
    <w:rsid w:val="00F3040E"/>
    <w:rsid w:val="00F304A8"/>
    <w:rsid w:val="00F309CA"/>
    <w:rsid w:val="00F30B91"/>
    <w:rsid w:val="00F30F5D"/>
    <w:rsid w:val="00F31206"/>
    <w:rsid w:val="00F31532"/>
    <w:rsid w:val="00F3173A"/>
    <w:rsid w:val="00F31861"/>
    <w:rsid w:val="00F32088"/>
    <w:rsid w:val="00F32366"/>
    <w:rsid w:val="00F32418"/>
    <w:rsid w:val="00F32913"/>
    <w:rsid w:val="00F32A66"/>
    <w:rsid w:val="00F3324D"/>
    <w:rsid w:val="00F34210"/>
    <w:rsid w:val="00F34F66"/>
    <w:rsid w:val="00F350C6"/>
    <w:rsid w:val="00F3511E"/>
    <w:rsid w:val="00F351F7"/>
    <w:rsid w:val="00F3525E"/>
    <w:rsid w:val="00F35549"/>
    <w:rsid w:val="00F35885"/>
    <w:rsid w:val="00F3591E"/>
    <w:rsid w:val="00F36019"/>
    <w:rsid w:val="00F36605"/>
    <w:rsid w:val="00F366FB"/>
    <w:rsid w:val="00F36C9F"/>
    <w:rsid w:val="00F373DC"/>
    <w:rsid w:val="00F375F4"/>
    <w:rsid w:val="00F378A6"/>
    <w:rsid w:val="00F3796D"/>
    <w:rsid w:val="00F4000E"/>
    <w:rsid w:val="00F40202"/>
    <w:rsid w:val="00F40BE9"/>
    <w:rsid w:val="00F40C79"/>
    <w:rsid w:val="00F40ED3"/>
    <w:rsid w:val="00F411C1"/>
    <w:rsid w:val="00F4123C"/>
    <w:rsid w:val="00F4131E"/>
    <w:rsid w:val="00F4135A"/>
    <w:rsid w:val="00F41386"/>
    <w:rsid w:val="00F41BD1"/>
    <w:rsid w:val="00F41E51"/>
    <w:rsid w:val="00F42164"/>
    <w:rsid w:val="00F42AC0"/>
    <w:rsid w:val="00F4345F"/>
    <w:rsid w:val="00F43A56"/>
    <w:rsid w:val="00F43DD0"/>
    <w:rsid w:val="00F4417C"/>
    <w:rsid w:val="00F44203"/>
    <w:rsid w:val="00F445FF"/>
    <w:rsid w:val="00F4463B"/>
    <w:rsid w:val="00F44AF1"/>
    <w:rsid w:val="00F44CBA"/>
    <w:rsid w:val="00F451D4"/>
    <w:rsid w:val="00F4541A"/>
    <w:rsid w:val="00F45AE2"/>
    <w:rsid w:val="00F45BD4"/>
    <w:rsid w:val="00F45EDF"/>
    <w:rsid w:val="00F46184"/>
    <w:rsid w:val="00F4625D"/>
    <w:rsid w:val="00F4638F"/>
    <w:rsid w:val="00F466B3"/>
    <w:rsid w:val="00F467AF"/>
    <w:rsid w:val="00F468E9"/>
    <w:rsid w:val="00F470D0"/>
    <w:rsid w:val="00F470E9"/>
    <w:rsid w:val="00F473D8"/>
    <w:rsid w:val="00F47523"/>
    <w:rsid w:val="00F47643"/>
    <w:rsid w:val="00F47788"/>
    <w:rsid w:val="00F47849"/>
    <w:rsid w:val="00F478EB"/>
    <w:rsid w:val="00F47DD5"/>
    <w:rsid w:val="00F5074E"/>
    <w:rsid w:val="00F50BA3"/>
    <w:rsid w:val="00F50F2A"/>
    <w:rsid w:val="00F51106"/>
    <w:rsid w:val="00F514E3"/>
    <w:rsid w:val="00F51A14"/>
    <w:rsid w:val="00F521AA"/>
    <w:rsid w:val="00F52501"/>
    <w:rsid w:val="00F52838"/>
    <w:rsid w:val="00F5284C"/>
    <w:rsid w:val="00F531C9"/>
    <w:rsid w:val="00F53B78"/>
    <w:rsid w:val="00F53BB4"/>
    <w:rsid w:val="00F54251"/>
    <w:rsid w:val="00F5455E"/>
    <w:rsid w:val="00F547A4"/>
    <w:rsid w:val="00F54897"/>
    <w:rsid w:val="00F548B6"/>
    <w:rsid w:val="00F54D38"/>
    <w:rsid w:val="00F55082"/>
    <w:rsid w:val="00F553BF"/>
    <w:rsid w:val="00F558E6"/>
    <w:rsid w:val="00F55B78"/>
    <w:rsid w:val="00F55EAA"/>
    <w:rsid w:val="00F55F46"/>
    <w:rsid w:val="00F5629A"/>
    <w:rsid w:val="00F562A2"/>
    <w:rsid w:val="00F56A10"/>
    <w:rsid w:val="00F56BAE"/>
    <w:rsid w:val="00F57054"/>
    <w:rsid w:val="00F571DB"/>
    <w:rsid w:val="00F572FE"/>
    <w:rsid w:val="00F5769E"/>
    <w:rsid w:val="00F5774F"/>
    <w:rsid w:val="00F579D5"/>
    <w:rsid w:val="00F57E50"/>
    <w:rsid w:val="00F57F20"/>
    <w:rsid w:val="00F602E9"/>
    <w:rsid w:val="00F60617"/>
    <w:rsid w:val="00F60639"/>
    <w:rsid w:val="00F60C47"/>
    <w:rsid w:val="00F60F0A"/>
    <w:rsid w:val="00F6140D"/>
    <w:rsid w:val="00F61C2B"/>
    <w:rsid w:val="00F62348"/>
    <w:rsid w:val="00F625E6"/>
    <w:rsid w:val="00F62660"/>
    <w:rsid w:val="00F6281D"/>
    <w:rsid w:val="00F628E6"/>
    <w:rsid w:val="00F62D25"/>
    <w:rsid w:val="00F62FEE"/>
    <w:rsid w:val="00F630ED"/>
    <w:rsid w:val="00F6367D"/>
    <w:rsid w:val="00F6436A"/>
    <w:rsid w:val="00F6480B"/>
    <w:rsid w:val="00F64A00"/>
    <w:rsid w:val="00F64B26"/>
    <w:rsid w:val="00F64BC9"/>
    <w:rsid w:val="00F651FB"/>
    <w:rsid w:val="00F655F5"/>
    <w:rsid w:val="00F65886"/>
    <w:rsid w:val="00F65A67"/>
    <w:rsid w:val="00F65BDC"/>
    <w:rsid w:val="00F65F1F"/>
    <w:rsid w:val="00F66042"/>
    <w:rsid w:val="00F663E4"/>
    <w:rsid w:val="00F66822"/>
    <w:rsid w:val="00F66A6E"/>
    <w:rsid w:val="00F66D44"/>
    <w:rsid w:val="00F66F07"/>
    <w:rsid w:val="00F67097"/>
    <w:rsid w:val="00F67329"/>
    <w:rsid w:val="00F674DA"/>
    <w:rsid w:val="00F67D3F"/>
    <w:rsid w:val="00F67EE8"/>
    <w:rsid w:val="00F7002C"/>
    <w:rsid w:val="00F700D8"/>
    <w:rsid w:val="00F708F1"/>
    <w:rsid w:val="00F70ED3"/>
    <w:rsid w:val="00F70FDD"/>
    <w:rsid w:val="00F710A0"/>
    <w:rsid w:val="00F71320"/>
    <w:rsid w:val="00F715E5"/>
    <w:rsid w:val="00F71A7A"/>
    <w:rsid w:val="00F722BE"/>
    <w:rsid w:val="00F72844"/>
    <w:rsid w:val="00F729DC"/>
    <w:rsid w:val="00F729F1"/>
    <w:rsid w:val="00F72B73"/>
    <w:rsid w:val="00F731D7"/>
    <w:rsid w:val="00F73702"/>
    <w:rsid w:val="00F73BCF"/>
    <w:rsid w:val="00F74166"/>
    <w:rsid w:val="00F74B26"/>
    <w:rsid w:val="00F752A2"/>
    <w:rsid w:val="00F752EC"/>
    <w:rsid w:val="00F75776"/>
    <w:rsid w:val="00F75AC3"/>
    <w:rsid w:val="00F75ADB"/>
    <w:rsid w:val="00F75EF5"/>
    <w:rsid w:val="00F7602D"/>
    <w:rsid w:val="00F76363"/>
    <w:rsid w:val="00F7685D"/>
    <w:rsid w:val="00F76C6C"/>
    <w:rsid w:val="00F76D4A"/>
    <w:rsid w:val="00F77119"/>
    <w:rsid w:val="00F77328"/>
    <w:rsid w:val="00F77CBA"/>
    <w:rsid w:val="00F77E63"/>
    <w:rsid w:val="00F8037E"/>
    <w:rsid w:val="00F803B7"/>
    <w:rsid w:val="00F806C9"/>
    <w:rsid w:val="00F807F7"/>
    <w:rsid w:val="00F8099F"/>
    <w:rsid w:val="00F816F6"/>
    <w:rsid w:val="00F818A9"/>
    <w:rsid w:val="00F81CDD"/>
    <w:rsid w:val="00F8228B"/>
    <w:rsid w:val="00F82D8A"/>
    <w:rsid w:val="00F8324B"/>
    <w:rsid w:val="00F838A8"/>
    <w:rsid w:val="00F83A8A"/>
    <w:rsid w:val="00F83E26"/>
    <w:rsid w:val="00F84A5A"/>
    <w:rsid w:val="00F85A9D"/>
    <w:rsid w:val="00F85B83"/>
    <w:rsid w:val="00F860D8"/>
    <w:rsid w:val="00F86849"/>
    <w:rsid w:val="00F86914"/>
    <w:rsid w:val="00F86B73"/>
    <w:rsid w:val="00F86B8F"/>
    <w:rsid w:val="00F870BF"/>
    <w:rsid w:val="00F8754B"/>
    <w:rsid w:val="00F9012C"/>
    <w:rsid w:val="00F90377"/>
    <w:rsid w:val="00F90ADE"/>
    <w:rsid w:val="00F9176D"/>
    <w:rsid w:val="00F91D3B"/>
    <w:rsid w:val="00F91D8E"/>
    <w:rsid w:val="00F91FB6"/>
    <w:rsid w:val="00F923B9"/>
    <w:rsid w:val="00F9245E"/>
    <w:rsid w:val="00F927E3"/>
    <w:rsid w:val="00F92F2C"/>
    <w:rsid w:val="00F934BB"/>
    <w:rsid w:val="00F939B6"/>
    <w:rsid w:val="00F93D52"/>
    <w:rsid w:val="00F93E25"/>
    <w:rsid w:val="00F93EC8"/>
    <w:rsid w:val="00F9440D"/>
    <w:rsid w:val="00F94A68"/>
    <w:rsid w:val="00F94BC6"/>
    <w:rsid w:val="00F94BC8"/>
    <w:rsid w:val="00F94C99"/>
    <w:rsid w:val="00F95E60"/>
    <w:rsid w:val="00F96019"/>
    <w:rsid w:val="00F9640C"/>
    <w:rsid w:val="00F9667A"/>
    <w:rsid w:val="00F9727D"/>
    <w:rsid w:val="00F9741B"/>
    <w:rsid w:val="00F97B70"/>
    <w:rsid w:val="00F97BCC"/>
    <w:rsid w:val="00FA057A"/>
    <w:rsid w:val="00FA0665"/>
    <w:rsid w:val="00FA0A8E"/>
    <w:rsid w:val="00FA1687"/>
    <w:rsid w:val="00FA189A"/>
    <w:rsid w:val="00FA1A50"/>
    <w:rsid w:val="00FA1D9A"/>
    <w:rsid w:val="00FA1F76"/>
    <w:rsid w:val="00FA26F8"/>
    <w:rsid w:val="00FA276F"/>
    <w:rsid w:val="00FA281F"/>
    <w:rsid w:val="00FA2B8C"/>
    <w:rsid w:val="00FA33C1"/>
    <w:rsid w:val="00FA3509"/>
    <w:rsid w:val="00FA357D"/>
    <w:rsid w:val="00FA3AE6"/>
    <w:rsid w:val="00FA3E60"/>
    <w:rsid w:val="00FA3EC1"/>
    <w:rsid w:val="00FA40E6"/>
    <w:rsid w:val="00FA4628"/>
    <w:rsid w:val="00FA49E0"/>
    <w:rsid w:val="00FA5819"/>
    <w:rsid w:val="00FA5C9E"/>
    <w:rsid w:val="00FA5D5F"/>
    <w:rsid w:val="00FA66C6"/>
    <w:rsid w:val="00FA6F3D"/>
    <w:rsid w:val="00FA77FB"/>
    <w:rsid w:val="00FA7989"/>
    <w:rsid w:val="00FA7D36"/>
    <w:rsid w:val="00FB016A"/>
    <w:rsid w:val="00FB055C"/>
    <w:rsid w:val="00FB0D77"/>
    <w:rsid w:val="00FB0D91"/>
    <w:rsid w:val="00FB0E86"/>
    <w:rsid w:val="00FB0F89"/>
    <w:rsid w:val="00FB172B"/>
    <w:rsid w:val="00FB1D2E"/>
    <w:rsid w:val="00FB24EB"/>
    <w:rsid w:val="00FB274B"/>
    <w:rsid w:val="00FB39F2"/>
    <w:rsid w:val="00FB3C2C"/>
    <w:rsid w:val="00FB3FE2"/>
    <w:rsid w:val="00FB3FEE"/>
    <w:rsid w:val="00FB4372"/>
    <w:rsid w:val="00FB49E4"/>
    <w:rsid w:val="00FB568A"/>
    <w:rsid w:val="00FB5967"/>
    <w:rsid w:val="00FB5AFD"/>
    <w:rsid w:val="00FB5B5B"/>
    <w:rsid w:val="00FB5D5B"/>
    <w:rsid w:val="00FB6CE2"/>
    <w:rsid w:val="00FB77CF"/>
    <w:rsid w:val="00FB7A8F"/>
    <w:rsid w:val="00FB7ACB"/>
    <w:rsid w:val="00FB7F03"/>
    <w:rsid w:val="00FB7FEA"/>
    <w:rsid w:val="00FC01EC"/>
    <w:rsid w:val="00FC051A"/>
    <w:rsid w:val="00FC0E47"/>
    <w:rsid w:val="00FC1402"/>
    <w:rsid w:val="00FC1591"/>
    <w:rsid w:val="00FC15F6"/>
    <w:rsid w:val="00FC18D6"/>
    <w:rsid w:val="00FC194F"/>
    <w:rsid w:val="00FC1B18"/>
    <w:rsid w:val="00FC2295"/>
    <w:rsid w:val="00FC29D5"/>
    <w:rsid w:val="00FC2AF3"/>
    <w:rsid w:val="00FC2DCC"/>
    <w:rsid w:val="00FC35FA"/>
    <w:rsid w:val="00FC370E"/>
    <w:rsid w:val="00FC3B85"/>
    <w:rsid w:val="00FC3D15"/>
    <w:rsid w:val="00FC3D4C"/>
    <w:rsid w:val="00FC40E0"/>
    <w:rsid w:val="00FC434E"/>
    <w:rsid w:val="00FC4846"/>
    <w:rsid w:val="00FC4D1E"/>
    <w:rsid w:val="00FC4FE0"/>
    <w:rsid w:val="00FC5486"/>
    <w:rsid w:val="00FC58D3"/>
    <w:rsid w:val="00FC6222"/>
    <w:rsid w:val="00FC6EC0"/>
    <w:rsid w:val="00FC7770"/>
    <w:rsid w:val="00FC77C7"/>
    <w:rsid w:val="00FC7F65"/>
    <w:rsid w:val="00FD0D3F"/>
    <w:rsid w:val="00FD0F5C"/>
    <w:rsid w:val="00FD1298"/>
    <w:rsid w:val="00FD1CCA"/>
    <w:rsid w:val="00FD277B"/>
    <w:rsid w:val="00FD2CBA"/>
    <w:rsid w:val="00FD362E"/>
    <w:rsid w:val="00FD3816"/>
    <w:rsid w:val="00FD3AEE"/>
    <w:rsid w:val="00FD4281"/>
    <w:rsid w:val="00FD47BB"/>
    <w:rsid w:val="00FD4FFE"/>
    <w:rsid w:val="00FD510F"/>
    <w:rsid w:val="00FD55E2"/>
    <w:rsid w:val="00FD56F6"/>
    <w:rsid w:val="00FD5A91"/>
    <w:rsid w:val="00FD5DF2"/>
    <w:rsid w:val="00FD5E28"/>
    <w:rsid w:val="00FD5E9E"/>
    <w:rsid w:val="00FD6519"/>
    <w:rsid w:val="00FD675A"/>
    <w:rsid w:val="00FD6EA3"/>
    <w:rsid w:val="00FD7514"/>
    <w:rsid w:val="00FD77A4"/>
    <w:rsid w:val="00FE03DA"/>
    <w:rsid w:val="00FE0897"/>
    <w:rsid w:val="00FE0940"/>
    <w:rsid w:val="00FE0989"/>
    <w:rsid w:val="00FE0E36"/>
    <w:rsid w:val="00FE102E"/>
    <w:rsid w:val="00FE1A57"/>
    <w:rsid w:val="00FE1FB4"/>
    <w:rsid w:val="00FE23B0"/>
    <w:rsid w:val="00FE24A9"/>
    <w:rsid w:val="00FE28C4"/>
    <w:rsid w:val="00FE34DC"/>
    <w:rsid w:val="00FE354B"/>
    <w:rsid w:val="00FE3658"/>
    <w:rsid w:val="00FE371A"/>
    <w:rsid w:val="00FE37A8"/>
    <w:rsid w:val="00FE37E9"/>
    <w:rsid w:val="00FE38A4"/>
    <w:rsid w:val="00FE3D93"/>
    <w:rsid w:val="00FE410E"/>
    <w:rsid w:val="00FE4329"/>
    <w:rsid w:val="00FE44CB"/>
    <w:rsid w:val="00FE453A"/>
    <w:rsid w:val="00FE45BD"/>
    <w:rsid w:val="00FE4BD1"/>
    <w:rsid w:val="00FE4D06"/>
    <w:rsid w:val="00FE574B"/>
    <w:rsid w:val="00FE6632"/>
    <w:rsid w:val="00FE66ED"/>
    <w:rsid w:val="00FE68E7"/>
    <w:rsid w:val="00FE6C64"/>
    <w:rsid w:val="00FE6F3D"/>
    <w:rsid w:val="00FE76FA"/>
    <w:rsid w:val="00FE77D3"/>
    <w:rsid w:val="00FF02F7"/>
    <w:rsid w:val="00FF062D"/>
    <w:rsid w:val="00FF0D5B"/>
    <w:rsid w:val="00FF1329"/>
    <w:rsid w:val="00FF1643"/>
    <w:rsid w:val="00FF1B15"/>
    <w:rsid w:val="00FF1CE1"/>
    <w:rsid w:val="00FF1E0B"/>
    <w:rsid w:val="00FF2021"/>
    <w:rsid w:val="00FF24A7"/>
    <w:rsid w:val="00FF267E"/>
    <w:rsid w:val="00FF2948"/>
    <w:rsid w:val="00FF2A25"/>
    <w:rsid w:val="00FF2A98"/>
    <w:rsid w:val="00FF2C48"/>
    <w:rsid w:val="00FF2F44"/>
    <w:rsid w:val="00FF314A"/>
    <w:rsid w:val="00FF34CD"/>
    <w:rsid w:val="00FF352D"/>
    <w:rsid w:val="00FF360F"/>
    <w:rsid w:val="00FF3965"/>
    <w:rsid w:val="00FF396F"/>
    <w:rsid w:val="00FF3AA1"/>
    <w:rsid w:val="00FF3F93"/>
    <w:rsid w:val="00FF4397"/>
    <w:rsid w:val="00FF4541"/>
    <w:rsid w:val="00FF463E"/>
    <w:rsid w:val="00FF4BAF"/>
    <w:rsid w:val="00FF4ED3"/>
    <w:rsid w:val="00FF50D5"/>
    <w:rsid w:val="00FF537D"/>
    <w:rsid w:val="00FF6180"/>
    <w:rsid w:val="00FF64E9"/>
    <w:rsid w:val="00FF6E50"/>
    <w:rsid w:val="00FF6E89"/>
    <w:rsid w:val="00FF7965"/>
    <w:rsid w:val="00FF799E"/>
    <w:rsid w:val="00FF7AC5"/>
    <w:rsid w:val="00FF7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47C23F4-AC17-4A31-9B7B-D70D1CFB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E15"/>
    <w:rPr>
      <w:sz w:val="24"/>
      <w:szCs w:val="24"/>
      <w:lang w:val="bg-BG"/>
    </w:rPr>
  </w:style>
  <w:style w:type="paragraph" w:styleId="Heading1">
    <w:name w:val="heading 1"/>
    <w:basedOn w:val="Normal"/>
    <w:next w:val="Normal"/>
    <w:link w:val="Heading1Char"/>
    <w:qFormat/>
    <w:rsid w:val="00063E15"/>
    <w:pPr>
      <w:keepNext/>
      <w:jc w:val="center"/>
      <w:outlineLvl w:val="0"/>
    </w:pPr>
    <w:rPr>
      <w:b/>
      <w:bCs/>
      <w:sz w:val="28"/>
    </w:rPr>
  </w:style>
  <w:style w:type="paragraph" w:styleId="Heading2">
    <w:name w:val="heading 2"/>
    <w:basedOn w:val="Normal"/>
    <w:next w:val="Normal"/>
    <w:link w:val="Heading2Char"/>
    <w:uiPriority w:val="99"/>
    <w:qFormat/>
    <w:rsid w:val="00C26FE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6239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63E15"/>
    <w:pPr>
      <w:jc w:val="center"/>
    </w:pPr>
    <w:rPr>
      <w:b/>
      <w:szCs w:val="20"/>
    </w:rPr>
  </w:style>
  <w:style w:type="paragraph" w:customStyle="1" w:styleId="ParagraphNumbering">
    <w:name w:val="Paragraph Numbering"/>
    <w:basedOn w:val="Normal"/>
    <w:rsid w:val="0028159B"/>
    <w:pPr>
      <w:numPr>
        <w:numId w:val="1"/>
      </w:numPr>
      <w:spacing w:after="240"/>
    </w:pPr>
    <w:rPr>
      <w:lang w:val="en-US"/>
    </w:rPr>
  </w:style>
  <w:style w:type="paragraph" w:styleId="FootnoteText">
    <w:name w:val="footnote text"/>
    <w:aliases w:val="Fußnotentext arial,Footnote1,Footnote2,Footnote3,stile 1,Footnote4,Footnote5,Footnote6,Footnote7,Footnote8,Footnote9,Footnote10,Footnote11,Footnote21,Footnote31,Footnote41,Footnote51,Footnote61,Footnote71,Footnote81,Footnote91,single spa"/>
    <w:basedOn w:val="Normal"/>
    <w:link w:val="FootnoteTextChar"/>
    <w:uiPriority w:val="99"/>
    <w:qFormat/>
    <w:rsid w:val="003459AC"/>
    <w:rPr>
      <w:sz w:val="20"/>
      <w:szCs w:val="20"/>
      <w:lang w:val="en-US"/>
    </w:rPr>
  </w:style>
  <w:style w:type="character" w:styleId="FootnoteReference">
    <w:name w:val="footnote reference"/>
    <w:aliases w:val="Footnote,Footnote symbol,SUPERS,BVI fnr,Footnote reference number,Times 10 Point,Exposant 3 Point,Ref,de nota al pie,note TESI,EN Footnote text,EN Footnote Reference,Footnote Reference Number,E FNZ,Appel note de bas de p,Nota,BVI fnr1"/>
    <w:link w:val="FootnotesymbolCarZchn"/>
    <w:uiPriority w:val="99"/>
    <w:qFormat/>
    <w:rsid w:val="003459AC"/>
    <w:rPr>
      <w:vertAlign w:val="superscript"/>
    </w:rPr>
  </w:style>
  <w:style w:type="paragraph" w:styleId="BodyText">
    <w:name w:val="Body Text"/>
    <w:basedOn w:val="Normal"/>
    <w:link w:val="BodyTextChar"/>
    <w:rsid w:val="003459AC"/>
    <w:pPr>
      <w:jc w:val="both"/>
    </w:pPr>
  </w:style>
  <w:style w:type="paragraph" w:styleId="BodyTextIndent">
    <w:name w:val="Body Text Indent"/>
    <w:basedOn w:val="Normal"/>
    <w:link w:val="BodyTextIndentChar"/>
    <w:uiPriority w:val="99"/>
    <w:rsid w:val="003459AC"/>
    <w:pPr>
      <w:spacing w:after="120"/>
      <w:ind w:left="283"/>
    </w:pPr>
  </w:style>
  <w:style w:type="paragraph" w:styleId="BodyText2">
    <w:name w:val="Body Text 2"/>
    <w:basedOn w:val="Normal"/>
    <w:link w:val="BodyText2Char"/>
    <w:rsid w:val="003459AC"/>
    <w:pPr>
      <w:spacing w:after="120" w:line="480" w:lineRule="auto"/>
    </w:pPr>
  </w:style>
  <w:style w:type="paragraph" w:styleId="BlockText">
    <w:name w:val="Block Text"/>
    <w:basedOn w:val="Normal"/>
    <w:rsid w:val="003459AC"/>
    <w:pPr>
      <w:ind w:left="720" w:right="1106"/>
    </w:pPr>
    <w:rPr>
      <w:b/>
      <w:bCs/>
    </w:rPr>
  </w:style>
  <w:style w:type="table" w:styleId="TableGrid">
    <w:name w:val="Table Grid"/>
    <w:basedOn w:val="TableNormal"/>
    <w:rsid w:val="00345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Header Char1 Char,Header Char Char Char,Header Char3 Char Char Char,Header Char1 Char Char Char Char1 Char,Header Char Char Char Char Char Char1 Char,Header Char2 Char1 Char Char Char,Header Char2,Header Char1 Char1,Header Char Char1"/>
    <w:basedOn w:val="Normal"/>
    <w:link w:val="HeaderChar1"/>
    <w:rsid w:val="001D40DA"/>
    <w:pPr>
      <w:tabs>
        <w:tab w:val="center" w:pos="4153"/>
        <w:tab w:val="right" w:pos="8306"/>
      </w:tabs>
    </w:pPr>
    <w:rPr>
      <w:lang w:eastAsia="bg-BG"/>
    </w:rPr>
  </w:style>
  <w:style w:type="paragraph" w:styleId="BodyText3">
    <w:name w:val="Body Text 3"/>
    <w:basedOn w:val="Normal"/>
    <w:link w:val="BodyText3Char"/>
    <w:rsid w:val="00262391"/>
    <w:pPr>
      <w:spacing w:after="120"/>
    </w:pPr>
    <w:rPr>
      <w:sz w:val="16"/>
      <w:szCs w:val="16"/>
    </w:rPr>
  </w:style>
  <w:style w:type="paragraph" w:styleId="Footer">
    <w:name w:val="footer"/>
    <w:basedOn w:val="Normal"/>
    <w:link w:val="FooterChar"/>
    <w:uiPriority w:val="99"/>
    <w:rsid w:val="00A74112"/>
    <w:pPr>
      <w:tabs>
        <w:tab w:val="center" w:pos="4536"/>
        <w:tab w:val="right" w:pos="9072"/>
      </w:tabs>
    </w:pPr>
  </w:style>
  <w:style w:type="character" w:styleId="PageNumber">
    <w:name w:val="page number"/>
    <w:basedOn w:val="DefaultParagraphFont"/>
    <w:rsid w:val="00A74112"/>
  </w:style>
  <w:style w:type="paragraph" w:customStyle="1" w:styleId="CharChar3CharChar">
    <w:name w:val="Char Char3 Char Char"/>
    <w:basedOn w:val="Normal"/>
    <w:semiHidden/>
    <w:rsid w:val="00EE4B3F"/>
    <w:pPr>
      <w:tabs>
        <w:tab w:val="left" w:pos="709"/>
      </w:tabs>
    </w:pPr>
    <w:rPr>
      <w:rFonts w:ascii="Futura Bk" w:hAnsi="Futura Bk"/>
      <w:lang w:val="pl-PL" w:eastAsia="pl-PL"/>
    </w:rPr>
  </w:style>
  <w:style w:type="paragraph" w:customStyle="1" w:styleId="CharCharCharChar">
    <w:name w:val="Char Char Char Char"/>
    <w:basedOn w:val="Normal"/>
    <w:rsid w:val="00A14560"/>
    <w:pPr>
      <w:spacing w:after="160" w:line="240" w:lineRule="exact"/>
    </w:pPr>
    <w:rPr>
      <w:rFonts w:ascii="Tahoma" w:hAnsi="Tahoma"/>
      <w:sz w:val="20"/>
      <w:szCs w:val="20"/>
      <w:lang w:val="en-US"/>
    </w:rPr>
  </w:style>
  <w:style w:type="paragraph" w:styleId="BodyTextIndent2">
    <w:name w:val="Body Text Indent 2"/>
    <w:basedOn w:val="Normal"/>
    <w:link w:val="BodyTextIndent2Char"/>
    <w:rsid w:val="00C32154"/>
    <w:pPr>
      <w:spacing w:after="120" w:line="480" w:lineRule="auto"/>
      <w:ind w:left="283"/>
    </w:pPr>
  </w:style>
  <w:style w:type="paragraph" w:styleId="BalloonText">
    <w:name w:val="Balloon Text"/>
    <w:basedOn w:val="Normal"/>
    <w:link w:val="BalloonTextChar"/>
    <w:semiHidden/>
    <w:rsid w:val="00144BF2"/>
    <w:rPr>
      <w:rFonts w:ascii="Tahoma" w:hAnsi="Tahoma" w:cs="Tahoma"/>
      <w:sz w:val="16"/>
      <w:szCs w:val="16"/>
    </w:rPr>
  </w:style>
  <w:style w:type="paragraph" w:styleId="EndnoteText">
    <w:name w:val="endnote text"/>
    <w:basedOn w:val="Normal"/>
    <w:link w:val="EndnoteTextChar"/>
    <w:semiHidden/>
    <w:rsid w:val="00F870BF"/>
    <w:rPr>
      <w:sz w:val="20"/>
      <w:szCs w:val="20"/>
    </w:rPr>
  </w:style>
  <w:style w:type="character" w:styleId="EndnoteReference">
    <w:name w:val="endnote reference"/>
    <w:semiHidden/>
    <w:rsid w:val="00F870BF"/>
    <w:rPr>
      <w:vertAlign w:val="superscript"/>
    </w:rPr>
  </w:style>
  <w:style w:type="character" w:styleId="CommentReference">
    <w:name w:val="annotation reference"/>
    <w:semiHidden/>
    <w:rsid w:val="00A252C3"/>
    <w:rPr>
      <w:sz w:val="16"/>
      <w:szCs w:val="16"/>
    </w:rPr>
  </w:style>
  <w:style w:type="paragraph" w:styleId="CommentText">
    <w:name w:val="annotation text"/>
    <w:basedOn w:val="Normal"/>
    <w:link w:val="CommentTextChar"/>
    <w:semiHidden/>
    <w:rsid w:val="00A252C3"/>
    <w:rPr>
      <w:sz w:val="20"/>
      <w:szCs w:val="20"/>
    </w:rPr>
  </w:style>
  <w:style w:type="character" w:customStyle="1" w:styleId="HeaderChar1">
    <w:name w:val="Header Char1"/>
    <w:aliases w:val="Header Char Char,Header Char1 Char Char,Header Char Char Char Char,Header Char3 Char Char Char Char,Header Char1 Char Char Char Char1 Char Char,Header Char Char Char Char Char Char1 Char Char,Header Char2 Char1 Char Char Char Char"/>
    <w:link w:val="Header"/>
    <w:rsid w:val="00166023"/>
    <w:rPr>
      <w:sz w:val="24"/>
      <w:szCs w:val="24"/>
      <w:lang w:val="bg-BG" w:eastAsia="bg-BG" w:bidi="ar-SA"/>
    </w:rPr>
  </w:style>
  <w:style w:type="paragraph" w:customStyle="1" w:styleId="Char1">
    <w:name w:val="Char1"/>
    <w:basedOn w:val="Normal"/>
    <w:semiHidden/>
    <w:rsid w:val="008138E4"/>
    <w:pPr>
      <w:tabs>
        <w:tab w:val="left" w:pos="709"/>
      </w:tabs>
    </w:pPr>
    <w:rPr>
      <w:rFonts w:ascii="Futura Bk" w:hAnsi="Futura Bk"/>
      <w:lang w:val="pl-PL" w:eastAsia="pl-PL"/>
    </w:rPr>
  </w:style>
  <w:style w:type="paragraph" w:customStyle="1" w:styleId="default">
    <w:name w:val="default"/>
    <w:basedOn w:val="Normal"/>
    <w:rsid w:val="003C14B1"/>
    <w:pPr>
      <w:spacing w:before="100" w:beforeAutospacing="1" w:after="100" w:afterAutospacing="1"/>
    </w:pPr>
    <w:rPr>
      <w:lang w:eastAsia="bg-BG"/>
    </w:rPr>
  </w:style>
  <w:style w:type="character" w:styleId="Strong">
    <w:name w:val="Strong"/>
    <w:uiPriority w:val="99"/>
    <w:qFormat/>
    <w:rsid w:val="003E37A0"/>
    <w:rPr>
      <w:b/>
      <w:bCs/>
    </w:rPr>
  </w:style>
  <w:style w:type="character" w:customStyle="1" w:styleId="BalloonTextChar">
    <w:name w:val="Balloon Text Char"/>
    <w:link w:val="BalloonText"/>
    <w:semiHidden/>
    <w:locked/>
    <w:rsid w:val="00DD1EFE"/>
    <w:rPr>
      <w:rFonts w:ascii="Tahoma" w:hAnsi="Tahoma" w:cs="Tahoma"/>
      <w:sz w:val="16"/>
      <w:szCs w:val="16"/>
      <w:lang w:val="en-GB" w:eastAsia="en-US" w:bidi="ar-SA"/>
    </w:rPr>
  </w:style>
  <w:style w:type="paragraph" w:customStyle="1" w:styleId="Default0">
    <w:name w:val="Default"/>
    <w:rsid w:val="00DD1EFE"/>
    <w:pPr>
      <w:autoSpaceDE w:val="0"/>
      <w:autoSpaceDN w:val="0"/>
      <w:adjustRightInd w:val="0"/>
    </w:pPr>
    <w:rPr>
      <w:rFonts w:ascii="Calibri" w:hAnsi="Calibri" w:cs="Calibri"/>
      <w:color w:val="000000"/>
      <w:sz w:val="24"/>
      <w:szCs w:val="24"/>
      <w:lang w:val="bg-BG"/>
    </w:rPr>
  </w:style>
  <w:style w:type="character" w:customStyle="1" w:styleId="FootnoteTextChar">
    <w:name w:val="Footnote Text Char"/>
    <w:aliases w:val="Fußnotentext arial Char,Footnote1 Char,Footnote2 Char,Footnote3 Char,stile 1 Char,Footnote4 Char,Footnote5 Char,Footnote6 Char,Footnote7 Char,Footnote8 Char,Footnote9 Char,Footnote10 Char,Footnote11 Char,Footnote21 Char"/>
    <w:link w:val="FootnoteText"/>
    <w:uiPriority w:val="99"/>
    <w:rsid w:val="009A3FA1"/>
    <w:rPr>
      <w:lang w:val="en-US" w:eastAsia="en-US" w:bidi="ar-SA"/>
    </w:rPr>
  </w:style>
  <w:style w:type="paragraph" w:customStyle="1" w:styleId="CharCharCharChar1">
    <w:name w:val="Char Char Char Char1"/>
    <w:basedOn w:val="Normal"/>
    <w:semiHidden/>
    <w:rsid w:val="00B20BB9"/>
    <w:pPr>
      <w:tabs>
        <w:tab w:val="left" w:pos="709"/>
      </w:tabs>
    </w:pPr>
    <w:rPr>
      <w:rFonts w:ascii="Futura Bk" w:hAnsi="Futura Bk"/>
      <w:lang w:val="pl-PL" w:eastAsia="pl-PL"/>
    </w:rPr>
  </w:style>
  <w:style w:type="character" w:customStyle="1" w:styleId="BodyText2Char">
    <w:name w:val="Body Text 2 Char"/>
    <w:link w:val="BodyText2"/>
    <w:locked/>
    <w:rsid w:val="002D5811"/>
    <w:rPr>
      <w:sz w:val="24"/>
      <w:szCs w:val="24"/>
      <w:lang w:val="en-GB" w:eastAsia="en-US" w:bidi="ar-SA"/>
    </w:rPr>
  </w:style>
  <w:style w:type="character" w:styleId="Hyperlink">
    <w:name w:val="Hyperlink"/>
    <w:unhideWhenUsed/>
    <w:rsid w:val="00231385"/>
    <w:rPr>
      <w:strike w:val="0"/>
      <w:dstrike w:val="0"/>
      <w:color w:val="004A8F"/>
      <w:u w:val="none"/>
      <w:effect w:val="none"/>
    </w:rPr>
  </w:style>
  <w:style w:type="paragraph" w:styleId="NormalWeb">
    <w:name w:val="Normal (Web)"/>
    <w:basedOn w:val="Normal"/>
    <w:unhideWhenUsed/>
    <w:rsid w:val="00231385"/>
    <w:pPr>
      <w:spacing w:before="100" w:beforeAutospacing="1" w:after="100" w:afterAutospacing="1" w:line="312" w:lineRule="atLeast"/>
      <w:jc w:val="both"/>
    </w:pPr>
    <w:rPr>
      <w:lang w:val="en-US"/>
    </w:rPr>
  </w:style>
  <w:style w:type="character" w:customStyle="1" w:styleId="ala13">
    <w:name w:val="al_a13"/>
    <w:uiPriority w:val="99"/>
    <w:rsid w:val="00B7424D"/>
  </w:style>
  <w:style w:type="paragraph" w:styleId="ListParagraph">
    <w:name w:val="List Paragraph"/>
    <w:aliases w:val="Recommendatio,Párrafo de lista,Recommendation,OBC Bullet,Dot pt,F5 List Paragraph,No Spacing1,List Paragraph Char Char Char,Indicator Text,Numbered Para 1,Bullet 1,Bullet Points,List Paragraph2,L,3,References,Colorful List - Accent 11,Ha"/>
    <w:basedOn w:val="Normal"/>
    <w:link w:val="ListParagraphChar"/>
    <w:uiPriority w:val="34"/>
    <w:qFormat/>
    <w:rsid w:val="00C818E7"/>
    <w:pPr>
      <w:spacing w:after="120" w:line="360" w:lineRule="auto"/>
      <w:ind w:left="720" w:firstLine="720"/>
      <w:contextualSpacing/>
      <w:jc w:val="both"/>
    </w:pPr>
    <w:rPr>
      <w:rFonts w:ascii="Arial" w:hAnsi="Arial"/>
      <w:szCs w:val="20"/>
    </w:rPr>
  </w:style>
  <w:style w:type="paragraph" w:customStyle="1" w:styleId="CharChar3">
    <w:name w:val="Char Char3"/>
    <w:basedOn w:val="Normal"/>
    <w:semiHidden/>
    <w:rsid w:val="009269F4"/>
    <w:pPr>
      <w:tabs>
        <w:tab w:val="left" w:pos="709"/>
      </w:tabs>
    </w:pPr>
    <w:rPr>
      <w:rFonts w:ascii="Futura Bk" w:hAnsi="Futura Bk"/>
      <w:lang w:val="pl-PL" w:eastAsia="pl-PL"/>
    </w:rPr>
  </w:style>
  <w:style w:type="character" w:customStyle="1" w:styleId="BodyTextIndentChar">
    <w:name w:val="Body Text Indent Char"/>
    <w:link w:val="BodyTextIndent"/>
    <w:uiPriority w:val="99"/>
    <w:locked/>
    <w:rsid w:val="00DA31ED"/>
    <w:rPr>
      <w:sz w:val="24"/>
      <w:szCs w:val="24"/>
      <w:lang w:val="bg-BG"/>
    </w:rPr>
  </w:style>
  <w:style w:type="paragraph" w:customStyle="1" w:styleId="NormalFirstline">
    <w:name w:val="Normal + First line"/>
    <w:aliases w:val="1.25 cm,After 6 pt"/>
    <w:basedOn w:val="Normal"/>
    <w:rsid w:val="00BD3B54"/>
    <w:rPr>
      <w:sz w:val="20"/>
      <w:szCs w:val="20"/>
    </w:rPr>
  </w:style>
  <w:style w:type="paragraph" w:styleId="CommentSubject">
    <w:name w:val="annotation subject"/>
    <w:basedOn w:val="CommentText"/>
    <w:next w:val="CommentText"/>
    <w:link w:val="CommentSubjectChar"/>
    <w:semiHidden/>
    <w:rsid w:val="00381745"/>
    <w:rPr>
      <w:b/>
      <w:bCs/>
    </w:rPr>
  </w:style>
  <w:style w:type="character" w:customStyle="1" w:styleId="CommentTextChar">
    <w:name w:val="Comment Text Char"/>
    <w:link w:val="CommentText"/>
    <w:semiHidden/>
    <w:rsid w:val="009F38CE"/>
    <w:rPr>
      <w:lang w:eastAsia="en-US"/>
    </w:rPr>
  </w:style>
  <w:style w:type="character" w:customStyle="1" w:styleId="CommentSubjectChar">
    <w:name w:val="Comment Subject Char"/>
    <w:link w:val="CommentSubject"/>
    <w:semiHidden/>
    <w:rsid w:val="009F38CE"/>
    <w:rPr>
      <w:b/>
      <w:bCs/>
      <w:lang w:eastAsia="en-US"/>
    </w:rPr>
  </w:style>
  <w:style w:type="character" w:customStyle="1" w:styleId="TitleChar">
    <w:name w:val="Title Char"/>
    <w:link w:val="Title"/>
    <w:rsid w:val="00C1518C"/>
    <w:rPr>
      <w:b/>
      <w:sz w:val="24"/>
      <w:lang w:eastAsia="en-US"/>
    </w:rPr>
  </w:style>
  <w:style w:type="character" w:customStyle="1" w:styleId="BodyTextChar">
    <w:name w:val="Body Text Char"/>
    <w:link w:val="BodyText"/>
    <w:rsid w:val="00A10AC7"/>
    <w:rPr>
      <w:sz w:val="24"/>
      <w:szCs w:val="24"/>
      <w:lang w:val="bg-BG"/>
    </w:rPr>
  </w:style>
  <w:style w:type="paragraph" w:styleId="Revision">
    <w:name w:val="Revision"/>
    <w:hidden/>
    <w:uiPriority w:val="99"/>
    <w:semiHidden/>
    <w:rsid w:val="00F32913"/>
    <w:rPr>
      <w:sz w:val="24"/>
      <w:szCs w:val="24"/>
      <w:lang w:val="bg-BG"/>
    </w:rPr>
  </w:style>
  <w:style w:type="paragraph" w:customStyle="1" w:styleId="m">
    <w:name w:val="m"/>
    <w:basedOn w:val="Normal"/>
    <w:rsid w:val="00675E99"/>
    <w:pPr>
      <w:spacing w:before="100" w:beforeAutospacing="1" w:after="100" w:afterAutospacing="1"/>
    </w:pPr>
    <w:rPr>
      <w:lang w:eastAsia="bg-BG"/>
    </w:rPr>
  </w:style>
  <w:style w:type="character" w:customStyle="1" w:styleId="Heading1Char">
    <w:name w:val="Heading 1 Char"/>
    <w:basedOn w:val="DefaultParagraphFont"/>
    <w:link w:val="Heading1"/>
    <w:rsid w:val="002E2C27"/>
    <w:rPr>
      <w:b/>
      <w:bCs/>
      <w:sz w:val="28"/>
      <w:szCs w:val="24"/>
      <w:lang w:val="bg-BG"/>
    </w:rPr>
  </w:style>
  <w:style w:type="character" w:customStyle="1" w:styleId="ListParagraphChar">
    <w:name w:val="List Paragraph Char"/>
    <w:aliases w:val="Recommendatio Char,Párrafo de lista Char,Recommendation Char,OBC Bullet Char,Dot pt Char,F5 List Paragraph Char,No Spacing1 Char,List Paragraph Char Char Char Char,Indicator Text Char,Numbered Para 1 Char,Bullet 1 Char,L Char,3 Char"/>
    <w:link w:val="ListParagraph"/>
    <w:uiPriority w:val="34"/>
    <w:qFormat/>
    <w:locked/>
    <w:rsid w:val="00207C9E"/>
    <w:rPr>
      <w:rFonts w:ascii="Arial" w:hAnsi="Arial"/>
      <w:sz w:val="24"/>
      <w:lang w:val="bg-BG"/>
    </w:rPr>
  </w:style>
  <w:style w:type="character" w:customStyle="1" w:styleId="HeaderChar2Char">
    <w:name w:val="Header Char2 Char"/>
    <w:aliases w:val="Header Char1 Char1 Char,Header Char Char Char1 Char,Header Char1 Char Char Char Char,Header Char Char Char Char Char Char,Header Char Char1 Char,Header Char1 Char Char1 Char,Header Char Char Char Char1 Char"/>
    <w:basedOn w:val="DefaultParagraphFont"/>
    <w:rsid w:val="005F1F3A"/>
    <w:rPr>
      <w:rFonts w:ascii="Arial" w:hAnsi="Arial"/>
      <w:sz w:val="24"/>
      <w:lang w:val="en-AU" w:eastAsia="en-US"/>
    </w:rPr>
  </w:style>
  <w:style w:type="paragraph" w:customStyle="1" w:styleId="1">
    <w:name w:val="1"/>
    <w:basedOn w:val="Normal"/>
    <w:semiHidden/>
    <w:rsid w:val="008969AB"/>
    <w:pPr>
      <w:tabs>
        <w:tab w:val="left" w:pos="709"/>
      </w:tabs>
    </w:pPr>
    <w:rPr>
      <w:rFonts w:ascii="Futura Bk" w:hAnsi="Futura Bk"/>
      <w:lang w:val="pl-PL" w:eastAsia="pl-PL"/>
    </w:rPr>
  </w:style>
  <w:style w:type="paragraph" w:customStyle="1" w:styleId="CharCharCharChar1CharCharCharCharCharCharCharCharChar">
    <w:name w:val="Char Char Char Char1 Char Char Char Char Char Char Char Char Char"/>
    <w:basedOn w:val="Normal"/>
    <w:rsid w:val="008969AB"/>
    <w:pPr>
      <w:spacing w:after="160" w:line="240" w:lineRule="exact"/>
    </w:pPr>
    <w:rPr>
      <w:rFonts w:ascii="Tahoma" w:hAnsi="Tahoma"/>
      <w:sz w:val="20"/>
      <w:szCs w:val="20"/>
      <w:lang w:val="en-US"/>
    </w:rPr>
  </w:style>
  <w:style w:type="paragraph" w:customStyle="1" w:styleId="Char1CharCharChar">
    <w:name w:val="Char1 Char Char Char"/>
    <w:basedOn w:val="Normal"/>
    <w:semiHidden/>
    <w:rsid w:val="008969AB"/>
    <w:pPr>
      <w:tabs>
        <w:tab w:val="left" w:pos="709"/>
      </w:tabs>
    </w:pPr>
    <w:rPr>
      <w:rFonts w:ascii="Futura Bk" w:hAnsi="Futura Bk"/>
      <w:lang w:val="pl-PL" w:eastAsia="pl-PL"/>
    </w:rPr>
  </w:style>
  <w:style w:type="paragraph" w:customStyle="1" w:styleId="Char">
    <w:name w:val="Char"/>
    <w:basedOn w:val="Normal"/>
    <w:semiHidden/>
    <w:rsid w:val="008969AB"/>
    <w:pPr>
      <w:tabs>
        <w:tab w:val="left" w:pos="709"/>
      </w:tabs>
    </w:pPr>
    <w:rPr>
      <w:rFonts w:ascii="Futura Bk" w:hAnsi="Futura Bk"/>
      <w:lang w:val="pl-PL" w:eastAsia="pl-PL"/>
    </w:rPr>
  </w:style>
  <w:style w:type="paragraph" w:styleId="TOC1">
    <w:name w:val="toc 1"/>
    <w:basedOn w:val="Normal"/>
    <w:next w:val="Normal"/>
    <w:autoRedefine/>
    <w:semiHidden/>
    <w:rsid w:val="008969AB"/>
    <w:pPr>
      <w:tabs>
        <w:tab w:val="right" w:leader="dot" w:pos="9062"/>
      </w:tabs>
      <w:ind w:left="-180" w:hanging="360"/>
      <w:jc w:val="center"/>
    </w:pPr>
    <w:rPr>
      <w:b/>
      <w:noProof/>
      <w:lang w:val="en-US" w:eastAsia="bg-BG"/>
    </w:rPr>
  </w:style>
  <w:style w:type="character" w:styleId="Emphasis">
    <w:name w:val="Emphasis"/>
    <w:qFormat/>
    <w:rsid w:val="008969AB"/>
    <w:rPr>
      <w:i/>
      <w:iCs/>
    </w:rPr>
  </w:style>
  <w:style w:type="paragraph" w:customStyle="1" w:styleId="CharChar1CharCharCharCharCharChar">
    <w:name w:val="Char Char1 Char Char Char Char Char Char"/>
    <w:basedOn w:val="Normal"/>
    <w:semiHidden/>
    <w:rsid w:val="008969AB"/>
    <w:pPr>
      <w:tabs>
        <w:tab w:val="left" w:pos="709"/>
      </w:tabs>
    </w:pPr>
    <w:rPr>
      <w:rFonts w:ascii="Futura Bk" w:hAnsi="Futura Bk"/>
      <w:lang w:val="pl-PL" w:eastAsia="pl-PL"/>
    </w:rPr>
  </w:style>
  <w:style w:type="paragraph" w:styleId="Subtitle">
    <w:name w:val="Subtitle"/>
    <w:basedOn w:val="Normal"/>
    <w:next w:val="Normal"/>
    <w:link w:val="SubtitleChar"/>
    <w:qFormat/>
    <w:rsid w:val="008969AB"/>
    <w:pPr>
      <w:spacing w:after="60"/>
      <w:jc w:val="center"/>
      <w:outlineLvl w:val="1"/>
    </w:pPr>
    <w:rPr>
      <w:rFonts w:ascii="Cambria" w:hAnsi="Cambria"/>
      <w:lang w:eastAsia="bg-BG"/>
    </w:rPr>
  </w:style>
  <w:style w:type="character" w:customStyle="1" w:styleId="SubtitleChar">
    <w:name w:val="Subtitle Char"/>
    <w:basedOn w:val="DefaultParagraphFont"/>
    <w:link w:val="Subtitle"/>
    <w:rsid w:val="008969AB"/>
    <w:rPr>
      <w:rFonts w:ascii="Cambria" w:hAnsi="Cambria"/>
      <w:sz w:val="24"/>
      <w:szCs w:val="24"/>
      <w:lang w:val="bg-BG" w:eastAsia="bg-BG"/>
    </w:rPr>
  </w:style>
  <w:style w:type="character" w:customStyle="1" w:styleId="FooterChar">
    <w:name w:val="Footer Char"/>
    <w:link w:val="Footer"/>
    <w:uiPriority w:val="99"/>
    <w:rsid w:val="008969AB"/>
    <w:rPr>
      <w:sz w:val="24"/>
      <w:szCs w:val="24"/>
      <w:lang w:val="bg-BG"/>
    </w:rPr>
  </w:style>
  <w:style w:type="paragraph" w:styleId="Quote">
    <w:name w:val="Quote"/>
    <w:basedOn w:val="Normal"/>
    <w:next w:val="Normal"/>
    <w:link w:val="QuoteChar"/>
    <w:uiPriority w:val="29"/>
    <w:qFormat/>
    <w:rsid w:val="00A6525E"/>
    <w:pPr>
      <w:spacing w:before="200" w:after="160"/>
      <w:ind w:left="864" w:right="864"/>
      <w:jc w:val="center"/>
    </w:pPr>
    <w:rPr>
      <w:i/>
      <w:iCs/>
      <w:color w:val="404040" w:themeColor="text1" w:themeTint="BF"/>
      <w:lang w:eastAsia="bg-BG"/>
    </w:rPr>
  </w:style>
  <w:style w:type="character" w:customStyle="1" w:styleId="QuoteChar">
    <w:name w:val="Quote Char"/>
    <w:basedOn w:val="DefaultParagraphFont"/>
    <w:link w:val="Quote"/>
    <w:uiPriority w:val="29"/>
    <w:rsid w:val="00A6525E"/>
    <w:rPr>
      <w:i/>
      <w:iCs/>
      <w:color w:val="404040" w:themeColor="text1" w:themeTint="BF"/>
      <w:sz w:val="24"/>
      <w:szCs w:val="24"/>
      <w:lang w:val="bg-BG" w:eastAsia="bg-BG"/>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5C63FC"/>
    <w:pPr>
      <w:spacing w:after="160" w:line="240" w:lineRule="exact"/>
      <w:jc w:val="both"/>
    </w:pPr>
    <w:rPr>
      <w:sz w:val="20"/>
      <w:szCs w:val="20"/>
      <w:vertAlign w:val="superscript"/>
      <w:lang w:val="en-US"/>
    </w:rPr>
  </w:style>
  <w:style w:type="character" w:customStyle="1" w:styleId="Heading2Char">
    <w:name w:val="Heading 2 Char"/>
    <w:basedOn w:val="DefaultParagraphFont"/>
    <w:link w:val="Heading2"/>
    <w:uiPriority w:val="99"/>
    <w:rsid w:val="00581832"/>
    <w:rPr>
      <w:rFonts w:ascii="Arial" w:hAnsi="Arial" w:cs="Arial"/>
      <w:b/>
      <w:bCs/>
      <w:i/>
      <w:iCs/>
      <w:sz w:val="28"/>
      <w:szCs w:val="28"/>
      <w:lang w:val="bg-BG"/>
    </w:rPr>
  </w:style>
  <w:style w:type="character" w:customStyle="1" w:styleId="Heading3Char">
    <w:name w:val="Heading 3 Char"/>
    <w:basedOn w:val="DefaultParagraphFont"/>
    <w:link w:val="Heading3"/>
    <w:rsid w:val="00581832"/>
    <w:rPr>
      <w:rFonts w:ascii="Arial" w:hAnsi="Arial" w:cs="Arial"/>
      <w:b/>
      <w:bCs/>
      <w:sz w:val="26"/>
      <w:szCs w:val="26"/>
      <w:lang w:val="bg-BG"/>
    </w:rPr>
  </w:style>
  <w:style w:type="character" w:customStyle="1" w:styleId="BodyText3Char">
    <w:name w:val="Body Text 3 Char"/>
    <w:basedOn w:val="DefaultParagraphFont"/>
    <w:link w:val="BodyText3"/>
    <w:rsid w:val="00581832"/>
    <w:rPr>
      <w:sz w:val="16"/>
      <w:szCs w:val="16"/>
      <w:lang w:val="bg-BG"/>
    </w:rPr>
  </w:style>
  <w:style w:type="character" w:customStyle="1" w:styleId="BodyTextIndent2Char">
    <w:name w:val="Body Text Indent 2 Char"/>
    <w:basedOn w:val="DefaultParagraphFont"/>
    <w:link w:val="BodyTextIndent2"/>
    <w:rsid w:val="00581832"/>
    <w:rPr>
      <w:sz w:val="24"/>
      <w:szCs w:val="24"/>
      <w:lang w:val="bg-BG"/>
    </w:rPr>
  </w:style>
  <w:style w:type="character" w:customStyle="1" w:styleId="EndnoteTextChar">
    <w:name w:val="Endnote Text Char"/>
    <w:basedOn w:val="DefaultParagraphFont"/>
    <w:link w:val="EndnoteText"/>
    <w:semiHidden/>
    <w:rsid w:val="00581832"/>
    <w:rPr>
      <w:lang w:val="bg-BG"/>
    </w:rPr>
  </w:style>
  <w:style w:type="character" w:styleId="IntenseEmphasis">
    <w:name w:val="Intense Emphasis"/>
    <w:basedOn w:val="DefaultParagraphFont"/>
    <w:uiPriority w:val="21"/>
    <w:qFormat/>
    <w:rsid w:val="00E62C32"/>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0982">
      <w:bodyDiv w:val="1"/>
      <w:marLeft w:val="0"/>
      <w:marRight w:val="0"/>
      <w:marTop w:val="0"/>
      <w:marBottom w:val="0"/>
      <w:divBdr>
        <w:top w:val="none" w:sz="0" w:space="0" w:color="auto"/>
        <w:left w:val="none" w:sz="0" w:space="0" w:color="auto"/>
        <w:bottom w:val="none" w:sz="0" w:space="0" w:color="auto"/>
        <w:right w:val="none" w:sz="0" w:space="0" w:color="auto"/>
      </w:divBdr>
    </w:div>
    <w:div w:id="146098401">
      <w:bodyDiv w:val="1"/>
      <w:marLeft w:val="0"/>
      <w:marRight w:val="0"/>
      <w:marTop w:val="0"/>
      <w:marBottom w:val="0"/>
      <w:divBdr>
        <w:top w:val="none" w:sz="0" w:space="0" w:color="auto"/>
        <w:left w:val="none" w:sz="0" w:space="0" w:color="auto"/>
        <w:bottom w:val="none" w:sz="0" w:space="0" w:color="auto"/>
        <w:right w:val="none" w:sz="0" w:space="0" w:color="auto"/>
      </w:divBdr>
    </w:div>
    <w:div w:id="272128182">
      <w:bodyDiv w:val="1"/>
      <w:marLeft w:val="0"/>
      <w:marRight w:val="0"/>
      <w:marTop w:val="0"/>
      <w:marBottom w:val="0"/>
      <w:divBdr>
        <w:top w:val="none" w:sz="0" w:space="0" w:color="auto"/>
        <w:left w:val="none" w:sz="0" w:space="0" w:color="auto"/>
        <w:bottom w:val="none" w:sz="0" w:space="0" w:color="auto"/>
        <w:right w:val="none" w:sz="0" w:space="0" w:color="auto"/>
      </w:divBdr>
    </w:div>
    <w:div w:id="488985167">
      <w:bodyDiv w:val="1"/>
      <w:marLeft w:val="0"/>
      <w:marRight w:val="0"/>
      <w:marTop w:val="0"/>
      <w:marBottom w:val="0"/>
      <w:divBdr>
        <w:top w:val="none" w:sz="0" w:space="0" w:color="auto"/>
        <w:left w:val="none" w:sz="0" w:space="0" w:color="auto"/>
        <w:bottom w:val="none" w:sz="0" w:space="0" w:color="auto"/>
        <w:right w:val="none" w:sz="0" w:space="0" w:color="auto"/>
      </w:divBdr>
    </w:div>
    <w:div w:id="490483776">
      <w:bodyDiv w:val="1"/>
      <w:marLeft w:val="0"/>
      <w:marRight w:val="0"/>
      <w:marTop w:val="0"/>
      <w:marBottom w:val="0"/>
      <w:divBdr>
        <w:top w:val="none" w:sz="0" w:space="0" w:color="auto"/>
        <w:left w:val="none" w:sz="0" w:space="0" w:color="auto"/>
        <w:bottom w:val="none" w:sz="0" w:space="0" w:color="auto"/>
        <w:right w:val="none" w:sz="0" w:space="0" w:color="auto"/>
      </w:divBdr>
    </w:div>
    <w:div w:id="503279387">
      <w:bodyDiv w:val="1"/>
      <w:marLeft w:val="0"/>
      <w:marRight w:val="0"/>
      <w:marTop w:val="0"/>
      <w:marBottom w:val="0"/>
      <w:divBdr>
        <w:top w:val="none" w:sz="0" w:space="0" w:color="auto"/>
        <w:left w:val="none" w:sz="0" w:space="0" w:color="auto"/>
        <w:bottom w:val="none" w:sz="0" w:space="0" w:color="auto"/>
        <w:right w:val="none" w:sz="0" w:space="0" w:color="auto"/>
      </w:divBdr>
    </w:div>
    <w:div w:id="567035072">
      <w:bodyDiv w:val="1"/>
      <w:marLeft w:val="0"/>
      <w:marRight w:val="0"/>
      <w:marTop w:val="0"/>
      <w:marBottom w:val="0"/>
      <w:divBdr>
        <w:top w:val="none" w:sz="0" w:space="0" w:color="auto"/>
        <w:left w:val="none" w:sz="0" w:space="0" w:color="auto"/>
        <w:bottom w:val="none" w:sz="0" w:space="0" w:color="auto"/>
        <w:right w:val="none" w:sz="0" w:space="0" w:color="auto"/>
      </w:divBdr>
      <w:divsChild>
        <w:div w:id="1294481459">
          <w:marLeft w:val="0"/>
          <w:marRight w:val="0"/>
          <w:marTop w:val="0"/>
          <w:marBottom w:val="0"/>
          <w:divBdr>
            <w:top w:val="none" w:sz="0" w:space="0" w:color="auto"/>
            <w:left w:val="none" w:sz="0" w:space="0" w:color="auto"/>
            <w:bottom w:val="none" w:sz="0" w:space="0" w:color="auto"/>
            <w:right w:val="none" w:sz="0" w:space="0" w:color="auto"/>
          </w:divBdr>
        </w:div>
      </w:divsChild>
    </w:div>
    <w:div w:id="669023205">
      <w:bodyDiv w:val="1"/>
      <w:marLeft w:val="0"/>
      <w:marRight w:val="0"/>
      <w:marTop w:val="0"/>
      <w:marBottom w:val="0"/>
      <w:divBdr>
        <w:top w:val="none" w:sz="0" w:space="0" w:color="auto"/>
        <w:left w:val="none" w:sz="0" w:space="0" w:color="auto"/>
        <w:bottom w:val="none" w:sz="0" w:space="0" w:color="auto"/>
        <w:right w:val="none" w:sz="0" w:space="0" w:color="auto"/>
      </w:divBdr>
    </w:div>
    <w:div w:id="721250821">
      <w:bodyDiv w:val="1"/>
      <w:marLeft w:val="0"/>
      <w:marRight w:val="0"/>
      <w:marTop w:val="0"/>
      <w:marBottom w:val="0"/>
      <w:divBdr>
        <w:top w:val="none" w:sz="0" w:space="0" w:color="auto"/>
        <w:left w:val="none" w:sz="0" w:space="0" w:color="auto"/>
        <w:bottom w:val="none" w:sz="0" w:space="0" w:color="auto"/>
        <w:right w:val="none" w:sz="0" w:space="0" w:color="auto"/>
      </w:divBdr>
    </w:div>
    <w:div w:id="769817748">
      <w:bodyDiv w:val="1"/>
      <w:marLeft w:val="0"/>
      <w:marRight w:val="0"/>
      <w:marTop w:val="0"/>
      <w:marBottom w:val="0"/>
      <w:divBdr>
        <w:top w:val="none" w:sz="0" w:space="0" w:color="auto"/>
        <w:left w:val="none" w:sz="0" w:space="0" w:color="auto"/>
        <w:bottom w:val="none" w:sz="0" w:space="0" w:color="auto"/>
        <w:right w:val="none" w:sz="0" w:space="0" w:color="auto"/>
      </w:divBdr>
    </w:div>
    <w:div w:id="1059985730">
      <w:bodyDiv w:val="1"/>
      <w:marLeft w:val="0"/>
      <w:marRight w:val="0"/>
      <w:marTop w:val="0"/>
      <w:marBottom w:val="0"/>
      <w:divBdr>
        <w:top w:val="none" w:sz="0" w:space="0" w:color="auto"/>
        <w:left w:val="none" w:sz="0" w:space="0" w:color="auto"/>
        <w:bottom w:val="none" w:sz="0" w:space="0" w:color="auto"/>
        <w:right w:val="none" w:sz="0" w:space="0" w:color="auto"/>
      </w:divBdr>
    </w:div>
    <w:div w:id="1151099104">
      <w:bodyDiv w:val="1"/>
      <w:marLeft w:val="0"/>
      <w:marRight w:val="0"/>
      <w:marTop w:val="0"/>
      <w:marBottom w:val="0"/>
      <w:divBdr>
        <w:top w:val="none" w:sz="0" w:space="0" w:color="auto"/>
        <w:left w:val="none" w:sz="0" w:space="0" w:color="auto"/>
        <w:bottom w:val="none" w:sz="0" w:space="0" w:color="auto"/>
        <w:right w:val="none" w:sz="0" w:space="0" w:color="auto"/>
      </w:divBdr>
    </w:div>
    <w:div w:id="1173839382">
      <w:bodyDiv w:val="1"/>
      <w:marLeft w:val="0"/>
      <w:marRight w:val="0"/>
      <w:marTop w:val="0"/>
      <w:marBottom w:val="0"/>
      <w:divBdr>
        <w:top w:val="none" w:sz="0" w:space="0" w:color="auto"/>
        <w:left w:val="none" w:sz="0" w:space="0" w:color="auto"/>
        <w:bottom w:val="none" w:sz="0" w:space="0" w:color="auto"/>
        <w:right w:val="none" w:sz="0" w:space="0" w:color="auto"/>
      </w:divBdr>
    </w:div>
    <w:div w:id="1228757899">
      <w:bodyDiv w:val="1"/>
      <w:marLeft w:val="0"/>
      <w:marRight w:val="0"/>
      <w:marTop w:val="0"/>
      <w:marBottom w:val="0"/>
      <w:divBdr>
        <w:top w:val="none" w:sz="0" w:space="0" w:color="auto"/>
        <w:left w:val="none" w:sz="0" w:space="0" w:color="auto"/>
        <w:bottom w:val="none" w:sz="0" w:space="0" w:color="auto"/>
        <w:right w:val="none" w:sz="0" w:space="0" w:color="auto"/>
      </w:divBdr>
      <w:divsChild>
        <w:div w:id="1764762949">
          <w:marLeft w:val="0"/>
          <w:marRight w:val="0"/>
          <w:marTop w:val="0"/>
          <w:marBottom w:val="0"/>
          <w:divBdr>
            <w:top w:val="none" w:sz="0" w:space="0" w:color="auto"/>
            <w:left w:val="none" w:sz="0" w:space="0" w:color="auto"/>
            <w:bottom w:val="none" w:sz="0" w:space="0" w:color="auto"/>
            <w:right w:val="none" w:sz="0" w:space="0" w:color="auto"/>
          </w:divBdr>
          <w:divsChild>
            <w:div w:id="1689597285">
              <w:marLeft w:val="0"/>
              <w:marRight w:val="0"/>
              <w:marTop w:val="0"/>
              <w:marBottom w:val="0"/>
              <w:divBdr>
                <w:top w:val="none" w:sz="0" w:space="0" w:color="auto"/>
                <w:left w:val="none" w:sz="0" w:space="0" w:color="auto"/>
                <w:bottom w:val="none" w:sz="0" w:space="0" w:color="auto"/>
                <w:right w:val="none" w:sz="0" w:space="0" w:color="auto"/>
              </w:divBdr>
              <w:divsChild>
                <w:div w:id="754782278">
                  <w:marLeft w:val="0"/>
                  <w:marRight w:val="0"/>
                  <w:marTop w:val="0"/>
                  <w:marBottom w:val="0"/>
                  <w:divBdr>
                    <w:top w:val="none" w:sz="0" w:space="0" w:color="auto"/>
                    <w:left w:val="none" w:sz="0" w:space="0" w:color="auto"/>
                    <w:bottom w:val="none" w:sz="0" w:space="0" w:color="auto"/>
                    <w:right w:val="none" w:sz="0" w:space="0" w:color="auto"/>
                  </w:divBdr>
                  <w:divsChild>
                    <w:div w:id="209709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555913">
      <w:bodyDiv w:val="1"/>
      <w:marLeft w:val="0"/>
      <w:marRight w:val="0"/>
      <w:marTop w:val="0"/>
      <w:marBottom w:val="0"/>
      <w:divBdr>
        <w:top w:val="none" w:sz="0" w:space="0" w:color="auto"/>
        <w:left w:val="none" w:sz="0" w:space="0" w:color="auto"/>
        <w:bottom w:val="none" w:sz="0" w:space="0" w:color="auto"/>
        <w:right w:val="none" w:sz="0" w:space="0" w:color="auto"/>
      </w:divBdr>
      <w:divsChild>
        <w:div w:id="1132287915">
          <w:marLeft w:val="240"/>
          <w:marRight w:val="240"/>
          <w:marTop w:val="0"/>
          <w:marBottom w:val="0"/>
          <w:divBdr>
            <w:top w:val="none" w:sz="0" w:space="0" w:color="auto"/>
            <w:left w:val="none" w:sz="0" w:space="0" w:color="auto"/>
            <w:bottom w:val="none" w:sz="0" w:space="0" w:color="auto"/>
            <w:right w:val="none" w:sz="0" w:space="0" w:color="auto"/>
          </w:divBdr>
          <w:divsChild>
            <w:div w:id="2001541574">
              <w:marLeft w:val="0"/>
              <w:marRight w:val="0"/>
              <w:marTop w:val="0"/>
              <w:marBottom w:val="120"/>
              <w:divBdr>
                <w:top w:val="none" w:sz="0" w:space="0" w:color="auto"/>
                <w:left w:val="none" w:sz="0" w:space="0" w:color="auto"/>
                <w:bottom w:val="single" w:sz="6" w:space="0" w:color="A7A9AC"/>
                <w:right w:val="none" w:sz="0" w:space="0" w:color="auto"/>
              </w:divBdr>
            </w:div>
          </w:divsChild>
        </w:div>
      </w:divsChild>
    </w:div>
    <w:div w:id="1284270625">
      <w:bodyDiv w:val="1"/>
      <w:marLeft w:val="0"/>
      <w:marRight w:val="0"/>
      <w:marTop w:val="0"/>
      <w:marBottom w:val="0"/>
      <w:divBdr>
        <w:top w:val="none" w:sz="0" w:space="0" w:color="auto"/>
        <w:left w:val="none" w:sz="0" w:space="0" w:color="auto"/>
        <w:bottom w:val="none" w:sz="0" w:space="0" w:color="auto"/>
        <w:right w:val="none" w:sz="0" w:space="0" w:color="auto"/>
      </w:divBdr>
    </w:div>
    <w:div w:id="1334607600">
      <w:bodyDiv w:val="1"/>
      <w:marLeft w:val="0"/>
      <w:marRight w:val="0"/>
      <w:marTop w:val="0"/>
      <w:marBottom w:val="0"/>
      <w:divBdr>
        <w:top w:val="none" w:sz="0" w:space="0" w:color="auto"/>
        <w:left w:val="none" w:sz="0" w:space="0" w:color="auto"/>
        <w:bottom w:val="none" w:sz="0" w:space="0" w:color="auto"/>
        <w:right w:val="none" w:sz="0" w:space="0" w:color="auto"/>
      </w:divBdr>
    </w:div>
    <w:div w:id="1449738080">
      <w:bodyDiv w:val="1"/>
      <w:marLeft w:val="0"/>
      <w:marRight w:val="0"/>
      <w:marTop w:val="0"/>
      <w:marBottom w:val="0"/>
      <w:divBdr>
        <w:top w:val="none" w:sz="0" w:space="0" w:color="auto"/>
        <w:left w:val="none" w:sz="0" w:space="0" w:color="auto"/>
        <w:bottom w:val="none" w:sz="0" w:space="0" w:color="auto"/>
        <w:right w:val="none" w:sz="0" w:space="0" w:color="auto"/>
      </w:divBdr>
    </w:div>
    <w:div w:id="1465393858">
      <w:bodyDiv w:val="1"/>
      <w:marLeft w:val="0"/>
      <w:marRight w:val="0"/>
      <w:marTop w:val="0"/>
      <w:marBottom w:val="0"/>
      <w:divBdr>
        <w:top w:val="none" w:sz="0" w:space="0" w:color="auto"/>
        <w:left w:val="none" w:sz="0" w:space="0" w:color="auto"/>
        <w:bottom w:val="none" w:sz="0" w:space="0" w:color="auto"/>
        <w:right w:val="none" w:sz="0" w:space="0" w:color="auto"/>
      </w:divBdr>
    </w:div>
    <w:div w:id="1523275988">
      <w:bodyDiv w:val="1"/>
      <w:marLeft w:val="0"/>
      <w:marRight w:val="0"/>
      <w:marTop w:val="0"/>
      <w:marBottom w:val="0"/>
      <w:divBdr>
        <w:top w:val="none" w:sz="0" w:space="0" w:color="auto"/>
        <w:left w:val="none" w:sz="0" w:space="0" w:color="auto"/>
        <w:bottom w:val="none" w:sz="0" w:space="0" w:color="auto"/>
        <w:right w:val="none" w:sz="0" w:space="0" w:color="auto"/>
      </w:divBdr>
    </w:div>
    <w:div w:id="1640960128">
      <w:bodyDiv w:val="1"/>
      <w:marLeft w:val="0"/>
      <w:marRight w:val="0"/>
      <w:marTop w:val="0"/>
      <w:marBottom w:val="0"/>
      <w:divBdr>
        <w:top w:val="none" w:sz="0" w:space="0" w:color="auto"/>
        <w:left w:val="none" w:sz="0" w:space="0" w:color="auto"/>
        <w:bottom w:val="none" w:sz="0" w:space="0" w:color="auto"/>
        <w:right w:val="none" w:sz="0" w:space="0" w:color="auto"/>
      </w:divBdr>
    </w:div>
    <w:div w:id="1736472099">
      <w:bodyDiv w:val="1"/>
      <w:marLeft w:val="0"/>
      <w:marRight w:val="0"/>
      <w:marTop w:val="0"/>
      <w:marBottom w:val="0"/>
      <w:divBdr>
        <w:top w:val="none" w:sz="0" w:space="0" w:color="auto"/>
        <w:left w:val="none" w:sz="0" w:space="0" w:color="auto"/>
        <w:bottom w:val="none" w:sz="0" w:space="0" w:color="auto"/>
        <w:right w:val="none" w:sz="0" w:space="0" w:color="auto"/>
      </w:divBdr>
    </w:div>
    <w:div w:id="1752582637">
      <w:bodyDiv w:val="1"/>
      <w:marLeft w:val="0"/>
      <w:marRight w:val="0"/>
      <w:marTop w:val="0"/>
      <w:marBottom w:val="0"/>
      <w:divBdr>
        <w:top w:val="none" w:sz="0" w:space="0" w:color="auto"/>
        <w:left w:val="none" w:sz="0" w:space="0" w:color="auto"/>
        <w:bottom w:val="none" w:sz="0" w:space="0" w:color="auto"/>
        <w:right w:val="none" w:sz="0" w:space="0" w:color="auto"/>
      </w:divBdr>
    </w:div>
    <w:div w:id="1821458686">
      <w:bodyDiv w:val="1"/>
      <w:marLeft w:val="0"/>
      <w:marRight w:val="0"/>
      <w:marTop w:val="0"/>
      <w:marBottom w:val="0"/>
      <w:divBdr>
        <w:top w:val="none" w:sz="0" w:space="0" w:color="auto"/>
        <w:left w:val="none" w:sz="0" w:space="0" w:color="auto"/>
        <w:bottom w:val="none" w:sz="0" w:space="0" w:color="auto"/>
        <w:right w:val="none" w:sz="0" w:space="0" w:color="auto"/>
      </w:divBdr>
    </w:div>
    <w:div w:id="1929189253">
      <w:bodyDiv w:val="1"/>
      <w:marLeft w:val="0"/>
      <w:marRight w:val="0"/>
      <w:marTop w:val="0"/>
      <w:marBottom w:val="0"/>
      <w:divBdr>
        <w:top w:val="none" w:sz="0" w:space="0" w:color="auto"/>
        <w:left w:val="none" w:sz="0" w:space="0" w:color="auto"/>
        <w:bottom w:val="none" w:sz="0" w:space="0" w:color="auto"/>
        <w:right w:val="none" w:sz="0" w:space="0" w:color="auto"/>
      </w:divBdr>
    </w:div>
    <w:div w:id="2005039560">
      <w:bodyDiv w:val="1"/>
      <w:marLeft w:val="0"/>
      <w:marRight w:val="0"/>
      <w:marTop w:val="0"/>
      <w:marBottom w:val="0"/>
      <w:divBdr>
        <w:top w:val="none" w:sz="0" w:space="0" w:color="auto"/>
        <w:left w:val="none" w:sz="0" w:space="0" w:color="auto"/>
        <w:bottom w:val="none" w:sz="0" w:space="0" w:color="auto"/>
        <w:right w:val="none" w:sz="0" w:space="0" w:color="auto"/>
      </w:divBdr>
    </w:div>
    <w:div w:id="2062440967">
      <w:bodyDiv w:val="1"/>
      <w:marLeft w:val="0"/>
      <w:marRight w:val="0"/>
      <w:marTop w:val="0"/>
      <w:marBottom w:val="0"/>
      <w:divBdr>
        <w:top w:val="none" w:sz="0" w:space="0" w:color="auto"/>
        <w:left w:val="none" w:sz="0" w:space="0" w:color="auto"/>
        <w:bottom w:val="none" w:sz="0" w:space="0" w:color="auto"/>
        <w:right w:val="none" w:sz="0" w:space="0" w:color="auto"/>
      </w:divBdr>
    </w:div>
    <w:div w:id="2072146161">
      <w:bodyDiv w:val="1"/>
      <w:marLeft w:val="0"/>
      <w:marRight w:val="0"/>
      <w:marTop w:val="0"/>
      <w:marBottom w:val="0"/>
      <w:divBdr>
        <w:top w:val="none" w:sz="0" w:space="0" w:color="auto"/>
        <w:left w:val="none" w:sz="0" w:space="0" w:color="auto"/>
        <w:bottom w:val="none" w:sz="0" w:space="0" w:color="auto"/>
        <w:right w:val="none" w:sz="0" w:space="0" w:color="auto"/>
      </w:divBdr>
    </w:div>
    <w:div w:id="2078552652">
      <w:bodyDiv w:val="1"/>
      <w:marLeft w:val="0"/>
      <w:marRight w:val="0"/>
      <w:marTop w:val="0"/>
      <w:marBottom w:val="0"/>
      <w:divBdr>
        <w:top w:val="none" w:sz="0" w:space="0" w:color="auto"/>
        <w:left w:val="none" w:sz="0" w:space="0" w:color="auto"/>
        <w:bottom w:val="none" w:sz="0" w:space="0" w:color="auto"/>
        <w:right w:val="none" w:sz="0" w:space="0" w:color="auto"/>
      </w:divBdr>
      <w:divsChild>
        <w:div w:id="1512406735">
          <w:marLeft w:val="0"/>
          <w:marRight w:val="0"/>
          <w:marTop w:val="0"/>
          <w:marBottom w:val="0"/>
          <w:divBdr>
            <w:top w:val="none" w:sz="0" w:space="0" w:color="auto"/>
            <w:left w:val="none" w:sz="0" w:space="0" w:color="auto"/>
            <w:bottom w:val="none" w:sz="0" w:space="0" w:color="auto"/>
            <w:right w:val="none" w:sz="0" w:space="0" w:color="auto"/>
          </w:divBdr>
          <w:divsChild>
            <w:div w:id="1991667719">
              <w:marLeft w:val="0"/>
              <w:marRight w:val="0"/>
              <w:marTop w:val="0"/>
              <w:marBottom w:val="0"/>
              <w:divBdr>
                <w:top w:val="none" w:sz="0" w:space="0" w:color="auto"/>
                <w:left w:val="none" w:sz="0" w:space="0" w:color="auto"/>
                <w:bottom w:val="none" w:sz="0" w:space="0" w:color="auto"/>
                <w:right w:val="none" w:sz="0" w:space="0" w:color="auto"/>
              </w:divBdr>
              <w:divsChild>
                <w:div w:id="1413895954">
                  <w:marLeft w:val="0"/>
                  <w:marRight w:val="0"/>
                  <w:marTop w:val="0"/>
                  <w:marBottom w:val="0"/>
                  <w:divBdr>
                    <w:top w:val="none" w:sz="0" w:space="0" w:color="auto"/>
                    <w:left w:val="none" w:sz="0" w:space="0" w:color="auto"/>
                    <w:bottom w:val="none" w:sz="0" w:space="0" w:color="auto"/>
                    <w:right w:val="none" w:sz="0" w:space="0" w:color="auto"/>
                  </w:divBdr>
                  <w:divsChild>
                    <w:div w:id="87288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0" i="0" u="none" strike="noStrike" baseline="0">
                <a:solidFill>
                  <a:srgbClr val="000000"/>
                </a:solidFill>
                <a:latin typeface="Arial"/>
                <a:ea typeface="Arial"/>
                <a:cs typeface="Arial"/>
              </a:defRPr>
            </a:pPr>
            <a:r>
              <a:rPr lang="en-US" sz="1000" b="1" i="0" u="none" strike="noStrike" baseline="0">
                <a:solidFill>
                  <a:srgbClr val="000000"/>
                </a:solidFill>
                <a:latin typeface="Times New Roman"/>
                <a:cs typeface="Times New Roman"/>
              </a:rPr>
              <a:t>Приходи</a:t>
            </a:r>
            <a:r>
              <a:rPr lang="bg-BG" sz="1000" b="1" i="0" u="none" strike="noStrike" baseline="0">
                <a:solidFill>
                  <a:srgbClr val="000000"/>
                </a:solidFill>
                <a:latin typeface="Times New Roman"/>
                <a:cs typeface="Times New Roman"/>
              </a:rPr>
              <a:t>, </a:t>
            </a:r>
            <a:r>
              <a:rPr lang="en-US" sz="1000" b="1" i="0" u="none" strike="noStrike" baseline="0">
                <a:solidFill>
                  <a:srgbClr val="000000"/>
                </a:solidFill>
                <a:latin typeface="Times New Roman"/>
                <a:cs typeface="Times New Roman"/>
              </a:rPr>
              <a:t>помощи </a:t>
            </a:r>
            <a:r>
              <a:rPr lang="bg-BG" sz="1000" b="1" i="0" u="none" strike="noStrike" baseline="0">
                <a:solidFill>
                  <a:srgbClr val="000000"/>
                </a:solidFill>
                <a:latin typeface="Times New Roman"/>
                <a:cs typeface="Times New Roman"/>
              </a:rPr>
              <a:t>и дарения </a:t>
            </a:r>
            <a:r>
              <a:rPr lang="en-US" sz="1000" b="1" i="0" u="none" strike="noStrike" baseline="0">
                <a:solidFill>
                  <a:srgbClr val="000000"/>
                </a:solidFill>
                <a:latin typeface="Times New Roman"/>
                <a:cs typeface="Times New Roman"/>
              </a:rPr>
              <a:t>по консолидираната фискална програма</a:t>
            </a:r>
          </a:p>
          <a:p>
            <a:pPr>
              <a:defRPr sz="1200" b="0" i="0" u="none" strike="noStrike" baseline="0">
                <a:solidFill>
                  <a:srgbClr val="000000"/>
                </a:solidFill>
                <a:latin typeface="Arial"/>
                <a:ea typeface="Arial"/>
                <a:cs typeface="Arial"/>
              </a:defRPr>
            </a:pPr>
            <a:r>
              <a:rPr lang="en-US" sz="1000" b="1" i="0" u="none" strike="noStrike" baseline="0">
                <a:solidFill>
                  <a:srgbClr val="000000"/>
                </a:solidFill>
                <a:latin typeface="Times New Roman"/>
                <a:cs typeface="Times New Roman"/>
              </a:rPr>
              <a:t> </a:t>
            </a:r>
            <a:r>
              <a:rPr lang="bg-BG" sz="1000" b="1" i="0" u="none" strike="noStrike" baseline="0">
                <a:solidFill>
                  <a:srgbClr val="000000"/>
                </a:solidFill>
                <a:latin typeface="Times New Roman"/>
                <a:cs typeface="Times New Roman"/>
              </a:rPr>
              <a:t>към </a:t>
            </a:r>
            <a:r>
              <a:rPr lang="bg-BG" sz="1000" b="1" i="0" u="none" strike="noStrike" kern="1200" baseline="0">
                <a:solidFill>
                  <a:srgbClr val="000000"/>
                </a:solidFill>
                <a:latin typeface="Times New Roman"/>
                <a:cs typeface="Times New Roman"/>
              </a:rPr>
              <a:t>март </a:t>
            </a:r>
            <a:r>
              <a:rPr lang="bg-BG" sz="1000" b="1" i="0" u="none" strike="noStrike" baseline="0">
                <a:solidFill>
                  <a:srgbClr val="000000"/>
                </a:solidFill>
                <a:latin typeface="Times New Roman"/>
                <a:cs typeface="Times New Roman"/>
              </a:rPr>
              <a:t> </a:t>
            </a:r>
            <a:r>
              <a:rPr lang="bg-BG" sz="1000" b="1" i="0" u="none" strike="noStrike" kern="1200" baseline="0">
                <a:solidFill>
                  <a:srgbClr val="000000"/>
                </a:solidFill>
                <a:latin typeface="Times New Roman"/>
                <a:cs typeface="Times New Roman"/>
              </a:rPr>
              <a:t>2025</a:t>
            </a:r>
            <a:r>
              <a:rPr lang="bg-BG" sz="1000" b="1" i="0" u="none" strike="noStrike" baseline="0">
                <a:solidFill>
                  <a:srgbClr val="000000"/>
                </a:solidFill>
                <a:latin typeface="Times New Roman"/>
                <a:cs typeface="Times New Roman"/>
              </a:rPr>
              <a:t> </a:t>
            </a:r>
            <a:r>
              <a:rPr lang="en-US" sz="1000" b="1" i="0" u="none" strike="noStrike" baseline="0">
                <a:solidFill>
                  <a:srgbClr val="000000"/>
                </a:solidFill>
                <a:latin typeface="Times New Roman"/>
                <a:cs typeface="Times New Roman"/>
              </a:rPr>
              <a:t>г. и </a:t>
            </a:r>
            <a:r>
              <a:rPr lang="en-US" sz="1000" b="1" i="0" u="none" strike="noStrike" kern="1200" baseline="0">
                <a:solidFill>
                  <a:srgbClr val="000000"/>
                </a:solidFill>
                <a:latin typeface="Times New Roman"/>
                <a:cs typeface="Times New Roman"/>
              </a:rPr>
              <a:t>202</a:t>
            </a:r>
            <a:r>
              <a:rPr lang="bg-BG" sz="1000" b="1" i="0" u="none" strike="noStrike" kern="1200" baseline="0">
                <a:solidFill>
                  <a:srgbClr val="000000"/>
                </a:solidFill>
                <a:latin typeface="Times New Roman"/>
                <a:cs typeface="Times New Roman"/>
              </a:rPr>
              <a:t>6</a:t>
            </a:r>
            <a:r>
              <a:rPr lang="en-US" sz="1000" b="1" i="0" u="none" strike="noStrike" baseline="0">
                <a:solidFill>
                  <a:srgbClr val="000000"/>
                </a:solidFill>
                <a:latin typeface="Times New Roman"/>
                <a:cs typeface="Times New Roman"/>
              </a:rPr>
              <a:t> г.</a:t>
            </a:r>
          </a:p>
        </c:rich>
      </c:tx>
      <c:layout>
        <c:manualLayout>
          <c:xMode val="edge"/>
          <c:yMode val="edge"/>
          <c:x val="0.20118264226098204"/>
          <c:y val="1.05446002923104E-3"/>
        </c:manualLayout>
      </c:layout>
      <c:overlay val="0"/>
      <c:spPr>
        <a:noFill/>
        <a:ln w="25398">
          <a:noFill/>
        </a:ln>
      </c:spPr>
    </c:title>
    <c:autoTitleDeleted val="0"/>
    <c:view3D>
      <c:rotX val="24"/>
      <c:rotY val="40"/>
      <c:depthPercent val="100"/>
      <c:rAngAx val="1"/>
    </c:view3D>
    <c:floor>
      <c:thickness val="0"/>
      <c:spPr>
        <a:solidFill>
          <a:sysClr val="window" lastClr="FFFFFF"/>
        </a:solidFill>
        <a:ln w="3175">
          <a:noFill/>
          <a:prstDash val="solid"/>
        </a:ln>
      </c:spPr>
    </c:floor>
    <c:sideWall>
      <c:thickness val="0"/>
      <c:spPr>
        <a:noFill/>
        <a:ln>
          <a:solidFill>
            <a:sysClr val="window" lastClr="FFFFFF">
              <a:lumMod val="75000"/>
            </a:sysClr>
          </a:solidFill>
        </a:ln>
      </c:spPr>
    </c:sideWall>
    <c:backWall>
      <c:thickness val="0"/>
      <c:spPr>
        <a:noFill/>
        <a:ln>
          <a:solidFill>
            <a:sysClr val="window" lastClr="FFFFFF">
              <a:lumMod val="75000"/>
            </a:sysClr>
          </a:solidFill>
        </a:ln>
      </c:spPr>
    </c:backWall>
    <c:plotArea>
      <c:layout>
        <c:manualLayout>
          <c:layoutTarget val="inner"/>
          <c:xMode val="edge"/>
          <c:yMode val="edge"/>
          <c:x val="0.25095340355182877"/>
          <c:y val="0.14577781142741791"/>
          <c:w val="0.69015203420858928"/>
          <c:h val="0.70997457994915991"/>
        </c:manualLayout>
      </c:layout>
      <c:bar3DChart>
        <c:barDir val="bar"/>
        <c:grouping val="clustered"/>
        <c:varyColors val="0"/>
        <c:ser>
          <c:idx val="1"/>
          <c:order val="0"/>
          <c:tx>
            <c:strRef>
              <c:f>data!$C$1</c:f>
              <c:strCache>
                <c:ptCount val="1"/>
                <c:pt idx="0">
                  <c:v> март 2026 г.</c:v>
                </c:pt>
              </c:strCache>
            </c:strRef>
          </c:tx>
          <c:spPr>
            <a:pattFill prst="pct80">
              <a:fgClr>
                <a:srgbClr val="C0C0C0"/>
              </a:fgClr>
              <a:bgClr>
                <a:srgbClr val="993366"/>
              </a:bgClr>
            </a:pattFill>
            <a:ln w="12699">
              <a:solidFill>
                <a:srgbClr val="000000"/>
              </a:solidFill>
              <a:prstDash val="solid"/>
            </a:ln>
          </c:spPr>
          <c:invertIfNegative val="0"/>
          <c:dLbls>
            <c:dLbl>
              <c:idx val="0"/>
              <c:layout>
                <c:manualLayout>
                  <c:x val="1.7422379058804942E-2"/>
                  <c:y val="-9.9281529202789043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C4A3-420B-9E66-36D59D9976AD}"/>
                </c:ext>
              </c:extLst>
            </c:dLbl>
            <c:dLbl>
              <c:idx val="1"/>
              <c:layout>
                <c:manualLayout>
                  <c:x val="4.5585447652376834E-3"/>
                  <c:y val="-1.14581425868278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C4A3-420B-9E66-36D59D9976AD}"/>
                </c:ext>
              </c:extLst>
            </c:dLbl>
            <c:dLbl>
              <c:idx val="2"/>
              <c:layout>
                <c:manualLayout>
                  <c:x val="1.2604221002343161E-2"/>
                  <c:y val="2.6671666041745297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C4A3-420B-9E66-36D59D9976AD}"/>
                </c:ext>
              </c:extLst>
            </c:dLbl>
            <c:dLbl>
              <c:idx val="3"/>
              <c:layout>
                <c:manualLayout>
                  <c:x val="8.0929432315943375E-3"/>
                  <c:y val="-1.066094010975900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C4A3-420B-9E66-36D59D9976AD}"/>
                </c:ext>
              </c:extLst>
            </c:dLbl>
            <c:dLbl>
              <c:idx val="4"/>
              <c:layout>
                <c:manualLayout>
                  <c:x val="2.3125925238610349E-2"/>
                  <c:y val="-1.80858924183657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4A3-420B-9E66-36D59D9976AD}"/>
                </c:ext>
              </c:extLst>
            </c:dLbl>
            <c:dLbl>
              <c:idx val="5"/>
              <c:layout>
                <c:manualLayout>
                  <c:xMode val="edge"/>
                  <c:yMode val="edge"/>
                  <c:x val="0.86038349087668353"/>
                  <c:y val="1.3043502490371705E-2"/>
                </c:manualLayout>
              </c:layout>
              <c:numFmt formatCode="#,##0.0" sourceLinked="0"/>
              <c:spPr>
                <a:solidFill>
                  <a:srgbClr val="FFFFFF"/>
                </a:solidFill>
                <a:ln w="25398">
                  <a:noFill/>
                </a:ln>
              </c:spPr>
              <c:txPr>
                <a:bodyPr/>
                <a:lstStyle/>
                <a:p>
                  <a:pPr>
                    <a:defRPr sz="800" b="0" i="0" u="none" strike="noStrike" baseline="0">
                      <a:solidFill>
                        <a:srgbClr val="000000"/>
                      </a:solidFill>
                      <a:latin typeface="Times New Roman"/>
                      <a:ea typeface="Times New Roman"/>
                      <a:cs typeface="Times New Roman"/>
                    </a:defRPr>
                  </a:pPr>
                  <a:endParaRPr lang="bg-BG"/>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4A3-420B-9E66-36D59D9976AD}"/>
                </c:ext>
              </c:extLst>
            </c:dLbl>
            <c:dLbl>
              <c:idx val="6"/>
              <c:layout>
                <c:manualLayout>
                  <c:xMode val="edge"/>
                  <c:yMode val="edge"/>
                  <c:x val="0.86038349087668353"/>
                  <c:y val="1.3043502490371705E-2"/>
                </c:manualLayout>
              </c:layout>
              <c:numFmt formatCode="#,##0.0" sourceLinked="0"/>
              <c:spPr>
                <a:solidFill>
                  <a:srgbClr val="FFFFFF"/>
                </a:solidFill>
                <a:ln w="25398">
                  <a:noFill/>
                </a:ln>
              </c:spPr>
              <c:txPr>
                <a:bodyPr/>
                <a:lstStyle/>
                <a:p>
                  <a:pPr>
                    <a:defRPr sz="800" b="0" i="0" u="none" strike="noStrike" baseline="0">
                      <a:solidFill>
                        <a:srgbClr val="000000"/>
                      </a:solidFill>
                      <a:latin typeface="Times New Roman"/>
                      <a:ea typeface="Times New Roman"/>
                      <a:cs typeface="Times New Roman"/>
                    </a:defRPr>
                  </a:pPr>
                  <a:endParaRPr lang="bg-BG"/>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4A3-420B-9E66-36D59D9976AD}"/>
                </c:ext>
              </c:extLst>
            </c:dLbl>
            <c:numFmt formatCode="#,##0.0" sourceLinked="0"/>
            <c:spPr>
              <a:solidFill>
                <a:srgbClr val="FFFFFF"/>
              </a:solidFill>
              <a:ln w="25398">
                <a:noFill/>
              </a:ln>
            </c:spPr>
            <c:txPr>
              <a:bodyPr/>
              <a:lstStyle/>
              <a:p>
                <a:pPr>
                  <a:defRPr sz="800" b="1" i="0" u="none" strike="noStrike" baseline="0">
                    <a:solidFill>
                      <a:srgbClr val="000000"/>
                    </a:solidFill>
                    <a:latin typeface="Times New Roman"/>
                    <a:ea typeface="Times New Roman"/>
                    <a:cs typeface="Times New Roman"/>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data!$A$3:$A$6</c:f>
              <c:strCache>
                <c:ptCount val="4"/>
                <c:pt idx="0">
                  <c:v>Общо приходи, помощи и дарения</c:v>
                </c:pt>
                <c:pt idx="1">
                  <c:v>Данъчни приходи</c:v>
                </c:pt>
                <c:pt idx="2">
                  <c:v>Неданъчни приходи</c:v>
                </c:pt>
                <c:pt idx="3">
                  <c:v>Помощи и дарения</c:v>
                </c:pt>
              </c:strCache>
            </c:strRef>
          </c:cat>
          <c:val>
            <c:numRef>
              <c:f>data!$C$3:$C$6</c:f>
              <c:numCache>
                <c:formatCode>#,#00.0</c:formatCode>
                <c:ptCount val="4"/>
                <c:pt idx="0">
                  <c:v>10038.395976</c:v>
                </c:pt>
                <c:pt idx="1">
                  <c:v>7995.50173</c:v>
                </c:pt>
                <c:pt idx="2">
                  <c:v>1230.7573629999997</c:v>
                </c:pt>
                <c:pt idx="3">
                  <c:v>812.1368829999999</c:v>
                </c:pt>
              </c:numCache>
            </c:numRef>
          </c:val>
          <c:extLst>
            <c:ext xmlns:c16="http://schemas.microsoft.com/office/drawing/2014/chart" uri="{C3380CC4-5D6E-409C-BE32-E72D297353CC}">
              <c16:uniqueId val="{00000007-C4A3-420B-9E66-36D59D9976AD}"/>
            </c:ext>
          </c:extLst>
        </c:ser>
        <c:ser>
          <c:idx val="0"/>
          <c:order val="1"/>
          <c:tx>
            <c:strRef>
              <c:f>data!$B$1</c:f>
              <c:strCache>
                <c:ptCount val="1"/>
                <c:pt idx="0">
                  <c:v> март 2025 г.</c:v>
                </c:pt>
              </c:strCache>
            </c:strRef>
          </c:tx>
          <c:spPr>
            <a:pattFill prst="pct80">
              <a:fgClr>
                <a:srgbClr val="000000"/>
              </a:fgClr>
              <a:bgClr>
                <a:sysClr val="window" lastClr="FFFFFF"/>
              </a:bgClr>
            </a:pattFill>
            <a:ln w="12699">
              <a:solidFill>
                <a:srgbClr val="000000"/>
              </a:solidFill>
              <a:prstDash val="solid"/>
            </a:ln>
          </c:spPr>
          <c:invertIfNegative val="0"/>
          <c:dLbls>
            <c:dLbl>
              <c:idx val="0"/>
              <c:layout>
                <c:manualLayout>
                  <c:x val="1.2627753917124E-2"/>
                  <c:y val="-1.998680034181822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C4A3-420B-9E66-36D59D9976AD}"/>
                </c:ext>
              </c:extLst>
            </c:dLbl>
            <c:dLbl>
              <c:idx val="1"/>
              <c:layout>
                <c:manualLayout>
                  <c:x val="1.1606385376070541E-2"/>
                  <c:y val="-3.353590612220009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C4A3-420B-9E66-36D59D9976AD}"/>
                </c:ext>
              </c:extLst>
            </c:dLbl>
            <c:dLbl>
              <c:idx val="2"/>
              <c:layout>
                <c:manualLayout>
                  <c:x val="9.1593598118849696E-3"/>
                  <c:y val="-3.137072151695360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C4A3-420B-9E66-36D59D9976AD}"/>
                </c:ext>
              </c:extLst>
            </c:dLbl>
            <c:dLbl>
              <c:idx val="3"/>
              <c:layout>
                <c:manualLayout>
                  <c:x val="1.0275897787024155E-2"/>
                  <c:y val="-2.294935355302809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C4A3-420B-9E66-36D59D9976AD}"/>
                </c:ext>
              </c:extLst>
            </c:dLbl>
            <c:dLbl>
              <c:idx val="4"/>
              <c:layout>
                <c:manualLayout>
                  <c:x val="8.090605209302942E-3"/>
                  <c:y val="-1.23665134476867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4A3-420B-9E66-36D59D9976AD}"/>
                </c:ext>
              </c:extLst>
            </c:dLbl>
            <c:dLbl>
              <c:idx val="5"/>
              <c:layout>
                <c:manualLayout>
                  <c:xMode val="edge"/>
                  <c:yMode val="edge"/>
                  <c:x val="0.86038349087668353"/>
                  <c:y val="1.3043502490371705E-2"/>
                </c:manualLayout>
              </c:layout>
              <c:numFmt formatCode="#,##0.0" sourceLinked="0"/>
              <c:spPr>
                <a:solidFill>
                  <a:srgbClr val="FFFFFF"/>
                </a:solidFill>
                <a:ln w="25398">
                  <a:noFill/>
                </a:ln>
              </c:spPr>
              <c:txPr>
                <a:bodyPr/>
                <a:lstStyle/>
                <a:p>
                  <a:pPr>
                    <a:defRPr sz="800" b="0" i="0" u="none" strike="noStrike" baseline="0">
                      <a:solidFill>
                        <a:srgbClr val="000000"/>
                      </a:solidFill>
                      <a:latin typeface="Times New Roman"/>
                      <a:ea typeface="Times New Roman"/>
                      <a:cs typeface="Times New Roman"/>
                    </a:defRPr>
                  </a:pPr>
                  <a:endParaRPr lang="bg-BG"/>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4A3-420B-9E66-36D59D9976AD}"/>
                </c:ext>
              </c:extLst>
            </c:dLbl>
            <c:dLbl>
              <c:idx val="6"/>
              <c:layout>
                <c:manualLayout>
                  <c:xMode val="edge"/>
                  <c:yMode val="edge"/>
                  <c:x val="7.1599180932872524E-3"/>
                  <c:y val="1.3043502490371705E-2"/>
                </c:manualLayout>
              </c:layout>
              <c:numFmt formatCode="#,##0.0" sourceLinked="0"/>
              <c:spPr>
                <a:solidFill>
                  <a:srgbClr val="FFFFFF"/>
                </a:solidFill>
                <a:ln w="25398">
                  <a:noFill/>
                </a:ln>
              </c:spPr>
              <c:txPr>
                <a:bodyPr/>
                <a:lstStyle/>
                <a:p>
                  <a:pPr>
                    <a:defRPr sz="800" b="0" i="0" u="none" strike="noStrike" baseline="0">
                      <a:solidFill>
                        <a:srgbClr val="000000"/>
                      </a:solidFill>
                      <a:latin typeface="Times New Roman"/>
                      <a:ea typeface="Times New Roman"/>
                      <a:cs typeface="Times New Roman"/>
                    </a:defRPr>
                  </a:pPr>
                  <a:endParaRPr lang="bg-BG"/>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4A3-420B-9E66-36D59D9976AD}"/>
                </c:ext>
              </c:extLst>
            </c:dLbl>
            <c:numFmt formatCode="#,##0.0" sourceLinked="0"/>
            <c:spPr>
              <a:solidFill>
                <a:srgbClr val="FFFFFF"/>
              </a:solidFill>
              <a:ln w="25398">
                <a:noFill/>
              </a:ln>
            </c:spPr>
            <c:txPr>
              <a:bodyPr/>
              <a:lstStyle/>
              <a:p>
                <a:pPr>
                  <a:defRPr sz="800" b="1" i="0" u="none" strike="noStrike" baseline="0">
                    <a:solidFill>
                      <a:srgbClr val="000000"/>
                    </a:solidFill>
                    <a:latin typeface="Times New Roman"/>
                    <a:ea typeface="Times New Roman"/>
                    <a:cs typeface="Times New Roman"/>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data!$A$3:$A$6</c:f>
              <c:strCache>
                <c:ptCount val="4"/>
                <c:pt idx="0">
                  <c:v>Общо приходи, помощи и дарения</c:v>
                </c:pt>
                <c:pt idx="1">
                  <c:v>Данъчни приходи</c:v>
                </c:pt>
                <c:pt idx="2">
                  <c:v>Неданъчни приходи</c:v>
                </c:pt>
                <c:pt idx="3">
                  <c:v>Помощи и дарения</c:v>
                </c:pt>
              </c:strCache>
            </c:strRef>
          </c:cat>
          <c:val>
            <c:numRef>
              <c:f>data!$B$3:$B$6</c:f>
              <c:numCache>
                <c:formatCode>#,#00.0</c:formatCode>
                <c:ptCount val="4"/>
                <c:pt idx="0">
                  <c:v>8607.2964316939633</c:v>
                </c:pt>
                <c:pt idx="1">
                  <c:v>6967.0538645996849</c:v>
                </c:pt>
                <c:pt idx="2">
                  <c:v>1257.2776519431648</c:v>
                </c:pt>
                <c:pt idx="3">
                  <c:v>382.96491515111228</c:v>
                </c:pt>
              </c:numCache>
            </c:numRef>
          </c:val>
          <c:extLst>
            <c:ext xmlns:c16="http://schemas.microsoft.com/office/drawing/2014/chart" uri="{C3380CC4-5D6E-409C-BE32-E72D297353CC}">
              <c16:uniqueId val="{0000000F-C4A3-420B-9E66-36D59D9976AD}"/>
            </c:ext>
          </c:extLst>
        </c:ser>
        <c:dLbls>
          <c:showLegendKey val="0"/>
          <c:showVal val="0"/>
          <c:showCatName val="0"/>
          <c:showSerName val="0"/>
          <c:showPercent val="0"/>
          <c:showBubbleSize val="0"/>
        </c:dLbls>
        <c:gapWidth val="150"/>
        <c:gapDepth val="273"/>
        <c:shape val="cylinder"/>
        <c:axId val="292920704"/>
        <c:axId val="292926592"/>
        <c:axId val="0"/>
      </c:bar3DChart>
      <c:catAx>
        <c:axId val="292920704"/>
        <c:scaling>
          <c:orientation val="minMax"/>
        </c:scaling>
        <c:delete val="0"/>
        <c:axPos val="l"/>
        <c:numFmt formatCode="General" sourceLinked="1"/>
        <c:majorTickMark val="out"/>
        <c:minorTickMark val="none"/>
        <c:tickLblPos val="low"/>
        <c:spPr>
          <a:ln w="9524">
            <a:noFill/>
          </a:ln>
        </c:spPr>
        <c:txPr>
          <a:bodyPr rot="0" vert="horz"/>
          <a:lstStyle/>
          <a:p>
            <a:pPr>
              <a:defRPr sz="900" b="0" i="0" u="none" strike="noStrike" baseline="0">
                <a:solidFill>
                  <a:srgbClr val="000000"/>
                </a:solidFill>
                <a:latin typeface="Times New Roman"/>
                <a:ea typeface="Times New Roman"/>
                <a:cs typeface="Times New Roman"/>
              </a:defRPr>
            </a:pPr>
            <a:endParaRPr lang="bg-BG"/>
          </a:p>
        </c:txPr>
        <c:crossAx val="292926592"/>
        <c:crosses val="autoZero"/>
        <c:auto val="1"/>
        <c:lblAlgn val="ctr"/>
        <c:lblOffset val="100"/>
        <c:noMultiLvlLbl val="0"/>
      </c:catAx>
      <c:valAx>
        <c:axId val="292926592"/>
        <c:scaling>
          <c:orientation val="minMax"/>
        </c:scaling>
        <c:delete val="0"/>
        <c:axPos val="b"/>
        <c:majorGridlines>
          <c:spPr>
            <a:ln w="3175">
              <a:solidFill>
                <a:sysClr val="window" lastClr="FFFFFF">
                  <a:lumMod val="85000"/>
                </a:sysClr>
              </a:solidFill>
              <a:prstDash val="solid"/>
            </a:ln>
          </c:spPr>
        </c:majorGridlines>
        <c:title>
          <c:tx>
            <c:rich>
              <a:bodyPr/>
              <a:lstStyle/>
              <a:p>
                <a:pPr>
                  <a:defRPr sz="900" b="1" i="0" u="none" strike="noStrike" baseline="0">
                    <a:solidFill>
                      <a:srgbClr val="000000"/>
                    </a:solidFill>
                    <a:latin typeface="Times New Roman"/>
                    <a:ea typeface="Times New Roman"/>
                    <a:cs typeface="Times New Roman"/>
                  </a:defRPr>
                </a:pPr>
                <a:r>
                  <a:rPr lang="bg-BG"/>
                  <a:t>млн. евро</a:t>
                </a:r>
              </a:p>
            </c:rich>
          </c:tx>
          <c:layout>
            <c:manualLayout>
              <c:xMode val="edge"/>
              <c:yMode val="edge"/>
              <c:x val="0.91324272509414584"/>
              <c:y val="0.92457285581237825"/>
            </c:manualLayout>
          </c:layout>
          <c:overlay val="0"/>
          <c:spPr>
            <a:noFill/>
            <a:ln w="25398">
              <a:noFill/>
            </a:ln>
          </c:spPr>
        </c:title>
        <c:numFmt formatCode="#,##0" sourceLinked="0"/>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bg-BG"/>
          </a:p>
        </c:txPr>
        <c:crossAx val="292920704"/>
        <c:crosses val="autoZero"/>
        <c:crossBetween val="between"/>
      </c:valAx>
      <c:spPr>
        <a:noFill/>
        <a:ln>
          <a:noFill/>
        </a:ln>
      </c:spPr>
    </c:plotArea>
    <c:legend>
      <c:legendPos val="r"/>
      <c:layout>
        <c:manualLayout>
          <c:xMode val="edge"/>
          <c:yMode val="edge"/>
          <c:x val="6.9073947278329327E-3"/>
          <c:y val="0.87270298873931074"/>
          <c:w val="0.14668503937007876"/>
          <c:h val="0.12342223351113368"/>
        </c:manualLayout>
      </c:layout>
      <c:overlay val="0"/>
      <c:spPr>
        <a:solidFill>
          <a:srgbClr val="FFFFFF"/>
        </a:solidFill>
        <a:ln w="3175">
          <a:solidFill>
            <a:srgbClr val="000000"/>
          </a:solidFill>
          <a:prstDash val="solid"/>
        </a:ln>
      </c:spPr>
      <c:txPr>
        <a:bodyPr/>
        <a:lstStyle/>
        <a:p>
          <a:pPr>
            <a:defRPr sz="690" b="1" i="0" u="none" strike="noStrike" baseline="0">
              <a:solidFill>
                <a:srgbClr val="000000"/>
              </a:solidFill>
              <a:latin typeface="Times New Roman"/>
              <a:ea typeface="Times New Roman"/>
              <a:cs typeface="Times New Roman"/>
            </a:defRPr>
          </a:pPr>
          <a:endParaRPr lang="bg-BG"/>
        </a:p>
      </c:txPr>
    </c:legend>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bg-BG"/>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00"/>
                </a:solidFill>
                <a:latin typeface="Times New Roman"/>
                <a:ea typeface="Times New Roman"/>
                <a:cs typeface="Times New Roman"/>
              </a:defRPr>
            </a:pPr>
            <a:r>
              <a:rPr lang="bg-BG" sz="1000"/>
              <a:t>Разходи по консолидираната фискална програма </a:t>
            </a:r>
            <a:r>
              <a:rPr lang="bg-BG" sz="1000" b="1" i="0" u="none" strike="noStrike" kern="1200" baseline="0">
                <a:solidFill>
                  <a:srgbClr val="000000"/>
                </a:solidFill>
                <a:latin typeface="Times New Roman"/>
                <a:cs typeface="Times New Roman"/>
              </a:rPr>
              <a:t>към март 2025 </a:t>
            </a:r>
            <a:r>
              <a:rPr lang="bg-BG" sz="1000"/>
              <a:t>г. и </a:t>
            </a:r>
            <a:r>
              <a:rPr lang="bg-BG" sz="1000" b="1" i="0" u="none" strike="noStrike" kern="1200" baseline="0">
                <a:solidFill>
                  <a:srgbClr val="000000"/>
                </a:solidFill>
                <a:latin typeface="Times New Roman"/>
                <a:cs typeface="Times New Roman"/>
              </a:rPr>
              <a:t>202</a:t>
            </a:r>
            <a:r>
              <a:rPr lang="en-US" sz="1000" b="1" i="0" u="none" strike="noStrike" kern="1200" baseline="0">
                <a:solidFill>
                  <a:srgbClr val="000000"/>
                </a:solidFill>
                <a:latin typeface="Times New Roman"/>
                <a:cs typeface="Times New Roman"/>
              </a:rPr>
              <a:t>6</a:t>
            </a:r>
            <a:r>
              <a:rPr lang="bg-BG" sz="1000"/>
              <a:t> г. </a:t>
            </a:r>
          </a:p>
        </c:rich>
      </c:tx>
      <c:layout>
        <c:manualLayout>
          <c:xMode val="edge"/>
          <c:yMode val="edge"/>
          <c:x val="0.16410406246389012"/>
          <c:y val="3.585301837270342E-3"/>
        </c:manualLayout>
      </c:layout>
      <c:overlay val="0"/>
      <c:spPr>
        <a:noFill/>
        <a:ln w="25399">
          <a:noFill/>
        </a:ln>
      </c:spPr>
    </c:title>
    <c:autoTitleDeleted val="0"/>
    <c:view3D>
      <c:rotX val="30"/>
      <c:hPercent val="41"/>
      <c:rotY val="40"/>
      <c:depthPercent val="100"/>
      <c:rAngAx val="1"/>
    </c:view3D>
    <c:floor>
      <c:thickness val="0"/>
      <c:spPr>
        <a:solidFill>
          <a:sysClr val="window" lastClr="FFFFFF">
            <a:lumMod val="95000"/>
          </a:sysClr>
        </a:solidFill>
        <a:ln w="3175">
          <a:noFill/>
          <a:prstDash val="solid"/>
        </a:ln>
      </c:spPr>
    </c:floor>
    <c:sideWall>
      <c:thickness val="0"/>
      <c:spPr>
        <a:solidFill>
          <a:sysClr val="window" lastClr="FFFFFF"/>
        </a:solidFill>
        <a:ln w="3175">
          <a:solidFill>
            <a:srgbClr val="FFFFFF"/>
          </a:solidFill>
          <a:prstDash val="solid"/>
        </a:ln>
      </c:spPr>
    </c:sideWall>
    <c:backWall>
      <c:thickness val="0"/>
      <c:spPr>
        <a:solidFill>
          <a:sysClr val="window" lastClr="FFFFFF"/>
        </a:solidFill>
        <a:ln w="3175">
          <a:solidFill>
            <a:srgbClr val="FFFFFF"/>
          </a:solidFill>
          <a:prstDash val="solid"/>
        </a:ln>
      </c:spPr>
    </c:backWall>
    <c:plotArea>
      <c:layout>
        <c:manualLayout>
          <c:layoutTarget val="inner"/>
          <c:xMode val="edge"/>
          <c:yMode val="edge"/>
          <c:x val="9.9884653447322863E-2"/>
          <c:y val="0.16291722759747282"/>
          <c:w val="0.89802255960123512"/>
          <c:h val="0.58336868408054166"/>
        </c:manualLayout>
      </c:layout>
      <c:bar3DChart>
        <c:barDir val="col"/>
        <c:grouping val="clustered"/>
        <c:varyColors val="0"/>
        <c:ser>
          <c:idx val="0"/>
          <c:order val="0"/>
          <c:tx>
            <c:strRef>
              <c:f>data!$B$1</c:f>
              <c:strCache>
                <c:ptCount val="1"/>
                <c:pt idx="0">
                  <c:v>март 2025 г.</c:v>
                </c:pt>
              </c:strCache>
            </c:strRef>
          </c:tx>
          <c:spPr>
            <a:pattFill prst="pct5">
              <a:fgClr>
                <a:srgbClr val="000000"/>
              </a:fgClr>
              <a:bgClr>
                <a:sysClr val="windowText" lastClr="000000">
                  <a:lumMod val="65000"/>
                  <a:lumOff val="35000"/>
                </a:sysClr>
              </a:bgClr>
            </a:pattFill>
            <a:ln w="12700">
              <a:solidFill>
                <a:srgbClr val="000000"/>
              </a:solidFill>
              <a:prstDash val="solid"/>
            </a:ln>
          </c:spPr>
          <c:invertIfNegative val="0"/>
          <c:dLbls>
            <c:dLbl>
              <c:idx val="0"/>
              <c:layout>
                <c:manualLayout>
                  <c:x val="7.3754921259844451E-3"/>
                  <c:y val="0.1778318516637033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267C-42FF-BC11-7089384D96BC}"/>
                </c:ext>
              </c:extLst>
            </c:dLbl>
            <c:dLbl>
              <c:idx val="1"/>
              <c:layout>
                <c:manualLayout>
                  <c:x val="6.1202427821523912E-3"/>
                  <c:y val="0.163771060875455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267C-42FF-BC11-7089384D96BC}"/>
                </c:ext>
              </c:extLst>
            </c:dLbl>
            <c:dLbl>
              <c:idx val="2"/>
              <c:layout>
                <c:manualLayout>
                  <c:x val="2.7818241469817085E-3"/>
                  <c:y val="-3.331910930488526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267C-42FF-BC11-7089384D96BC}"/>
                </c:ext>
              </c:extLst>
            </c:dLbl>
            <c:dLbl>
              <c:idx val="3"/>
              <c:layout>
                <c:manualLayout>
                  <c:x val="1.0317257217847769E-2"/>
                  <c:y val="-2.06922360511387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267C-42FF-BC11-7089384D96BC}"/>
                </c:ext>
              </c:extLst>
            </c:dLbl>
            <c:dLbl>
              <c:idx val="4"/>
              <c:layout>
                <c:manualLayout>
                  <c:x val="1.6023129921259843E-2"/>
                  <c:y val="-3.354770976208618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267C-42FF-BC11-7089384D96BC}"/>
                </c:ext>
              </c:extLst>
            </c:dLbl>
            <c:dLbl>
              <c:idx val="5"/>
              <c:layout>
                <c:manualLayout>
                  <c:x val="1.8415952722890771E-2"/>
                  <c:y val="-2.638317425175968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267C-42FF-BC11-7089384D96BC}"/>
                </c:ext>
              </c:extLst>
            </c:dLbl>
            <c:dLbl>
              <c:idx val="6"/>
              <c:layout>
                <c:manualLayout>
                  <c:xMode val="edge"/>
                  <c:yMode val="edge"/>
                  <c:x val="0"/>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67C-42FF-BC11-7089384D96BC}"/>
                </c:ext>
              </c:extLst>
            </c:dLbl>
            <c:spPr>
              <a:solidFill>
                <a:srgbClr val="FFFFFF"/>
              </a:solidFill>
              <a:ln w="25400">
                <a:noFill/>
              </a:ln>
            </c:spPr>
            <c:txPr>
              <a:bodyPr rot="-5400000" vert="horz"/>
              <a:lstStyle/>
              <a:p>
                <a:pPr algn="ctr">
                  <a:defRPr sz="800" b="1" i="0" u="none" strike="noStrike" baseline="0">
                    <a:solidFill>
                      <a:srgbClr val="000000"/>
                    </a:solidFill>
                    <a:latin typeface="Times New Roman"/>
                    <a:ea typeface="Times New Roman"/>
                    <a:cs typeface="Times New Roman"/>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data!$A$3:$A$8</c:f>
              <c:strCache>
                <c:ptCount val="6"/>
                <c:pt idx="0">
                  <c:v>Общо разходи</c:v>
                </c:pt>
                <c:pt idx="1">
                  <c:v>Текущи нелихв. разходи</c:v>
                </c:pt>
                <c:pt idx="2">
                  <c:v>Предост. тек.
и капит. трансф. за чужбина</c:v>
                </c:pt>
                <c:pt idx="3">
                  <c:v>Капиталови разходи*</c:v>
                </c:pt>
                <c:pt idx="4">
                  <c:v>Лихви</c:v>
                </c:pt>
                <c:pt idx="5">
                  <c:v>Вноска в бюджета на  ЕС</c:v>
                </c:pt>
              </c:strCache>
            </c:strRef>
          </c:cat>
          <c:val>
            <c:numRef>
              <c:f>data!$B$3:$B$8</c:f>
              <c:numCache>
                <c:formatCode>#,##0.0</c:formatCode>
                <c:ptCount val="6"/>
                <c:pt idx="0">
                  <c:v>9593.2434950890402</c:v>
                </c:pt>
                <c:pt idx="1">
                  <c:v>8594.522741240291</c:v>
                </c:pt>
                <c:pt idx="2">
                  <c:v>8.456326470091982</c:v>
                </c:pt>
                <c:pt idx="3">
                  <c:v>520.2286292775957</c:v>
                </c:pt>
                <c:pt idx="4">
                  <c:v>210.16556346921766</c:v>
                </c:pt>
                <c:pt idx="5">
                  <c:v>259.87023463184431</c:v>
                </c:pt>
              </c:numCache>
            </c:numRef>
          </c:val>
          <c:extLst>
            <c:ext xmlns:c16="http://schemas.microsoft.com/office/drawing/2014/chart" uri="{C3380CC4-5D6E-409C-BE32-E72D297353CC}">
              <c16:uniqueId val="{00000007-267C-42FF-BC11-7089384D96BC}"/>
            </c:ext>
          </c:extLst>
        </c:ser>
        <c:ser>
          <c:idx val="1"/>
          <c:order val="1"/>
          <c:tx>
            <c:strRef>
              <c:f>data!$C$1</c:f>
              <c:strCache>
                <c:ptCount val="1"/>
                <c:pt idx="0">
                  <c:v>март 2026 г.</c:v>
                </c:pt>
              </c:strCache>
            </c:strRef>
          </c:tx>
          <c:spPr>
            <a:pattFill prst="pct80">
              <a:fgClr>
                <a:srgbClr val="C0C0C0"/>
              </a:fgClr>
              <a:bgClr>
                <a:sysClr val="windowText" lastClr="000000">
                  <a:lumMod val="65000"/>
                  <a:lumOff val="35000"/>
                </a:sysClr>
              </a:bgClr>
            </a:pattFill>
            <a:ln w="12700">
              <a:solidFill>
                <a:srgbClr val="000000"/>
              </a:solidFill>
              <a:prstDash val="solid"/>
            </a:ln>
          </c:spPr>
          <c:invertIfNegative val="0"/>
          <c:dLbls>
            <c:dLbl>
              <c:idx val="0"/>
              <c:layout>
                <c:manualLayout>
                  <c:x val="9.3784974991333626E-3"/>
                  <c:y val="0.1770141523007298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267C-42FF-BC11-7089384D96BC}"/>
                </c:ext>
              </c:extLst>
            </c:dLbl>
            <c:dLbl>
              <c:idx val="1"/>
              <c:layout>
                <c:manualLayout>
                  <c:x val="9.8586969081694981E-3"/>
                  <c:y val="0.1757267550858468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267C-42FF-BC11-7089384D96BC}"/>
                </c:ext>
              </c:extLst>
            </c:dLbl>
            <c:dLbl>
              <c:idx val="2"/>
              <c:layout>
                <c:manualLayout>
                  <c:x val="1.3761646981627297E-2"/>
                  <c:y val="-2.785030903395140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267C-42FF-BC11-7089384D96BC}"/>
                </c:ext>
              </c:extLst>
            </c:dLbl>
            <c:dLbl>
              <c:idx val="3"/>
              <c:layout>
                <c:manualLayout>
                  <c:x val="1.1285428944023429E-2"/>
                  <c:y val="-1.837720284964379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267C-42FF-BC11-7089384D96BC}"/>
                </c:ext>
              </c:extLst>
            </c:dLbl>
            <c:dLbl>
              <c:idx val="4"/>
              <c:layout>
                <c:manualLayout>
                  <c:x val="2.7460301837270402E-2"/>
                  <c:y val="-4.790618914571210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267C-42FF-BC11-7089384D96BC}"/>
                </c:ext>
              </c:extLst>
            </c:dLbl>
            <c:dLbl>
              <c:idx val="5"/>
              <c:layout>
                <c:manualLayout>
                  <c:x val="3.0156260750382247E-2"/>
                  <c:y val="-2.81911263751215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267C-42FF-BC11-7089384D96BC}"/>
                </c:ext>
              </c:extLst>
            </c:dLbl>
            <c:dLbl>
              <c:idx val="6"/>
              <c:layout>
                <c:manualLayout>
                  <c:xMode val="edge"/>
                  <c:yMode val="edge"/>
                  <c:x val="0.9300813008130081"/>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67C-42FF-BC11-7089384D96BC}"/>
                </c:ext>
              </c:extLst>
            </c:dLbl>
            <c:spPr>
              <a:solidFill>
                <a:srgbClr val="FFFFFF"/>
              </a:solidFill>
              <a:ln w="25400">
                <a:noFill/>
              </a:ln>
            </c:spPr>
            <c:txPr>
              <a:bodyPr rot="-5400000" vert="horz"/>
              <a:lstStyle/>
              <a:p>
                <a:pPr algn="ctr">
                  <a:defRPr sz="800" b="1" i="0" u="none" strike="noStrike" baseline="0">
                    <a:solidFill>
                      <a:srgbClr val="000000"/>
                    </a:solidFill>
                    <a:latin typeface="Times New Roman"/>
                    <a:ea typeface="Times New Roman"/>
                    <a:cs typeface="Times New Roman"/>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data!$A$3:$A$8</c:f>
              <c:strCache>
                <c:ptCount val="6"/>
                <c:pt idx="0">
                  <c:v>Общо разходи</c:v>
                </c:pt>
                <c:pt idx="1">
                  <c:v>Текущи нелихв. разходи</c:v>
                </c:pt>
                <c:pt idx="2">
                  <c:v>Предост. тек.
и капит. трансф. за чужбина</c:v>
                </c:pt>
                <c:pt idx="3">
                  <c:v>Капиталови разходи*</c:v>
                </c:pt>
                <c:pt idx="4">
                  <c:v>Лихви</c:v>
                </c:pt>
                <c:pt idx="5">
                  <c:v>Вноска в бюджета на  ЕС</c:v>
                </c:pt>
              </c:strCache>
            </c:strRef>
          </c:cat>
          <c:val>
            <c:numRef>
              <c:f>data!$C$3:$C$8</c:f>
              <c:numCache>
                <c:formatCode>#,##0.0</c:formatCode>
                <c:ptCount val="6"/>
                <c:pt idx="0">
                  <c:v>11567.324080000002</c:v>
                </c:pt>
                <c:pt idx="1">
                  <c:v>10016.805527</c:v>
                </c:pt>
                <c:pt idx="2">
                  <c:v>11.597157000000001</c:v>
                </c:pt>
                <c:pt idx="3" formatCode="#,##0.0_ ;\-#,##0.0\ ">
                  <c:v>1053.096137</c:v>
                </c:pt>
                <c:pt idx="4">
                  <c:v>226.30578</c:v>
                </c:pt>
                <c:pt idx="5">
                  <c:v>259.51947899999999</c:v>
                </c:pt>
              </c:numCache>
            </c:numRef>
          </c:val>
          <c:extLst>
            <c:ext xmlns:c16="http://schemas.microsoft.com/office/drawing/2014/chart" uri="{C3380CC4-5D6E-409C-BE32-E72D297353CC}">
              <c16:uniqueId val="{0000000F-267C-42FF-BC11-7089384D96BC}"/>
            </c:ext>
          </c:extLst>
        </c:ser>
        <c:dLbls>
          <c:showLegendKey val="0"/>
          <c:showVal val="0"/>
          <c:showCatName val="0"/>
          <c:showSerName val="0"/>
          <c:showPercent val="0"/>
          <c:showBubbleSize val="0"/>
        </c:dLbls>
        <c:gapWidth val="150"/>
        <c:shape val="cylinder"/>
        <c:axId val="296740736"/>
        <c:axId val="296742272"/>
        <c:axId val="0"/>
      </c:bar3DChart>
      <c:catAx>
        <c:axId val="296740736"/>
        <c:scaling>
          <c:orientation val="minMax"/>
        </c:scaling>
        <c:delete val="0"/>
        <c:axPos val="b"/>
        <c:numFmt formatCode="General" sourceLinked="1"/>
        <c:majorTickMark val="out"/>
        <c:minorTickMark val="none"/>
        <c:tickLblPos val="low"/>
        <c:spPr>
          <a:ln w="9525">
            <a:noFill/>
          </a:ln>
        </c:spPr>
        <c:txPr>
          <a:bodyPr rot="0" vert="horz"/>
          <a:lstStyle/>
          <a:p>
            <a:pPr>
              <a:defRPr sz="990" b="1" i="0" u="none" strike="noStrike" baseline="2000">
                <a:solidFill>
                  <a:srgbClr val="000000"/>
                </a:solidFill>
                <a:latin typeface="Times New Roman"/>
                <a:ea typeface="Times New Roman"/>
                <a:cs typeface="Times New Roman"/>
              </a:defRPr>
            </a:pPr>
            <a:endParaRPr lang="bg-BG"/>
          </a:p>
        </c:txPr>
        <c:crossAx val="296742272"/>
        <c:crosses val="autoZero"/>
        <c:auto val="1"/>
        <c:lblAlgn val="ctr"/>
        <c:lblOffset val="100"/>
        <c:tickMarkSkip val="1"/>
        <c:noMultiLvlLbl val="0"/>
      </c:catAx>
      <c:valAx>
        <c:axId val="296742272"/>
        <c:scaling>
          <c:orientation val="minMax"/>
        </c:scaling>
        <c:delete val="0"/>
        <c:axPos val="l"/>
        <c:majorGridlines>
          <c:spPr>
            <a:ln>
              <a:solidFill>
                <a:sysClr val="window" lastClr="FFFFFF">
                  <a:lumMod val="75000"/>
                </a:sysClr>
              </a:solidFill>
            </a:ln>
          </c:spPr>
        </c:majorGridlines>
        <c:minorGridlines>
          <c:spPr>
            <a:ln>
              <a:noFill/>
            </a:ln>
          </c:spPr>
        </c:minorGridlines>
        <c:title>
          <c:tx>
            <c:rich>
              <a:bodyPr rot="0" vert="horz"/>
              <a:lstStyle/>
              <a:p>
                <a:pPr algn="ctr">
                  <a:defRPr sz="900" b="1" i="0" u="none" strike="noStrike" baseline="0">
                    <a:solidFill>
                      <a:srgbClr val="000000"/>
                    </a:solidFill>
                    <a:latin typeface="Times New Roman"/>
                    <a:ea typeface="Times New Roman"/>
                    <a:cs typeface="Times New Roman"/>
                  </a:defRPr>
                </a:pPr>
                <a:r>
                  <a:rPr lang="bg-BG"/>
                  <a:t>млн. евро</a:t>
                </a:r>
              </a:p>
            </c:rich>
          </c:tx>
          <c:layout>
            <c:manualLayout>
              <c:xMode val="edge"/>
              <c:yMode val="edge"/>
              <c:x val="1.3654582584490938E-2"/>
              <c:y val="4.0384112502542341E-2"/>
            </c:manualLayout>
          </c:layout>
          <c:overlay val="0"/>
          <c:spPr>
            <a:noFill/>
            <a:ln w="25399">
              <a:noFill/>
            </a:ln>
          </c:spPr>
        </c:title>
        <c:numFmt formatCode="#,##0.0" sourceLinked="0"/>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Times New Roman"/>
                <a:ea typeface="Times New Roman"/>
                <a:cs typeface="Times New Roman"/>
              </a:defRPr>
            </a:pPr>
            <a:endParaRPr lang="bg-BG"/>
          </a:p>
        </c:txPr>
        <c:crossAx val="296740736"/>
        <c:crosses val="autoZero"/>
        <c:crossBetween val="between"/>
      </c:valAx>
      <c:spPr>
        <a:noFill/>
        <a:ln w="25399">
          <a:noFill/>
        </a:ln>
      </c:spPr>
    </c:plotArea>
    <c:legend>
      <c:legendPos val="r"/>
      <c:legendEntry>
        <c:idx val="0"/>
        <c:txPr>
          <a:bodyPr/>
          <a:lstStyle/>
          <a:p>
            <a:pPr>
              <a:defRPr sz="700" b="1" i="0" u="none" strike="noStrike" baseline="0">
                <a:solidFill>
                  <a:srgbClr val="000000"/>
                </a:solidFill>
                <a:latin typeface="Times New Roman"/>
                <a:ea typeface="Times New Roman"/>
                <a:cs typeface="Times New Roman"/>
              </a:defRPr>
            </a:pPr>
            <a:endParaRPr lang="bg-BG"/>
          </a:p>
        </c:txPr>
      </c:legendEntry>
      <c:legendEntry>
        <c:idx val="1"/>
        <c:txPr>
          <a:bodyPr/>
          <a:lstStyle/>
          <a:p>
            <a:pPr>
              <a:defRPr sz="700" b="1" i="0" u="none" strike="noStrike" baseline="0">
                <a:solidFill>
                  <a:srgbClr val="000000"/>
                </a:solidFill>
                <a:latin typeface="Times New Roman"/>
                <a:ea typeface="Times New Roman"/>
                <a:cs typeface="Times New Roman"/>
              </a:defRPr>
            </a:pPr>
            <a:endParaRPr lang="bg-BG"/>
          </a:p>
        </c:txPr>
      </c:legendEntry>
      <c:layout>
        <c:manualLayout>
          <c:xMode val="edge"/>
          <c:yMode val="edge"/>
          <c:x val="6.2893081761007516E-3"/>
          <c:y val="0.91250477411253827"/>
          <c:w val="0.13829049670677956"/>
          <c:h val="8.7496437945256841E-2"/>
        </c:manualLayout>
      </c:layout>
      <c:overlay val="0"/>
      <c:spPr>
        <a:solidFill>
          <a:srgbClr val="FFFFFF"/>
        </a:solidFill>
        <a:ln w="3175">
          <a:solidFill>
            <a:srgbClr val="000000"/>
          </a:solidFill>
          <a:prstDash val="solid"/>
        </a:ln>
      </c:spPr>
      <c:txPr>
        <a:bodyPr/>
        <a:lstStyle/>
        <a:p>
          <a:pPr>
            <a:defRPr sz="700" b="1" i="0" u="none" strike="noStrike" baseline="0">
              <a:solidFill>
                <a:srgbClr val="000000"/>
              </a:solidFill>
              <a:latin typeface="Times New Roman"/>
              <a:ea typeface="Times New Roman"/>
              <a:cs typeface="Times New Roman"/>
            </a:defRPr>
          </a:pPr>
          <a:endParaRPr lang="bg-BG"/>
        </a:p>
      </c:txPr>
    </c:legend>
    <c:plotVisOnly val="1"/>
    <c:dispBlanksAs val="gap"/>
    <c:showDLblsOverMax val="0"/>
  </c:chart>
  <c:spPr>
    <a:solidFill>
      <a:srgbClr val="FFFFFF"/>
    </a:solidFill>
    <a:ln w="3175">
      <a:solidFill>
        <a:srgbClr val="000000"/>
      </a:solidFill>
      <a:prstDash val="solid"/>
    </a:ln>
  </c:spPr>
  <c:txPr>
    <a:bodyPr/>
    <a:lstStyle/>
    <a:p>
      <a:pPr>
        <a:defRPr sz="950" b="0" i="0" u="none" strike="noStrike" baseline="0">
          <a:solidFill>
            <a:srgbClr val="000000"/>
          </a:solidFill>
          <a:latin typeface="Arial"/>
          <a:ea typeface="Arial"/>
          <a:cs typeface="Arial"/>
        </a:defRPr>
      </a:pPr>
      <a:endParaRPr lang="bg-BG"/>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5069391409685821E-2"/>
          <c:y val="3.8309849426716412E-2"/>
          <c:w val="0.90305106959238579"/>
          <c:h val="0.68449451055100907"/>
        </c:manualLayout>
      </c:layout>
      <c:barChart>
        <c:barDir val="col"/>
        <c:grouping val="clustered"/>
        <c:varyColors val="0"/>
        <c:ser>
          <c:idx val="0"/>
          <c:order val="0"/>
          <c:tx>
            <c:strRef>
              <c:f>Sheet1!$B$36</c:f>
              <c:strCache>
                <c:ptCount val="1"/>
                <c:pt idx="0">
                  <c:v> март 2025 г.</c:v>
                </c:pt>
              </c:strCache>
            </c:strRef>
          </c:tx>
          <c:spPr>
            <a:pattFill prst="pct5">
              <a:fgClr>
                <a:srgbClr val="FFFFFF"/>
              </a:fgClr>
              <a:bgClr>
                <a:srgbClr val="000000"/>
              </a:bgClr>
            </a:pattFill>
            <a:ln w="12683">
              <a:solidFill>
                <a:srgbClr val="000000"/>
              </a:solidFill>
              <a:prstDash val="solid"/>
            </a:ln>
          </c:spPr>
          <c:invertIfNegative val="0"/>
          <c:dLbls>
            <c:dLbl>
              <c:idx val="1"/>
              <c:layout>
                <c:manualLayout>
                  <c:x val="2.2760896779333104E-3"/>
                  <c:y val="4.300390905533313E-7"/>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0B53-4275-8580-D40A5527AB6B}"/>
                </c:ext>
              </c:extLst>
            </c:dLbl>
            <c:dLbl>
              <c:idx val="2"/>
              <c:layout>
                <c:manualLayout>
                  <c:x val="0"/>
                  <c:y val="-4.3402777777778578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0B53-4275-8580-D40A5527AB6B}"/>
                </c:ext>
              </c:extLst>
            </c:dLbl>
            <c:dLbl>
              <c:idx val="3"/>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0B53-4275-8580-D40A5527AB6B}"/>
                </c:ext>
              </c:extLst>
            </c:dLbl>
            <c:dLbl>
              <c:idx val="5"/>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0B53-4275-8580-D40A5527AB6B}"/>
                </c:ext>
              </c:extLst>
            </c:dLbl>
            <c:numFmt formatCode="#,##0.0" sourceLinked="0"/>
            <c:spPr>
              <a:solidFill>
                <a:srgbClr val="FFFFFF"/>
              </a:solidFill>
              <a:ln w="25367">
                <a:noFill/>
              </a:ln>
            </c:spPr>
            <c:txPr>
              <a:bodyPr rot="-5400000" vert="horz"/>
              <a:lstStyle/>
              <a:p>
                <a:pPr algn="ctr">
                  <a:defRPr sz="899" b="0" i="0" u="none" strike="noStrike" baseline="0">
                    <a:solidFill>
                      <a:srgbClr val="000000"/>
                    </a:solidFill>
                    <a:latin typeface="Times New Roman"/>
                    <a:ea typeface="Times New Roman"/>
                    <a:cs typeface="Times New Roman"/>
                  </a:defRPr>
                </a:pPr>
                <a:endParaRPr lang="bg-BG"/>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Sheet1!$A$38:$A$43</c:f>
              <c:strCache>
                <c:ptCount val="6"/>
                <c:pt idx="0">
                  <c:v>Текущи нелихвени разходи</c:v>
                </c:pt>
                <c:pt idx="1">
                  <c:v>Предост. тек. и кап. трансф. за чужбина</c:v>
                </c:pt>
                <c:pt idx="2">
                  <c:v>Капиталови р-ди*</c:v>
                </c:pt>
                <c:pt idx="3">
                  <c:v>Лихвени р-ди</c:v>
                </c:pt>
                <c:pt idx="4">
                  <c:v>Нето предоставени трансфери за др. бюджети</c:v>
                </c:pt>
                <c:pt idx="5">
                  <c:v>Вноска в бюджета на ЕС</c:v>
                </c:pt>
              </c:strCache>
            </c:strRef>
          </c:cat>
          <c:val>
            <c:numRef>
              <c:f>Sheet1!$B$38:$B$43</c:f>
              <c:numCache>
                <c:formatCode>#,##0.0</c:formatCode>
                <c:ptCount val="6"/>
                <c:pt idx="0">
                  <c:v>1988.7283726090714</c:v>
                </c:pt>
                <c:pt idx="1">
                  <c:v>0.78880117392615923</c:v>
                </c:pt>
                <c:pt idx="2">
                  <c:v>118.24266270585889</c:v>
                </c:pt>
                <c:pt idx="3">
                  <c:v>202.78945153719908</c:v>
                </c:pt>
                <c:pt idx="4">
                  <c:v>3749.5261316167562</c:v>
                </c:pt>
                <c:pt idx="5">
                  <c:v>259.87023463184431</c:v>
                </c:pt>
              </c:numCache>
            </c:numRef>
          </c:val>
          <c:extLst>
            <c:ext xmlns:c16="http://schemas.microsoft.com/office/drawing/2014/chart" uri="{C3380CC4-5D6E-409C-BE32-E72D297353CC}">
              <c16:uniqueId val="{00000004-0B53-4275-8580-D40A5527AB6B}"/>
            </c:ext>
          </c:extLst>
        </c:ser>
        <c:ser>
          <c:idx val="1"/>
          <c:order val="1"/>
          <c:tx>
            <c:strRef>
              <c:f>Sheet1!$C$36</c:f>
              <c:strCache>
                <c:ptCount val="1"/>
                <c:pt idx="0">
                  <c:v> март 2026 г.</c:v>
                </c:pt>
              </c:strCache>
            </c:strRef>
          </c:tx>
          <c:spPr>
            <a:pattFill prst="smConfetti">
              <a:fgClr>
                <a:srgbClr val="333333"/>
              </a:fgClr>
              <a:bgClr>
                <a:srgbClr val="FFFFFF"/>
              </a:bgClr>
            </a:pattFill>
            <a:ln w="12683">
              <a:solidFill>
                <a:srgbClr val="000000"/>
              </a:solidFill>
              <a:prstDash val="solid"/>
            </a:ln>
          </c:spPr>
          <c:invertIfNegative val="0"/>
          <c:dLbls>
            <c:dLbl>
              <c:idx val="0"/>
              <c:layout/>
              <c:dLblPos val="in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0B53-4275-8580-D40A5527AB6B}"/>
                </c:ext>
              </c:extLst>
            </c:dLbl>
            <c:dLbl>
              <c:idx val="1"/>
              <c:layout>
                <c:manualLayout>
                  <c:x val="-1.3777787060437307E-3"/>
                  <c:y val="-2.2458399596602201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0B53-4275-8580-D40A5527AB6B}"/>
                </c:ext>
              </c:extLst>
            </c:dLbl>
            <c:dLbl>
              <c:idx val="2"/>
              <c:layout>
                <c:manualLayout>
                  <c:x val="2.2504468494836203E-3"/>
                  <c:y val="-1.1601186570428697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0B53-4275-8580-D40A5527AB6B}"/>
                </c:ext>
              </c:extLst>
            </c:dLbl>
            <c:dLbl>
              <c:idx val="3"/>
              <c:layout>
                <c:manualLayout>
                  <c:x val="4.7141342909059365E-3"/>
                  <c:y val="-1.23333001096382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0B53-4275-8580-D40A5527AB6B}"/>
                </c:ext>
              </c:extLst>
            </c:dLbl>
            <c:dLbl>
              <c:idx val="4"/>
              <c:layout>
                <c:manualLayout>
                  <c:x val="4.836600955778445E-3"/>
                  <c:y val="0.1279207179932656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0B53-4275-8580-D40A5527AB6B}"/>
                </c:ext>
              </c:extLst>
            </c:dLbl>
            <c:dLbl>
              <c:idx val="5"/>
              <c:layout>
                <c:manualLayout>
                  <c:x val="1.9210939978656521E-3"/>
                  <c:y val="5.6948735838400722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0B53-4275-8580-D40A5527AB6B}"/>
                </c:ext>
              </c:extLst>
            </c:dLbl>
            <c:numFmt formatCode="#,##0.0" sourceLinked="0"/>
            <c:spPr>
              <a:solidFill>
                <a:srgbClr val="FFFFFF"/>
              </a:solidFill>
              <a:ln w="25367">
                <a:noFill/>
              </a:ln>
            </c:spPr>
            <c:txPr>
              <a:bodyPr rot="-5400000" vert="horz"/>
              <a:lstStyle/>
              <a:p>
                <a:pPr algn="ctr">
                  <a:defRPr sz="899" b="0" i="0" u="none" strike="noStrike" baseline="0">
                    <a:solidFill>
                      <a:srgbClr val="000000"/>
                    </a:solidFill>
                    <a:latin typeface="Times New Roman"/>
                    <a:ea typeface="Times New Roman"/>
                    <a:cs typeface="Times New Roman"/>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Sheet1!$A$38:$A$43</c:f>
              <c:strCache>
                <c:ptCount val="6"/>
                <c:pt idx="0">
                  <c:v>Текущи нелихвени разходи</c:v>
                </c:pt>
                <c:pt idx="1">
                  <c:v>Предост. тек. и кап. трансф. за чужбина</c:v>
                </c:pt>
                <c:pt idx="2">
                  <c:v>Капиталови р-ди*</c:v>
                </c:pt>
                <c:pt idx="3">
                  <c:v>Лихвени р-ди</c:v>
                </c:pt>
                <c:pt idx="4">
                  <c:v>Нето предоставени трансфери за др. бюджети</c:v>
                </c:pt>
                <c:pt idx="5">
                  <c:v>Вноска в бюджета на ЕС</c:v>
                </c:pt>
              </c:strCache>
            </c:strRef>
          </c:cat>
          <c:val>
            <c:numRef>
              <c:f>Sheet1!$C$38:$C$43</c:f>
              <c:numCache>
                <c:formatCode>0.0</c:formatCode>
                <c:ptCount val="6"/>
                <c:pt idx="0" formatCode="#,##0.0">
                  <c:v>2487.7560350000003</c:v>
                </c:pt>
                <c:pt idx="1">
                  <c:v>0.54230100000000003</c:v>
                </c:pt>
                <c:pt idx="2">
                  <c:v>186.29447100000002</c:v>
                </c:pt>
                <c:pt idx="3">
                  <c:v>218.84639999999999</c:v>
                </c:pt>
                <c:pt idx="4" formatCode="#,##0.0">
                  <c:v>4222.6634800000011</c:v>
                </c:pt>
                <c:pt idx="5">
                  <c:v>259.51947899999999</c:v>
                </c:pt>
              </c:numCache>
            </c:numRef>
          </c:val>
          <c:extLst>
            <c:ext xmlns:c16="http://schemas.microsoft.com/office/drawing/2014/chart" uri="{C3380CC4-5D6E-409C-BE32-E72D297353CC}">
              <c16:uniqueId val="{0000000B-0B53-4275-8580-D40A5527AB6B}"/>
            </c:ext>
          </c:extLst>
        </c:ser>
        <c:dLbls>
          <c:showLegendKey val="0"/>
          <c:showVal val="0"/>
          <c:showCatName val="0"/>
          <c:showSerName val="0"/>
          <c:showPercent val="0"/>
          <c:showBubbleSize val="0"/>
        </c:dLbls>
        <c:gapWidth val="150"/>
        <c:axId val="296164736"/>
        <c:axId val="298779776"/>
      </c:barChart>
      <c:catAx>
        <c:axId val="296164736"/>
        <c:scaling>
          <c:orientation val="minMax"/>
        </c:scaling>
        <c:delete val="0"/>
        <c:axPos val="b"/>
        <c:numFmt formatCode="General" sourceLinked="1"/>
        <c:majorTickMark val="out"/>
        <c:minorTickMark val="none"/>
        <c:tickLblPos val="nextTo"/>
        <c:spPr>
          <a:ln w="9512">
            <a:noFill/>
          </a:ln>
        </c:spPr>
        <c:txPr>
          <a:bodyPr rot="0" vert="horz"/>
          <a:lstStyle/>
          <a:p>
            <a:pPr>
              <a:defRPr sz="970" b="1" i="0" u="none" strike="noStrike" baseline="2000">
                <a:solidFill>
                  <a:srgbClr val="000000"/>
                </a:solidFill>
                <a:latin typeface="Times New Roman"/>
                <a:ea typeface="Times New Roman"/>
                <a:cs typeface="Times New Roman"/>
              </a:defRPr>
            </a:pPr>
            <a:endParaRPr lang="bg-BG"/>
          </a:p>
        </c:txPr>
        <c:crossAx val="298779776"/>
        <c:crosses val="autoZero"/>
        <c:auto val="1"/>
        <c:lblAlgn val="ctr"/>
        <c:lblOffset val="100"/>
        <c:tickLblSkip val="1"/>
        <c:tickMarkSkip val="1"/>
        <c:noMultiLvlLbl val="0"/>
      </c:catAx>
      <c:valAx>
        <c:axId val="298779776"/>
        <c:scaling>
          <c:orientation val="minMax"/>
        </c:scaling>
        <c:delete val="0"/>
        <c:axPos val="l"/>
        <c:majorGridlines>
          <c:spPr>
            <a:ln w="3171">
              <a:solidFill>
                <a:srgbClr val="000000"/>
              </a:solidFill>
              <a:prstDash val="solid"/>
            </a:ln>
          </c:spPr>
        </c:majorGridlines>
        <c:title>
          <c:tx>
            <c:rich>
              <a:bodyPr rot="0" vert="horz"/>
              <a:lstStyle/>
              <a:p>
                <a:pPr algn="ctr">
                  <a:defRPr sz="899" b="0" i="0" u="none" strike="noStrike" baseline="0">
                    <a:solidFill>
                      <a:srgbClr val="000000"/>
                    </a:solidFill>
                    <a:latin typeface="Times New Roman"/>
                    <a:ea typeface="Times New Roman"/>
                    <a:cs typeface="Times New Roman"/>
                  </a:defRPr>
                </a:pPr>
                <a:r>
                  <a:rPr lang="bg-BG"/>
                  <a:t>(млн. евро)</a:t>
                </a:r>
              </a:p>
            </c:rich>
          </c:tx>
          <c:layout>
            <c:manualLayout>
              <c:xMode val="edge"/>
              <c:yMode val="edge"/>
              <c:x val="9.3198691529022576E-4"/>
              <c:y val="0.93341453652604278"/>
            </c:manualLayout>
          </c:layout>
          <c:overlay val="0"/>
          <c:spPr>
            <a:noFill/>
            <a:ln w="25367">
              <a:noFill/>
            </a:ln>
          </c:spPr>
        </c:title>
        <c:numFmt formatCode="#\ ##0" sourceLinked="0"/>
        <c:majorTickMark val="out"/>
        <c:minorTickMark val="none"/>
        <c:tickLblPos val="nextTo"/>
        <c:spPr>
          <a:ln w="3171">
            <a:solidFill>
              <a:srgbClr val="000000"/>
            </a:solidFill>
            <a:prstDash val="solid"/>
          </a:ln>
        </c:spPr>
        <c:txPr>
          <a:bodyPr rot="0" vert="horz"/>
          <a:lstStyle/>
          <a:p>
            <a:pPr>
              <a:defRPr sz="899" b="0" i="0" u="none" strike="noStrike" baseline="0">
                <a:solidFill>
                  <a:srgbClr val="000000"/>
                </a:solidFill>
                <a:latin typeface="Times New Roman"/>
                <a:ea typeface="Times New Roman"/>
                <a:cs typeface="Times New Roman"/>
              </a:defRPr>
            </a:pPr>
            <a:endParaRPr lang="bg-BG"/>
          </a:p>
        </c:txPr>
        <c:crossAx val="296164736"/>
        <c:crosses val="autoZero"/>
        <c:crossBetween val="between"/>
      </c:valAx>
      <c:spPr>
        <a:solidFill>
          <a:srgbClr val="FFFFFF"/>
        </a:solidFill>
        <a:ln w="6350">
          <a:solidFill>
            <a:sysClr val="window" lastClr="FFFFFF">
              <a:lumMod val="85000"/>
            </a:sysClr>
          </a:solidFill>
          <a:prstDash val="solid"/>
        </a:ln>
      </c:spPr>
    </c:plotArea>
    <c:legend>
      <c:legendPos val="r"/>
      <c:legendEntry>
        <c:idx val="0"/>
        <c:txPr>
          <a:bodyPr/>
          <a:lstStyle/>
          <a:p>
            <a:pPr>
              <a:defRPr sz="780" b="1" i="0" u="none" strike="noStrike" baseline="0">
                <a:solidFill>
                  <a:srgbClr val="000000"/>
                </a:solidFill>
                <a:latin typeface="Times New Roman"/>
                <a:ea typeface="Times New Roman"/>
                <a:cs typeface="Times New Roman"/>
              </a:defRPr>
            </a:pPr>
            <a:endParaRPr lang="bg-BG"/>
          </a:p>
        </c:txPr>
      </c:legendEntry>
      <c:legendEntry>
        <c:idx val="1"/>
        <c:txPr>
          <a:bodyPr/>
          <a:lstStyle/>
          <a:p>
            <a:pPr>
              <a:defRPr sz="780" b="1" i="0" u="none" strike="noStrike" baseline="0">
                <a:solidFill>
                  <a:srgbClr val="000000"/>
                </a:solidFill>
                <a:latin typeface="Times New Roman"/>
                <a:ea typeface="Times New Roman"/>
                <a:cs typeface="Times New Roman"/>
              </a:defRPr>
            </a:pPr>
            <a:endParaRPr lang="bg-BG"/>
          </a:p>
        </c:txPr>
      </c:legendEntry>
      <c:layout>
        <c:manualLayout>
          <c:xMode val="edge"/>
          <c:yMode val="edge"/>
          <c:x val="0.38042784974458832"/>
          <c:y val="0.91659665892376085"/>
          <c:w val="0.27736291028137611"/>
          <c:h val="8.2830786585230104E-2"/>
        </c:manualLayout>
      </c:layout>
      <c:overlay val="0"/>
      <c:spPr>
        <a:solidFill>
          <a:srgbClr val="FFFFFF"/>
        </a:solidFill>
        <a:ln w="3171">
          <a:solidFill>
            <a:sysClr val="window" lastClr="FFFFFF">
              <a:lumMod val="85000"/>
            </a:sysClr>
          </a:solidFill>
          <a:prstDash val="solid"/>
        </a:ln>
      </c:spPr>
      <c:txPr>
        <a:bodyPr/>
        <a:lstStyle/>
        <a:p>
          <a:pPr>
            <a:defRPr sz="780" b="1" i="0" u="none" strike="noStrike" baseline="0">
              <a:solidFill>
                <a:srgbClr val="000000"/>
              </a:solidFill>
              <a:latin typeface="Times New Roman"/>
              <a:ea typeface="Times New Roman"/>
              <a:cs typeface="Times New Roman"/>
            </a:defRPr>
          </a:pPr>
          <a:endParaRPr lang="bg-BG"/>
        </a:p>
      </c:txPr>
    </c:legend>
    <c:plotVisOnly val="1"/>
    <c:dispBlanksAs val="gap"/>
    <c:showDLblsOverMax val="0"/>
  </c:chart>
  <c:spPr>
    <a:solidFill>
      <a:srgbClr val="FFFFFF"/>
    </a:solidFill>
    <a:ln w="3171">
      <a:solidFill>
        <a:srgbClr val="000000"/>
      </a:solidFill>
      <a:prstDash val="solid"/>
    </a:ln>
  </c:spPr>
  <c:txPr>
    <a:bodyPr/>
    <a:lstStyle/>
    <a:p>
      <a:pPr>
        <a:defRPr sz="1124" b="0" i="0" u="none" strike="noStrike" baseline="0">
          <a:solidFill>
            <a:srgbClr val="000000"/>
          </a:solidFill>
          <a:latin typeface="Arial"/>
          <a:ea typeface="Arial"/>
          <a:cs typeface="Arial"/>
        </a:defRPr>
      </a:pPr>
      <a:endParaRPr lang="bg-BG"/>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0.50767</cdr:x>
      <cdr:y>0.50124</cdr:y>
    </cdr:from>
    <cdr:to>
      <cdr:x>0.52046</cdr:x>
      <cdr:y>0.56116</cdr:y>
    </cdr:to>
    <cdr:sp macro="" textlink="">
      <cdr:nvSpPr>
        <cdr:cNvPr id="3073" name="Text Box 1"/>
        <cdr:cNvSpPr txBox="1">
          <a:spLocks xmlns:a="http://schemas.openxmlformats.org/drawingml/2006/main" noChangeArrowheads="1"/>
        </cdr:cNvSpPr>
      </cdr:nvSpPr>
      <cdr:spPr bwMode="auto">
        <a:xfrm xmlns:a="http://schemas.openxmlformats.org/drawingml/2006/main">
          <a:off x="3536779" y="1408614"/>
          <a:ext cx="94821" cy="16927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36576" tIns="27432" rIns="36576" bIns="27432" anchor="ctr" upright="1"/>
        <a:lstStyle xmlns:a="http://schemas.openxmlformats.org/drawingml/2006/main"/>
        <a:p xmlns:a="http://schemas.openxmlformats.org/drawingml/2006/main">
          <a:pPr algn="ctr" rtl="0">
            <a:defRPr sz="1000"/>
          </a:pPr>
          <a:r>
            <a:rPr lang="bg-BG" sz="1125" b="0" i="0" u="none" strike="noStrike" baseline="0">
              <a:solidFill>
                <a:srgbClr val="000000"/>
              </a:solidFill>
              <a:latin typeface="Arial"/>
              <a:cs typeface="Arial"/>
            </a:rPr>
            <a:t> </a:t>
          </a:r>
        </a:p>
      </cdr:txBody>
    </cdr:sp>
  </cdr:relSizeAnchor>
  <cdr:relSizeAnchor xmlns:cdr="http://schemas.openxmlformats.org/drawingml/2006/chartDrawing">
    <cdr:from>
      <cdr:x>0.50767</cdr:x>
      <cdr:y>0.50124</cdr:y>
    </cdr:from>
    <cdr:to>
      <cdr:x>0.61477</cdr:x>
      <cdr:y>0.56116</cdr:y>
    </cdr:to>
    <cdr:sp macro="" textlink="">
      <cdr:nvSpPr>
        <cdr:cNvPr id="3074" name="Text Box 2"/>
        <cdr:cNvSpPr txBox="1">
          <a:spLocks xmlns:a="http://schemas.openxmlformats.org/drawingml/2006/main" noChangeArrowheads="1"/>
        </cdr:cNvSpPr>
      </cdr:nvSpPr>
      <cdr:spPr bwMode="auto">
        <a:xfrm xmlns:a="http://schemas.openxmlformats.org/drawingml/2006/main">
          <a:off x="3536779" y="1408614"/>
          <a:ext cx="751674" cy="16927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36576" tIns="27432" rIns="36576" bIns="27432" anchor="ctr" upright="1"/>
        <a:lstStyle xmlns:a="http://schemas.openxmlformats.org/drawingml/2006/main"/>
        <a:p xmlns:a="http://schemas.openxmlformats.org/drawingml/2006/main">
          <a:pPr algn="ctr" rtl="0">
            <a:defRPr sz="1000"/>
          </a:pPr>
          <a:endParaRPr lang="bg-BG" sz="1125" b="0" i="0" u="none" strike="noStrike" baseline="0">
            <a:solidFill>
              <a:srgbClr val="000000"/>
            </a:solidFill>
            <a:latin typeface="Arial"/>
            <a:cs typeface="Arial"/>
          </a:endParaRPr>
        </a:p>
        <a:p xmlns:a="http://schemas.openxmlformats.org/drawingml/2006/main">
          <a:pPr algn="ctr" rtl="0">
            <a:defRPr sz="1000"/>
          </a:pPr>
          <a:endParaRPr lang="bg-BG" sz="1125" b="0" i="0" u="none" strike="noStrike" baseline="0">
            <a:solidFill>
              <a:srgbClr val="000000"/>
            </a:solidFill>
            <a:latin typeface="Arial"/>
            <a:cs typeface="Arial"/>
          </a:endParaRPr>
        </a:p>
        <a:p xmlns:a="http://schemas.openxmlformats.org/drawingml/2006/main">
          <a:pPr algn="ctr" rtl="0">
            <a:defRPr sz="1000"/>
          </a:pPr>
          <a:endParaRPr lang="bg-BG" sz="1125" b="0" i="0" u="none" strike="noStrike" baseline="0">
            <a:solidFill>
              <a:srgbClr val="000000"/>
            </a:solidFill>
            <a:latin typeface="Arial"/>
            <a:cs typeface="Aria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F6D4-CD47-403F-8103-6A4BF60C9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TotalTime>
  <Pages>29</Pages>
  <Words>15467</Words>
  <Characters>82492</Characters>
  <Application>Microsoft Office Word</Application>
  <DocSecurity>0</DocSecurity>
  <Lines>687</Lines>
  <Paragraphs>195</Paragraphs>
  <ScaleCrop>false</ScaleCrop>
  <HeadingPairs>
    <vt:vector size="2" baseType="variant">
      <vt:variant>
        <vt:lpstr>Title</vt:lpstr>
      </vt:variant>
      <vt:variant>
        <vt:i4>1</vt:i4>
      </vt:variant>
    </vt:vector>
  </HeadingPairs>
  <TitlesOfParts>
    <vt:vector size="1" baseType="lpstr">
      <vt:lpstr>М И Н И С Т Е Р С Т В О   Н А   Ф И Н А Н С И Т Е</vt:lpstr>
    </vt:vector>
  </TitlesOfParts>
  <Company>MoF</Company>
  <LinksUpToDate>false</LinksUpToDate>
  <CharactersWithSpaces>97764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И Н И С Т Е Р С Т В О   Н А   Ф И Н А Н С И Т Е</dc:title>
  <dc:creator>Любомир Малчев</dc:creator>
  <cp:lastModifiedBy>КБПА ВД</cp:lastModifiedBy>
  <cp:revision>373</cp:revision>
  <cp:lastPrinted>2026-05-05T08:11:00Z</cp:lastPrinted>
  <dcterms:created xsi:type="dcterms:W3CDTF">2026-02-05T09:21:00Z</dcterms:created>
  <dcterms:modified xsi:type="dcterms:W3CDTF">2026-05-14T08:55:00Z</dcterms:modified>
</cp:coreProperties>
</file>